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9A7B" w14:textId="77777777" w:rsidR="009E1832" w:rsidRDefault="009E1832" w:rsidP="009E1832">
      <w:pPr>
        <w:pStyle w:val="Header"/>
        <w:jc w:val="center"/>
        <w:rPr>
          <w:b/>
          <w:bCs/>
          <w:sz w:val="48"/>
          <w:szCs w:val="34"/>
          <w:lang w:val="en-US"/>
        </w:rPr>
      </w:pPr>
    </w:p>
    <w:p w14:paraId="00F023AC" w14:textId="77777777" w:rsidR="009E1832" w:rsidRDefault="009E1832" w:rsidP="009E1832">
      <w:pPr>
        <w:pStyle w:val="Header"/>
        <w:jc w:val="center"/>
        <w:rPr>
          <w:b/>
          <w:bCs/>
          <w:sz w:val="48"/>
          <w:szCs w:val="34"/>
          <w:lang w:val="en-US"/>
        </w:rPr>
      </w:pPr>
    </w:p>
    <w:p w14:paraId="17953FCC" w14:textId="77777777" w:rsidR="009E1832" w:rsidRDefault="009E1832" w:rsidP="009E1832">
      <w:pPr>
        <w:pStyle w:val="Header"/>
        <w:jc w:val="center"/>
        <w:rPr>
          <w:b/>
          <w:bCs/>
          <w:sz w:val="48"/>
          <w:szCs w:val="34"/>
          <w:lang w:val="en-US"/>
        </w:rPr>
      </w:pPr>
    </w:p>
    <w:p w14:paraId="53BD456F" w14:textId="77777777" w:rsidR="009E1832" w:rsidRDefault="009E1832" w:rsidP="009E1832">
      <w:pPr>
        <w:pStyle w:val="Header"/>
        <w:jc w:val="center"/>
        <w:rPr>
          <w:b/>
          <w:bCs/>
          <w:sz w:val="48"/>
          <w:szCs w:val="34"/>
          <w:lang w:val="en-US"/>
        </w:rPr>
      </w:pPr>
    </w:p>
    <w:p w14:paraId="1F1D8DE1" w14:textId="77777777" w:rsidR="009E1832" w:rsidRDefault="009E1832" w:rsidP="009E1832">
      <w:pPr>
        <w:pStyle w:val="Header"/>
        <w:jc w:val="center"/>
        <w:rPr>
          <w:b/>
          <w:bCs/>
          <w:sz w:val="48"/>
          <w:szCs w:val="34"/>
          <w:lang w:val="en-US"/>
        </w:rPr>
      </w:pPr>
    </w:p>
    <w:p w14:paraId="4BD8A4BD" w14:textId="77777777" w:rsidR="009E1832" w:rsidRDefault="009E1832" w:rsidP="009E1832">
      <w:pPr>
        <w:pStyle w:val="Header"/>
        <w:jc w:val="center"/>
        <w:rPr>
          <w:b/>
          <w:bCs/>
          <w:sz w:val="48"/>
          <w:szCs w:val="34"/>
          <w:lang w:val="en-US"/>
        </w:rPr>
      </w:pPr>
    </w:p>
    <w:p w14:paraId="5134C2BF" w14:textId="77777777" w:rsidR="009E1832" w:rsidRDefault="009E1832" w:rsidP="009E1832">
      <w:pPr>
        <w:pStyle w:val="Header"/>
        <w:jc w:val="center"/>
        <w:rPr>
          <w:b/>
          <w:bCs/>
          <w:sz w:val="48"/>
          <w:szCs w:val="34"/>
          <w:lang w:val="en-US"/>
        </w:rPr>
      </w:pPr>
    </w:p>
    <w:p w14:paraId="701FFC4A" w14:textId="77777777" w:rsidR="009E1832" w:rsidRDefault="009E1832" w:rsidP="009E1832">
      <w:pPr>
        <w:pStyle w:val="Header"/>
        <w:jc w:val="center"/>
        <w:rPr>
          <w:b/>
          <w:bCs/>
          <w:sz w:val="48"/>
          <w:szCs w:val="34"/>
          <w:lang w:val="en-US"/>
        </w:rPr>
      </w:pPr>
    </w:p>
    <w:p w14:paraId="161E9A19" w14:textId="77777777" w:rsidR="009E1832" w:rsidRDefault="009E1832" w:rsidP="009E1832">
      <w:pPr>
        <w:jc w:val="center"/>
        <w:rPr>
          <w:b/>
          <w:bCs/>
          <w:color w:val="auto"/>
          <w:kern w:val="2"/>
          <w:sz w:val="40"/>
          <w:szCs w:val="40"/>
          <w:shd w:val="clear" w:color="auto" w:fill="FFFFFF"/>
        </w:rPr>
      </w:pPr>
      <w:r>
        <w:rPr>
          <w:b/>
          <w:bCs/>
          <w:sz w:val="40"/>
          <w:szCs w:val="40"/>
          <w:shd w:val="clear" w:color="auto" w:fill="FFFFFF"/>
        </w:rPr>
        <w:t>BA Business Management</w:t>
      </w:r>
    </w:p>
    <w:p w14:paraId="2F0A6442" w14:textId="77777777" w:rsidR="009E1832" w:rsidRDefault="009E1832" w:rsidP="009E1832">
      <w:pPr>
        <w:jc w:val="center"/>
        <w:rPr>
          <w:b/>
          <w:bCs/>
          <w:sz w:val="40"/>
          <w:szCs w:val="40"/>
          <w:shd w:val="clear" w:color="auto" w:fill="FFFFFF"/>
        </w:rPr>
      </w:pPr>
      <w:r>
        <w:rPr>
          <w:b/>
          <w:bCs/>
          <w:sz w:val="40"/>
          <w:szCs w:val="40"/>
          <w:shd w:val="clear" w:color="auto" w:fill="FFFFFF"/>
        </w:rPr>
        <w:t>Data Handling and Business Intelligence</w:t>
      </w:r>
    </w:p>
    <w:p w14:paraId="3CB51424" w14:textId="77777777" w:rsidR="009E1832" w:rsidRDefault="009E1832" w:rsidP="009E1832">
      <w:pPr>
        <w:spacing w:line="254" w:lineRule="auto"/>
        <w:jc w:val="left"/>
        <w:rPr>
          <w:b/>
          <w:bCs/>
          <w:sz w:val="40"/>
          <w:szCs w:val="40"/>
          <w:shd w:val="clear" w:color="auto" w:fill="FFFFFF"/>
        </w:rPr>
      </w:pPr>
    </w:p>
    <w:p w14:paraId="09D26C98" w14:textId="77777777" w:rsidR="009E1832" w:rsidRDefault="009E1832" w:rsidP="009E1832">
      <w:pPr>
        <w:spacing w:line="254" w:lineRule="auto"/>
        <w:jc w:val="left"/>
        <w:rPr>
          <w:b/>
          <w:bCs/>
          <w:sz w:val="40"/>
          <w:szCs w:val="40"/>
          <w:shd w:val="clear" w:color="auto" w:fill="FFFFFF"/>
        </w:rPr>
      </w:pPr>
    </w:p>
    <w:p w14:paraId="689CA994" w14:textId="77777777" w:rsidR="009E1832" w:rsidRDefault="009E1832" w:rsidP="009E1832">
      <w:pPr>
        <w:spacing w:line="254" w:lineRule="auto"/>
        <w:jc w:val="left"/>
        <w:rPr>
          <w:b/>
          <w:bCs/>
          <w:sz w:val="40"/>
          <w:szCs w:val="40"/>
          <w:shd w:val="clear" w:color="auto" w:fill="FFFFFF"/>
        </w:rPr>
      </w:pPr>
    </w:p>
    <w:p w14:paraId="5D2292F7" w14:textId="77777777" w:rsidR="009E1832" w:rsidRDefault="009E1832" w:rsidP="009E1832">
      <w:pPr>
        <w:spacing w:line="254" w:lineRule="auto"/>
        <w:jc w:val="left"/>
        <w:rPr>
          <w:b/>
          <w:bCs/>
          <w:sz w:val="40"/>
          <w:szCs w:val="40"/>
          <w:shd w:val="clear" w:color="auto" w:fill="FFFFFF"/>
        </w:rPr>
      </w:pPr>
    </w:p>
    <w:p w14:paraId="126D05C5" w14:textId="77777777" w:rsidR="009E1832" w:rsidRDefault="009E1832" w:rsidP="009E1832">
      <w:pPr>
        <w:spacing w:line="254" w:lineRule="auto"/>
        <w:jc w:val="left"/>
        <w:rPr>
          <w:b/>
          <w:bCs/>
          <w:sz w:val="40"/>
          <w:szCs w:val="40"/>
          <w:shd w:val="clear" w:color="auto" w:fill="FFFFFF"/>
        </w:rPr>
      </w:pPr>
    </w:p>
    <w:p w14:paraId="7B830997" w14:textId="77777777" w:rsidR="009E1832" w:rsidRDefault="009E1832" w:rsidP="009E1832">
      <w:pPr>
        <w:spacing w:line="254" w:lineRule="auto"/>
        <w:jc w:val="left"/>
        <w:rPr>
          <w:b/>
          <w:bCs/>
          <w:sz w:val="40"/>
          <w:szCs w:val="40"/>
          <w:shd w:val="clear" w:color="auto" w:fill="FFFFFF"/>
        </w:rPr>
      </w:pPr>
    </w:p>
    <w:p w14:paraId="6D13DA71" w14:textId="77777777" w:rsidR="009E1832" w:rsidRDefault="009E1832" w:rsidP="009E1832">
      <w:pPr>
        <w:spacing w:after="0" w:line="360" w:lineRule="auto"/>
        <w:rPr>
          <w:rFonts w:ascii="Arial" w:hAnsi="Arial" w:cs="Arial"/>
          <w:b/>
          <w:bCs/>
        </w:rPr>
      </w:pPr>
      <w:r>
        <w:rPr>
          <w:rFonts w:ascii="Arial" w:hAnsi="Arial" w:cs="Arial"/>
          <w:b/>
          <w:bCs/>
        </w:rPr>
        <w:t>Module: Data Handling and Business Intelligence</w:t>
      </w:r>
    </w:p>
    <w:p w14:paraId="2DB0132B" w14:textId="77777777" w:rsidR="009E1832" w:rsidRDefault="009E1832" w:rsidP="009E1832">
      <w:pPr>
        <w:spacing w:after="0" w:line="360" w:lineRule="auto"/>
        <w:rPr>
          <w:rFonts w:ascii="Arial" w:hAnsi="Arial" w:cs="Arial"/>
          <w:b/>
          <w:bCs/>
        </w:rPr>
      </w:pPr>
      <w:r>
        <w:rPr>
          <w:rFonts w:ascii="Arial" w:hAnsi="Arial" w:cs="Arial"/>
          <w:b/>
          <w:bCs/>
        </w:rPr>
        <w:t>Module Code: LCBB5000</w:t>
      </w:r>
    </w:p>
    <w:p w14:paraId="56DC24AC" w14:textId="77777777" w:rsidR="009E1832" w:rsidRDefault="009E1832" w:rsidP="009E1832">
      <w:pPr>
        <w:spacing w:after="0" w:line="360" w:lineRule="auto"/>
        <w:rPr>
          <w:rFonts w:ascii="Arial" w:hAnsi="Arial" w:cs="Arial"/>
          <w:b/>
          <w:bCs/>
        </w:rPr>
      </w:pPr>
      <w:r>
        <w:rPr>
          <w:rFonts w:ascii="Arial" w:hAnsi="Arial" w:cs="Arial"/>
          <w:b/>
          <w:bCs/>
        </w:rPr>
        <w:t>Lecturer: Dr Anupam Mazumdar</w:t>
      </w:r>
    </w:p>
    <w:p w14:paraId="5677C255" w14:textId="77777777" w:rsidR="009E1832" w:rsidRDefault="009E1832" w:rsidP="009E1832">
      <w:pPr>
        <w:spacing w:after="0" w:line="360" w:lineRule="auto"/>
        <w:rPr>
          <w:rFonts w:ascii="Arial" w:hAnsi="Arial" w:cs="Arial"/>
          <w:b/>
          <w:bCs/>
        </w:rPr>
      </w:pPr>
      <w:r>
        <w:rPr>
          <w:rFonts w:ascii="Arial" w:hAnsi="Arial" w:cs="Arial"/>
          <w:b/>
          <w:bCs/>
        </w:rPr>
        <w:t>Student name: Emanuel Georgian Puiu</w:t>
      </w:r>
    </w:p>
    <w:p w14:paraId="4B672DA4" w14:textId="77777777" w:rsidR="009E1832" w:rsidRDefault="009E1832" w:rsidP="009E1832">
      <w:pPr>
        <w:spacing w:after="0" w:line="360" w:lineRule="auto"/>
        <w:rPr>
          <w:rFonts w:ascii="Arial" w:hAnsi="Arial" w:cs="Arial"/>
          <w:b/>
          <w:bCs/>
        </w:rPr>
      </w:pPr>
      <w:r>
        <w:rPr>
          <w:rFonts w:ascii="Arial" w:hAnsi="Arial" w:cs="Arial"/>
          <w:b/>
          <w:bCs/>
        </w:rPr>
        <w:t>Student ID:2130778</w:t>
      </w:r>
    </w:p>
    <w:p w14:paraId="504EC298" w14:textId="77777777" w:rsidR="009E1832" w:rsidRDefault="009E1832" w:rsidP="009E1832">
      <w:pPr>
        <w:pageBreakBefore/>
        <w:spacing w:line="252" w:lineRule="auto"/>
        <w:jc w:val="left"/>
      </w:pPr>
    </w:p>
    <w:p w14:paraId="788C2F23" w14:textId="77777777" w:rsidR="009E1832" w:rsidRDefault="009E1832" w:rsidP="009E1832">
      <w:pPr>
        <w:pStyle w:val="Heading1"/>
      </w:pPr>
      <w:r>
        <w:t xml:space="preserve">Introduction </w:t>
      </w:r>
    </w:p>
    <w:p w14:paraId="34F93D76" w14:textId="77777777" w:rsidR="009E1832" w:rsidRDefault="009E1832" w:rsidP="009E1832">
      <w:r>
        <w:t xml:space="preserve">The basing methods of interpreting and computing the different types of information </w:t>
      </w:r>
      <w:proofErr w:type="gramStart"/>
      <w:r>
        <w:t>so as to</w:t>
      </w:r>
      <w:proofErr w:type="gramEnd"/>
      <w:r>
        <w:t xml:space="preserve"> generate an insightful review can be turned as data handling and business intelligence. For the sake of making a certain accuracy in accessibility of the needed information they are to be prepared, </w:t>
      </w:r>
      <w:proofErr w:type="gramStart"/>
      <w:r>
        <w:t>examined</w:t>
      </w:r>
      <w:proofErr w:type="gramEnd"/>
      <w:r>
        <w:t xml:space="preserve"> and maintained by making use of the integral business tools that can help the business in a precise manner. In addition to this, the business intelligence is considered as an essential part as it allows the corporations </w:t>
      </w:r>
      <w:proofErr w:type="gramStart"/>
      <w:r>
        <w:t>in order to</w:t>
      </w:r>
      <w:proofErr w:type="gramEnd"/>
      <w:r>
        <w:t xml:space="preserve"> convert the meaningless data into useful insights. This can help the business to gain a healthy and a competitive advantage for the sake of survival in the long run. There are different types of diagrams as well as calculations that are also considered as an integral part for certain additions as an alternative method. </w:t>
      </w:r>
    </w:p>
    <w:p w14:paraId="58B7B97F" w14:textId="77777777" w:rsidR="009E1832" w:rsidRDefault="009E1832" w:rsidP="009E1832">
      <w:pPr>
        <w:pStyle w:val="Heading1"/>
        <w:pageBreakBefore/>
      </w:pPr>
      <w:r>
        <w:lastRenderedPageBreak/>
        <w:t xml:space="preserve">Discussion </w:t>
      </w:r>
    </w:p>
    <w:p w14:paraId="1B5430FA" w14:textId="77777777" w:rsidR="009E1832" w:rsidRDefault="009E1832" w:rsidP="009E1832">
      <w:r>
        <w:rPr>
          <w:b/>
          <w:bCs/>
          <w:i/>
          <w:iCs/>
          <w:u w:val="single"/>
        </w:rPr>
        <w:t>Part – A</w:t>
      </w:r>
      <w:r>
        <w:rPr>
          <w:i/>
          <w:iCs/>
        </w:rPr>
        <w:t xml:space="preserve"> </w:t>
      </w:r>
    </w:p>
    <w:p w14:paraId="07E7B99F" w14:textId="61CA87B6" w:rsidR="009E1832" w:rsidRDefault="009E1832" w:rsidP="009E1832">
      <w:pPr>
        <w:jc w:val="center"/>
      </w:pPr>
      <w:r>
        <w:rPr>
          <w:noProof/>
        </w:rPr>
        <w:drawing>
          <wp:inline distT="0" distB="0" distL="0" distR="0" wp14:anchorId="176036B5" wp14:editId="4A1D5173">
            <wp:extent cx="4603750" cy="2658110"/>
            <wp:effectExtent l="0" t="0" r="6350"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5FC8B139" w14:textId="77777777" w:rsidR="009E1832" w:rsidRDefault="009E1832" w:rsidP="009E1832">
      <w:pPr>
        <w:jc w:val="center"/>
      </w:pPr>
      <w:r>
        <w:t>Figure: Column graph</w:t>
      </w:r>
    </w:p>
    <w:p w14:paraId="3143B4D8" w14:textId="77777777" w:rsidR="009E1832" w:rsidRDefault="009E1832" w:rsidP="009E1832">
      <w:pPr>
        <w:jc w:val="center"/>
      </w:pPr>
      <w:r>
        <w:t>Source: Created by author</w:t>
      </w:r>
    </w:p>
    <w:p w14:paraId="0D7D93D8" w14:textId="77777777" w:rsidR="009E1832" w:rsidRDefault="009E1832" w:rsidP="009E1832">
      <w:r>
        <w:t xml:space="preserve">The information provided offers treasured insights into the dynamic rate developments of a hotel for the 2017–2019–2020–2021 duration, highlighting extraordinary trends and differences. Notably, 2017 has a high degree of charge volatility, as seen through the incidence of values that are either 0 or 6, which denote unrecorded or notably low pricing conditions. On the alternative hand, numbers like 159.75 and 200.75 indicate times when fees have been pretty high, indicating adjustments in the market (Santos et al., 2022). Even with non-stop price adjustments, extra research suggests that through the years, observable growing inclinations emerge. Effective numbers that display a huge type of product prices encompass 155, 168.Three, and 186.22. Inconsistencies, along with the recurrent price of 0, </w:t>
      </w:r>
      <w:proofErr w:type="gramStart"/>
      <w:r>
        <w:t>but,</w:t>
      </w:r>
      <w:proofErr w:type="gramEnd"/>
      <w:r>
        <w:t xml:space="preserve"> deliver rise to the ability of lacking or unrecorded records, adding an element of uncertainty to the dataset. When 2019 is checked out, </w:t>
      </w:r>
      <w:r>
        <w:lastRenderedPageBreak/>
        <w:t>there is a huge form of fees, highs and lows protected. This variant suggests that a few seasons could have a sizable impact on hotel costs. Values like 1 and 0 are particularly noteworthy as they display a large decrease in costs in 2020, the year after the COVID-19 outbreak began. The sudden nature of the epidemic was mainly harsh on the traveller and hospitality industries, which resulted in decrease customer demand and lower lodging costs. This declining tendency is proven by the records obtained for 2020, with a few outliers (such 215.6) that may not be impacted by the industry’s usual downturn (</w:t>
      </w:r>
      <w:proofErr w:type="spellStart"/>
      <w:r>
        <w:t>Tomeš</w:t>
      </w:r>
      <w:proofErr w:type="spellEnd"/>
      <w:r>
        <w:t xml:space="preserve">, 2023). 2020 noticed a drop in lodge charges due to the pandemic, demonstrating the close courting between outdoor elements and pricing dynamics. The outliers, together with 215.6, can reflect great conditions that aren't completely related to the sectoral </w:t>
      </w:r>
      <w:proofErr w:type="gramStart"/>
      <w:r>
        <w:t>hunch as a whole, necessitating</w:t>
      </w:r>
      <w:proofErr w:type="gramEnd"/>
      <w:r>
        <w:t xml:space="preserve"> extra studies. The examination of the provided statistics demonstrates the complex interactions amongst variables that have an effect on inn quotes throughout time. The developments show how inclined the hospitality enterprise is to outdoor events, from the volatility of 2017 to the variable costs of 2019 and the dramatic decrease in 2020 delivered on through the pandemic. This highlights the need for agencies to alter and plan in reaction to changing market conditions (Santos </w:t>
      </w:r>
      <w:r>
        <w:rPr>
          <w:i/>
          <w:iCs/>
        </w:rPr>
        <w:t>et al</w:t>
      </w:r>
      <w:r>
        <w:t>., 2022).</w:t>
      </w:r>
    </w:p>
    <w:p w14:paraId="259D82FD" w14:textId="1C986A5F" w:rsidR="009E1832" w:rsidRDefault="009E1832" w:rsidP="009E1832">
      <w:pPr>
        <w:jc w:val="center"/>
      </w:pPr>
      <w:r>
        <w:rPr>
          <w:noProof/>
        </w:rPr>
        <w:drawing>
          <wp:inline distT="0" distB="0" distL="0" distR="0" wp14:anchorId="611F6EFB" wp14:editId="64C960EE">
            <wp:extent cx="4603750" cy="2658110"/>
            <wp:effectExtent l="0" t="0" r="6350" b="889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6B6DC42" w14:textId="77777777" w:rsidR="009E1832" w:rsidRDefault="009E1832" w:rsidP="009E1832">
      <w:pPr>
        <w:jc w:val="center"/>
        <w:rPr>
          <w:lang w:bidi="th-TH"/>
        </w:rPr>
      </w:pPr>
      <w:r>
        <w:rPr>
          <w:lang w:bidi="th-TH"/>
        </w:rPr>
        <w:lastRenderedPageBreak/>
        <w:t>Figure: Line graph</w:t>
      </w:r>
    </w:p>
    <w:p w14:paraId="502C9A3B" w14:textId="77777777" w:rsidR="009E1832" w:rsidRDefault="009E1832" w:rsidP="009E1832">
      <w:pPr>
        <w:jc w:val="center"/>
      </w:pPr>
      <w:r>
        <w:rPr>
          <w:lang w:bidi="th-TH"/>
        </w:rPr>
        <w:t>Source:</w:t>
      </w:r>
      <w:r>
        <w:t xml:space="preserve"> Created by author</w:t>
      </w:r>
    </w:p>
    <w:p w14:paraId="5A25A37F" w14:textId="77777777" w:rsidR="009E1832" w:rsidRDefault="009E1832" w:rsidP="009E1832">
      <w:r>
        <w:t xml:space="preserve">The </w:t>
      </w:r>
      <w:proofErr w:type="gramStart"/>
      <w:r>
        <w:t>aforementioned photo</w:t>
      </w:r>
      <w:proofErr w:type="gramEnd"/>
      <w:r>
        <w:t xml:space="preserve"> depicts statistics accumulated between 2017 and 2021, supplying a thorough evaluate of the dataset’s metrics for each of those three years. This dataset has an extensive variety of records, from zero to extra than 200, making it an adaptable basis for inspecting </w:t>
      </w:r>
      <w:proofErr w:type="gramStart"/>
      <w:r>
        <w:t>a number of</w:t>
      </w:r>
      <w:proofErr w:type="gramEnd"/>
      <w:r>
        <w:t xml:space="preserve"> measures, together with possibilities and portions. A full-size variety is proven in the dataset for 2019; it goes from 0 to 228.33 (Beynon, 2019). The fact that sure sums are repeated, although, increases the opportunity of records enter errors, which is probably purpose for alarm. </w:t>
      </w:r>
      <w:proofErr w:type="gramStart"/>
      <w:r>
        <w:t>In spite of</w:t>
      </w:r>
      <w:proofErr w:type="gramEnd"/>
      <w:r>
        <w:t xml:space="preserve"> this, the very best suggested price is 228.33, demonstrating the sort of metrics which are recorded. Interestingly, a variety of the columns have 0 values in them, which begs the problem of whether the dataset is comprehensive and </w:t>
      </w:r>
      <w:proofErr w:type="gramStart"/>
      <w:r>
        <w:t>whether or not</w:t>
      </w:r>
      <w:proofErr w:type="gramEnd"/>
      <w:r>
        <w:t xml:space="preserve"> there are any viable gaps in the facts. Moving directly to the next year, 2020, the business have got a fresh range of measurements that varies from 0 to 215.6. The 2020 dataset provides a unique set of measures at the side of maintaining replica records and zeros in area. Surprisingly, 2019 and 2020 each display up as years with a huge and sundry dataset, indicating the complex nature of the statistics gathered (Angelini </w:t>
      </w:r>
      <w:r>
        <w:rPr>
          <w:i/>
          <w:iCs/>
        </w:rPr>
        <w:t>et al</w:t>
      </w:r>
      <w:r>
        <w:t xml:space="preserve">., 2022). The massive numerical breadth of the dataset highlights its usefulness in fashion analysis, outlier identity, and legitimate end method. However, the dataset’s dependability is hampered by means of the existence of replica entries and a high frequency of zero values. It is vital to deal with these troubles </w:t>
      </w:r>
      <w:proofErr w:type="gramStart"/>
      <w:r>
        <w:t>as a way to</w:t>
      </w:r>
      <w:proofErr w:type="gramEnd"/>
      <w:r>
        <w:t xml:space="preserve"> assure the authenticity and first-rate of any research performed utilising these facts. The dataset, which spans the years 2017 via 2021, presents a wealth of measurements and a various spectrum of numerical values. Although 2019 and 2020 are numerous, cautious inspection is necessary to ensure records integrity due to the lifestyles of reproduction statistics and zeros (Angelini </w:t>
      </w:r>
      <w:r>
        <w:rPr>
          <w:i/>
          <w:iCs/>
        </w:rPr>
        <w:t>et al</w:t>
      </w:r>
      <w:r>
        <w:t xml:space="preserve">., 2022). Acknowledging and solving those troubles </w:t>
      </w:r>
      <w:r>
        <w:lastRenderedPageBreak/>
        <w:t xml:space="preserve">will growth the dataset’s legitimacy, making an allowance for more thorough analysis and properly-informed decisions primarily based on the abundance of statistics it presents.  </w:t>
      </w:r>
    </w:p>
    <w:p w14:paraId="70FE25B6" w14:textId="5464E179" w:rsidR="009E1832" w:rsidRDefault="009E1832" w:rsidP="009E1832">
      <w:pPr>
        <w:jc w:val="center"/>
      </w:pPr>
      <w:r>
        <w:rPr>
          <w:noProof/>
        </w:rPr>
        <w:drawing>
          <wp:inline distT="0" distB="0" distL="0" distR="0" wp14:anchorId="0DF179FD" wp14:editId="3F8E627B">
            <wp:extent cx="4657090" cy="2658110"/>
            <wp:effectExtent l="0" t="0" r="10160" b="889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0F9AA81" w14:textId="77777777" w:rsidR="009E1832" w:rsidRDefault="009E1832" w:rsidP="009E1832">
      <w:pPr>
        <w:jc w:val="center"/>
        <w:rPr>
          <w:lang w:bidi="th-TH"/>
        </w:rPr>
      </w:pPr>
      <w:r>
        <w:rPr>
          <w:lang w:bidi="th-TH"/>
        </w:rPr>
        <w:t>Figure: Pie chart</w:t>
      </w:r>
    </w:p>
    <w:p w14:paraId="650F0C93" w14:textId="77777777" w:rsidR="009E1832" w:rsidRDefault="009E1832" w:rsidP="009E1832">
      <w:pPr>
        <w:jc w:val="center"/>
      </w:pPr>
      <w:r>
        <w:rPr>
          <w:lang w:bidi="th-TH"/>
        </w:rPr>
        <w:t xml:space="preserve">Source: </w:t>
      </w:r>
      <w:r>
        <w:t>Created by author</w:t>
      </w:r>
    </w:p>
    <w:p w14:paraId="0D624AF5" w14:textId="77777777" w:rsidR="009E1832" w:rsidRDefault="009E1832" w:rsidP="009E1832">
      <w:r>
        <w:t xml:space="preserve">The pivot desk characteristic in Microsoft Excel and other spreadsheet programmes is one precise information processing approach that has been used properly. Its primary feature is to let customers to efficiently compress, analyse, and gift a variety of datasets. Reorganising and categorising the precise information can enable consumers to attain insightful information quicker (Argüelles et al., 2022). Therefore, the examination may end up dynamic and interactive by means of utilising the pivot tables. This will simplify the process of recognising exclusive patterns and trends in the information series. There </w:t>
      </w:r>
      <w:proofErr w:type="gramStart"/>
      <w:r>
        <w:t>at the moment</w:t>
      </w:r>
      <w:proofErr w:type="gramEnd"/>
      <w:r>
        <w:t xml:space="preserve"> are several standards that allow users to pull and drop fields to organise the facts in step with their options. These standards include counts, possibilities, sums, and averages. For the reason of making effective reports, the unique kind of desk is consequently seen to be an effective device or piece of equipment due to this specific attribute. </w:t>
      </w:r>
      <w:r>
        <w:lastRenderedPageBreak/>
        <w:t>This will make the decision-making manner easier for the unique organisation and spoil down the limitations in the records collection through simplifying them into simpler numbers. Depending on the facts set, its miles glaring that the distribution of the records, which highlights the entire range of arrivals between the preceding years, is diagnosed as supplied information inside the form of chances.</w:t>
      </w:r>
    </w:p>
    <w:p w14:paraId="0EE24D88" w14:textId="77777777" w:rsidR="009E1832" w:rsidRDefault="009E1832" w:rsidP="009E1832">
      <w:r>
        <w:t xml:space="preserve">Therefore, one might also acquire an intensive hold close of the styles and fluctuations in hotel occupancy with the aid of inspecting those unique chances (Argüelles </w:t>
      </w:r>
      <w:r>
        <w:rPr>
          <w:i/>
          <w:iCs/>
        </w:rPr>
        <w:t>et al</w:t>
      </w:r>
      <w:r>
        <w:t xml:space="preserve">., 2022). Given that the recorded share for 2017 is 15.29%, there could have been less visits that 12 months. As indicated on the begin of the dataset, the resort's matching charges now showed a huge amount of fluctuation when the sample changed into introduced up. This is suggesting a specific type of charge element that may regulate because of capability seasonality. It is viable to peer an increase in visits of 83.09% in 2018. However, some of enterprise-related elements, consisting of an increase in call for and other business activities, would possibly contribute to this phenomenon’s emergence. Furthermore, comprehending the increase in preference for lodge charges is probably deemed fascinating. The total possibilities of real site visitors in the </w:t>
      </w:r>
      <w:proofErr w:type="gramStart"/>
      <w:r>
        <w:t>aforementioned years</w:t>
      </w:r>
      <w:proofErr w:type="gramEnd"/>
      <w:r>
        <w:t xml:space="preserve"> (2021, 2020, and 2019) had been determined to fall among 0.50% and 0.58%. When in comparison to the alternative statistics that has been supplied, this is surprisingly much less (Argüelles </w:t>
      </w:r>
      <w:r>
        <w:rPr>
          <w:i/>
          <w:iCs/>
        </w:rPr>
        <w:t>et al</w:t>
      </w:r>
      <w:r>
        <w:t xml:space="preserve">., 2022). In such instance, the COVID-19 pandemic and other external elements may have a sizeable impact on the problem, affecting people’s journey conduct and perhaps accounting for the decrease percentages of quotes. In 2020, barriers will want to be overcome globally for this precise area because of the decline in tourism pricing. </w:t>
      </w:r>
    </w:p>
    <w:p w14:paraId="1AC51A8C" w14:textId="77777777" w:rsidR="009E1832" w:rsidRDefault="009E1832" w:rsidP="009E1832">
      <w:r>
        <w:t xml:space="preserve">According to Choi </w:t>
      </w:r>
      <w:r>
        <w:rPr>
          <w:i/>
          <w:iCs/>
        </w:rPr>
        <w:t>et al</w:t>
      </w:r>
      <w:r>
        <w:t xml:space="preserve">., (2020), the visitation rate has constantly stayed beneath 0.54% between 2020 and 2021. But analysing these percent numbers alone is not sufficient to provide a radical </w:t>
      </w:r>
      <w:r>
        <w:lastRenderedPageBreak/>
        <w:t xml:space="preserve">draw close of rate dynamics. Statistical facts on visitor arrivals gives a comprehensive presentation of the adjustments in resort call for through the years. While the 2018 arrival rate may also have helped inns, lower fees inside the following years likely helped stabilise or possibly opposite the boom in charges, particularly at some point of the 2020 recession brought on via the pandemic (Argüelles </w:t>
      </w:r>
      <w:r>
        <w:rPr>
          <w:i/>
          <w:iCs/>
        </w:rPr>
        <w:t>et al</w:t>
      </w:r>
      <w:r>
        <w:t xml:space="preserve">., 2022). </w:t>
      </w:r>
      <w:proofErr w:type="gramStart"/>
      <w:r>
        <w:t>In order to</w:t>
      </w:r>
      <w:proofErr w:type="gramEnd"/>
      <w:r>
        <w:t xml:space="preserve"> have a greater know-how of the correlation between demand and fee inside the hospitality enterprise, it is vital to study the odds of traffic and hotel costs for every of the selected years. A particular draw close of the dynamics of the arena may be obtained with the aid of looking at the subtle interactions among those factors. A given 12 months’ better traveller arrival costs may suggest more call for, which might have a useful effect on fee. On the alternative hand, lower fees in later years would possibly indicate a drop in call for, which would </w:t>
      </w:r>
      <w:proofErr w:type="gramStart"/>
      <w:r>
        <w:t>have an effect on</w:t>
      </w:r>
      <w:proofErr w:type="gramEnd"/>
      <w:r>
        <w:t xml:space="preserve"> pricing balance. The worldwide pandemic and subsequent economic disintegrate in 2020 marked a turning point that profoundly modified the motel industry’s terrain (Argüelles </w:t>
      </w:r>
      <w:r>
        <w:rPr>
          <w:i/>
          <w:iCs/>
        </w:rPr>
        <w:t>et al</w:t>
      </w:r>
      <w:r>
        <w:t xml:space="preserve">., 2022). During this time, the relationship among pricing and demand turns into especially critical for making strategic selections. Industry players may also efficiently traverse hurdles and alter price techniques to fit changing call for situations by analysing the interconnectedness of these aspects. </w:t>
      </w:r>
    </w:p>
    <w:p w14:paraId="169832EC" w14:textId="77777777" w:rsidR="009E1832" w:rsidRDefault="009E1832" w:rsidP="009E1832">
      <w:pPr>
        <w:pageBreakBefore/>
        <w:spacing w:line="252" w:lineRule="auto"/>
        <w:jc w:val="left"/>
      </w:pPr>
    </w:p>
    <w:p w14:paraId="67E634D7" w14:textId="77777777" w:rsidR="009E1832" w:rsidRDefault="009E1832" w:rsidP="009E1832">
      <w:r>
        <w:rPr>
          <w:b/>
          <w:bCs/>
          <w:i/>
          <w:iCs/>
          <w:u w:val="single"/>
          <w:lang w:val="en-US"/>
        </w:rPr>
        <w:t>Part- B</w:t>
      </w:r>
    </w:p>
    <w:p w14:paraId="05860349" w14:textId="77777777" w:rsidR="009E1832" w:rsidRDefault="009E1832" w:rsidP="009E1832">
      <w:pPr>
        <w:rPr>
          <w:b/>
          <w:bCs/>
          <w:lang w:val="en-US"/>
        </w:rPr>
      </w:pPr>
      <w:r>
        <w:rPr>
          <w:b/>
          <w:bCs/>
          <w:lang w:val="en-US"/>
        </w:rPr>
        <w:t>Evaluating the overall number of males along with female students within the school associated with interpretations</w:t>
      </w:r>
    </w:p>
    <w:p w14:paraId="0138BF92" w14:textId="77777777" w:rsidR="009E1832" w:rsidRDefault="009E1832" w:rsidP="009E1832">
      <w:r>
        <w:t>The particular formulae which has been employed for determining the overall number of the male students is = COUNTIF(</w:t>
      </w:r>
      <w:proofErr w:type="spellStart"/>
      <w:proofErr w:type="gramStart"/>
      <w:r>
        <w:t>B:B</w:t>
      </w:r>
      <w:proofErr w:type="gramEnd"/>
      <w:r>
        <w:t>,”Male</w:t>
      </w:r>
      <w:proofErr w:type="spellEnd"/>
      <w:r>
        <w:t>”)</w:t>
      </w:r>
    </w:p>
    <w:p w14:paraId="7919F26B" w14:textId="77777777" w:rsidR="009E1832" w:rsidRDefault="009E1832" w:rsidP="009E1832">
      <w:r>
        <w:t>The particular formulae that has been involved for identifying the overall number of female learners is =COUNTIF(</w:t>
      </w:r>
      <w:proofErr w:type="spellStart"/>
      <w:proofErr w:type="gramStart"/>
      <w:r>
        <w:t>B:B</w:t>
      </w:r>
      <w:proofErr w:type="gramEnd"/>
      <w:r>
        <w:t>,”Female</w:t>
      </w:r>
      <w:proofErr w:type="spellEnd"/>
      <w:r>
        <w:t>”)</w:t>
      </w:r>
    </w:p>
    <w:p w14:paraId="7375DD6B" w14:textId="77777777" w:rsidR="009E1832" w:rsidRDefault="009E1832" w:rsidP="009E1832">
      <w:r>
        <w:t xml:space="preserve">Based on the provided data list, it has been determined as 1077 and 1056 as illustrations which has been employed for both women and men. Thus, with an aggregate outcome of 2133 entries, the data appears to present the specific series of determined as gender. Now, with a greater value of men in the contrary with the men, the distribution of the gender has been determined as fair and precise. The </w:t>
      </w:r>
      <w:proofErr w:type="gramStart"/>
      <w:r>
        <w:t>particular harmony</w:t>
      </w:r>
      <w:proofErr w:type="gramEnd"/>
      <w:r>
        <w:t xml:space="preserve"> develops the estimation of the data set presenting a diversified selection of persons (</w:t>
      </w:r>
      <w:r>
        <w:rPr>
          <w:shd w:val="clear" w:color="auto" w:fill="FFFFFF"/>
        </w:rPr>
        <w:t xml:space="preserve">Guerrero </w:t>
      </w:r>
      <w:r>
        <w:rPr>
          <w:i/>
          <w:iCs/>
          <w:shd w:val="clear" w:color="auto" w:fill="FFFFFF"/>
        </w:rPr>
        <w:t xml:space="preserve">et al., </w:t>
      </w:r>
      <w:r>
        <w:rPr>
          <w:shd w:val="clear" w:color="auto" w:fill="FFFFFF"/>
        </w:rPr>
        <w:t>2019)</w:t>
      </w:r>
      <w:r>
        <w:t xml:space="preserve">. Different kinds of disciplines which is associated with demographics, sociology and market which can obtain benefits derived from the specific analysis of gender distribution. However, grabbing a comprehensive analysis on the way gender is presented in every data collection in determining the emerging trends or </w:t>
      </w:r>
      <w:proofErr w:type="gramStart"/>
      <w:r>
        <w:t>either catering</w:t>
      </w:r>
      <w:proofErr w:type="gramEnd"/>
      <w:r>
        <w:t xml:space="preserve"> guidance in order to conduct significant choices by taking into focus various gender aspects. </w:t>
      </w:r>
    </w:p>
    <w:p w14:paraId="0BBC427E" w14:textId="77777777" w:rsidR="009E1832" w:rsidRDefault="009E1832" w:rsidP="009E1832">
      <w:pPr>
        <w:tabs>
          <w:tab w:val="left" w:pos="6210"/>
        </w:tabs>
        <w:rPr>
          <w:b/>
          <w:bCs/>
        </w:rPr>
      </w:pPr>
      <w:r>
        <w:rPr>
          <w:b/>
          <w:bCs/>
        </w:rPr>
        <w:t>Presenting the methods students qualify along with do not qualify for reduced/free lunch</w:t>
      </w:r>
    </w:p>
    <w:p w14:paraId="504F8F8C" w14:textId="77777777" w:rsidR="009E1832" w:rsidRDefault="009E1832" w:rsidP="009E1832">
      <w:pPr>
        <w:tabs>
          <w:tab w:val="left" w:pos="6210"/>
        </w:tabs>
      </w:pPr>
      <w:r>
        <w:t>The particular formulae that has been used for identifying the qualification =</w:t>
      </w:r>
      <w:proofErr w:type="gramStart"/>
      <w:r>
        <w:t>COUNTIF(</w:t>
      </w:r>
      <w:proofErr w:type="spellStart"/>
      <w:proofErr w:type="gramEnd"/>
      <w:r>
        <w:t>D:D,"Qualifies</w:t>
      </w:r>
      <w:proofErr w:type="spellEnd"/>
      <w:r>
        <w:t xml:space="preserve"> for reduced/free lunch")</w:t>
      </w:r>
    </w:p>
    <w:p w14:paraId="1742DB68" w14:textId="77777777" w:rsidR="009E1832" w:rsidRDefault="009E1832" w:rsidP="009E1832">
      <w:pPr>
        <w:tabs>
          <w:tab w:val="left" w:pos="6210"/>
        </w:tabs>
      </w:pPr>
      <w:r>
        <w:lastRenderedPageBreak/>
        <w:t>The particular formulae which has been employed for determining the overall number of not qualified =</w:t>
      </w:r>
      <w:proofErr w:type="gramStart"/>
      <w:r>
        <w:t>COUNTIF(</w:t>
      </w:r>
      <w:proofErr w:type="gramEnd"/>
      <w:r>
        <w:t>D:D, "does not qualify")</w:t>
      </w:r>
    </w:p>
    <w:p w14:paraId="7AE7EDAF" w14:textId="77777777" w:rsidR="009E1832" w:rsidRDefault="009E1832" w:rsidP="009E1832">
      <w:pPr>
        <w:tabs>
          <w:tab w:val="left" w:pos="6210"/>
        </w:tabs>
      </w:pPr>
      <w:r>
        <w:t xml:space="preserve">It has also been determined that a huge portion is facing financial difficulties as the ANKYI school has 918 kids that qualify for free or decreased launched out of an overall of 2133 students. To mitigate </w:t>
      </w:r>
      <w:proofErr w:type="gramStart"/>
      <w:r>
        <w:t>this issues</w:t>
      </w:r>
      <w:proofErr w:type="gramEnd"/>
      <w:r>
        <w:t xml:space="preserve"> and encouraging </w:t>
      </w:r>
      <w:proofErr w:type="spellStart"/>
      <w:r>
        <w:t>a</w:t>
      </w:r>
      <w:proofErr w:type="spellEnd"/>
      <w:r>
        <w:t xml:space="preserve"> effective setting for development, the schools can propose assistance in the context of the data. On the other hand, the 1215 learners are not capable of enjoying these subsidies presenting a more fiscal prosperous regiment (</w:t>
      </w:r>
      <w:r>
        <w:rPr>
          <w:shd w:val="clear" w:color="auto" w:fill="FFFFFF"/>
        </w:rPr>
        <w:t xml:space="preserve">Guerrero </w:t>
      </w:r>
      <w:r>
        <w:rPr>
          <w:i/>
          <w:iCs/>
          <w:shd w:val="clear" w:color="auto" w:fill="FFFFFF"/>
        </w:rPr>
        <w:t xml:space="preserve">et al., </w:t>
      </w:r>
      <w:r>
        <w:rPr>
          <w:shd w:val="clear" w:color="auto" w:fill="FFFFFF"/>
        </w:rPr>
        <w:t>2019)</w:t>
      </w:r>
      <w:r>
        <w:t xml:space="preserve">. However, getting concepts about various socioeconomic enables the schools to adjust with the considerations along with allocations of resources more significantly. Additionally, the COUNTIF functions in the MS EXCEL has a very significant contribution in this </w:t>
      </w:r>
      <w:proofErr w:type="gramStart"/>
      <w:r>
        <w:t>particular research</w:t>
      </w:r>
      <w:proofErr w:type="gramEnd"/>
      <w:r>
        <w:t xml:space="preserve"> along with effortlessly managing the students who meet the specific requirements</w:t>
      </w:r>
      <w:r>
        <w:rPr>
          <w:shd w:val="clear" w:color="auto" w:fill="FFFFFF"/>
        </w:rPr>
        <w:t xml:space="preserve">. </w:t>
      </w:r>
      <w:r>
        <w:t xml:space="preserve">Its potentials for instantly gathering the data helps the educators along with to explore about various new trends </w:t>
      </w:r>
      <w:r>
        <w:rPr>
          <w:shd w:val="clear" w:color="auto" w:fill="FFFFFF"/>
        </w:rPr>
        <w:t xml:space="preserve">(Prince and </w:t>
      </w:r>
      <w:proofErr w:type="spellStart"/>
      <w:r>
        <w:rPr>
          <w:shd w:val="clear" w:color="auto" w:fill="FFFFFF"/>
        </w:rPr>
        <w:t>Lovesum</w:t>
      </w:r>
      <w:proofErr w:type="spellEnd"/>
      <w:r>
        <w:rPr>
          <w:shd w:val="clear" w:color="auto" w:fill="FFFFFF"/>
        </w:rPr>
        <w:t>, 2020)</w:t>
      </w:r>
      <w:r>
        <w:t xml:space="preserve">. Ultimately, the data accumulated will also be helping the organisations in developing an inclusive setting and mitigating the specific problems which are faced by diverse student groups along with developing the educational initiatives for fitting in a huge landscape of demands. </w:t>
      </w:r>
    </w:p>
    <w:p w14:paraId="2E9648AA" w14:textId="77777777" w:rsidR="009E1832" w:rsidRDefault="009E1832" w:rsidP="009E1832">
      <w:pPr>
        <w:tabs>
          <w:tab w:val="left" w:pos="6210"/>
        </w:tabs>
        <w:rPr>
          <w:b/>
          <w:bCs/>
        </w:rPr>
      </w:pPr>
      <w:r>
        <w:rPr>
          <w:b/>
          <w:bCs/>
        </w:rPr>
        <w:t>Explaining the value of the mean along with median of the students for getting the concept about the actual number of students who have qualified and do noy qualified for decreased/free lunch</w:t>
      </w:r>
    </w:p>
    <w:p w14:paraId="566E5F6C" w14:textId="77777777" w:rsidR="009E1832" w:rsidRDefault="009E1832" w:rsidP="009E1832">
      <w:pPr>
        <w:tabs>
          <w:tab w:val="left" w:pos="6210"/>
        </w:tabs>
      </w:pPr>
      <w:r>
        <w:t>The formulae for the computation of the Mean = =</w:t>
      </w:r>
      <w:proofErr w:type="gramStart"/>
      <w:r>
        <w:t>AVERAGE(</w:t>
      </w:r>
      <w:proofErr w:type="gramEnd"/>
      <w:r>
        <w:t>E3:E4)</w:t>
      </w:r>
    </w:p>
    <w:p w14:paraId="634F9EE1" w14:textId="77777777" w:rsidR="009E1832" w:rsidRDefault="009E1832" w:rsidP="009E1832">
      <w:pPr>
        <w:tabs>
          <w:tab w:val="left" w:pos="6210"/>
        </w:tabs>
      </w:pPr>
      <w:r>
        <w:t>The Formulae for the calculation of the Median = =</w:t>
      </w:r>
      <w:proofErr w:type="gramStart"/>
      <w:r>
        <w:t>MEDIAN(</w:t>
      </w:r>
      <w:proofErr w:type="gramEnd"/>
      <w:r>
        <w:t>E3:E4)</w:t>
      </w:r>
    </w:p>
    <w:p w14:paraId="008F061E" w14:textId="77777777" w:rsidR="009E1832" w:rsidRDefault="009E1832" w:rsidP="009E1832">
      <w:pPr>
        <w:tabs>
          <w:tab w:val="left" w:pos="6210"/>
        </w:tabs>
      </w:pPr>
      <w:r>
        <w:lastRenderedPageBreak/>
        <w:t>According to the computations, the overall number of the students involves both types of qualifications has been determined as 1066.5. Thus, the data has determined in the context with the value of means along with median projection. This data also caters as a crucial information concerning the data associated with central patterns of the specific school students. It is also used for computing the average</w:t>
      </w:r>
      <w:r>
        <w:rPr>
          <w:shd w:val="clear" w:color="auto" w:fill="FFFFFF"/>
        </w:rPr>
        <w:t xml:space="preserve"> (</w:t>
      </w:r>
      <w:proofErr w:type="spellStart"/>
      <w:r>
        <w:rPr>
          <w:shd w:val="clear" w:color="auto" w:fill="FFFFFF"/>
        </w:rPr>
        <w:t>Schmuller</w:t>
      </w:r>
      <w:proofErr w:type="spellEnd"/>
      <w:r>
        <w:rPr>
          <w:shd w:val="clear" w:color="auto" w:fill="FFFFFF"/>
        </w:rPr>
        <w:t>, 2021)</w:t>
      </w:r>
      <w:r>
        <w:t xml:space="preserve">. Based on the calculation, the value of the mean has been assumed as 1066.5, the average value in which the individuals shortlisted under each aspect recommending who are capable or not for the component of decreased lunch. Thus, its </w:t>
      </w:r>
      <w:proofErr w:type="gramStart"/>
      <w:r>
        <w:t>particular metrics</w:t>
      </w:r>
      <w:proofErr w:type="gramEnd"/>
      <w:r>
        <w:t xml:space="preserve"> is primarily influencing the specific figure which is greater along with provide a balance point while conducting the distribution. On the contrary, the middle figure with the collection of data which has been crafted from smallest to largest aspect is demonstrated by the median computation. Here, a median also score nearly 1066.5 which has been presenting the overall population of individuals in every aspect which equals if falls above or below </w:t>
      </w:r>
      <w:r>
        <w:rPr>
          <w:shd w:val="clear" w:color="auto" w:fill="FFFFFF"/>
        </w:rPr>
        <w:t>(</w:t>
      </w:r>
      <w:proofErr w:type="spellStart"/>
      <w:r>
        <w:rPr>
          <w:shd w:val="clear" w:color="auto" w:fill="FFFFFF"/>
        </w:rPr>
        <w:t>Schmuller</w:t>
      </w:r>
      <w:proofErr w:type="spellEnd"/>
      <w:r>
        <w:rPr>
          <w:shd w:val="clear" w:color="auto" w:fill="FFFFFF"/>
        </w:rPr>
        <w:t>, 2021)</w:t>
      </w:r>
      <w:r>
        <w:t xml:space="preserve">. The more accurate and authentic data on the central tendency can be created by these specific statistics as for the intense figure amounting to its comparatively reduced susceptibility. As noted in the contemporary era, the usage of the procedures of text mining along with data mining is generally significantly monitored which is an essential factor which reduces under corporate policies. Moreover, it majorly proposes crucial data which assists in enhancing the productivity of the operations along with conducting significant business choices. </w:t>
      </w:r>
    </w:p>
    <w:p w14:paraId="09EA615A" w14:textId="77777777" w:rsidR="009E1832" w:rsidRDefault="009E1832" w:rsidP="009E1832">
      <w:pPr>
        <w:tabs>
          <w:tab w:val="left" w:pos="6210"/>
        </w:tabs>
      </w:pPr>
      <w:r>
        <w:t xml:space="preserve">The interpretation of the data is generally associated with main five aspects. In the context retail sector, rule mining for the participations determines customers’ buying tendencies that assist in smart placements of merchandise. The credit scoring framework employs historical information which is necessary for the peers with somewhat common points of interest, developing interactions by personalised data </w:t>
      </w:r>
      <w:r>
        <w:rPr>
          <w:shd w:val="clear" w:color="auto" w:fill="FFFFFF"/>
        </w:rPr>
        <w:t xml:space="preserve">(Prince and </w:t>
      </w:r>
      <w:proofErr w:type="spellStart"/>
      <w:r>
        <w:rPr>
          <w:shd w:val="clear" w:color="auto" w:fill="FFFFFF"/>
        </w:rPr>
        <w:t>Lovesum</w:t>
      </w:r>
      <w:proofErr w:type="spellEnd"/>
      <w:r>
        <w:rPr>
          <w:shd w:val="clear" w:color="auto" w:fill="FFFFFF"/>
        </w:rPr>
        <w:t>, 2020)</w:t>
      </w:r>
      <w:r>
        <w:t xml:space="preserve">. This method of analysis of the regression is </w:t>
      </w:r>
      <w:r>
        <w:lastRenderedPageBreak/>
        <w:t>employed by the producers for assuming the decline of equipment’s enabling for preservation and maintenance. Anomaly detection systems are generally used in cyber security for instantly determining the flaws along with mitigating the potential risks by determining unusual interaction patterns. Thus, text mining generally involves critical components which craft the commercial setting. Apart from these, sentiment analysis employs social media platforms for analysing the common harmony on products as well as initiatives, enabling the company to adopt various marketing tactics (</w:t>
      </w:r>
      <w:r>
        <w:rPr>
          <w:shd w:val="clear" w:color="auto" w:fill="FFFFFF"/>
        </w:rPr>
        <w:t xml:space="preserve">Guerrero </w:t>
      </w:r>
      <w:r>
        <w:rPr>
          <w:i/>
          <w:iCs/>
          <w:shd w:val="clear" w:color="auto" w:fill="FFFFFF"/>
        </w:rPr>
        <w:t xml:space="preserve">et al., </w:t>
      </w:r>
      <w:r>
        <w:rPr>
          <w:shd w:val="clear" w:color="auto" w:fill="FFFFFF"/>
        </w:rPr>
        <w:t>2019)</w:t>
      </w:r>
      <w:r>
        <w:t xml:space="preserve">. NER or Named Entity Recognition is employed within the healthcare industry for managing medical records and developing access to the information. Subject modelling is also used by news companies for managing articles which develops the pace of retrieving the content. Moreover, classifying texts assists customer services by concentrating on requests which leads to faster solutions. This method is used by search engines for retrieval of the data procedures which considers user habits and importance of data providing authentic outcomes rapidly. </w:t>
      </w:r>
    </w:p>
    <w:tbl>
      <w:tblPr>
        <w:tblW w:w="9350" w:type="dxa"/>
        <w:tblCellMar>
          <w:left w:w="10" w:type="dxa"/>
          <w:right w:w="10" w:type="dxa"/>
        </w:tblCellMar>
        <w:tblLook w:val="04A0" w:firstRow="1" w:lastRow="0" w:firstColumn="1" w:lastColumn="0" w:noHBand="0" w:noVBand="1"/>
      </w:tblPr>
      <w:tblGrid>
        <w:gridCol w:w="4675"/>
        <w:gridCol w:w="4675"/>
      </w:tblGrid>
      <w:tr w:rsidR="009E1832" w14:paraId="09348455" w14:textId="77777777" w:rsidTr="009E1832">
        <w:tc>
          <w:tcPr>
            <w:tcW w:w="93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A572DD" w14:textId="77777777" w:rsidR="009E1832" w:rsidRDefault="009E1832">
            <w:pPr>
              <w:spacing w:after="0"/>
              <w:jc w:val="center"/>
            </w:pPr>
            <w:r>
              <w:rPr>
                <w:b/>
                <w:bCs/>
                <w:lang w:bidi="th-TH"/>
              </w:rPr>
              <w:t>Highlighting the advantages and disadvantages of the SPSS</w:t>
            </w:r>
          </w:p>
        </w:tc>
      </w:tr>
      <w:tr w:rsidR="009E1832" w14:paraId="29F45FBC" w14:textId="77777777" w:rsidTr="009E1832">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56C4C" w14:textId="77777777" w:rsidR="009E1832" w:rsidRDefault="009E1832">
            <w:pPr>
              <w:spacing w:after="0"/>
              <w:jc w:val="center"/>
              <w:rPr>
                <w:b/>
                <w:bCs/>
                <w:lang w:bidi="th-TH"/>
              </w:rPr>
            </w:pPr>
            <w:r>
              <w:rPr>
                <w:b/>
                <w:bCs/>
                <w:lang w:bidi="th-TH"/>
              </w:rPr>
              <w:t>Advantages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D87B06" w14:textId="77777777" w:rsidR="009E1832" w:rsidRDefault="009E1832">
            <w:pPr>
              <w:spacing w:after="0"/>
              <w:jc w:val="center"/>
              <w:rPr>
                <w:b/>
                <w:bCs/>
                <w:lang w:bidi="th-TH"/>
              </w:rPr>
            </w:pPr>
            <w:r>
              <w:rPr>
                <w:b/>
                <w:bCs/>
                <w:lang w:bidi="th-TH"/>
              </w:rPr>
              <w:t>Disadvantages</w:t>
            </w:r>
          </w:p>
        </w:tc>
      </w:tr>
      <w:tr w:rsidR="009E1832" w14:paraId="5826AFD0" w14:textId="77777777" w:rsidTr="009E1832">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097EE0" w14:textId="77777777" w:rsidR="009E1832" w:rsidRDefault="009E1832">
            <w:pPr>
              <w:spacing w:after="0"/>
            </w:pPr>
            <w:r>
              <w:rPr>
                <w:lang w:bidi="th-TH"/>
              </w:rPr>
              <w:t>1. It serves as an intuitive layout allowing individuals without any kind of sophisticated initiatives to experience like mental health professionals for conducting statistics involving t-tests or ANOVAs with relatively no professional training</w:t>
            </w:r>
            <w:r>
              <w:rPr>
                <w:shd w:val="clear" w:color="auto" w:fill="FFFFFF"/>
                <w:lang w:bidi="th-TH"/>
              </w:rPr>
              <w:t xml:space="preserve"> (Pallant, 2020)</w:t>
            </w:r>
            <w:r>
              <w:rPr>
                <w:lang w:bidi="th-TH"/>
              </w:rPr>
              <w:t xml:space="preserve">. </w:t>
            </w:r>
          </w:p>
          <w:p w14:paraId="4A55071B" w14:textId="77777777" w:rsidR="009E1832" w:rsidRDefault="009E1832">
            <w:pPr>
              <w:spacing w:after="0"/>
              <w:rPr>
                <w:lang w:bidi="th-TH"/>
              </w:rPr>
            </w:pPr>
            <w:r>
              <w:rPr>
                <w:lang w:bidi="th-TH"/>
              </w:rPr>
              <w:t xml:space="preserve">2. This feature makes it simple for creating graphical presentations of data and effortless </w:t>
            </w:r>
            <w:r>
              <w:rPr>
                <w:lang w:bidi="th-TH"/>
              </w:rPr>
              <w:lastRenderedPageBreak/>
              <w:t xml:space="preserve">for conducting analysis. For example, </w:t>
            </w:r>
            <w:proofErr w:type="gramStart"/>
            <w:r>
              <w:rPr>
                <w:lang w:bidi="th-TH"/>
              </w:rPr>
              <w:t>In</w:t>
            </w:r>
            <w:proofErr w:type="gramEnd"/>
            <w:r>
              <w:rPr>
                <w:lang w:bidi="th-TH"/>
              </w:rPr>
              <w:t xml:space="preserve"> studies on marketing, SPSS might be creating presentations highlighting the customer likings along with assisting marketers in determining the emerging patterns and trends.  </w:t>
            </w:r>
          </w:p>
          <w:p w14:paraId="3AFE6556" w14:textId="77777777" w:rsidR="009E1832" w:rsidRDefault="009E1832">
            <w:pPr>
              <w:spacing w:after="0"/>
              <w:rPr>
                <w:lang w:bidi="th-TH"/>
              </w:rPr>
            </w:pPr>
            <w:r>
              <w:rPr>
                <w:lang w:bidi="th-TH"/>
              </w:rPr>
              <w:t xml:space="preserve">3. This facility proposes a wide range of statistical procedures along with conducting tests with a variety of data interpretation needs. Thus, it is essential for healthcare studies to perform regression analysis along with assuming results in health using various factors.  </w:t>
            </w:r>
          </w:p>
          <w:p w14:paraId="4C825581" w14:textId="77777777" w:rsidR="009E1832" w:rsidRDefault="009E1832">
            <w:pPr>
              <w:spacing w:after="0"/>
              <w:rPr>
                <w:lang w:bidi="th-TH"/>
              </w:rPr>
            </w:pPr>
            <w:r>
              <w:rPr>
                <w:lang w:bidi="th-TH"/>
              </w:rPr>
              <w:t xml:space="preserve">4. It also helps with information cleansing, and manipulation along with missing value management effortlessly. This potential is beneficial in educational investigations to analyse the accomplishment of the learner’s information by effectively managing associated with healing the missing marks.  </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1717B8" w14:textId="77777777" w:rsidR="009E1832" w:rsidRDefault="009E1832">
            <w:pPr>
              <w:spacing w:after="0"/>
              <w:rPr>
                <w:lang w:bidi="th-TH"/>
              </w:rPr>
            </w:pPr>
            <w:r>
              <w:rPr>
                <w:lang w:bidi="th-TH"/>
              </w:rPr>
              <w:lastRenderedPageBreak/>
              <w:t xml:space="preserve">1. It demand the purchase of license that might be expensive for individuals or small business enterprises, limiting its accessibility. </w:t>
            </w:r>
            <w:proofErr w:type="gramStart"/>
            <w:r>
              <w:rPr>
                <w:lang w:bidi="th-TH"/>
              </w:rPr>
              <w:t>This expenses</w:t>
            </w:r>
            <w:proofErr w:type="gramEnd"/>
            <w:r>
              <w:rPr>
                <w:lang w:bidi="th-TH"/>
              </w:rPr>
              <w:t xml:space="preserve"> might be restricting the implementation of certain college as well as research environment. </w:t>
            </w:r>
          </w:p>
          <w:p w14:paraId="73F5D039" w14:textId="77777777" w:rsidR="009E1832" w:rsidRDefault="009E1832">
            <w:pPr>
              <w:spacing w:after="0"/>
            </w:pPr>
            <w:r>
              <w:rPr>
                <w:lang w:bidi="th-TH"/>
              </w:rPr>
              <w:t xml:space="preserve">2. As it has many statistical </w:t>
            </w:r>
            <w:proofErr w:type="gramStart"/>
            <w:r>
              <w:rPr>
                <w:lang w:bidi="th-TH"/>
              </w:rPr>
              <w:t>instrument</w:t>
            </w:r>
            <w:proofErr w:type="gramEnd"/>
            <w:r>
              <w:rPr>
                <w:lang w:bidi="th-TH"/>
              </w:rPr>
              <w:t xml:space="preserve">, it might not be providing as many difficult </w:t>
            </w:r>
            <w:r>
              <w:rPr>
                <w:lang w:bidi="th-TH"/>
              </w:rPr>
              <w:lastRenderedPageBreak/>
              <w:t xml:space="preserve">procedures for interpreting more specialist software. For biological investigation, </w:t>
            </w:r>
            <w:proofErr w:type="gramStart"/>
            <w:r>
              <w:rPr>
                <w:lang w:bidi="th-TH"/>
              </w:rPr>
              <w:t>specialists</w:t>
            </w:r>
            <w:proofErr w:type="gramEnd"/>
            <w:r>
              <w:rPr>
                <w:lang w:bidi="th-TH"/>
              </w:rPr>
              <w:t xml:space="preserve"> software might be more comprehensive interpretation which are designed for sequencing the genome information for crafting </w:t>
            </w:r>
            <w:r>
              <w:rPr>
                <w:shd w:val="clear" w:color="auto" w:fill="FFFFFF"/>
                <w:lang w:bidi="th-TH"/>
              </w:rPr>
              <w:t>(Pallant, 2020)</w:t>
            </w:r>
            <w:r>
              <w:rPr>
                <w:lang w:bidi="th-TH"/>
              </w:rPr>
              <w:t xml:space="preserve">. </w:t>
            </w:r>
          </w:p>
          <w:p w14:paraId="38420781" w14:textId="77777777" w:rsidR="009E1832" w:rsidRDefault="009E1832">
            <w:pPr>
              <w:spacing w:after="0"/>
              <w:rPr>
                <w:lang w:bidi="th-TH"/>
              </w:rPr>
            </w:pPr>
            <w:r>
              <w:rPr>
                <w:lang w:bidi="th-TH"/>
              </w:rPr>
              <w:t xml:space="preserve">3. The flexibility of a graphical user interface or GUI limits the potential to develop along with advancements in sophisticated analysis. In economic investigation, when difficult models are required, this restriction might influence the investigators to utilise additional initiatives which enable the engineering potentials. </w:t>
            </w:r>
          </w:p>
        </w:tc>
      </w:tr>
    </w:tbl>
    <w:p w14:paraId="5F339122" w14:textId="77777777" w:rsidR="009E1832" w:rsidRDefault="009E1832" w:rsidP="009E1832">
      <w:pPr>
        <w:tabs>
          <w:tab w:val="left" w:pos="6210"/>
        </w:tabs>
        <w:rPr>
          <w:rFonts w:cs="Arial"/>
          <w:lang w:val="en" w:eastAsia="en-IN"/>
        </w:rPr>
      </w:pPr>
    </w:p>
    <w:tbl>
      <w:tblPr>
        <w:tblW w:w="9350" w:type="dxa"/>
        <w:tblCellMar>
          <w:left w:w="10" w:type="dxa"/>
          <w:right w:w="10" w:type="dxa"/>
        </w:tblCellMar>
        <w:tblLook w:val="04A0" w:firstRow="1" w:lastRow="0" w:firstColumn="1" w:lastColumn="0" w:noHBand="0" w:noVBand="1"/>
      </w:tblPr>
      <w:tblGrid>
        <w:gridCol w:w="4675"/>
        <w:gridCol w:w="4675"/>
      </w:tblGrid>
      <w:tr w:rsidR="009E1832" w14:paraId="1C06215A" w14:textId="77777777" w:rsidTr="009E1832">
        <w:tc>
          <w:tcPr>
            <w:tcW w:w="93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53A5A2" w14:textId="77777777" w:rsidR="009E1832" w:rsidRDefault="009E1832">
            <w:pPr>
              <w:spacing w:after="0"/>
              <w:jc w:val="center"/>
            </w:pPr>
            <w:r>
              <w:rPr>
                <w:b/>
                <w:bCs/>
                <w:lang w:bidi="th-TH"/>
              </w:rPr>
              <w:t>Stating the advantages and disadvantages of the Excel</w:t>
            </w:r>
          </w:p>
        </w:tc>
      </w:tr>
      <w:tr w:rsidR="009E1832" w14:paraId="324E5670" w14:textId="77777777" w:rsidTr="009E1832">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3A49F2" w14:textId="77777777" w:rsidR="009E1832" w:rsidRDefault="009E1832">
            <w:pPr>
              <w:spacing w:after="0"/>
              <w:jc w:val="center"/>
              <w:rPr>
                <w:b/>
                <w:bCs/>
                <w:lang w:bidi="th-TH"/>
              </w:rPr>
            </w:pPr>
            <w:r>
              <w:rPr>
                <w:b/>
                <w:bCs/>
                <w:lang w:bidi="th-TH"/>
              </w:rPr>
              <w:t>Advantages</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339100" w14:textId="77777777" w:rsidR="009E1832" w:rsidRDefault="009E1832">
            <w:pPr>
              <w:spacing w:after="0"/>
              <w:jc w:val="center"/>
              <w:rPr>
                <w:b/>
                <w:bCs/>
                <w:lang w:bidi="th-TH"/>
              </w:rPr>
            </w:pPr>
            <w:r>
              <w:rPr>
                <w:b/>
                <w:bCs/>
                <w:lang w:bidi="th-TH"/>
              </w:rPr>
              <w:t>Disadvantages</w:t>
            </w:r>
          </w:p>
        </w:tc>
      </w:tr>
      <w:tr w:rsidR="009E1832" w14:paraId="2F21EA18" w14:textId="77777777" w:rsidTr="009E1832">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56CB54" w14:textId="77777777" w:rsidR="009E1832" w:rsidRDefault="009E1832">
            <w:pPr>
              <w:spacing w:after="0"/>
            </w:pPr>
            <w:r>
              <w:rPr>
                <w:lang w:bidi="th-TH"/>
              </w:rPr>
              <w:lastRenderedPageBreak/>
              <w:t>1. The user-friendly interface of Excel allows individuals to enter information in an effective manner. For example, a finance professional can easily develop a budget by using these spreadsheets to involve the value of the revenue and expenditures for evaluations</w:t>
            </w:r>
            <w:r>
              <w:rPr>
                <w:shd w:val="clear" w:color="auto" w:fill="FFFFFF"/>
                <w:lang w:bidi="th-TH"/>
              </w:rPr>
              <w:t xml:space="preserve"> (Martino, 2019)</w:t>
            </w:r>
            <w:r>
              <w:rPr>
                <w:lang w:bidi="th-TH"/>
              </w:rPr>
              <w:t xml:space="preserve">. </w:t>
            </w:r>
          </w:p>
          <w:p w14:paraId="56C2FCD1" w14:textId="77777777" w:rsidR="009E1832" w:rsidRDefault="009E1832">
            <w:pPr>
              <w:spacing w:after="0"/>
            </w:pPr>
            <w:r>
              <w:rPr>
                <w:lang w:val="en-US" w:bidi="th-TH"/>
              </w:rPr>
              <w:t xml:space="preserve">2. It adapts to a wide range </w:t>
            </w:r>
            <w:r>
              <w:rPr>
                <w:lang w:bidi="th-TH"/>
              </w:rPr>
              <w:t>of activities, creating its universality for completing various kinds of operations. For example, a group of sales can employ spreadsheets for monitoring the leads, monitoring the sales and assuming revenue.</w:t>
            </w:r>
          </w:p>
        </w:tc>
        <w:tc>
          <w:tcPr>
            <w:tcW w:w="4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9AEF7" w14:textId="77777777" w:rsidR="009E1832" w:rsidRDefault="009E1832">
            <w:pPr>
              <w:tabs>
                <w:tab w:val="left" w:pos="6210"/>
              </w:tabs>
              <w:spacing w:after="0"/>
            </w:pPr>
            <w:r>
              <w:rPr>
                <w:lang w:bidi="th-TH"/>
              </w:rPr>
              <w:t xml:space="preserve">1. The spreadsheets might raise difficulties while managing huge database which might result in issues with mistakes. For example, if a collection of data involves millions of records it might exceed its potential leading to crashes or malfunctions. </w:t>
            </w:r>
          </w:p>
          <w:p w14:paraId="1E6A020A" w14:textId="77777777" w:rsidR="009E1832" w:rsidRDefault="009E1832">
            <w:pPr>
              <w:spacing w:after="0"/>
            </w:pPr>
            <w:r>
              <w:rPr>
                <w:lang w:bidi="th-TH"/>
              </w:rPr>
              <w:t xml:space="preserve">2. Malfunctions like inaccurate formulae or data entry are general. When a manufacturing company uses spreadsheets for managing its stock and huge database might result to ineffective management problems </w:t>
            </w:r>
            <w:r>
              <w:rPr>
                <w:shd w:val="clear" w:color="auto" w:fill="FFFFFF"/>
                <w:lang w:bidi="th-TH"/>
              </w:rPr>
              <w:t>(Martino, 2019)</w:t>
            </w:r>
            <w:r>
              <w:rPr>
                <w:lang w:bidi="th-TH"/>
              </w:rPr>
              <w:t xml:space="preserve">. </w:t>
            </w:r>
          </w:p>
          <w:p w14:paraId="63DCF7F9" w14:textId="77777777" w:rsidR="009E1832" w:rsidRDefault="009E1832">
            <w:pPr>
              <w:spacing w:after="0"/>
              <w:rPr>
                <w:lang w:bidi="th-TH"/>
              </w:rPr>
            </w:pPr>
          </w:p>
        </w:tc>
      </w:tr>
    </w:tbl>
    <w:p w14:paraId="431E5E01" w14:textId="77777777" w:rsidR="009E1832" w:rsidRDefault="009E1832" w:rsidP="009E1832">
      <w:pPr>
        <w:tabs>
          <w:tab w:val="left" w:pos="6210"/>
        </w:tabs>
        <w:rPr>
          <w:rFonts w:cs="Arial"/>
          <w:lang w:val="en" w:eastAsia="en-IN"/>
        </w:rPr>
      </w:pPr>
    </w:p>
    <w:p w14:paraId="7F092A8B" w14:textId="77777777" w:rsidR="009E1832" w:rsidRDefault="009E1832" w:rsidP="009E1832">
      <w:pPr>
        <w:pageBreakBefore/>
        <w:spacing w:line="249" w:lineRule="auto"/>
        <w:jc w:val="left"/>
      </w:pPr>
    </w:p>
    <w:p w14:paraId="1DB22310" w14:textId="77777777" w:rsidR="009E1832" w:rsidRDefault="009E1832" w:rsidP="009E1832">
      <w:pPr>
        <w:pStyle w:val="Heading1"/>
        <w:rPr>
          <w:rFonts w:eastAsia="Arial"/>
        </w:rPr>
      </w:pPr>
      <w:r>
        <w:rPr>
          <w:rFonts w:eastAsia="Arial"/>
        </w:rPr>
        <w:t xml:space="preserve">Conclusion   </w:t>
      </w:r>
    </w:p>
    <w:p w14:paraId="55F7ED5C" w14:textId="77777777" w:rsidR="009E1832" w:rsidRDefault="009E1832" w:rsidP="009E1832">
      <w:r>
        <w:t xml:space="preserve">Based on the above-conducted analysis, it has been determined that employing various difficult graphs and logistical data concerning the business’s intelligence makes it effortless to detect the improvement, trends, and openings with patterns. It has also assisted in encouraging the effective implementation of data-driving methods. Further, this essay has also determined methods for using various Excel functions for conducting the analyses and manipulation of data for specific analysis. Moreover, this in-depth study has also presented concept about SPSS along with Excel by presenting the benefits and limitations. </w:t>
      </w:r>
    </w:p>
    <w:p w14:paraId="2359C661" w14:textId="77777777" w:rsidR="009E1832" w:rsidRDefault="009E1832" w:rsidP="009E1832"/>
    <w:p w14:paraId="461C368D" w14:textId="77777777" w:rsidR="009E1832" w:rsidRDefault="009E1832" w:rsidP="009E1832">
      <w:pPr>
        <w:pageBreakBefore/>
        <w:spacing w:line="252" w:lineRule="auto"/>
        <w:jc w:val="left"/>
      </w:pPr>
    </w:p>
    <w:p w14:paraId="4365ABB8" w14:textId="77777777" w:rsidR="009E1832" w:rsidRDefault="009E1832" w:rsidP="009E1832">
      <w:pPr>
        <w:pStyle w:val="Heading1"/>
      </w:pPr>
      <w:r>
        <w:t>References</w:t>
      </w:r>
    </w:p>
    <w:p w14:paraId="2E798C49" w14:textId="77777777" w:rsidR="009E1832" w:rsidRDefault="009E1832" w:rsidP="009E1832">
      <w:r>
        <w:rPr>
          <w:shd w:val="clear" w:color="auto" w:fill="FFFFFF"/>
        </w:rPr>
        <w:t xml:space="preserve">Angelini, F., Widera, P., </w:t>
      </w:r>
      <w:proofErr w:type="spellStart"/>
      <w:r>
        <w:rPr>
          <w:shd w:val="clear" w:color="auto" w:fill="FFFFFF"/>
        </w:rPr>
        <w:t>Mobasheri</w:t>
      </w:r>
      <w:proofErr w:type="spellEnd"/>
      <w:r>
        <w:rPr>
          <w:shd w:val="clear" w:color="auto" w:fill="FFFFFF"/>
        </w:rPr>
        <w:t xml:space="preserve">, A., Blair, J., </w:t>
      </w:r>
      <w:proofErr w:type="spellStart"/>
      <w:r>
        <w:rPr>
          <w:shd w:val="clear" w:color="auto" w:fill="FFFFFF"/>
        </w:rPr>
        <w:t>Struglics</w:t>
      </w:r>
      <w:proofErr w:type="spellEnd"/>
      <w:r>
        <w:rPr>
          <w:shd w:val="clear" w:color="auto" w:fill="FFFFFF"/>
        </w:rPr>
        <w:t xml:space="preserve">, A., Uebelhoer, M., </w:t>
      </w:r>
      <w:proofErr w:type="spellStart"/>
      <w:r>
        <w:rPr>
          <w:shd w:val="clear" w:color="auto" w:fill="FFFFFF"/>
        </w:rPr>
        <w:t>Henrotin</w:t>
      </w:r>
      <w:proofErr w:type="spellEnd"/>
      <w:r>
        <w:rPr>
          <w:shd w:val="clear" w:color="auto" w:fill="FFFFFF"/>
        </w:rPr>
        <w:t>, Y., Marijnissen, A.C., Kloppenburg, M., Blanco, F.J. and Haugen, I.K., (2022). Osteoarthritis endotype discovery via clustering of biochemical marker data. </w:t>
      </w:r>
      <w:r>
        <w:rPr>
          <w:i/>
          <w:iCs/>
          <w:shd w:val="clear" w:color="auto" w:fill="FFFFFF"/>
        </w:rPr>
        <w:t>Annals of the Rheumatic Diseases</w:t>
      </w:r>
      <w:r>
        <w:rPr>
          <w:shd w:val="clear" w:color="auto" w:fill="FFFFFF"/>
        </w:rPr>
        <w:t>, </w:t>
      </w:r>
      <w:r>
        <w:rPr>
          <w:i/>
          <w:iCs/>
          <w:shd w:val="clear" w:color="auto" w:fill="FFFFFF"/>
        </w:rPr>
        <w:t>81</w:t>
      </w:r>
      <w:r>
        <w:rPr>
          <w:shd w:val="clear" w:color="auto" w:fill="FFFFFF"/>
        </w:rPr>
        <w:t>(5), pp.666-675.</w:t>
      </w:r>
    </w:p>
    <w:p w14:paraId="08078937" w14:textId="77777777" w:rsidR="009E1832" w:rsidRDefault="009E1832" w:rsidP="009E1832">
      <w:r>
        <w:rPr>
          <w:shd w:val="clear" w:color="auto" w:fill="FFFFFF"/>
        </w:rPr>
        <w:t xml:space="preserve">Argüelles, C.A., Esteban, I., Hostert, M., Kelly, K.J., Kopp, J., Machado, P.A., Martinez-Soler, </w:t>
      </w:r>
      <w:proofErr w:type="gramStart"/>
      <w:r>
        <w:rPr>
          <w:shd w:val="clear" w:color="auto" w:fill="FFFFFF"/>
        </w:rPr>
        <w:t>I.</w:t>
      </w:r>
      <w:proofErr w:type="gramEnd"/>
      <w:r>
        <w:rPr>
          <w:shd w:val="clear" w:color="auto" w:fill="FFFFFF"/>
        </w:rPr>
        <w:t xml:space="preserve"> and Perez-Gonzalez, Y.F., (2022). </w:t>
      </w:r>
      <w:proofErr w:type="spellStart"/>
      <w:r>
        <w:rPr>
          <w:shd w:val="clear" w:color="auto" w:fill="FFFFFF"/>
        </w:rPr>
        <w:t>MicroBooNE</w:t>
      </w:r>
      <w:proofErr w:type="spellEnd"/>
      <w:r>
        <w:rPr>
          <w:shd w:val="clear" w:color="auto" w:fill="FFFFFF"/>
        </w:rPr>
        <w:t xml:space="preserve"> and the ν e Interpretation of the </w:t>
      </w:r>
      <w:proofErr w:type="spellStart"/>
      <w:r>
        <w:rPr>
          <w:shd w:val="clear" w:color="auto" w:fill="FFFFFF"/>
        </w:rPr>
        <w:t>MiniBooNE</w:t>
      </w:r>
      <w:proofErr w:type="spellEnd"/>
      <w:r>
        <w:rPr>
          <w:shd w:val="clear" w:color="auto" w:fill="FFFFFF"/>
        </w:rPr>
        <w:t xml:space="preserve"> Low-Energy Excess. </w:t>
      </w:r>
      <w:r>
        <w:rPr>
          <w:i/>
          <w:iCs/>
          <w:shd w:val="clear" w:color="auto" w:fill="FFFFFF"/>
        </w:rPr>
        <w:t>Physical Review Letters</w:t>
      </w:r>
      <w:r>
        <w:rPr>
          <w:shd w:val="clear" w:color="auto" w:fill="FFFFFF"/>
        </w:rPr>
        <w:t>, </w:t>
      </w:r>
      <w:r>
        <w:rPr>
          <w:i/>
          <w:iCs/>
          <w:shd w:val="clear" w:color="auto" w:fill="FFFFFF"/>
        </w:rPr>
        <w:t>128</w:t>
      </w:r>
      <w:r>
        <w:rPr>
          <w:shd w:val="clear" w:color="auto" w:fill="FFFFFF"/>
        </w:rPr>
        <w:t>(24), p.241802.</w:t>
      </w:r>
    </w:p>
    <w:p w14:paraId="2427BB67" w14:textId="77777777" w:rsidR="009E1832" w:rsidRDefault="009E1832" w:rsidP="009E1832">
      <w:r>
        <w:rPr>
          <w:shd w:val="clear" w:color="auto" w:fill="FFFFFF"/>
        </w:rPr>
        <w:t>Beynon-Davies, P., (2019). </w:t>
      </w:r>
      <w:r>
        <w:rPr>
          <w:i/>
          <w:iCs/>
          <w:shd w:val="clear" w:color="auto" w:fill="FFFFFF"/>
        </w:rPr>
        <w:t>Business information systems</w:t>
      </w:r>
      <w:r>
        <w:rPr>
          <w:shd w:val="clear" w:color="auto" w:fill="FFFFFF"/>
        </w:rPr>
        <w:t>. Bloomsbury Publishing.</w:t>
      </w:r>
    </w:p>
    <w:p w14:paraId="234D2FA4" w14:textId="77777777" w:rsidR="009E1832" w:rsidRDefault="009E1832" w:rsidP="009E1832">
      <w:r>
        <w:rPr>
          <w:shd w:val="clear" w:color="auto" w:fill="FFFFFF"/>
        </w:rPr>
        <w:t>Choi, J., Yoon, J., Chung, J., Coh, B.Y. and Lee, J.M., (2020). Social media analytics and business intelligence research: A systematic review. </w:t>
      </w:r>
      <w:r>
        <w:rPr>
          <w:i/>
          <w:iCs/>
          <w:shd w:val="clear" w:color="auto" w:fill="FFFFFF"/>
        </w:rPr>
        <w:t>Information Processing &amp; Management</w:t>
      </w:r>
      <w:r>
        <w:rPr>
          <w:shd w:val="clear" w:color="auto" w:fill="FFFFFF"/>
        </w:rPr>
        <w:t>, </w:t>
      </w:r>
      <w:r>
        <w:rPr>
          <w:i/>
          <w:iCs/>
          <w:shd w:val="clear" w:color="auto" w:fill="FFFFFF"/>
        </w:rPr>
        <w:t>57</w:t>
      </w:r>
      <w:r>
        <w:rPr>
          <w:shd w:val="clear" w:color="auto" w:fill="FFFFFF"/>
        </w:rPr>
        <w:t>(6), p.102279.</w:t>
      </w:r>
    </w:p>
    <w:p w14:paraId="63297C85" w14:textId="77777777" w:rsidR="009E1832" w:rsidRDefault="009E1832" w:rsidP="009E1832">
      <w:r>
        <w:rPr>
          <w:shd w:val="clear" w:color="auto" w:fill="FFFFFF"/>
          <w:lang w:val="it-IT"/>
        </w:rPr>
        <w:t>Guerrero, H., Guerrero, R. and Rauscher, (2019). </w:t>
      </w:r>
      <w:r>
        <w:rPr>
          <w:i/>
          <w:iCs/>
          <w:shd w:val="clear" w:color="auto" w:fill="FFFFFF"/>
        </w:rPr>
        <w:t>Excel data analysis</w:t>
      </w:r>
      <w:r>
        <w:rPr>
          <w:shd w:val="clear" w:color="auto" w:fill="FFFFFF"/>
        </w:rPr>
        <w:t>. Springer International Publishing.</w:t>
      </w:r>
    </w:p>
    <w:p w14:paraId="499AE145" w14:textId="77777777" w:rsidR="009E1832" w:rsidRDefault="009E1832" w:rsidP="009E1832">
      <w:r>
        <w:rPr>
          <w:shd w:val="clear" w:color="auto" w:fill="FFFFFF"/>
        </w:rPr>
        <w:t>Martino, J.C.R., (2019). </w:t>
      </w:r>
      <w:r>
        <w:rPr>
          <w:i/>
          <w:iCs/>
          <w:shd w:val="clear" w:color="auto" w:fill="FFFFFF"/>
        </w:rPr>
        <w:t>Hands-On Machine Learning with Microsoft Excel 2019: Build complete data analysis flows, from data collection to visualization</w:t>
      </w:r>
      <w:r>
        <w:rPr>
          <w:shd w:val="clear" w:color="auto" w:fill="FFFFFF"/>
        </w:rPr>
        <w:t xml:space="preserve">. </w:t>
      </w:r>
      <w:proofErr w:type="spellStart"/>
      <w:r>
        <w:rPr>
          <w:shd w:val="clear" w:color="auto" w:fill="FFFFFF"/>
        </w:rPr>
        <w:t>Packt</w:t>
      </w:r>
      <w:proofErr w:type="spellEnd"/>
      <w:r>
        <w:rPr>
          <w:shd w:val="clear" w:color="auto" w:fill="FFFFFF"/>
        </w:rPr>
        <w:t xml:space="preserve"> Publishing Ltd.</w:t>
      </w:r>
    </w:p>
    <w:p w14:paraId="55C0DD92" w14:textId="77777777" w:rsidR="009E1832" w:rsidRDefault="009E1832" w:rsidP="009E1832">
      <w:r>
        <w:rPr>
          <w:shd w:val="clear" w:color="auto" w:fill="FFFFFF"/>
        </w:rPr>
        <w:t>Pallant, J., (2020). </w:t>
      </w:r>
      <w:r>
        <w:rPr>
          <w:i/>
          <w:iCs/>
          <w:shd w:val="clear" w:color="auto" w:fill="FFFFFF"/>
        </w:rPr>
        <w:t>SPSS survival manual: A step by step guide to data analysis using IBM SPSS</w:t>
      </w:r>
      <w:r>
        <w:rPr>
          <w:shd w:val="clear" w:color="auto" w:fill="FFFFFF"/>
        </w:rPr>
        <w:t xml:space="preserve">. </w:t>
      </w:r>
      <w:proofErr w:type="spellStart"/>
      <w:r>
        <w:rPr>
          <w:shd w:val="clear" w:color="auto" w:fill="FFFFFF"/>
        </w:rPr>
        <w:t>McGraw-hill</w:t>
      </w:r>
      <w:proofErr w:type="spellEnd"/>
      <w:r>
        <w:rPr>
          <w:shd w:val="clear" w:color="auto" w:fill="FFFFFF"/>
        </w:rPr>
        <w:t xml:space="preserve"> education (UK).</w:t>
      </w:r>
    </w:p>
    <w:p w14:paraId="63010B25" w14:textId="77777777" w:rsidR="009E1832" w:rsidRDefault="009E1832" w:rsidP="009E1832">
      <w:r>
        <w:rPr>
          <w:shd w:val="clear" w:color="auto" w:fill="FFFFFF"/>
        </w:rPr>
        <w:t xml:space="preserve">Prince, P.B. and </w:t>
      </w:r>
      <w:proofErr w:type="spellStart"/>
      <w:r>
        <w:rPr>
          <w:shd w:val="clear" w:color="auto" w:fill="FFFFFF"/>
        </w:rPr>
        <w:t>Lovesum</w:t>
      </w:r>
      <w:proofErr w:type="spellEnd"/>
      <w:r>
        <w:rPr>
          <w:shd w:val="clear" w:color="auto" w:fill="FFFFFF"/>
        </w:rPr>
        <w:t>, S.J., (2020). Privacy enforced access control model for secured data handling in cloud-based pervasive health care system. </w:t>
      </w:r>
      <w:r>
        <w:rPr>
          <w:i/>
          <w:iCs/>
          <w:shd w:val="clear" w:color="auto" w:fill="FFFFFF"/>
        </w:rPr>
        <w:t>SN Computer Science</w:t>
      </w:r>
      <w:r>
        <w:rPr>
          <w:shd w:val="clear" w:color="auto" w:fill="FFFFFF"/>
        </w:rPr>
        <w:t>, </w:t>
      </w:r>
      <w:r>
        <w:rPr>
          <w:i/>
          <w:iCs/>
          <w:shd w:val="clear" w:color="auto" w:fill="FFFFFF"/>
        </w:rPr>
        <w:t>1</w:t>
      </w:r>
      <w:r>
        <w:rPr>
          <w:shd w:val="clear" w:color="auto" w:fill="FFFFFF"/>
        </w:rPr>
        <w:t>(5), p.239.</w:t>
      </w:r>
    </w:p>
    <w:p w14:paraId="3A1573DE" w14:textId="77777777" w:rsidR="009E1832" w:rsidRDefault="009E1832" w:rsidP="009E1832">
      <w:r>
        <w:rPr>
          <w:shd w:val="clear" w:color="auto" w:fill="FFFFFF"/>
        </w:rPr>
        <w:lastRenderedPageBreak/>
        <w:t>Santos, A., Colaço, A.R., Nielsen, A.B., Niu, L., Strauss, M., Geyer, P.E., Coscia, F., Albrechtsen, N.J.W., Mundt, F., Jensen, L.J. and Mann, M., (2022). A knowledge graph to interpret clinical proteomics data. </w:t>
      </w:r>
      <w:r>
        <w:rPr>
          <w:i/>
          <w:iCs/>
          <w:shd w:val="clear" w:color="auto" w:fill="FFFFFF"/>
        </w:rPr>
        <w:t>Nature biotechnology</w:t>
      </w:r>
      <w:r>
        <w:rPr>
          <w:shd w:val="clear" w:color="auto" w:fill="FFFFFF"/>
        </w:rPr>
        <w:t>, </w:t>
      </w:r>
      <w:r>
        <w:rPr>
          <w:i/>
          <w:iCs/>
          <w:shd w:val="clear" w:color="auto" w:fill="FFFFFF"/>
        </w:rPr>
        <w:t>40</w:t>
      </w:r>
      <w:r>
        <w:rPr>
          <w:shd w:val="clear" w:color="auto" w:fill="FFFFFF"/>
        </w:rPr>
        <w:t>(5), pp.692-702.</w:t>
      </w:r>
    </w:p>
    <w:p w14:paraId="640AD4ED" w14:textId="77777777" w:rsidR="009E1832" w:rsidRDefault="009E1832" w:rsidP="009E1832">
      <w:proofErr w:type="spellStart"/>
      <w:r>
        <w:rPr>
          <w:shd w:val="clear" w:color="auto" w:fill="FFFFFF"/>
        </w:rPr>
        <w:t>Schmuller</w:t>
      </w:r>
      <w:proofErr w:type="spellEnd"/>
      <w:r>
        <w:rPr>
          <w:shd w:val="clear" w:color="auto" w:fill="FFFFFF"/>
        </w:rPr>
        <w:t>, J., (2021). </w:t>
      </w:r>
      <w:r>
        <w:rPr>
          <w:i/>
          <w:iCs/>
          <w:shd w:val="clear" w:color="auto" w:fill="FFFFFF"/>
        </w:rPr>
        <w:t>Statistical analysis with Excel for dummies</w:t>
      </w:r>
      <w:r>
        <w:rPr>
          <w:shd w:val="clear" w:color="auto" w:fill="FFFFFF"/>
        </w:rPr>
        <w:t>. John Wiley &amp; Sons.</w:t>
      </w:r>
    </w:p>
    <w:p w14:paraId="0E977AAB" w14:textId="77777777" w:rsidR="009E1832" w:rsidRDefault="009E1832" w:rsidP="009E1832">
      <w:proofErr w:type="spellStart"/>
      <w:r>
        <w:rPr>
          <w:shd w:val="clear" w:color="auto" w:fill="FFFFFF"/>
        </w:rPr>
        <w:t>Tomeš</w:t>
      </w:r>
      <w:proofErr w:type="spellEnd"/>
      <w:r>
        <w:rPr>
          <w:shd w:val="clear" w:color="auto" w:fill="FFFFFF"/>
        </w:rPr>
        <w:t>, R., (2023). New Switching Functions of Microsoft Excel. </w:t>
      </w:r>
      <w:r>
        <w:rPr>
          <w:i/>
          <w:iCs/>
          <w:shd w:val="clear" w:color="auto" w:fill="FFFFFF"/>
        </w:rPr>
        <w:t>Research and Applications Towards Mathematics and Computer Science</w:t>
      </w:r>
      <w:r>
        <w:rPr>
          <w:shd w:val="clear" w:color="auto" w:fill="FFFFFF"/>
        </w:rPr>
        <w:t>, p.51.</w:t>
      </w:r>
    </w:p>
    <w:p w14:paraId="64499B2E" w14:textId="77777777" w:rsidR="009E1832" w:rsidRDefault="009E1832" w:rsidP="009E1832">
      <w:pPr>
        <w:rPr>
          <w:shd w:val="clear" w:color="auto" w:fill="FFFFFF"/>
        </w:rPr>
      </w:pPr>
    </w:p>
    <w:p w14:paraId="76D3223A" w14:textId="77777777" w:rsidR="009E1832" w:rsidRDefault="009E1832" w:rsidP="009E1832">
      <w:pPr>
        <w:rPr>
          <w:shd w:val="clear" w:color="auto" w:fill="FFFFFF"/>
        </w:rPr>
      </w:pPr>
    </w:p>
    <w:p w14:paraId="1CD50834" w14:textId="77777777" w:rsidR="009E1832" w:rsidRDefault="009E1832" w:rsidP="009E1832">
      <w:pPr>
        <w:rPr>
          <w:lang w:bidi="th-TH"/>
        </w:rPr>
      </w:pPr>
    </w:p>
    <w:p w14:paraId="33A8738E" w14:textId="77777777" w:rsidR="009E1832" w:rsidRDefault="009E1832" w:rsidP="009E1832"/>
    <w:p w14:paraId="6065DF0F" w14:textId="77777777" w:rsidR="009E1832" w:rsidRDefault="009E1832" w:rsidP="009E1832"/>
    <w:p w14:paraId="3F2B1F70" w14:textId="77777777" w:rsidR="009E1832" w:rsidRDefault="009E1832" w:rsidP="009E1832"/>
    <w:p w14:paraId="60646B71" w14:textId="77777777" w:rsidR="00FF4B64" w:rsidRDefault="00000000"/>
    <w:sectPr w:rsidR="00FF4B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32"/>
    <w:rsid w:val="000B6F76"/>
    <w:rsid w:val="002A545E"/>
    <w:rsid w:val="009E1832"/>
    <w:rsid w:val="00ED5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4826"/>
  <w15:chartTrackingRefBased/>
  <w15:docId w15:val="{202D2B17-889E-4D67-B6E1-AE3D0391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832"/>
    <w:pPr>
      <w:suppressAutoHyphens/>
      <w:autoSpaceDN w:val="0"/>
      <w:spacing w:line="480" w:lineRule="auto"/>
      <w:jc w:val="both"/>
    </w:pPr>
    <w:rPr>
      <w:rFonts w:ascii="Times New Roman" w:eastAsia="Calibri" w:hAnsi="Times New Roman" w:cs="Times New Roman"/>
      <w:color w:val="000000"/>
      <w:kern w:val="3"/>
      <w:sz w:val="24"/>
      <w:lang w:val="en-IN"/>
    </w:rPr>
  </w:style>
  <w:style w:type="paragraph" w:styleId="Heading1">
    <w:name w:val="heading 1"/>
    <w:basedOn w:val="Normal"/>
    <w:next w:val="Normal"/>
    <w:link w:val="Heading1Char"/>
    <w:uiPriority w:val="9"/>
    <w:qFormat/>
    <w:rsid w:val="009E1832"/>
    <w:pPr>
      <w:keepNext/>
      <w:keepLines/>
      <w:spacing w:before="480" w:after="0"/>
      <w:outlineLvl w:val="0"/>
    </w:pPr>
    <w:rPr>
      <w:rFonts w:eastAsia="Times New Roman"/>
      <w:b/>
      <w:bCs/>
      <w:sz w:val="28"/>
      <w:szCs w:val="25"/>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832"/>
    <w:rPr>
      <w:rFonts w:ascii="Times New Roman" w:eastAsia="Times New Roman" w:hAnsi="Times New Roman" w:cs="Times New Roman"/>
      <w:b/>
      <w:bCs/>
      <w:color w:val="000000"/>
      <w:kern w:val="3"/>
      <w:sz w:val="28"/>
      <w:szCs w:val="25"/>
      <w:lang w:val="en-IN" w:bidi="th-TH"/>
    </w:rPr>
  </w:style>
  <w:style w:type="paragraph" w:styleId="Header">
    <w:name w:val="header"/>
    <w:basedOn w:val="Normal"/>
    <w:link w:val="HeaderChar"/>
    <w:semiHidden/>
    <w:unhideWhenUsed/>
    <w:rsid w:val="009E1832"/>
    <w:pPr>
      <w:tabs>
        <w:tab w:val="center" w:pos="4680"/>
        <w:tab w:val="right" w:pos="9360"/>
      </w:tabs>
      <w:spacing w:after="0" w:line="240" w:lineRule="auto"/>
    </w:pPr>
  </w:style>
  <w:style w:type="character" w:customStyle="1" w:styleId="HeaderChar">
    <w:name w:val="Header Char"/>
    <w:basedOn w:val="DefaultParagraphFont"/>
    <w:link w:val="Header"/>
    <w:semiHidden/>
    <w:rsid w:val="009E1832"/>
    <w:rPr>
      <w:rFonts w:ascii="Times New Roman" w:eastAsia="Calibri" w:hAnsi="Times New Roman" w:cs="Times New Roman"/>
      <w:color w:val="000000"/>
      <w:kern w:val="3"/>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7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Average price</a:t>
            </a:r>
          </a:p>
        </c:rich>
      </c:tx>
      <c:overlay val="0"/>
      <c:spPr>
        <a:noFill/>
        <a:ln>
          <a:noFill/>
        </a:ln>
      </c:spPr>
    </c:title>
    <c:autoTitleDeleted val="0"/>
    <c:view3D>
      <c:rotX val="14"/>
      <c:rotY val="19"/>
      <c:rAngAx val="0"/>
    </c:view3D>
    <c:floor>
      <c:thickness val="0"/>
      <c:spPr>
        <a:noFill/>
        <a:ln w="6345" cap="flat">
          <a:solidFill>
            <a:srgbClr val="898989"/>
          </a:solidFill>
          <a:prstDash val="solid"/>
          <a:round/>
        </a:ln>
      </c:spPr>
    </c:floor>
    <c:sideWall>
      <c:thickness val="0"/>
      <c:spPr>
        <a:noFill/>
        <a:ln>
          <a:noFill/>
        </a:ln>
      </c:spPr>
    </c:sideWall>
    <c:backWall>
      <c:thickness val="0"/>
      <c:spPr>
        <a:noFill/>
        <a:ln>
          <a:noFill/>
        </a:ln>
      </c:spPr>
    </c:backWall>
    <c:plotArea>
      <c:layout/>
      <c:bar3DChart>
        <c:barDir val="col"/>
        <c:grouping val="percentStacked"/>
        <c:varyColors val="0"/>
        <c:ser>
          <c:idx val="0"/>
          <c:order val="0"/>
          <c:tx>
            <c:v>Average price</c:v>
          </c:tx>
          <c:spPr>
            <a:solidFill>
              <a:srgbClr val="4472C4"/>
            </a:solidFill>
            <a:ln>
              <a:noFill/>
            </a:ln>
          </c:spPr>
          <c:invertIfNegative val="0"/>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numLit>
              <c:formatCode>General</c:formatCode>
              <c:ptCount val="5"/>
              <c:pt idx="0">
                <c:v>2017</c:v>
              </c:pt>
              <c:pt idx="1">
                <c:v>2018</c:v>
              </c:pt>
              <c:pt idx="2">
                <c:v>2019</c:v>
              </c:pt>
              <c:pt idx="3">
                <c:v>2020</c:v>
              </c:pt>
              <c:pt idx="4">
                <c:v>2021</c:v>
              </c:pt>
            </c:numLit>
          </c:cat>
          <c:val>
            <c:numLit>
              <c:formatCode>General</c:formatCode>
              <c:ptCount val="5"/>
              <c:pt idx="0">
                <c:v>549304.1</c:v>
              </c:pt>
              <c:pt idx="1">
                <c:v>1666329.8</c:v>
              </c:pt>
              <c:pt idx="2">
                <c:v>18015.29</c:v>
              </c:pt>
              <c:pt idx="3">
                <c:v>20857.3</c:v>
              </c:pt>
              <c:pt idx="4">
                <c:v>19436.8</c:v>
              </c:pt>
            </c:numLit>
          </c:val>
          <c:extLst>
            <c:ext xmlns:c16="http://schemas.microsoft.com/office/drawing/2014/chart" uri="{C3380CC4-5D6E-409C-BE32-E72D297353CC}">
              <c16:uniqueId val="{00000000-B82A-401B-8A53-AA1C1D7C3B87}"/>
            </c:ext>
          </c:extLst>
        </c:ser>
        <c:dLbls>
          <c:showLegendKey val="0"/>
          <c:showVal val="0"/>
          <c:showCatName val="0"/>
          <c:showSerName val="0"/>
          <c:showPercent val="0"/>
          <c:showBubbleSize val="0"/>
        </c:dLbls>
        <c:gapWidth val="150"/>
        <c:shape val="box"/>
        <c:axId val="267779104"/>
        <c:axId val="267774184"/>
        <c:axId val="0"/>
      </c:bar3DChart>
      <c:valAx>
        <c:axId val="267774184"/>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AVERAGE PRICE RANGE</a:t>
                </a:r>
              </a:p>
            </c:rich>
          </c:tx>
          <c:overlay val="0"/>
          <c:spPr>
            <a:noFill/>
            <a:ln>
              <a:noFill/>
            </a:ln>
          </c:spPr>
        </c:title>
        <c:numFmt formatCode="0%"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67779104"/>
        <c:crosses val="autoZero"/>
        <c:crossBetween val="between"/>
      </c:valAx>
      <c:catAx>
        <c:axId val="26777910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ARRIVAL YEARS</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67774184"/>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Average price</a:t>
            </a:r>
          </a:p>
        </c:rich>
      </c:tx>
      <c:overlay val="0"/>
      <c:spPr>
        <a:noFill/>
        <a:ln>
          <a:noFill/>
        </a:ln>
      </c:spPr>
    </c:title>
    <c:autoTitleDeleted val="0"/>
    <c:plotArea>
      <c:layout/>
      <c:lineChart>
        <c:grouping val="standard"/>
        <c:varyColors val="0"/>
        <c:ser>
          <c:idx val="0"/>
          <c:order val="0"/>
          <c:tx>
            <c:v>Average price</c:v>
          </c:tx>
          <c:spPr>
            <a:ln w="28575" cap="rnd">
              <a:solidFill>
                <a:srgbClr val="4472C4"/>
              </a:solidFill>
              <a:prstDash val="solid"/>
              <a:round/>
            </a:ln>
          </c:spPr>
          <c:marker>
            <c:symbol val="none"/>
          </c:marker>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numLit>
              <c:formatCode>General</c:formatCode>
              <c:ptCount val="5"/>
              <c:pt idx="0">
                <c:v>2017</c:v>
              </c:pt>
              <c:pt idx="1">
                <c:v>2018</c:v>
              </c:pt>
              <c:pt idx="2">
                <c:v>2019</c:v>
              </c:pt>
              <c:pt idx="3">
                <c:v>2020</c:v>
              </c:pt>
              <c:pt idx="4">
                <c:v>2021</c:v>
              </c:pt>
            </c:numLit>
          </c:cat>
          <c:val>
            <c:numLit>
              <c:formatCode>General</c:formatCode>
              <c:ptCount val="5"/>
              <c:pt idx="0">
                <c:v>549304.1</c:v>
              </c:pt>
              <c:pt idx="1">
                <c:v>1666329.8</c:v>
              </c:pt>
              <c:pt idx="2">
                <c:v>18015.29</c:v>
              </c:pt>
              <c:pt idx="3">
                <c:v>20857.3</c:v>
              </c:pt>
              <c:pt idx="4">
                <c:v>19436.8</c:v>
              </c:pt>
            </c:numLit>
          </c:val>
          <c:smooth val="0"/>
          <c:extLst>
            <c:ext xmlns:c16="http://schemas.microsoft.com/office/drawing/2014/chart" uri="{C3380CC4-5D6E-409C-BE32-E72D297353CC}">
              <c16:uniqueId val="{00000000-1F70-4739-86FE-549993C08FFA}"/>
            </c:ext>
          </c:extLst>
        </c:ser>
        <c:dLbls>
          <c:showLegendKey val="0"/>
          <c:showVal val="0"/>
          <c:showCatName val="0"/>
          <c:showSerName val="0"/>
          <c:showPercent val="0"/>
          <c:showBubbleSize val="0"/>
        </c:dLbls>
        <c:smooth val="0"/>
        <c:axId val="267778120"/>
        <c:axId val="267777136"/>
      </c:lineChart>
      <c:valAx>
        <c:axId val="267777136"/>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AVERAGE PRICE </a:t>
                </a:r>
              </a:p>
            </c:rich>
          </c:tx>
          <c:overlay val="0"/>
          <c:spPr>
            <a:noFill/>
            <a:ln>
              <a:noFill/>
            </a:ln>
          </c:spPr>
        </c:title>
        <c:numFmt formatCode="General" sourceLinked="0"/>
        <c:majorTickMark val="out"/>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67778120"/>
        <c:crosses val="autoZero"/>
        <c:crossBetween val="between"/>
      </c:valAx>
      <c:catAx>
        <c:axId val="26777812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ARRIVAL YEAR</a:t>
                </a:r>
              </a:p>
            </c:rich>
          </c:tx>
          <c:overlay val="0"/>
          <c:spPr>
            <a:noFill/>
            <a:ln>
              <a:noFill/>
            </a:ln>
          </c:spPr>
        </c:title>
        <c:numFmt formatCode="General" sourceLinked="0"/>
        <c:majorTickMark val="out"/>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67777136"/>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Total</a:t>
            </a:r>
          </a:p>
        </c:rich>
      </c:tx>
      <c:overlay val="0"/>
      <c:spPr>
        <a:noFill/>
        <a:ln>
          <a:noFill/>
        </a:ln>
      </c:spPr>
    </c:title>
    <c:autoTitleDeleted val="0"/>
    <c:plotArea>
      <c:layout/>
      <c:pieChart>
        <c:varyColors val="1"/>
        <c:ser>
          <c:idx val="0"/>
          <c:order val="0"/>
          <c:tx>
            <c:v>Total</c:v>
          </c:tx>
          <c:dPt>
            <c:idx val="0"/>
            <c:bubble3D val="0"/>
            <c:spPr>
              <a:solidFill>
                <a:srgbClr val="4472C4"/>
              </a:solidFill>
              <a:ln w="25402">
                <a:solidFill>
                  <a:srgbClr val="70AD47"/>
                </a:solidFill>
                <a:prstDash val="solid"/>
              </a:ln>
            </c:spPr>
            <c:extLst>
              <c:ext xmlns:c16="http://schemas.microsoft.com/office/drawing/2014/chart" uri="{C3380CC4-5D6E-409C-BE32-E72D297353CC}">
                <c16:uniqueId val="{00000001-8401-49FE-B241-9A4CF9672FB9}"/>
              </c:ext>
            </c:extLst>
          </c:dPt>
          <c:dPt>
            <c:idx val="1"/>
            <c:bubble3D val="0"/>
            <c:spPr>
              <a:solidFill>
                <a:srgbClr val="ED7D31"/>
              </a:solidFill>
              <a:ln w="25402">
                <a:solidFill>
                  <a:srgbClr val="70AD47"/>
                </a:solidFill>
                <a:prstDash val="solid"/>
              </a:ln>
            </c:spPr>
            <c:extLst>
              <c:ext xmlns:c16="http://schemas.microsoft.com/office/drawing/2014/chart" uri="{C3380CC4-5D6E-409C-BE32-E72D297353CC}">
                <c16:uniqueId val="{00000003-8401-49FE-B241-9A4CF9672FB9}"/>
              </c:ext>
            </c:extLst>
          </c:dPt>
          <c:dPt>
            <c:idx val="2"/>
            <c:bubble3D val="0"/>
            <c:spPr>
              <a:solidFill>
                <a:srgbClr val="A5A5A5"/>
              </a:solidFill>
              <a:ln w="25402">
                <a:solidFill>
                  <a:srgbClr val="70AD47"/>
                </a:solidFill>
                <a:prstDash val="solid"/>
              </a:ln>
            </c:spPr>
            <c:extLst>
              <c:ext xmlns:c16="http://schemas.microsoft.com/office/drawing/2014/chart" uri="{C3380CC4-5D6E-409C-BE32-E72D297353CC}">
                <c16:uniqueId val="{00000005-8401-49FE-B241-9A4CF9672FB9}"/>
              </c:ext>
            </c:extLst>
          </c:dPt>
          <c:dPt>
            <c:idx val="3"/>
            <c:bubble3D val="0"/>
            <c:spPr>
              <a:solidFill>
                <a:srgbClr val="FFC000"/>
              </a:solidFill>
              <a:ln w="25402">
                <a:solidFill>
                  <a:srgbClr val="70AD47"/>
                </a:solidFill>
                <a:prstDash val="solid"/>
              </a:ln>
            </c:spPr>
            <c:extLst>
              <c:ext xmlns:c16="http://schemas.microsoft.com/office/drawing/2014/chart" uri="{C3380CC4-5D6E-409C-BE32-E72D297353CC}">
                <c16:uniqueId val="{00000007-8401-49FE-B241-9A4CF9672FB9}"/>
              </c:ext>
            </c:extLst>
          </c:dPt>
          <c:dPt>
            <c:idx val="4"/>
            <c:bubble3D val="0"/>
            <c:spPr>
              <a:solidFill>
                <a:srgbClr val="5B9BD5"/>
              </a:solidFill>
              <a:ln w="25402">
                <a:solidFill>
                  <a:srgbClr val="70AD47"/>
                </a:solidFill>
                <a:prstDash val="solid"/>
              </a:ln>
            </c:spPr>
            <c:extLst>
              <c:ext xmlns:c16="http://schemas.microsoft.com/office/drawing/2014/chart" uri="{C3380CC4-5D6E-409C-BE32-E72D297353CC}">
                <c16:uniqueId val="{00000009-8401-49FE-B241-9A4CF9672FB9}"/>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sz="900" b="0" i="0" u="none" strike="noStrike" kern="1200" baseline="0">
                    <a:solidFill>
                      <a:srgbClr val="404040"/>
                    </a:solidFill>
                    <a:latin typeface="Calibri"/>
                  </a:defRPr>
                </a:pPr>
                <a:endParaRPr lang="en-US"/>
              </a:p>
            </c:txPr>
            <c:showLegendKey val="0"/>
            <c:showVal val="1"/>
            <c:showCatName val="0"/>
            <c:showSerName val="0"/>
            <c:showPercent val="0"/>
            <c:showBubbleSize val="0"/>
            <c:separator>, </c:separator>
            <c:showLeaderLines val="1"/>
            <c:extLst>
              <c:ext xmlns:c15="http://schemas.microsoft.com/office/drawing/2012/chart" uri="{CE6537A1-D6FC-4f65-9D91-7224C49458BB}">
                <c15:spPr xmlns:c15="http://schemas.microsoft.com/office/drawing/2012/chart">
                  <a:prstGeom prst="rect">
                    <a:avLst/>
                  </a:prstGeom>
                </c15:spPr>
              </c:ext>
            </c:extLst>
          </c:dLbls>
          <c:cat>
            <c:strLit>
              <c:ptCount val="5"/>
              <c:pt idx="0">
                <c:v>2017</c:v>
              </c:pt>
              <c:pt idx="1">
                <c:v>2018</c:v>
              </c:pt>
              <c:pt idx="2">
                <c:v>2019</c:v>
              </c:pt>
              <c:pt idx="3">
                <c:v>2020</c:v>
              </c:pt>
              <c:pt idx="4">
                <c:v>2021</c:v>
              </c:pt>
            </c:strLit>
          </c:cat>
          <c:val>
            <c:numLit>
              <c:formatCode>General</c:formatCode>
              <c:ptCount val="5"/>
              <c:pt idx="0">
                <c:v>0.15291004299329161</c:v>
              </c:pt>
              <c:pt idx="1">
                <c:v>0.83085834473675368</c:v>
              </c:pt>
              <c:pt idx="2">
                <c:v>5.014924735292108E-3</c:v>
              </c:pt>
              <c:pt idx="3">
                <c:v>5.8060563932863735E-3</c:v>
              </c:pt>
              <c:pt idx="4">
                <c:v>5.4106311413763316E-3</c:v>
              </c:pt>
            </c:numLit>
          </c:val>
          <c:extLst>
            <c:ext xmlns:c16="http://schemas.microsoft.com/office/drawing/2014/chart" uri="{C3380CC4-5D6E-409C-BE32-E72D297353CC}">
              <c16:uniqueId val="{0000000A-8401-49FE-B241-9A4CF9672FB9}"/>
            </c:ext>
          </c:extLst>
        </c:ser>
        <c:dLbls>
          <c:showLegendKey val="0"/>
          <c:showVal val="0"/>
          <c:showCatName val="0"/>
          <c:showSerName val="0"/>
          <c:showPercent val="0"/>
          <c:showBubbleSize val="0"/>
          <c:showLeaderLines val="1"/>
        </c:dLbls>
        <c:firstSliceAng val="360"/>
      </c:pieChart>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3397</Words>
  <Characters>19365</Characters>
  <Application>Microsoft Office Word</Application>
  <DocSecurity>0</DocSecurity>
  <Lines>161</Lines>
  <Paragraphs>45</Paragraphs>
  <ScaleCrop>false</ScaleCrop>
  <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cp:revision>
  <dcterms:created xsi:type="dcterms:W3CDTF">2023-12-19T18:59:00Z</dcterms:created>
  <dcterms:modified xsi:type="dcterms:W3CDTF">2023-12-19T19:00:00Z</dcterms:modified>
</cp:coreProperties>
</file>