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157E9" w14:textId="2CD33D6C" w:rsidR="00C6554A" w:rsidRPr="00C3309B" w:rsidRDefault="007C03CB" w:rsidP="00C6554A">
      <w:pPr>
        <w:pStyle w:val="Photo"/>
        <w:rPr>
          <w:rFonts w:ascii="Century Gothic" w:hAnsi="Century Gothic"/>
        </w:rPr>
      </w:pPr>
      <w:bookmarkStart w:id="0" w:name="_Toc321147149"/>
      <w:bookmarkStart w:id="1" w:name="_Toc318188227"/>
      <w:bookmarkStart w:id="2" w:name="_Toc318188327"/>
      <w:bookmarkStart w:id="3" w:name="_Toc318189312"/>
      <w:bookmarkStart w:id="4" w:name="_Toc321147011"/>
      <w:bookmarkStart w:id="5" w:name="_GoBack"/>
      <w:bookmarkEnd w:id="5"/>
      <w:r w:rsidRPr="00C3309B">
        <w:rPr>
          <w:rFonts w:ascii="Century Gothic" w:hAnsi="Century Gothic"/>
          <w:noProof/>
        </w:rPr>
        <w:drawing>
          <wp:inline distT="0" distB="0" distL="0" distR="0" wp14:anchorId="3EE826FC" wp14:editId="10DC76EF">
            <wp:extent cx="4512624" cy="4512624"/>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35933" cy="4635933"/>
                    </a:xfrm>
                    <a:prstGeom prst="rect">
                      <a:avLst/>
                    </a:prstGeom>
                  </pic:spPr>
                </pic:pic>
              </a:graphicData>
            </a:graphic>
          </wp:inline>
        </w:drawing>
      </w:r>
    </w:p>
    <w:bookmarkEnd w:id="0"/>
    <w:bookmarkEnd w:id="1"/>
    <w:bookmarkEnd w:id="2"/>
    <w:bookmarkEnd w:id="3"/>
    <w:bookmarkEnd w:id="4"/>
    <w:p w14:paraId="61165D4F" w14:textId="555E6B6E" w:rsidR="00C6554A" w:rsidRPr="00C3309B" w:rsidRDefault="00001A9A" w:rsidP="00C6554A">
      <w:pPr>
        <w:pStyle w:val="Title"/>
        <w:rPr>
          <w:rFonts w:ascii="Century Gothic" w:hAnsi="Century Gothic"/>
        </w:rPr>
      </w:pPr>
      <w:r>
        <w:rPr>
          <w:rFonts w:ascii="Century Gothic" w:hAnsi="Century Gothic"/>
        </w:rPr>
        <w:t>The Sunday Assembly and the rise of Atheism in the United Kingdom</w:t>
      </w:r>
      <w:r w:rsidR="007C03CB" w:rsidRPr="00C3309B">
        <w:rPr>
          <w:rFonts w:ascii="Century Gothic" w:hAnsi="Century Gothic"/>
        </w:rPr>
        <w:t>.</w:t>
      </w:r>
    </w:p>
    <w:p w14:paraId="32068D78" w14:textId="3003DE52" w:rsidR="00C6554A" w:rsidRPr="00C3309B" w:rsidRDefault="002B7015" w:rsidP="00C6554A">
      <w:pPr>
        <w:pStyle w:val="Subtitle"/>
        <w:rPr>
          <w:rFonts w:ascii="Century Gothic" w:hAnsi="Century Gothic"/>
          <w:sz w:val="32"/>
        </w:rPr>
      </w:pPr>
      <w:r w:rsidRPr="00C3309B">
        <w:rPr>
          <w:rFonts w:ascii="Century Gothic" w:hAnsi="Century Gothic"/>
          <w:sz w:val="32"/>
        </w:rPr>
        <w:t>An analysis of the rise in Atheism seen in the uk with regards to the 2011 cencus.</w:t>
      </w:r>
    </w:p>
    <w:p w14:paraId="406E1267" w14:textId="59125EC0" w:rsidR="00C6554A" w:rsidRPr="00C3309B" w:rsidRDefault="007C03CB" w:rsidP="00C6554A">
      <w:pPr>
        <w:pStyle w:val="ContactInfo"/>
        <w:rPr>
          <w:rFonts w:ascii="Century Gothic" w:hAnsi="Century Gothic"/>
        </w:rPr>
      </w:pPr>
      <w:r w:rsidRPr="00C3309B">
        <w:rPr>
          <w:rFonts w:ascii="Century Gothic" w:hAnsi="Century Gothic"/>
        </w:rPr>
        <w:t>Eilian Jones</w:t>
      </w:r>
      <w:r w:rsidR="00C6554A" w:rsidRPr="00C3309B">
        <w:rPr>
          <w:rFonts w:ascii="Century Gothic" w:hAnsi="Century Gothic"/>
        </w:rPr>
        <w:t xml:space="preserve"> |</w:t>
      </w:r>
      <w:r w:rsidRPr="00C3309B">
        <w:rPr>
          <w:rFonts w:ascii="Century Gothic" w:hAnsi="Century Gothic"/>
        </w:rPr>
        <w:t>Atheism and Non-Belief: From early atheist to the atheist church.</w:t>
      </w:r>
      <w:r w:rsidR="00C6554A" w:rsidRPr="00C3309B">
        <w:rPr>
          <w:rFonts w:ascii="Century Gothic" w:hAnsi="Century Gothic"/>
        </w:rPr>
        <w:t xml:space="preserve"> | </w:t>
      </w:r>
      <w:r w:rsidRPr="00C3309B">
        <w:rPr>
          <w:rFonts w:ascii="Century Gothic" w:hAnsi="Century Gothic"/>
        </w:rPr>
        <w:t>15/12/18</w:t>
      </w:r>
      <w:r w:rsidR="00C6554A" w:rsidRPr="00C3309B">
        <w:rPr>
          <w:rFonts w:ascii="Century Gothic" w:hAnsi="Century Gothic"/>
        </w:rPr>
        <w:br w:type="page"/>
      </w:r>
    </w:p>
    <w:p w14:paraId="59C4E324" w14:textId="62A30377" w:rsidR="00C6554A" w:rsidRPr="00A45B32" w:rsidRDefault="007C03CB" w:rsidP="00A45B32">
      <w:pPr>
        <w:pStyle w:val="Heading2"/>
        <w:rPr>
          <w:rFonts w:ascii="Century Gothic" w:hAnsi="Century Gothic"/>
          <w:sz w:val="28"/>
          <w:u w:val="single"/>
        </w:rPr>
      </w:pPr>
      <w:r w:rsidRPr="00A45B32">
        <w:rPr>
          <w:rFonts w:ascii="Century Gothic" w:hAnsi="Century Gothic"/>
          <w:sz w:val="28"/>
          <w:u w:val="single"/>
        </w:rPr>
        <w:lastRenderedPageBreak/>
        <w:t>Introduction.</w:t>
      </w:r>
    </w:p>
    <w:p w14:paraId="5BE3D683" w14:textId="021A9C85" w:rsidR="00C6554A" w:rsidRPr="00C3309B" w:rsidRDefault="007C03CB" w:rsidP="007C03CB">
      <w:pPr>
        <w:rPr>
          <w:rFonts w:ascii="Century Gothic" w:hAnsi="Century Gothic"/>
          <w:color w:val="auto"/>
          <w:sz w:val="24"/>
        </w:rPr>
      </w:pPr>
      <w:r w:rsidRPr="00C3309B">
        <w:rPr>
          <w:rFonts w:ascii="Century Gothic" w:hAnsi="Century Gothic"/>
          <w:color w:val="auto"/>
          <w:sz w:val="24"/>
        </w:rPr>
        <w:t xml:space="preserve">This report will </w:t>
      </w:r>
      <w:proofErr w:type="spellStart"/>
      <w:r w:rsidR="00A45B32" w:rsidRPr="00C3309B">
        <w:rPr>
          <w:rFonts w:ascii="Century Gothic" w:hAnsi="Century Gothic"/>
          <w:color w:val="auto"/>
          <w:sz w:val="24"/>
        </w:rPr>
        <w:t>analy</w:t>
      </w:r>
      <w:r w:rsidR="00522ABF">
        <w:rPr>
          <w:rFonts w:ascii="Century Gothic" w:hAnsi="Century Gothic"/>
          <w:color w:val="auto"/>
          <w:sz w:val="24"/>
        </w:rPr>
        <w:t>se</w:t>
      </w:r>
      <w:proofErr w:type="spellEnd"/>
      <w:r w:rsidRPr="00C3309B">
        <w:rPr>
          <w:rFonts w:ascii="Century Gothic" w:hAnsi="Century Gothic"/>
          <w:color w:val="auto"/>
          <w:sz w:val="24"/>
        </w:rPr>
        <w:t xml:space="preserve"> the rise in Atheism </w:t>
      </w:r>
      <w:r w:rsidR="002B7015" w:rsidRPr="00C3309B">
        <w:rPr>
          <w:rFonts w:ascii="Century Gothic" w:hAnsi="Century Gothic"/>
          <w:color w:val="auto"/>
          <w:sz w:val="24"/>
        </w:rPr>
        <w:t>within the United Kingdom</w:t>
      </w:r>
      <w:r w:rsidR="002D319D" w:rsidRPr="00C3309B">
        <w:rPr>
          <w:rFonts w:ascii="Century Gothic" w:hAnsi="Century Gothic"/>
          <w:color w:val="auto"/>
          <w:sz w:val="24"/>
        </w:rPr>
        <w:t>. It will include an analysis of the 2011 census data and discuss the impacts this increase has had on life within the United Kingdom.</w:t>
      </w:r>
    </w:p>
    <w:p w14:paraId="76013DEE" w14:textId="5F903DD3" w:rsidR="003C042F" w:rsidRPr="00C3309B" w:rsidRDefault="008E31C7" w:rsidP="007C03CB">
      <w:pPr>
        <w:rPr>
          <w:rFonts w:ascii="Century Gothic" w:hAnsi="Century Gothic"/>
          <w:color w:val="auto"/>
          <w:sz w:val="24"/>
        </w:rPr>
      </w:pPr>
      <w:r w:rsidRPr="00C3309B">
        <w:rPr>
          <w:rFonts w:ascii="Century Gothic" w:hAnsi="Century Gothic"/>
          <w:color w:val="auto"/>
          <w:sz w:val="24"/>
        </w:rPr>
        <w:t>The purpose of this report</w:t>
      </w:r>
      <w:r w:rsidR="002D319D" w:rsidRPr="00C3309B">
        <w:rPr>
          <w:rFonts w:ascii="Century Gothic" w:hAnsi="Century Gothic"/>
          <w:color w:val="auto"/>
          <w:sz w:val="24"/>
        </w:rPr>
        <w:t xml:space="preserve"> is to explore the </w:t>
      </w:r>
      <w:r w:rsidR="00132C85" w:rsidRPr="00C3309B">
        <w:rPr>
          <w:rFonts w:ascii="Century Gothic" w:hAnsi="Century Gothic"/>
          <w:color w:val="auto"/>
          <w:sz w:val="24"/>
        </w:rPr>
        <w:t>significance the rise of Atheism</w:t>
      </w:r>
      <w:r w:rsidR="003C042F" w:rsidRPr="00C3309B">
        <w:rPr>
          <w:rFonts w:ascii="Century Gothic" w:hAnsi="Century Gothic"/>
          <w:color w:val="auto"/>
          <w:sz w:val="24"/>
        </w:rPr>
        <w:t xml:space="preserve"> has had on the United Kingdom which historically has been classified as a Christian country with its morals and values following such tradition.</w:t>
      </w:r>
    </w:p>
    <w:p w14:paraId="7DFE6312" w14:textId="4294926B" w:rsidR="002D319D" w:rsidRPr="00C3309B" w:rsidRDefault="003C042F" w:rsidP="007C03CB">
      <w:pPr>
        <w:rPr>
          <w:rFonts w:ascii="Century Gothic" w:hAnsi="Century Gothic"/>
          <w:color w:val="auto"/>
          <w:sz w:val="24"/>
        </w:rPr>
      </w:pPr>
      <w:r w:rsidRPr="00C3309B">
        <w:rPr>
          <w:rFonts w:ascii="Century Gothic" w:hAnsi="Century Gothic"/>
          <w:color w:val="auto"/>
          <w:sz w:val="24"/>
        </w:rPr>
        <w:t xml:space="preserve">In order to complete this report, I will consult numerous newspaper articles, the 2011 census and multiple forms </w:t>
      </w:r>
      <w:r w:rsidR="0022422A" w:rsidRPr="00C3309B">
        <w:rPr>
          <w:rFonts w:ascii="Century Gothic" w:hAnsi="Century Gothic"/>
          <w:color w:val="auto"/>
          <w:sz w:val="24"/>
        </w:rPr>
        <w:t>of academic</w:t>
      </w:r>
      <w:r w:rsidRPr="00C3309B">
        <w:rPr>
          <w:rFonts w:ascii="Century Gothic" w:hAnsi="Century Gothic"/>
          <w:color w:val="auto"/>
          <w:sz w:val="24"/>
        </w:rPr>
        <w:t xml:space="preserve"> writing such as journals</w:t>
      </w:r>
      <w:r w:rsidR="0022422A" w:rsidRPr="00C3309B">
        <w:rPr>
          <w:rFonts w:ascii="Century Gothic" w:hAnsi="Century Gothic"/>
          <w:color w:val="auto"/>
          <w:sz w:val="24"/>
        </w:rPr>
        <w:t>,</w:t>
      </w:r>
      <w:r w:rsidRPr="00C3309B">
        <w:rPr>
          <w:rFonts w:ascii="Century Gothic" w:hAnsi="Century Gothic"/>
          <w:color w:val="auto"/>
          <w:sz w:val="24"/>
        </w:rPr>
        <w:t xml:space="preserve"> books</w:t>
      </w:r>
      <w:r w:rsidR="0022422A" w:rsidRPr="00C3309B">
        <w:rPr>
          <w:rFonts w:ascii="Century Gothic" w:hAnsi="Century Gothic"/>
          <w:color w:val="auto"/>
          <w:sz w:val="24"/>
        </w:rPr>
        <w:t xml:space="preserve"> and podcasts</w:t>
      </w:r>
      <w:r w:rsidRPr="00C3309B">
        <w:rPr>
          <w:rFonts w:ascii="Century Gothic" w:hAnsi="Century Gothic"/>
          <w:color w:val="auto"/>
          <w:sz w:val="24"/>
        </w:rPr>
        <w:t>.</w:t>
      </w:r>
    </w:p>
    <w:p w14:paraId="3F89D32A" w14:textId="19BCC78F" w:rsidR="00C6554A" w:rsidRPr="00C3309B" w:rsidRDefault="0022422A" w:rsidP="0022422A">
      <w:pPr>
        <w:pStyle w:val="ListBullet"/>
        <w:numPr>
          <w:ilvl w:val="0"/>
          <w:numId w:val="0"/>
        </w:numPr>
        <w:rPr>
          <w:rFonts w:ascii="Century Gothic" w:hAnsi="Century Gothic"/>
          <w:color w:val="auto"/>
          <w:sz w:val="24"/>
          <w:u w:val="single"/>
        </w:rPr>
      </w:pPr>
      <w:r w:rsidRPr="00C3309B">
        <w:rPr>
          <w:rFonts w:ascii="Century Gothic" w:hAnsi="Century Gothic"/>
          <w:color w:val="auto"/>
          <w:sz w:val="24"/>
          <w:u w:val="single"/>
        </w:rPr>
        <w:t>Background information.</w:t>
      </w:r>
    </w:p>
    <w:p w14:paraId="7A407902" w14:textId="23ACDF07" w:rsidR="0022422A" w:rsidRPr="00C3309B" w:rsidRDefault="0022422A" w:rsidP="0022422A">
      <w:pPr>
        <w:pStyle w:val="ListBullet"/>
        <w:numPr>
          <w:ilvl w:val="0"/>
          <w:numId w:val="0"/>
        </w:numPr>
        <w:rPr>
          <w:rFonts w:ascii="Century Gothic" w:hAnsi="Century Gothic"/>
          <w:color w:val="auto"/>
          <w:sz w:val="24"/>
        </w:rPr>
      </w:pPr>
      <w:r w:rsidRPr="00C3309B">
        <w:rPr>
          <w:rFonts w:ascii="Century Gothic" w:hAnsi="Century Gothic"/>
          <w:color w:val="auto"/>
          <w:sz w:val="24"/>
        </w:rPr>
        <w:t xml:space="preserve">Michael Martin provides </w:t>
      </w:r>
      <w:r w:rsidR="008E3949" w:rsidRPr="00C3309B">
        <w:rPr>
          <w:rFonts w:ascii="Century Gothic" w:hAnsi="Century Gothic"/>
          <w:color w:val="auto"/>
          <w:sz w:val="24"/>
        </w:rPr>
        <w:t>two forms</w:t>
      </w:r>
      <w:r w:rsidRPr="00C3309B">
        <w:rPr>
          <w:rFonts w:ascii="Century Gothic" w:hAnsi="Century Gothic"/>
          <w:color w:val="auto"/>
          <w:sz w:val="24"/>
        </w:rPr>
        <w:t xml:space="preserve"> of Atheism which can be outlined below.</w:t>
      </w:r>
      <w:r w:rsidR="0020741B" w:rsidRPr="00C3309B">
        <w:rPr>
          <w:rStyle w:val="FootnoteReference"/>
          <w:rFonts w:ascii="Century Gothic" w:hAnsi="Century Gothic"/>
          <w:color w:val="auto"/>
          <w:sz w:val="24"/>
        </w:rPr>
        <w:footnoteReference w:id="1"/>
      </w:r>
    </w:p>
    <w:tbl>
      <w:tblPr>
        <w:tblStyle w:val="GridTable4-Accent1"/>
        <w:tblW w:w="0" w:type="auto"/>
        <w:tblLook w:val="04A0" w:firstRow="1" w:lastRow="0" w:firstColumn="1" w:lastColumn="0" w:noHBand="0" w:noVBand="1"/>
      </w:tblPr>
      <w:tblGrid>
        <w:gridCol w:w="4315"/>
        <w:gridCol w:w="4315"/>
      </w:tblGrid>
      <w:tr w:rsidR="0022422A" w:rsidRPr="00C3309B" w14:paraId="3B4782EA" w14:textId="77777777" w:rsidTr="008E39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398E3534" w14:textId="1580EB1E" w:rsidR="0022422A" w:rsidRPr="00C3309B" w:rsidRDefault="0022422A" w:rsidP="0022422A">
            <w:pPr>
              <w:pStyle w:val="ListBullet"/>
              <w:numPr>
                <w:ilvl w:val="0"/>
                <w:numId w:val="0"/>
              </w:numPr>
              <w:rPr>
                <w:rFonts w:ascii="Century Gothic" w:hAnsi="Century Gothic"/>
                <w:color w:val="auto"/>
                <w:sz w:val="24"/>
              </w:rPr>
            </w:pPr>
            <w:r w:rsidRPr="00C3309B">
              <w:rPr>
                <w:rFonts w:ascii="Century Gothic" w:hAnsi="Century Gothic"/>
                <w:color w:val="auto"/>
                <w:sz w:val="24"/>
              </w:rPr>
              <w:t>Negative</w:t>
            </w:r>
          </w:p>
        </w:tc>
        <w:tc>
          <w:tcPr>
            <w:tcW w:w="4315" w:type="dxa"/>
          </w:tcPr>
          <w:p w14:paraId="1F9BE907" w14:textId="55E4B741" w:rsidR="0022422A" w:rsidRPr="00C3309B" w:rsidRDefault="0022422A" w:rsidP="0022422A">
            <w:pPr>
              <w:pStyle w:val="ListBullet"/>
              <w:numPr>
                <w:ilvl w:val="0"/>
                <w:numId w:val="0"/>
              </w:numPr>
              <w:cnfStyle w:val="100000000000" w:firstRow="1" w:lastRow="0" w:firstColumn="0" w:lastColumn="0" w:oddVBand="0" w:evenVBand="0" w:oddHBand="0" w:evenHBand="0" w:firstRowFirstColumn="0" w:firstRowLastColumn="0" w:lastRowFirstColumn="0" w:lastRowLastColumn="0"/>
              <w:rPr>
                <w:rFonts w:ascii="Century Gothic" w:hAnsi="Century Gothic"/>
                <w:color w:val="auto"/>
                <w:sz w:val="24"/>
              </w:rPr>
            </w:pPr>
            <w:r w:rsidRPr="00C3309B">
              <w:rPr>
                <w:rFonts w:ascii="Century Gothic" w:hAnsi="Century Gothic"/>
                <w:color w:val="auto"/>
                <w:sz w:val="24"/>
              </w:rPr>
              <w:t>Positive</w:t>
            </w:r>
          </w:p>
        </w:tc>
      </w:tr>
      <w:tr w:rsidR="0022422A" w:rsidRPr="00C3309B" w14:paraId="688E1D99" w14:textId="77777777" w:rsidTr="008E3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41762EE3" w14:textId="2DCF7F9C" w:rsidR="0022422A" w:rsidRPr="00C3309B" w:rsidRDefault="0022422A" w:rsidP="0022422A">
            <w:pPr>
              <w:pStyle w:val="ListBullet"/>
              <w:numPr>
                <w:ilvl w:val="0"/>
                <w:numId w:val="0"/>
              </w:numPr>
              <w:rPr>
                <w:rFonts w:ascii="Century Gothic" w:hAnsi="Century Gothic"/>
                <w:b w:val="0"/>
                <w:color w:val="auto"/>
                <w:sz w:val="24"/>
              </w:rPr>
            </w:pPr>
            <w:r w:rsidRPr="00C3309B">
              <w:rPr>
                <w:rFonts w:ascii="Century Gothic" w:hAnsi="Century Gothic"/>
                <w:b w:val="0"/>
                <w:color w:val="auto"/>
                <w:sz w:val="24"/>
              </w:rPr>
              <w:t>“Someone without a belief in God (who) need not be someone who believes that God does not exist.”</w:t>
            </w:r>
          </w:p>
        </w:tc>
        <w:tc>
          <w:tcPr>
            <w:tcW w:w="4315" w:type="dxa"/>
          </w:tcPr>
          <w:p w14:paraId="6DF1992C" w14:textId="6D01E0C6" w:rsidR="0022422A" w:rsidRPr="00C3309B" w:rsidRDefault="0022422A" w:rsidP="0022422A">
            <w:pPr>
              <w:pStyle w:val="ListBullet"/>
              <w:numPr>
                <w:ilvl w:val="0"/>
                <w:numId w:val="0"/>
              </w:numPr>
              <w:cnfStyle w:val="000000100000" w:firstRow="0" w:lastRow="0" w:firstColumn="0" w:lastColumn="0" w:oddVBand="0" w:evenVBand="0" w:oddHBand="1" w:evenHBand="0" w:firstRowFirstColumn="0" w:firstRowLastColumn="0" w:lastRowFirstColumn="0" w:lastRowLastColumn="0"/>
              <w:rPr>
                <w:rFonts w:ascii="Century Gothic" w:hAnsi="Century Gothic"/>
                <w:color w:val="auto"/>
                <w:sz w:val="24"/>
              </w:rPr>
            </w:pPr>
            <w:r w:rsidRPr="00C3309B">
              <w:rPr>
                <w:rFonts w:ascii="Century Gothic" w:hAnsi="Century Gothic"/>
                <w:color w:val="auto"/>
                <w:sz w:val="24"/>
              </w:rPr>
              <w:t>“An atheist is not simply one who holds no belief in the existence of a God or gods but is one who believes that there is no God or gods.”</w:t>
            </w:r>
          </w:p>
        </w:tc>
      </w:tr>
    </w:tbl>
    <w:p w14:paraId="100C392D" w14:textId="3D82DD4A" w:rsidR="00723A29" w:rsidRPr="00C3309B" w:rsidRDefault="008E7F9A" w:rsidP="0022422A">
      <w:pPr>
        <w:pStyle w:val="ListBullet"/>
        <w:numPr>
          <w:ilvl w:val="0"/>
          <w:numId w:val="0"/>
        </w:numPr>
        <w:rPr>
          <w:rFonts w:ascii="Century Gothic" w:hAnsi="Century Gothic"/>
          <w:color w:val="auto"/>
          <w:sz w:val="24"/>
        </w:rPr>
      </w:pPr>
      <w:r w:rsidRPr="00C3309B">
        <w:rPr>
          <w:rFonts w:ascii="Century Gothic" w:hAnsi="Century Gothic"/>
          <w:color w:val="auto"/>
          <w:sz w:val="24"/>
        </w:rPr>
        <w:t>These are the definitions of Atheism which shall be used in order to provide a concise understanding through the document.</w:t>
      </w:r>
      <w:r w:rsidR="00723A29" w:rsidRPr="00C3309B">
        <w:rPr>
          <w:rFonts w:ascii="Century Gothic" w:hAnsi="Century Gothic"/>
          <w:color w:val="auto"/>
          <w:sz w:val="24"/>
        </w:rPr>
        <w:t xml:space="preserve"> I have chosen to provide these as definitions as they encompass both forms of atheism. Those who believe there is no God, and those who do not believe in the existence of a God or gods therefor elaborating on the negative definition provided.</w:t>
      </w:r>
    </w:p>
    <w:p w14:paraId="3EA3060C" w14:textId="196D945F" w:rsidR="00C3309B" w:rsidRDefault="00723A29" w:rsidP="0022422A">
      <w:pPr>
        <w:pStyle w:val="ListBullet"/>
        <w:numPr>
          <w:ilvl w:val="0"/>
          <w:numId w:val="0"/>
        </w:numPr>
        <w:rPr>
          <w:rFonts w:ascii="Century Gothic" w:hAnsi="Century Gothic"/>
          <w:color w:val="auto"/>
          <w:sz w:val="24"/>
        </w:rPr>
      </w:pPr>
      <w:r w:rsidRPr="00C3309B">
        <w:rPr>
          <w:rFonts w:ascii="Century Gothic" w:hAnsi="Century Gothic"/>
          <w:color w:val="auto"/>
          <w:sz w:val="24"/>
        </w:rPr>
        <w:t xml:space="preserve">Atheism as a school of thought can be traced back to the Greek society pre-Christian period 500-300 </w:t>
      </w:r>
      <w:r w:rsidR="00FB2B66">
        <w:rPr>
          <w:rFonts w:ascii="Century Gothic" w:hAnsi="Century Gothic"/>
          <w:color w:val="auto"/>
          <w:sz w:val="24"/>
        </w:rPr>
        <w:t xml:space="preserve">(Before Chronological Era) </w:t>
      </w:r>
      <w:r w:rsidRPr="00C3309B">
        <w:rPr>
          <w:rFonts w:ascii="Century Gothic" w:hAnsi="Century Gothic"/>
          <w:color w:val="auto"/>
          <w:sz w:val="24"/>
        </w:rPr>
        <w:t xml:space="preserve">BCE where Anaxagoras a Greek philosopher </w:t>
      </w:r>
      <w:r w:rsidR="00545CD3" w:rsidRPr="00C3309B">
        <w:rPr>
          <w:rFonts w:ascii="Century Gothic" w:hAnsi="Century Gothic"/>
          <w:color w:val="auto"/>
          <w:sz w:val="24"/>
        </w:rPr>
        <w:t xml:space="preserve">famous for his early scientific theories, claimed the sun was a mass of red-hot metal. </w:t>
      </w:r>
      <w:r w:rsidR="00C3309B" w:rsidRPr="00C3309B">
        <w:rPr>
          <w:rFonts w:ascii="Century Gothic" w:hAnsi="Century Gothic"/>
          <w:color w:val="auto"/>
          <w:sz w:val="24"/>
        </w:rPr>
        <w:t>Therefore,</w:t>
      </w:r>
      <w:r w:rsidR="00545CD3" w:rsidRPr="00C3309B">
        <w:rPr>
          <w:rFonts w:ascii="Century Gothic" w:hAnsi="Century Gothic"/>
          <w:color w:val="auto"/>
          <w:sz w:val="24"/>
        </w:rPr>
        <w:t xml:space="preserve"> going against society at the time as religion and state</w:t>
      </w:r>
      <w:r w:rsidR="00C3309B" w:rsidRPr="00C3309B">
        <w:rPr>
          <w:rFonts w:ascii="Century Gothic" w:hAnsi="Century Gothic"/>
          <w:color w:val="auto"/>
          <w:sz w:val="24"/>
        </w:rPr>
        <w:t xml:space="preserve"> </w:t>
      </w:r>
      <w:r w:rsidR="00545CD3" w:rsidRPr="00C3309B">
        <w:rPr>
          <w:rFonts w:ascii="Century Gothic" w:hAnsi="Century Gothic"/>
          <w:color w:val="auto"/>
          <w:sz w:val="24"/>
        </w:rPr>
        <w:t xml:space="preserve">were closely entwined. This was </w:t>
      </w:r>
      <w:r w:rsidR="00545CD3" w:rsidRPr="00C3309B">
        <w:rPr>
          <w:rFonts w:ascii="Century Gothic" w:hAnsi="Century Gothic"/>
          <w:color w:val="auto"/>
          <w:sz w:val="24"/>
        </w:rPr>
        <w:lastRenderedPageBreak/>
        <w:t>the first recorded entry in a dialogue which wo</w:t>
      </w:r>
      <w:r w:rsidR="00C3309B">
        <w:rPr>
          <w:rFonts w:ascii="Century Gothic" w:hAnsi="Century Gothic"/>
          <w:color w:val="auto"/>
          <w:sz w:val="24"/>
        </w:rPr>
        <w:t>u</w:t>
      </w:r>
      <w:r w:rsidR="00545CD3" w:rsidRPr="00C3309B">
        <w:rPr>
          <w:rFonts w:ascii="Century Gothic" w:hAnsi="Century Gothic"/>
          <w:color w:val="auto"/>
          <w:sz w:val="24"/>
        </w:rPr>
        <w:t>ld continue discussing the themes of religion and science in the 5</w:t>
      </w:r>
      <w:r w:rsidR="00545CD3" w:rsidRPr="00C3309B">
        <w:rPr>
          <w:rFonts w:ascii="Century Gothic" w:hAnsi="Century Gothic"/>
          <w:color w:val="auto"/>
          <w:sz w:val="24"/>
          <w:vertAlign w:val="superscript"/>
        </w:rPr>
        <w:t>th</w:t>
      </w:r>
      <w:r w:rsidR="00545CD3" w:rsidRPr="00C3309B">
        <w:rPr>
          <w:rFonts w:ascii="Century Gothic" w:hAnsi="Century Gothic"/>
          <w:color w:val="auto"/>
          <w:sz w:val="24"/>
        </w:rPr>
        <w:t xml:space="preserve"> </w:t>
      </w:r>
      <w:r w:rsidR="00C3309B" w:rsidRPr="00C3309B">
        <w:rPr>
          <w:rFonts w:ascii="Century Gothic" w:hAnsi="Century Gothic"/>
          <w:color w:val="auto"/>
          <w:sz w:val="24"/>
        </w:rPr>
        <w:t>Century</w:t>
      </w:r>
      <w:r w:rsidR="00545CD3" w:rsidRPr="00C3309B">
        <w:rPr>
          <w:rFonts w:ascii="Century Gothic" w:hAnsi="Century Gothic"/>
          <w:color w:val="auto"/>
          <w:sz w:val="24"/>
        </w:rPr>
        <w:t xml:space="preserve"> BCE</w:t>
      </w:r>
      <w:r w:rsidR="00C3309B">
        <w:rPr>
          <w:rStyle w:val="FootnoteReference"/>
          <w:color w:val="auto"/>
          <w:sz w:val="24"/>
        </w:rPr>
        <w:footnoteReference w:id="2"/>
      </w:r>
      <w:r w:rsidR="00C3309B">
        <w:rPr>
          <w:rFonts w:ascii="Century Gothic" w:hAnsi="Century Gothic"/>
          <w:color w:val="auto"/>
          <w:sz w:val="24"/>
        </w:rPr>
        <w:t xml:space="preserve"> </w:t>
      </w:r>
    </w:p>
    <w:p w14:paraId="332CF37B" w14:textId="1BE1B44A" w:rsidR="00830547" w:rsidRDefault="00C3309B" w:rsidP="0022422A">
      <w:pPr>
        <w:pStyle w:val="ListBullet"/>
        <w:numPr>
          <w:ilvl w:val="0"/>
          <w:numId w:val="0"/>
        </w:numPr>
        <w:rPr>
          <w:rFonts w:ascii="Century Gothic" w:hAnsi="Century Gothic"/>
          <w:color w:val="auto"/>
          <w:sz w:val="24"/>
        </w:rPr>
      </w:pPr>
      <w:r>
        <w:rPr>
          <w:rFonts w:ascii="Century Gothic" w:hAnsi="Century Gothic"/>
          <w:color w:val="auto"/>
          <w:sz w:val="24"/>
        </w:rPr>
        <w:t xml:space="preserve"> In the early Christian period, the term Atheist became known as a way in which to describe a </w:t>
      </w:r>
      <w:r w:rsidR="00F91657">
        <w:rPr>
          <w:rFonts w:ascii="Century Gothic" w:hAnsi="Century Gothic"/>
          <w:color w:val="auto"/>
          <w:sz w:val="24"/>
        </w:rPr>
        <w:t>person’s</w:t>
      </w:r>
      <w:r>
        <w:rPr>
          <w:rFonts w:ascii="Century Gothic" w:hAnsi="Century Gothic"/>
          <w:color w:val="auto"/>
          <w:sz w:val="24"/>
        </w:rPr>
        <w:t xml:space="preserve"> </w:t>
      </w:r>
      <w:r w:rsidR="00C61772">
        <w:rPr>
          <w:rFonts w:ascii="Century Gothic" w:hAnsi="Century Gothic"/>
          <w:color w:val="auto"/>
          <w:sz w:val="24"/>
        </w:rPr>
        <w:t>enem</w:t>
      </w:r>
      <w:r w:rsidR="00F91657">
        <w:rPr>
          <w:rFonts w:ascii="Century Gothic" w:hAnsi="Century Gothic"/>
          <w:color w:val="auto"/>
          <w:sz w:val="24"/>
        </w:rPr>
        <w:t xml:space="preserve">y. In the Roman period were pagan religion and polytheism was profound, </w:t>
      </w:r>
      <w:r w:rsidR="00830547">
        <w:rPr>
          <w:rFonts w:ascii="Century Gothic" w:hAnsi="Century Gothic"/>
          <w:color w:val="auto"/>
          <w:sz w:val="24"/>
        </w:rPr>
        <w:t xml:space="preserve">refusing </w:t>
      </w:r>
      <w:r w:rsidR="00F91657">
        <w:rPr>
          <w:rFonts w:ascii="Century Gothic" w:hAnsi="Century Gothic"/>
          <w:color w:val="auto"/>
          <w:sz w:val="24"/>
        </w:rPr>
        <w:t xml:space="preserve">to worship multiple </w:t>
      </w:r>
      <w:proofErr w:type="gramStart"/>
      <w:r w:rsidR="00F91657">
        <w:rPr>
          <w:rFonts w:ascii="Century Gothic" w:hAnsi="Century Gothic"/>
          <w:color w:val="auto"/>
          <w:sz w:val="24"/>
        </w:rPr>
        <w:t>deity’s</w:t>
      </w:r>
      <w:proofErr w:type="gramEnd"/>
      <w:r w:rsidR="00F91657">
        <w:rPr>
          <w:rFonts w:ascii="Century Gothic" w:hAnsi="Century Gothic"/>
          <w:color w:val="auto"/>
          <w:sz w:val="24"/>
        </w:rPr>
        <w:t xml:space="preserve"> was seen as uncommon and therefor classed as an atheist due to practitioners monotheistic beliefs. As a result, many </w:t>
      </w:r>
      <w:r w:rsidR="00830547">
        <w:rPr>
          <w:rFonts w:ascii="Century Gothic" w:hAnsi="Century Gothic"/>
          <w:color w:val="auto"/>
          <w:sz w:val="24"/>
        </w:rPr>
        <w:t>t</w:t>
      </w:r>
      <w:r w:rsidR="00F91657">
        <w:rPr>
          <w:rFonts w:ascii="Century Gothic" w:hAnsi="Century Gothic"/>
          <w:color w:val="auto"/>
          <w:sz w:val="24"/>
        </w:rPr>
        <w:t xml:space="preserve">ook offence to the beliefs set out within Christianity </w:t>
      </w:r>
      <w:r w:rsidR="0035253F">
        <w:rPr>
          <w:rFonts w:ascii="Century Gothic" w:hAnsi="Century Gothic"/>
          <w:color w:val="auto"/>
          <w:sz w:val="24"/>
        </w:rPr>
        <w:t>therefor causing some spasms of imperial persecution and philosophical attacks by those such as Celsus</w:t>
      </w:r>
      <w:r w:rsidR="00830547">
        <w:rPr>
          <w:rFonts w:ascii="Century Gothic" w:hAnsi="Century Gothic"/>
          <w:color w:val="auto"/>
          <w:sz w:val="24"/>
        </w:rPr>
        <w:t>.</w:t>
      </w:r>
      <w:r w:rsidR="0035253F">
        <w:rPr>
          <w:rStyle w:val="FootnoteReference"/>
          <w:rFonts w:ascii="Century Gothic" w:hAnsi="Century Gothic"/>
          <w:color w:val="auto"/>
          <w:sz w:val="24"/>
        </w:rPr>
        <w:footnoteReference w:id="3"/>
      </w:r>
      <w:r w:rsidR="00830547">
        <w:rPr>
          <w:rFonts w:ascii="Century Gothic" w:hAnsi="Century Gothic"/>
          <w:color w:val="auto"/>
          <w:sz w:val="24"/>
        </w:rPr>
        <w:t xml:space="preserve"> </w:t>
      </w:r>
    </w:p>
    <w:p w14:paraId="6688A172" w14:textId="6B93B552" w:rsidR="00FB2B66" w:rsidRPr="00FB2B66" w:rsidRDefault="00477509" w:rsidP="00477509">
      <w:pPr>
        <w:pStyle w:val="ListBullet"/>
        <w:numPr>
          <w:ilvl w:val="0"/>
          <w:numId w:val="0"/>
        </w:numPr>
        <w:rPr>
          <w:rFonts w:ascii="Century Gothic" w:hAnsi="Century Gothic"/>
          <w:color w:val="auto"/>
          <w:sz w:val="24"/>
        </w:rPr>
      </w:pPr>
      <w:r>
        <w:rPr>
          <w:rFonts w:ascii="Century Gothic" w:hAnsi="Century Gothic"/>
          <w:color w:val="auto"/>
          <w:sz w:val="24"/>
        </w:rPr>
        <w:t xml:space="preserve">By the Twentieth Century, Atheism and its varying school of </w:t>
      </w:r>
      <w:r w:rsidR="00984A41">
        <w:rPr>
          <w:rFonts w:ascii="Century Gothic" w:hAnsi="Century Gothic"/>
          <w:color w:val="auto"/>
          <w:sz w:val="24"/>
        </w:rPr>
        <w:t>thought</w:t>
      </w:r>
      <w:r>
        <w:rPr>
          <w:rFonts w:ascii="Century Gothic" w:hAnsi="Century Gothic"/>
          <w:color w:val="auto"/>
          <w:sz w:val="24"/>
        </w:rPr>
        <w:t xml:space="preserve"> caught more traction with broader philosophies such as</w:t>
      </w:r>
      <w:r w:rsidR="00984A41">
        <w:rPr>
          <w:rFonts w:ascii="Century Gothic" w:hAnsi="Century Gothic"/>
          <w:color w:val="auto"/>
          <w:sz w:val="24"/>
        </w:rPr>
        <w:t xml:space="preserve"> humanism, nihilism and Marxism. </w:t>
      </w:r>
      <w:proofErr w:type="gramStart"/>
      <w:r w:rsidR="00984A41">
        <w:rPr>
          <w:rFonts w:ascii="Century Gothic" w:hAnsi="Century Gothic"/>
          <w:color w:val="auto"/>
          <w:sz w:val="24"/>
        </w:rPr>
        <w:t>Advocates  for</w:t>
      </w:r>
      <w:proofErr w:type="gramEnd"/>
      <w:r w:rsidR="00984A41">
        <w:rPr>
          <w:rFonts w:ascii="Century Gothic" w:hAnsi="Century Gothic"/>
          <w:color w:val="auto"/>
          <w:sz w:val="24"/>
        </w:rPr>
        <w:t xml:space="preserve"> atheism such as Bertrand Russell rejected the belief in any form of God</w:t>
      </w:r>
      <w:r w:rsidR="00A42695">
        <w:rPr>
          <w:rFonts w:ascii="Century Gothic" w:hAnsi="Century Gothic"/>
          <w:color w:val="auto"/>
          <w:sz w:val="24"/>
        </w:rPr>
        <w:t xml:space="preserve">. In </w:t>
      </w:r>
      <w:proofErr w:type="gramStart"/>
      <w:r w:rsidR="00A42695">
        <w:rPr>
          <w:rFonts w:ascii="Century Gothic" w:hAnsi="Century Gothic"/>
          <w:color w:val="auto"/>
          <w:sz w:val="24"/>
        </w:rPr>
        <w:t>addition</w:t>
      </w:r>
      <w:proofErr w:type="gramEnd"/>
      <w:r w:rsidR="00A42695">
        <w:rPr>
          <w:rFonts w:ascii="Century Gothic" w:hAnsi="Century Gothic"/>
          <w:color w:val="auto"/>
          <w:sz w:val="24"/>
        </w:rPr>
        <w:t xml:space="preserve"> J.J.C. Smart also argued that God’s existence was neither logical nor necessary, whilst John Dewey argued the natural world could be the basis of everything therefore a creator being could not be held accountable for the universe.  </w:t>
      </w:r>
    </w:p>
    <w:p w14:paraId="220C6DEE" w14:textId="3110B693" w:rsidR="00FB2B66" w:rsidRDefault="00A42695" w:rsidP="0022422A">
      <w:pPr>
        <w:pStyle w:val="ListBullet"/>
        <w:numPr>
          <w:ilvl w:val="0"/>
          <w:numId w:val="0"/>
        </w:numPr>
        <w:rPr>
          <w:rFonts w:ascii="Century Gothic" w:hAnsi="Century Gothic"/>
          <w:color w:val="auto"/>
          <w:sz w:val="24"/>
        </w:rPr>
      </w:pPr>
      <w:r>
        <w:rPr>
          <w:rFonts w:ascii="Century Gothic" w:hAnsi="Century Gothic"/>
          <w:color w:val="auto"/>
          <w:sz w:val="24"/>
        </w:rPr>
        <w:t xml:space="preserve">The works of Marks and </w:t>
      </w:r>
      <w:proofErr w:type="spellStart"/>
      <w:r>
        <w:rPr>
          <w:rFonts w:ascii="Century Gothic" w:hAnsi="Century Gothic"/>
          <w:color w:val="auto"/>
          <w:sz w:val="24"/>
        </w:rPr>
        <w:t>Engles</w:t>
      </w:r>
      <w:proofErr w:type="spellEnd"/>
      <w:r>
        <w:rPr>
          <w:rFonts w:ascii="Century Gothic" w:hAnsi="Century Gothic"/>
          <w:color w:val="auto"/>
          <w:sz w:val="24"/>
        </w:rPr>
        <w:t xml:space="preserve"> highly influenced the early </w:t>
      </w:r>
      <w:proofErr w:type="spellStart"/>
      <w:r>
        <w:rPr>
          <w:rFonts w:ascii="Century Gothic" w:hAnsi="Century Gothic"/>
          <w:color w:val="auto"/>
          <w:sz w:val="24"/>
        </w:rPr>
        <w:t>russion</w:t>
      </w:r>
      <w:proofErr w:type="spellEnd"/>
      <w:r>
        <w:rPr>
          <w:rFonts w:ascii="Century Gothic" w:hAnsi="Century Gothic"/>
          <w:color w:val="auto"/>
          <w:sz w:val="24"/>
        </w:rPr>
        <w:t xml:space="preserve"> </w:t>
      </w:r>
      <w:r w:rsidR="009776ED">
        <w:rPr>
          <w:rFonts w:ascii="Century Gothic" w:hAnsi="Century Gothic"/>
          <w:color w:val="auto"/>
          <w:sz w:val="24"/>
        </w:rPr>
        <w:t>Soviet Union</w:t>
      </w:r>
      <w:r>
        <w:rPr>
          <w:rFonts w:ascii="Century Gothic" w:hAnsi="Century Gothic"/>
          <w:color w:val="auto"/>
          <w:sz w:val="24"/>
        </w:rPr>
        <w:t xml:space="preserve">. Soviet Russia became the worlds first avowedly atheistic state despite there being high amounts of catholic and </w:t>
      </w:r>
      <w:r w:rsidR="009776ED">
        <w:rPr>
          <w:rFonts w:ascii="Century Gothic" w:hAnsi="Century Gothic"/>
          <w:color w:val="auto"/>
          <w:sz w:val="24"/>
        </w:rPr>
        <w:t>J</w:t>
      </w:r>
      <w:r>
        <w:rPr>
          <w:rFonts w:ascii="Century Gothic" w:hAnsi="Century Gothic"/>
          <w:color w:val="auto"/>
          <w:sz w:val="24"/>
        </w:rPr>
        <w:t>ewish movement across the country. Later the policies of Stalinism turned towards repression of religion</w:t>
      </w:r>
      <w:r w:rsidR="009776ED">
        <w:rPr>
          <w:rFonts w:ascii="Century Gothic" w:hAnsi="Century Gothic"/>
          <w:color w:val="auto"/>
          <w:sz w:val="24"/>
        </w:rPr>
        <w:t xml:space="preserve">, often by violent means, which is not uncommonly seen within communistic government. The state also oppressed organized religion in a whole. This was made policy a policy which can be seen across all communist states such as the Peoples Republic of China, and Mongolia. In 1967, the Albanian government under </w:t>
      </w:r>
      <w:proofErr w:type="spellStart"/>
      <w:r w:rsidR="009776ED">
        <w:rPr>
          <w:rFonts w:ascii="Century Gothic" w:hAnsi="Century Gothic"/>
          <w:color w:val="auto"/>
          <w:sz w:val="24"/>
        </w:rPr>
        <w:t>Enver</w:t>
      </w:r>
      <w:proofErr w:type="spellEnd"/>
      <w:r w:rsidR="009776ED">
        <w:rPr>
          <w:rFonts w:ascii="Century Gothic" w:hAnsi="Century Gothic"/>
          <w:color w:val="auto"/>
          <w:sz w:val="24"/>
        </w:rPr>
        <w:t xml:space="preserve"> Hoxha (08/11/1941 – 11/04/1985) closed all religious institutions and declared Albania the world’s first officially atheist country. By 1970 all counties under the soviet union’s influence within eastern Europe </w:t>
      </w:r>
      <w:r w:rsidR="00DC3DC4">
        <w:rPr>
          <w:rFonts w:ascii="Century Gothic" w:hAnsi="Century Gothic"/>
          <w:color w:val="auto"/>
          <w:sz w:val="24"/>
        </w:rPr>
        <w:t>were effectively atheist. Although some of the atheistic efforts made by the Soviet Union and Chinese communist government negatively effected the image of atheism</w:t>
      </w:r>
    </w:p>
    <w:p w14:paraId="565026B8" w14:textId="51F3477F" w:rsidR="00DC3DC4" w:rsidRDefault="00DC3DC4" w:rsidP="0022422A">
      <w:pPr>
        <w:pStyle w:val="ListBullet"/>
        <w:numPr>
          <w:ilvl w:val="0"/>
          <w:numId w:val="0"/>
        </w:numPr>
        <w:rPr>
          <w:rFonts w:ascii="Century Gothic" w:hAnsi="Century Gothic"/>
          <w:color w:val="auto"/>
          <w:sz w:val="24"/>
        </w:rPr>
      </w:pPr>
      <w:r>
        <w:rPr>
          <w:rFonts w:ascii="Century Gothic" w:hAnsi="Century Gothic"/>
          <w:color w:val="auto"/>
          <w:sz w:val="24"/>
        </w:rPr>
        <w:lastRenderedPageBreak/>
        <w:t>I would suggest that it is here where the clearest flip in the social standing of atheism is most clear. It is here where persecution of the state made a drastic flip between persecuting the views of believers and non-believers.</w:t>
      </w:r>
      <w:r w:rsidR="00147E35">
        <w:rPr>
          <w:rStyle w:val="FootnoteReference"/>
          <w:rFonts w:ascii="Century Gothic" w:hAnsi="Century Gothic"/>
          <w:color w:val="auto"/>
          <w:sz w:val="24"/>
        </w:rPr>
        <w:footnoteReference w:id="4"/>
      </w:r>
      <w:r>
        <w:rPr>
          <w:rFonts w:ascii="Century Gothic" w:hAnsi="Century Gothic"/>
          <w:color w:val="auto"/>
          <w:sz w:val="24"/>
        </w:rPr>
        <w:t xml:space="preserve">  </w:t>
      </w:r>
    </w:p>
    <w:p w14:paraId="60702D95" w14:textId="2DFC95BA" w:rsidR="00723A29" w:rsidRPr="0022422A" w:rsidRDefault="00830547" w:rsidP="0022422A">
      <w:pPr>
        <w:pStyle w:val="ListBullet"/>
        <w:numPr>
          <w:ilvl w:val="0"/>
          <w:numId w:val="0"/>
        </w:numPr>
        <w:rPr>
          <w:color w:val="auto"/>
          <w:sz w:val="24"/>
        </w:rPr>
      </w:pPr>
      <w:r>
        <w:rPr>
          <w:rFonts w:ascii="Century Gothic" w:hAnsi="Century Gothic"/>
          <w:color w:val="auto"/>
          <w:sz w:val="24"/>
        </w:rPr>
        <w:t xml:space="preserve">Atheism today is much changed from its grassroots with </w:t>
      </w:r>
      <w:r w:rsidR="00CE7117">
        <w:rPr>
          <w:rFonts w:ascii="Century Gothic" w:hAnsi="Century Gothic"/>
          <w:color w:val="auto"/>
          <w:sz w:val="24"/>
        </w:rPr>
        <w:t>its ever</w:t>
      </w:r>
      <w:r w:rsidR="00305E7E">
        <w:rPr>
          <w:rFonts w:ascii="Century Gothic" w:hAnsi="Century Gothic"/>
          <w:color w:val="auto"/>
          <w:sz w:val="24"/>
        </w:rPr>
        <w:t xml:space="preserve"> </w:t>
      </w:r>
      <w:r w:rsidR="00CE7117">
        <w:rPr>
          <w:rFonts w:ascii="Century Gothic" w:hAnsi="Century Gothic"/>
          <w:color w:val="auto"/>
          <w:sz w:val="24"/>
        </w:rPr>
        <w:t xml:space="preserve">growing following as </w:t>
      </w:r>
      <w:r w:rsidR="00A467E4">
        <w:rPr>
          <w:rFonts w:ascii="Century Gothic" w:hAnsi="Century Gothic"/>
          <w:color w:val="auto"/>
          <w:sz w:val="24"/>
        </w:rPr>
        <w:t xml:space="preserve">after the Terrorist incident on the eleventh of September 2009 in the United States the faith of many Americans and those of other nationalities was </w:t>
      </w:r>
      <w:r w:rsidR="006959A8">
        <w:rPr>
          <w:rFonts w:ascii="Century Gothic" w:hAnsi="Century Gothic"/>
          <w:color w:val="auto"/>
          <w:sz w:val="24"/>
        </w:rPr>
        <w:t>challenged</w:t>
      </w:r>
      <w:r w:rsidR="00A467E4">
        <w:rPr>
          <w:rFonts w:ascii="Century Gothic" w:hAnsi="Century Gothic"/>
          <w:color w:val="auto"/>
          <w:sz w:val="24"/>
        </w:rPr>
        <w:t xml:space="preserve">. Whilst many stated the study of religion became more important </w:t>
      </w:r>
      <w:r w:rsidR="006959A8">
        <w:rPr>
          <w:rFonts w:ascii="Century Gothic" w:hAnsi="Century Gothic"/>
          <w:color w:val="auto"/>
          <w:sz w:val="24"/>
        </w:rPr>
        <w:t>following</w:t>
      </w:r>
      <w:r w:rsidR="00A467E4">
        <w:rPr>
          <w:rFonts w:ascii="Century Gothic" w:hAnsi="Century Gothic"/>
          <w:color w:val="auto"/>
          <w:sz w:val="24"/>
        </w:rPr>
        <w:t xml:space="preserve"> the incident, some still argue</w:t>
      </w:r>
      <w:r w:rsidR="0019625B">
        <w:rPr>
          <w:rFonts w:ascii="Century Gothic" w:hAnsi="Century Gothic"/>
          <w:color w:val="auto"/>
          <w:sz w:val="24"/>
        </w:rPr>
        <w:t xml:space="preserve"> that </w:t>
      </w:r>
      <w:r w:rsidR="006959A8">
        <w:rPr>
          <w:rFonts w:ascii="Century Gothic" w:hAnsi="Century Gothic"/>
          <w:color w:val="auto"/>
          <w:sz w:val="24"/>
        </w:rPr>
        <w:t>religions</w:t>
      </w:r>
      <w:r w:rsidR="0019625B">
        <w:rPr>
          <w:rFonts w:ascii="Century Gothic" w:hAnsi="Century Gothic"/>
          <w:color w:val="auto"/>
          <w:sz w:val="24"/>
        </w:rPr>
        <w:t xml:space="preserve"> are not relevant in </w:t>
      </w:r>
      <w:proofErr w:type="spellStart"/>
      <w:r w:rsidR="0019625B">
        <w:rPr>
          <w:rFonts w:ascii="Century Gothic" w:hAnsi="Century Gothic"/>
          <w:color w:val="auto"/>
          <w:sz w:val="24"/>
        </w:rPr>
        <w:t>todays</w:t>
      </w:r>
      <w:proofErr w:type="spellEnd"/>
      <w:r w:rsidR="0019625B">
        <w:rPr>
          <w:rFonts w:ascii="Century Gothic" w:hAnsi="Century Gothic"/>
          <w:color w:val="auto"/>
          <w:sz w:val="24"/>
        </w:rPr>
        <w:t xml:space="preserve"> </w:t>
      </w:r>
      <w:r w:rsidR="006959A8">
        <w:rPr>
          <w:rFonts w:ascii="Century Gothic" w:hAnsi="Century Gothic"/>
          <w:color w:val="auto"/>
          <w:sz w:val="24"/>
        </w:rPr>
        <w:t>society</w:t>
      </w:r>
      <w:r w:rsidR="0019625B">
        <w:rPr>
          <w:rFonts w:ascii="Century Gothic" w:hAnsi="Century Gothic"/>
          <w:color w:val="auto"/>
          <w:sz w:val="24"/>
        </w:rPr>
        <w:t>.  Those who classified themselves as atheist before the attack became more prevalent and vocal about their ideals, an example would include the publishing of Richard Drawings’ “The God Delusion” which has pushed boundaries with its thought provoking and intuitive ideas.</w:t>
      </w:r>
    </w:p>
    <w:p w14:paraId="5A59E0FA" w14:textId="4F0A08DB" w:rsidR="002C74C0" w:rsidRDefault="00A45B32" w:rsidP="00A45B32">
      <w:pPr>
        <w:pStyle w:val="Heading2"/>
        <w:rPr>
          <w:sz w:val="28"/>
          <w:szCs w:val="28"/>
          <w:u w:val="single"/>
        </w:rPr>
      </w:pPr>
      <w:r w:rsidRPr="00A45B32">
        <w:rPr>
          <w:sz w:val="28"/>
          <w:szCs w:val="28"/>
          <w:u w:val="single"/>
        </w:rPr>
        <w:t>Cencus Data.</w:t>
      </w:r>
    </w:p>
    <w:p w14:paraId="4F029053" w14:textId="4EA2405A" w:rsidR="00A45B32" w:rsidRDefault="00A45B32" w:rsidP="00A45B32">
      <w:pPr>
        <w:rPr>
          <w:rFonts w:ascii="Century Gothic" w:hAnsi="Century Gothic"/>
          <w:color w:val="auto"/>
          <w:sz w:val="24"/>
        </w:rPr>
      </w:pPr>
      <w:r w:rsidRPr="00A45B32">
        <w:rPr>
          <w:rFonts w:ascii="Century Gothic" w:hAnsi="Century Gothic"/>
          <w:color w:val="auto"/>
          <w:sz w:val="24"/>
        </w:rPr>
        <w:t xml:space="preserve">Each decade in the </w:t>
      </w:r>
      <w:r>
        <w:rPr>
          <w:rFonts w:ascii="Century Gothic" w:hAnsi="Century Gothic"/>
          <w:color w:val="auto"/>
          <w:sz w:val="24"/>
        </w:rPr>
        <w:t>U</w:t>
      </w:r>
      <w:r w:rsidRPr="00A45B32">
        <w:rPr>
          <w:rFonts w:ascii="Century Gothic" w:hAnsi="Century Gothic"/>
          <w:color w:val="auto"/>
          <w:sz w:val="24"/>
        </w:rPr>
        <w:t xml:space="preserve">nited </w:t>
      </w:r>
      <w:r>
        <w:rPr>
          <w:rFonts w:ascii="Century Gothic" w:hAnsi="Century Gothic"/>
          <w:color w:val="auto"/>
          <w:sz w:val="24"/>
        </w:rPr>
        <w:t>K</w:t>
      </w:r>
      <w:r w:rsidRPr="00A45B32">
        <w:rPr>
          <w:rFonts w:ascii="Century Gothic" w:hAnsi="Century Gothic"/>
          <w:color w:val="auto"/>
          <w:sz w:val="24"/>
        </w:rPr>
        <w:t>ingdom</w:t>
      </w:r>
      <w:r>
        <w:rPr>
          <w:rFonts w:ascii="Century Gothic" w:hAnsi="Century Gothic"/>
          <w:color w:val="auto"/>
          <w:sz w:val="24"/>
        </w:rPr>
        <w:t xml:space="preserve"> a general census is conducted </w:t>
      </w:r>
      <w:proofErr w:type="gramStart"/>
      <w:r>
        <w:rPr>
          <w:rFonts w:ascii="Century Gothic" w:hAnsi="Century Gothic"/>
          <w:color w:val="auto"/>
          <w:sz w:val="24"/>
        </w:rPr>
        <w:t>In</w:t>
      </w:r>
      <w:proofErr w:type="gramEnd"/>
      <w:r>
        <w:rPr>
          <w:rFonts w:ascii="Century Gothic" w:hAnsi="Century Gothic"/>
          <w:color w:val="auto"/>
          <w:sz w:val="24"/>
        </w:rPr>
        <w:t xml:space="preserve"> order to provide a complete overview of the United Kingdom allowing analyzation to be conducted between groups. The data collected is also use by the government, academics, businesses and various organizations in order to provide a representation of the population, employment, income, forms of housing and many more</w:t>
      </w:r>
      <w:r w:rsidR="006959A8">
        <w:rPr>
          <w:rFonts w:ascii="Century Gothic" w:hAnsi="Century Gothic"/>
          <w:color w:val="auto"/>
          <w:sz w:val="24"/>
        </w:rPr>
        <w:t xml:space="preserve"> options</w:t>
      </w:r>
      <w:r>
        <w:rPr>
          <w:rFonts w:ascii="Century Gothic" w:hAnsi="Century Gothic"/>
          <w:color w:val="auto"/>
          <w:sz w:val="24"/>
        </w:rPr>
        <w:t>.</w:t>
      </w:r>
      <w:r w:rsidR="00C55FD6">
        <w:rPr>
          <w:rStyle w:val="FootnoteReference"/>
          <w:rFonts w:ascii="Century Gothic" w:hAnsi="Century Gothic"/>
          <w:color w:val="auto"/>
          <w:sz w:val="24"/>
        </w:rPr>
        <w:footnoteReference w:id="5"/>
      </w:r>
    </w:p>
    <w:p w14:paraId="2D7BEB6F" w14:textId="6265F1F7" w:rsidR="00A45B32" w:rsidRDefault="008271D3" w:rsidP="00A45B32">
      <w:pPr>
        <w:rPr>
          <w:rFonts w:ascii="Century Gothic" w:hAnsi="Century Gothic"/>
          <w:color w:val="auto"/>
          <w:sz w:val="24"/>
        </w:rPr>
      </w:pPr>
      <w:r>
        <w:rPr>
          <w:rFonts w:ascii="Century Gothic" w:hAnsi="Century Gothic"/>
          <w:color w:val="auto"/>
          <w:sz w:val="24"/>
        </w:rPr>
        <w:t xml:space="preserve">The graph below shows the </w:t>
      </w:r>
      <w:r w:rsidR="0030145C">
        <w:rPr>
          <w:rFonts w:ascii="Century Gothic" w:hAnsi="Century Gothic"/>
          <w:color w:val="auto"/>
          <w:sz w:val="24"/>
        </w:rPr>
        <w:t xml:space="preserve">percentage of different religions </w:t>
      </w:r>
      <w:r w:rsidR="006959A8">
        <w:rPr>
          <w:rFonts w:ascii="Century Gothic" w:hAnsi="Century Gothic"/>
          <w:color w:val="auto"/>
          <w:sz w:val="24"/>
        </w:rPr>
        <w:t>seen</w:t>
      </w:r>
      <w:r w:rsidR="0030145C">
        <w:rPr>
          <w:rFonts w:ascii="Century Gothic" w:hAnsi="Century Gothic"/>
          <w:color w:val="auto"/>
          <w:sz w:val="24"/>
        </w:rPr>
        <w:t xml:space="preserve"> in England and Wales </w:t>
      </w:r>
      <w:r w:rsidR="006959A8">
        <w:rPr>
          <w:rFonts w:ascii="Century Gothic" w:hAnsi="Century Gothic"/>
          <w:color w:val="auto"/>
          <w:sz w:val="24"/>
        </w:rPr>
        <w:t>according to</w:t>
      </w:r>
      <w:r w:rsidR="0030145C">
        <w:rPr>
          <w:rFonts w:ascii="Century Gothic" w:hAnsi="Century Gothic"/>
          <w:color w:val="auto"/>
          <w:sz w:val="24"/>
        </w:rPr>
        <w:t xml:space="preserve"> the 2011 data collection</w:t>
      </w:r>
      <w:r w:rsidR="006959A8">
        <w:rPr>
          <w:rFonts w:ascii="Century Gothic" w:hAnsi="Century Gothic"/>
          <w:color w:val="auto"/>
          <w:sz w:val="24"/>
        </w:rPr>
        <w:t xml:space="preserve"> set</w:t>
      </w:r>
      <w:r w:rsidR="0030145C">
        <w:rPr>
          <w:rFonts w:ascii="Century Gothic" w:hAnsi="Century Gothic"/>
          <w:color w:val="auto"/>
          <w:sz w:val="24"/>
        </w:rPr>
        <w:t>.</w:t>
      </w:r>
    </w:p>
    <w:p w14:paraId="5166E976" w14:textId="4592B708" w:rsidR="0030145C" w:rsidRPr="00282625" w:rsidRDefault="00001A9A" w:rsidP="00A45B32">
      <w:pPr>
        <w:rPr>
          <w:rFonts w:ascii="Century Gothic" w:hAnsi="Century Gothic"/>
          <w:color w:val="auto"/>
          <w:sz w:val="24"/>
        </w:rPr>
      </w:pPr>
      <w:r w:rsidRPr="00001A9A">
        <w:rPr>
          <w:rFonts w:ascii="Century Gothic" w:hAnsi="Century Gothic"/>
          <w:noProof/>
          <w:color w:val="auto"/>
          <w:sz w:val="24"/>
        </w:rPr>
        <w:lastRenderedPageBreak/>
        <mc:AlternateContent>
          <mc:Choice Requires="wps">
            <w:drawing>
              <wp:anchor distT="45720" distB="45720" distL="114300" distR="114300" simplePos="0" relativeHeight="251662336" behindDoc="0" locked="0" layoutInCell="1" allowOverlap="1" wp14:anchorId="22925A50" wp14:editId="5ADA424E">
                <wp:simplePos x="0" y="0"/>
                <wp:positionH relativeFrom="column">
                  <wp:posOffset>5150906</wp:posOffset>
                </wp:positionH>
                <wp:positionV relativeFrom="paragraph">
                  <wp:posOffset>3195535</wp:posOffset>
                </wp:positionV>
                <wp:extent cx="664845" cy="332105"/>
                <wp:effectExtent l="0" t="0" r="2095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 cy="332105"/>
                        </a:xfrm>
                        <a:prstGeom prst="rect">
                          <a:avLst/>
                        </a:prstGeom>
                        <a:solidFill>
                          <a:srgbClr val="FFFFFF"/>
                        </a:solidFill>
                        <a:ln w="9525">
                          <a:solidFill>
                            <a:srgbClr val="000000"/>
                          </a:solidFill>
                          <a:miter lim="800000"/>
                          <a:headEnd/>
                          <a:tailEnd/>
                        </a:ln>
                      </wps:spPr>
                      <wps:txbx>
                        <w:txbxContent>
                          <w:p w14:paraId="1A9853B2" w14:textId="35A11165" w:rsidR="00001A9A" w:rsidRDefault="00001A9A">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925A50" id="_x0000_t202" coordsize="21600,21600" o:spt="202" path="m,l,21600r21600,l21600,xe">
                <v:stroke joinstyle="miter"/>
                <v:path gradientshapeok="t" o:connecttype="rect"/>
              </v:shapetype>
              <v:shape id="Text Box 2" o:spid="_x0000_s1026" type="#_x0000_t202" style="position:absolute;margin-left:405.6pt;margin-top:251.6pt;width:52.35pt;height:26.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Y1CJAIAAEUEAAAOAAAAZHJzL2Uyb0RvYy54bWysU9uO2yAQfa/Uf0C8N75sks1acVbbbFNV&#10;2l6k3X4AxjhGBcYFEjv9+g7Ym6a3l6o8IIYZDjPnzKxvB63IUVgnwZQ0m6WUCMOhlmZf0s9Pu1cr&#10;SpxnpmYKjCjpSTh6u3n5Yt13hcihBVULSxDEuKLvStp63xVJ4ngrNHMz6IRBZwNWM4+m3Se1ZT2i&#10;a5XkabpMerB1Z4EL5/D2fnTSTcRvGsH9x6ZxwhNVUszNx93GvQp7slmzYm9Z10o+pcH+IQvNpMFP&#10;z1D3zDNysPI3KC25BQeNn3HQCTSN5CLWgNVk6S/VPLasE7EWJMd1Z5rc/4PlH46fLJF1SfPsmhLD&#10;NIr0JAZPXsNA8sBP37kCwx47DPQDXqPOsVbXPQD/4oiBbcvMXtxZC30rWI35ZeFlcvF0xHEBpOrf&#10;Q43fsIOHCDQ0VgfykA6C6KjT6axNSIXj5XI5X80XlHB0XV3lWbqIP7Di+XFnnX8rQJNwKKlF6SM4&#10;Oz44H5JhxXNI+MuBkvVOKhUNu6+2ypIjwzbZxTWh/xSmDOlLerPIF2P9f4VI4/oThJYe+11JXdLV&#10;OYgVgbU3po7d6JlU4xlTVmaiMTA3cuiHaphkqaA+IaEWxr7GOcRDC/YbJT32dEnd1wOzghL1zqAo&#10;N9l8HoYgGvPFdY6GvfRUlx5mOEKV1FMyHrc+Dk4gzMAditfISGxQecxkyhV7NfI9zVUYhks7Rv2Y&#10;/s13AAAA//8DAFBLAwQUAAYACAAAACEAhuuyh+AAAAALAQAADwAAAGRycy9kb3ducmV2LnhtbEyP&#10;zU7DMBCE70i8g7VIXBB10tLShDgVQgLBDQqCqxtvkwh7HWw3DW/PcoI97c+nmdlqMzkrRgyx96Qg&#10;n2UgkBpvemoVvL3eX65BxKTJaOsJFXxjhE19elLp0vgjveC4Ta1gEYqlVtClNJRSxqZDp+PMD0h8&#10;2/vgdOIxtNIEfWRxZ+U8y1bS6Z7YodMD3nXYfG4PTsH66nH8iE+L5/dmtbdFurgeH76CUudn0+0N&#10;iIRT+oPhNz5Hh5oz7fyBTBSWNfJ8zqiCZbbghokiXxYgdrzhAllX8v8P9Q8AAAD//wMAUEsBAi0A&#10;FAAGAAgAAAAhALaDOJL+AAAA4QEAABMAAAAAAAAAAAAAAAAAAAAAAFtDb250ZW50X1R5cGVzXS54&#10;bWxQSwECLQAUAAYACAAAACEAOP0h/9YAAACUAQAACwAAAAAAAAAAAAAAAAAvAQAAX3JlbHMvLnJl&#10;bHNQSwECLQAUAAYACAAAACEA102NQiQCAABFBAAADgAAAAAAAAAAAAAAAAAuAgAAZHJzL2Uyb0Rv&#10;Yy54bWxQSwECLQAUAAYACAAAACEAhuuyh+AAAAALAQAADwAAAAAAAAAAAAAAAAB+BAAAZHJzL2Rv&#10;d25yZXYueG1sUEsFBgAAAAAEAAQA8wAAAIsFAAAAAA==&#10;">
                <v:textbox>
                  <w:txbxContent>
                    <w:p w14:paraId="1A9853B2" w14:textId="35A11165" w:rsidR="00001A9A" w:rsidRDefault="00001A9A">
                      <w:r>
                        <w:t>Figure 1</w:t>
                      </w:r>
                    </w:p>
                  </w:txbxContent>
                </v:textbox>
                <w10:wrap type="square"/>
              </v:shape>
            </w:pict>
          </mc:Fallback>
        </mc:AlternateContent>
      </w:r>
      <w:r w:rsidR="0030145C">
        <w:rPr>
          <w:rFonts w:ascii="Century Gothic" w:hAnsi="Century Gothic"/>
          <w:noProof/>
          <w:color w:val="auto"/>
          <w:sz w:val="24"/>
        </w:rPr>
        <w:drawing>
          <wp:anchor distT="0" distB="0" distL="114300" distR="114300" simplePos="0" relativeHeight="251659264" behindDoc="0" locked="0" layoutInCell="1" allowOverlap="1" wp14:anchorId="7A420D7E" wp14:editId="39A43EF9">
            <wp:simplePos x="0" y="0"/>
            <wp:positionH relativeFrom="column">
              <wp:posOffset>198706</wp:posOffset>
            </wp:positionH>
            <wp:positionV relativeFrom="paragraph">
              <wp:posOffset>8</wp:posOffset>
            </wp:positionV>
            <wp:extent cx="5486400" cy="32004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30145C">
        <w:rPr>
          <w:rFonts w:ascii="Century Gothic" w:hAnsi="Century Gothic"/>
          <w:color w:val="auto"/>
          <w:sz w:val="24"/>
        </w:rPr>
        <w:t xml:space="preserve">From this chart we can see that </w:t>
      </w:r>
      <w:r w:rsidR="00EB6091">
        <w:rPr>
          <w:rFonts w:ascii="Century Gothic" w:hAnsi="Century Gothic"/>
          <w:color w:val="auto"/>
          <w:sz w:val="24"/>
        </w:rPr>
        <w:t>whilst Christianity</w:t>
      </w:r>
      <w:r w:rsidR="006959A8">
        <w:rPr>
          <w:rFonts w:ascii="Century Gothic" w:hAnsi="Century Gothic"/>
          <w:color w:val="auto"/>
          <w:sz w:val="24"/>
        </w:rPr>
        <w:t xml:space="preserve"> in its multiple forms</w:t>
      </w:r>
      <w:r w:rsidR="00EB6091">
        <w:rPr>
          <w:rFonts w:ascii="Century Gothic" w:hAnsi="Century Gothic"/>
          <w:color w:val="auto"/>
          <w:sz w:val="24"/>
        </w:rPr>
        <w:t xml:space="preserve"> can still </w:t>
      </w:r>
      <w:proofErr w:type="gramStart"/>
      <w:r w:rsidR="00EB6091">
        <w:rPr>
          <w:rFonts w:ascii="Century Gothic" w:hAnsi="Century Gothic"/>
          <w:color w:val="auto"/>
          <w:sz w:val="24"/>
        </w:rPr>
        <w:t>be seen as</w:t>
      </w:r>
      <w:proofErr w:type="gramEnd"/>
      <w:r w:rsidR="00EB6091">
        <w:rPr>
          <w:rFonts w:ascii="Century Gothic" w:hAnsi="Century Gothic"/>
          <w:color w:val="auto"/>
          <w:sz w:val="24"/>
        </w:rPr>
        <w:t xml:space="preserve"> the </w:t>
      </w:r>
      <w:r w:rsidR="006959A8">
        <w:rPr>
          <w:rFonts w:ascii="Century Gothic" w:hAnsi="Century Gothic"/>
          <w:color w:val="auto"/>
          <w:sz w:val="24"/>
        </w:rPr>
        <w:t>dominant</w:t>
      </w:r>
      <w:r w:rsidR="00EB6091">
        <w:rPr>
          <w:rFonts w:ascii="Century Gothic" w:hAnsi="Century Gothic"/>
          <w:color w:val="auto"/>
          <w:sz w:val="24"/>
        </w:rPr>
        <w:t xml:space="preserve"> form of religion within the UK according the statistics at 59.3</w:t>
      </w:r>
      <w:r w:rsidR="00EB6091" w:rsidRPr="00282625">
        <w:rPr>
          <w:rFonts w:ascii="Century Gothic" w:hAnsi="Century Gothic"/>
          <w:color w:val="auto"/>
          <w:sz w:val="24"/>
        </w:rPr>
        <w:t xml:space="preserve">%. No </w:t>
      </w:r>
      <w:proofErr w:type="gramStart"/>
      <w:r w:rsidR="00EB6091" w:rsidRPr="00282625">
        <w:rPr>
          <w:rFonts w:ascii="Century Gothic" w:hAnsi="Century Gothic"/>
          <w:color w:val="auto"/>
          <w:sz w:val="24"/>
        </w:rPr>
        <w:t>religion</w:t>
      </w:r>
      <w:proofErr w:type="gramEnd"/>
      <w:r w:rsidR="00EB6091" w:rsidRPr="00282625">
        <w:rPr>
          <w:rFonts w:ascii="Century Gothic" w:hAnsi="Century Gothic"/>
          <w:color w:val="auto"/>
          <w:sz w:val="24"/>
        </w:rPr>
        <w:t xml:space="preserve"> however, was seen as the second most popular option on this d</w:t>
      </w:r>
      <w:r w:rsidR="006959A8">
        <w:rPr>
          <w:rFonts w:ascii="Century Gothic" w:hAnsi="Century Gothic"/>
          <w:color w:val="auto"/>
          <w:sz w:val="24"/>
        </w:rPr>
        <w:t>ata set</w:t>
      </w:r>
      <w:r w:rsidR="00EB6091" w:rsidRPr="00282625">
        <w:rPr>
          <w:rFonts w:ascii="Century Gothic" w:hAnsi="Century Gothic"/>
          <w:color w:val="auto"/>
          <w:sz w:val="24"/>
        </w:rPr>
        <w:t xml:space="preserve"> with 25.1% choosing to state such.</w:t>
      </w:r>
    </w:p>
    <w:p w14:paraId="3376E9DE" w14:textId="2CC8A0CC" w:rsidR="00EB6091" w:rsidRPr="00282625" w:rsidRDefault="00001A9A" w:rsidP="00A45B32">
      <w:pPr>
        <w:rPr>
          <w:rFonts w:ascii="Century Gothic" w:hAnsi="Century Gothic"/>
          <w:color w:val="auto"/>
          <w:sz w:val="24"/>
        </w:rPr>
      </w:pPr>
      <w:r w:rsidRPr="00282625">
        <w:rPr>
          <w:rFonts w:ascii="Century Gothic" w:hAnsi="Century Gothic"/>
          <w:noProof/>
          <w:color w:val="auto"/>
          <w:sz w:val="24"/>
        </w:rPr>
        <mc:AlternateContent>
          <mc:Choice Requires="wps">
            <w:drawing>
              <wp:anchor distT="45720" distB="45720" distL="114300" distR="114300" simplePos="0" relativeHeight="251664384" behindDoc="0" locked="0" layoutInCell="1" allowOverlap="1" wp14:anchorId="7FC38183" wp14:editId="2A3F1F91">
                <wp:simplePos x="0" y="0"/>
                <wp:positionH relativeFrom="column">
                  <wp:posOffset>5684801</wp:posOffset>
                </wp:positionH>
                <wp:positionV relativeFrom="paragraph">
                  <wp:posOffset>25170</wp:posOffset>
                </wp:positionV>
                <wp:extent cx="748030" cy="379730"/>
                <wp:effectExtent l="0" t="0" r="13970"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379730"/>
                        </a:xfrm>
                        <a:prstGeom prst="rect">
                          <a:avLst/>
                        </a:prstGeom>
                        <a:solidFill>
                          <a:srgbClr val="FFFFFF"/>
                        </a:solidFill>
                        <a:ln w="9525">
                          <a:solidFill>
                            <a:srgbClr val="000000"/>
                          </a:solidFill>
                          <a:miter lim="800000"/>
                          <a:headEnd/>
                          <a:tailEnd/>
                        </a:ln>
                      </wps:spPr>
                      <wps:txbx>
                        <w:txbxContent>
                          <w:p w14:paraId="6204F34A" w14:textId="1B681A04" w:rsidR="00001A9A" w:rsidRDefault="00001A9A">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38183" id="_x0000_s1027" type="#_x0000_t202" style="position:absolute;margin-left:447.6pt;margin-top:2pt;width:58.9pt;height:29.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vc/IwIAAEoEAAAOAAAAZHJzL2Uyb0RvYy54bWysVNtu2zAMfR+wfxD0vjhJkyUx4hRdugwD&#10;ugvQ7gNoWY6FSaInKbG7rx8lp2l2exnmB4EUqUPykPT6ujeaHaXzCm3BJ6MxZ9IKrJTdF/zLw+7V&#10;kjMfwFag0cqCP0rPrzcvX6y7NpdTbFBX0jECsT7v2oI3IbR5lnnRSAN+hK20ZKzRGQikun1WOegI&#10;3ehsOh6/zjp0VetQSO/p9nYw8k3Cr2spwqe69jIwXXDKLaTTpbOMZ7ZZQ7530DZKnNKAf8jCgLIU&#10;9Ax1CwHYwanfoIwSDj3WYSTQZFjXSshUA1UzGf9SzX0DrUy1EDm+PdPk/x+s+Hj87JiqCj7jzIKh&#10;Fj3IPrA32LNpZKdrfU5O9y25hZ6uqcupUt/eofjqmcVtA3Yvb5zDrpFQUXaT+DK7eDrg+AhSdh+w&#10;ojBwCJiA+tqZSB2RwQiduvR47kxMRdDlYrYcX5FFkOlqsVqQHCNA/vS4dT68k2hYFAruqPEJHI53&#10;PgyuTy4xlketqp3SOiluX261Y0egIdml74T+k5u2rCv4aj6dD/X/FWKcvj9BGBVo2rUyBV+enSCP&#10;rL21FaUJeQClB5mq0/ZEY2Ru4DD0ZZ/6lTiOFJdYPRKvDofhpmUkoUH3nbOOBrvg/tsBnORMv7fU&#10;m9VkNoubkJTZfDElxV1ayksLWEFQBQ+cDeI2pO2JqVq8oR7WKvH7nMkpZRrY1KHTcsWNuNST1/Mv&#10;YPMDAAD//wMAUEsDBBQABgAIAAAAIQCweBfe3wAAAAkBAAAPAAAAZHJzL2Rvd25yZXYueG1sTI/B&#10;TsMwEETvSPyDtUhcEHXalJCGOBVCAtEbFARXN94mEfE62G4a/p7tCW47mtHbmXI92V6M6EPnSMF8&#10;loBAqp3pqFHw/vZ4nYMIUZPRvSNU8IMB1tX5WakL4470iuM2NoIhFAqtoI1xKKQMdYtWh5kbkNjb&#10;O291ZOkbabw+Mtz2cpEkmbS6I/7Q6gEfWqy/tgerIF8+j59hk7581Nm+X8Wr2/Hp2yt1eTHd34GI&#10;OMW/MJzqc3WouNPOHcgE0TNjdbPgqIIlTzr5yTzla6cgS3OQVSn/L6h+AQAA//8DAFBLAQItABQA&#10;BgAIAAAAIQC2gziS/gAAAOEBAAATAAAAAAAAAAAAAAAAAAAAAABbQ29udGVudF9UeXBlc10ueG1s&#10;UEsBAi0AFAAGAAgAAAAhADj9If/WAAAAlAEAAAsAAAAAAAAAAAAAAAAALwEAAF9yZWxzLy5yZWxz&#10;UEsBAi0AFAAGAAgAAAAhAGSO9z8jAgAASgQAAA4AAAAAAAAAAAAAAAAALgIAAGRycy9lMm9Eb2Mu&#10;eG1sUEsBAi0AFAAGAAgAAAAhALB4F97fAAAACQEAAA8AAAAAAAAAAAAAAAAAfQQAAGRycy9kb3du&#10;cmV2LnhtbFBLBQYAAAAABAAEAPMAAACJBQAAAAA=&#10;">
                <v:textbox>
                  <w:txbxContent>
                    <w:p w14:paraId="6204F34A" w14:textId="1B681A04" w:rsidR="00001A9A" w:rsidRDefault="00001A9A">
                      <w:r>
                        <w:t>Figure 2</w:t>
                      </w:r>
                    </w:p>
                  </w:txbxContent>
                </v:textbox>
                <w10:wrap type="square"/>
              </v:shape>
            </w:pict>
          </mc:Fallback>
        </mc:AlternateContent>
      </w:r>
      <w:r w:rsidR="00EB6091" w:rsidRPr="00282625">
        <w:rPr>
          <w:rFonts w:ascii="Century Gothic" w:hAnsi="Century Gothic"/>
          <w:noProof/>
          <w:color w:val="auto"/>
          <w:sz w:val="24"/>
        </w:rPr>
        <w:drawing>
          <wp:anchor distT="0" distB="0" distL="114300" distR="114300" simplePos="0" relativeHeight="251660288" behindDoc="0" locked="0" layoutInCell="1" allowOverlap="1" wp14:anchorId="3875AF49" wp14:editId="45FA8777">
            <wp:simplePos x="0" y="0"/>
            <wp:positionH relativeFrom="column">
              <wp:posOffset>2491279</wp:posOffset>
            </wp:positionH>
            <wp:positionV relativeFrom="paragraph">
              <wp:posOffset>579326</wp:posOffset>
            </wp:positionV>
            <wp:extent cx="3776353" cy="3313488"/>
            <wp:effectExtent l="0" t="0" r="0" b="1270"/>
            <wp:wrapSquare wrapText="bothSides"/>
            <wp:docPr id="3" name="Picture 3" descr="https://news.nationalgeographic.com/content/dam/news/rights-exempt/nat-geo-staff-maps/2016/04/religion/Nones_2.ngsversion.14614226228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s.nationalgeographic.com/content/dam/news/rights-exempt/nat-geo-staff-maps/2016/04/religion/Nones_2.ngsversion.1461422622827.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6353" cy="3313488"/>
                    </a:xfrm>
                    <a:prstGeom prst="rect">
                      <a:avLst/>
                    </a:prstGeom>
                    <a:noFill/>
                    <a:ln>
                      <a:noFill/>
                    </a:ln>
                  </pic:spPr>
                </pic:pic>
              </a:graphicData>
            </a:graphic>
          </wp:anchor>
        </w:drawing>
      </w:r>
      <w:r w:rsidR="00EB6091" w:rsidRPr="00282625">
        <w:rPr>
          <w:rFonts w:ascii="Century Gothic" w:hAnsi="Century Gothic"/>
          <w:color w:val="auto"/>
          <w:sz w:val="24"/>
        </w:rPr>
        <w:t xml:space="preserve">However, 2011 was the first year where an option was provided for those who did not wish to </w:t>
      </w:r>
      <w:r w:rsidR="004C6215">
        <w:rPr>
          <w:rFonts w:ascii="Century Gothic" w:hAnsi="Century Gothic"/>
          <w:color w:val="auto"/>
          <w:sz w:val="24"/>
        </w:rPr>
        <w:t>provide an answer had an opportunity to do so</w:t>
      </w:r>
      <w:r w:rsidR="00EB6091" w:rsidRPr="00282625">
        <w:rPr>
          <w:rFonts w:ascii="Century Gothic" w:hAnsi="Century Gothic"/>
          <w:color w:val="auto"/>
          <w:sz w:val="24"/>
        </w:rPr>
        <w:t xml:space="preserve">. As a </w:t>
      </w:r>
      <w:proofErr w:type="gramStart"/>
      <w:r w:rsidR="00EB6091" w:rsidRPr="00282625">
        <w:rPr>
          <w:rFonts w:ascii="Century Gothic" w:hAnsi="Century Gothic"/>
          <w:color w:val="auto"/>
          <w:sz w:val="24"/>
        </w:rPr>
        <w:t>result</w:t>
      </w:r>
      <w:proofErr w:type="gramEnd"/>
      <w:r w:rsidR="00EB6091" w:rsidRPr="00282625">
        <w:rPr>
          <w:rFonts w:ascii="Century Gothic" w:hAnsi="Century Gothic"/>
          <w:color w:val="auto"/>
          <w:sz w:val="24"/>
        </w:rPr>
        <w:t xml:space="preserve"> 7.2 % chose not to state what their religion was, therefor acting as a variable when comparing this set of data with that of 2001.</w:t>
      </w:r>
    </w:p>
    <w:p w14:paraId="3BD7FD0F" w14:textId="27CD89C7" w:rsidR="00EB6091" w:rsidRPr="00282625" w:rsidRDefault="00EB6091" w:rsidP="00A45B32">
      <w:pPr>
        <w:rPr>
          <w:rFonts w:ascii="Century Gothic" w:hAnsi="Century Gothic"/>
          <w:color w:val="auto"/>
          <w:sz w:val="24"/>
        </w:rPr>
      </w:pPr>
      <w:r w:rsidRPr="00282625">
        <w:rPr>
          <w:rFonts w:ascii="Century Gothic" w:hAnsi="Century Gothic"/>
          <w:color w:val="auto"/>
          <w:sz w:val="24"/>
        </w:rPr>
        <w:t xml:space="preserve">The rise in </w:t>
      </w:r>
      <w:r w:rsidR="00001A9A" w:rsidRPr="00282625">
        <w:rPr>
          <w:rFonts w:ascii="Century Gothic" w:hAnsi="Century Gothic"/>
          <w:color w:val="auto"/>
          <w:sz w:val="24"/>
        </w:rPr>
        <w:t>those answering in the negative when f</w:t>
      </w:r>
      <w:r w:rsidR="004C6215">
        <w:rPr>
          <w:rFonts w:ascii="Century Gothic" w:hAnsi="Century Gothic"/>
          <w:color w:val="auto"/>
          <w:sz w:val="24"/>
        </w:rPr>
        <w:t>a</w:t>
      </w:r>
      <w:r w:rsidR="00001A9A" w:rsidRPr="00282625">
        <w:rPr>
          <w:rFonts w:ascii="Century Gothic" w:hAnsi="Century Gothic"/>
          <w:color w:val="auto"/>
          <w:sz w:val="24"/>
        </w:rPr>
        <w:t xml:space="preserve">ced with the question of religion can be seen not only in the UK but globally. The religiously unaffiliated can be seen as the second largest denomination in Northern America and the </w:t>
      </w:r>
      <w:r w:rsidR="00001A9A" w:rsidRPr="00282625">
        <w:rPr>
          <w:rFonts w:ascii="Century Gothic" w:hAnsi="Century Gothic"/>
          <w:color w:val="auto"/>
          <w:sz w:val="24"/>
        </w:rPr>
        <w:lastRenderedPageBreak/>
        <w:t>majority of Europe, whilst in the United States, they are the most prevalent.</w:t>
      </w:r>
      <w:r w:rsidR="00001A9A" w:rsidRPr="00282625">
        <w:rPr>
          <w:rStyle w:val="FootnoteReference"/>
          <w:rFonts w:ascii="Century Gothic" w:hAnsi="Century Gothic"/>
          <w:color w:val="auto"/>
          <w:sz w:val="24"/>
        </w:rPr>
        <w:footnoteReference w:id="6"/>
      </w:r>
    </w:p>
    <w:p w14:paraId="628697A4" w14:textId="1CBC833F" w:rsidR="00001A9A" w:rsidRPr="00282625" w:rsidRDefault="00001A9A" w:rsidP="00001A9A">
      <w:pPr>
        <w:pStyle w:val="Heading2"/>
        <w:rPr>
          <w:rFonts w:ascii="Century Gothic" w:hAnsi="Century Gothic"/>
          <w:sz w:val="28"/>
        </w:rPr>
      </w:pPr>
      <w:r w:rsidRPr="00282625">
        <w:rPr>
          <w:rFonts w:ascii="Century Gothic" w:hAnsi="Century Gothic"/>
          <w:sz w:val="28"/>
        </w:rPr>
        <w:t>The Sunday Assembly.</w:t>
      </w:r>
    </w:p>
    <w:p w14:paraId="648981B9" w14:textId="2F1E7BE7" w:rsidR="00522ABF" w:rsidRPr="00522ABF" w:rsidRDefault="00001A9A" w:rsidP="00FB2B66">
      <w:pPr>
        <w:shd w:val="clear" w:color="auto" w:fill="FFFFFF"/>
        <w:spacing w:before="0" w:after="0" w:line="240" w:lineRule="auto"/>
        <w:ind w:left="-360"/>
        <w:textAlignment w:val="top"/>
        <w:rPr>
          <w:rFonts w:ascii="Century Gothic" w:eastAsia="Times New Roman" w:hAnsi="Century Gothic" w:cs="Arial"/>
          <w:color w:val="000000"/>
          <w:sz w:val="24"/>
          <w:szCs w:val="24"/>
          <w:lang w:val="en-GB" w:eastAsia="en-GB"/>
        </w:rPr>
      </w:pPr>
      <w:r w:rsidRPr="004E6470">
        <w:rPr>
          <w:rFonts w:ascii="Century Gothic" w:hAnsi="Century Gothic"/>
          <w:color w:val="auto"/>
          <w:sz w:val="24"/>
        </w:rPr>
        <w:t xml:space="preserve">The </w:t>
      </w:r>
      <w:r w:rsidR="00282625" w:rsidRPr="004E6470">
        <w:rPr>
          <w:rFonts w:ascii="Century Gothic" w:hAnsi="Century Gothic"/>
          <w:color w:val="auto"/>
          <w:sz w:val="24"/>
        </w:rPr>
        <w:t>Sunday</w:t>
      </w:r>
      <w:r w:rsidRPr="004E6470">
        <w:rPr>
          <w:rFonts w:ascii="Century Gothic" w:hAnsi="Century Gothic"/>
          <w:color w:val="auto"/>
          <w:sz w:val="24"/>
        </w:rPr>
        <w:t xml:space="preserve"> assembly is a non-profit non-religious </w:t>
      </w:r>
      <w:r w:rsidR="00282625" w:rsidRPr="004E6470">
        <w:rPr>
          <w:rFonts w:ascii="Century Gothic" w:hAnsi="Century Gothic"/>
          <w:color w:val="auto"/>
          <w:sz w:val="24"/>
        </w:rPr>
        <w:t>organization</w:t>
      </w:r>
      <w:r w:rsidRPr="004E6470">
        <w:rPr>
          <w:rFonts w:ascii="Century Gothic" w:hAnsi="Century Gothic"/>
          <w:color w:val="auto"/>
          <w:sz w:val="24"/>
        </w:rPr>
        <w:t xml:space="preserve"> established by</w:t>
      </w:r>
      <w:r w:rsidR="004C6215">
        <w:rPr>
          <w:rFonts w:ascii="Century Gothic" w:hAnsi="Century Gothic"/>
          <w:color w:val="auto"/>
          <w:sz w:val="24"/>
        </w:rPr>
        <w:t xml:space="preserve"> comedians</w:t>
      </w:r>
      <w:r w:rsidRPr="004E6470">
        <w:rPr>
          <w:rFonts w:ascii="Century Gothic" w:hAnsi="Century Gothic"/>
          <w:color w:val="auto"/>
          <w:sz w:val="24"/>
        </w:rPr>
        <w:t xml:space="preserve"> Sanderson Jones and Pippa Evans</w:t>
      </w:r>
      <w:r w:rsidR="00282625" w:rsidRPr="004E6470">
        <w:rPr>
          <w:rFonts w:ascii="Century Gothic" w:hAnsi="Century Gothic"/>
          <w:color w:val="auto"/>
          <w:sz w:val="24"/>
        </w:rPr>
        <w:t xml:space="preserve"> in January of 2013. Its first meeting which took part in Islington London was attended by over three hundred people but has since grown its congregation in London alone to over double that.</w:t>
      </w:r>
      <w:r w:rsidR="00282625" w:rsidRPr="004E6470">
        <w:rPr>
          <w:rStyle w:val="FootnoteReference"/>
          <w:rFonts w:ascii="Century Gothic" w:hAnsi="Century Gothic"/>
          <w:color w:val="auto"/>
          <w:sz w:val="24"/>
        </w:rPr>
        <w:footnoteReference w:id="7"/>
      </w:r>
      <w:r w:rsidR="00282625" w:rsidRPr="004E6470">
        <w:rPr>
          <w:rFonts w:ascii="Century Gothic" w:hAnsi="Century Gothic"/>
          <w:color w:val="auto"/>
          <w:sz w:val="24"/>
        </w:rPr>
        <w:t xml:space="preserve"> Since then, the group have opened over seventy chapters in eight different countries including </w:t>
      </w:r>
      <w:r w:rsidR="00830E5D" w:rsidRPr="004E6470">
        <w:rPr>
          <w:rFonts w:ascii="Century Gothic" w:hAnsi="Century Gothic"/>
          <w:color w:val="auto"/>
          <w:sz w:val="24"/>
        </w:rPr>
        <w:t>Australia</w:t>
      </w:r>
      <w:r w:rsidR="00282625" w:rsidRPr="004E6470">
        <w:rPr>
          <w:rFonts w:ascii="Century Gothic" w:hAnsi="Century Gothic"/>
          <w:color w:val="auto"/>
          <w:sz w:val="24"/>
        </w:rPr>
        <w:t xml:space="preserve">, Dublin and the United States. </w:t>
      </w:r>
      <w:r w:rsidR="00282625" w:rsidRPr="004E6470">
        <w:rPr>
          <w:rStyle w:val="FootnoteReference"/>
          <w:rFonts w:ascii="Century Gothic" w:hAnsi="Century Gothic"/>
          <w:color w:val="auto"/>
          <w:sz w:val="24"/>
        </w:rPr>
        <w:footnoteReference w:id="8"/>
      </w:r>
      <w:r w:rsidR="00E257FF" w:rsidRPr="004E6470">
        <w:rPr>
          <w:rFonts w:ascii="Century Gothic" w:hAnsi="Century Gothic"/>
          <w:color w:val="auto"/>
          <w:sz w:val="24"/>
        </w:rPr>
        <w:t xml:space="preserve"> </w:t>
      </w:r>
      <w:r w:rsidR="004C6215">
        <w:rPr>
          <w:rFonts w:ascii="Century Gothic" w:hAnsi="Century Gothic"/>
          <w:color w:val="auto"/>
          <w:sz w:val="24"/>
        </w:rPr>
        <w:t>In 2016 t</w:t>
      </w:r>
      <w:r w:rsidR="00A93F94">
        <w:rPr>
          <w:rFonts w:ascii="Century Gothic" w:hAnsi="Century Gothic"/>
          <w:color w:val="auto"/>
          <w:sz w:val="24"/>
        </w:rPr>
        <w:t xml:space="preserve">he group gained charitable </w:t>
      </w:r>
      <w:r w:rsidR="004C6215">
        <w:rPr>
          <w:rFonts w:ascii="Century Gothic" w:hAnsi="Century Gothic"/>
          <w:color w:val="auto"/>
          <w:sz w:val="24"/>
        </w:rPr>
        <w:t xml:space="preserve">status which alongside with its community </w:t>
      </w:r>
      <w:r w:rsidR="00A93F94">
        <w:rPr>
          <w:rFonts w:ascii="Century Gothic" w:hAnsi="Century Gothic"/>
          <w:color w:val="auto"/>
          <w:sz w:val="24"/>
        </w:rPr>
        <w:t>is growing annually</w:t>
      </w:r>
      <w:r w:rsidR="00A93F94" w:rsidRPr="00522ABF">
        <w:rPr>
          <w:rFonts w:ascii="Century Gothic" w:hAnsi="Century Gothic"/>
          <w:color w:val="auto"/>
          <w:sz w:val="24"/>
        </w:rPr>
        <w:t>.</w:t>
      </w:r>
      <w:r w:rsidR="00522ABF">
        <w:rPr>
          <w:rFonts w:ascii="Century Gothic" w:hAnsi="Century Gothic"/>
          <w:color w:val="auto"/>
          <w:sz w:val="24"/>
        </w:rPr>
        <w:t xml:space="preserve"> The charity can be seen working within </w:t>
      </w:r>
      <w:r w:rsidR="00522ABF" w:rsidRPr="00522ABF">
        <w:rPr>
          <w:rFonts w:ascii="Century Gothic" w:eastAsia="Times New Roman" w:hAnsi="Century Gothic" w:cs="Arial"/>
          <w:color w:val="000000"/>
          <w:sz w:val="24"/>
          <w:szCs w:val="24"/>
          <w:lang w:val="en-GB" w:eastAsia="en-GB"/>
        </w:rPr>
        <w:t>Australia</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Belgium</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Canada</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France</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Germany</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Netherlands</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New</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Zealand</w:t>
      </w:r>
      <w:r w:rsidR="00522ABF">
        <w:rPr>
          <w:rFonts w:ascii="Century Gothic" w:eastAsia="Times New Roman" w:hAnsi="Century Gothic" w:cs="Arial"/>
          <w:color w:val="000000"/>
          <w:sz w:val="24"/>
          <w:szCs w:val="24"/>
          <w:lang w:val="en-GB" w:eastAsia="en-GB"/>
        </w:rPr>
        <w:t xml:space="preserve">, </w:t>
      </w:r>
      <w:r w:rsidR="00522ABF" w:rsidRPr="00522ABF">
        <w:rPr>
          <w:rFonts w:ascii="Century Gothic" w:eastAsia="Times New Roman" w:hAnsi="Century Gothic" w:cs="Arial"/>
          <w:color w:val="000000"/>
          <w:sz w:val="24"/>
          <w:szCs w:val="24"/>
          <w:lang w:val="en-GB" w:eastAsia="en-GB"/>
        </w:rPr>
        <w:t>United States</w:t>
      </w:r>
      <w:r w:rsidR="00522ABF">
        <w:rPr>
          <w:rFonts w:ascii="Century Gothic" w:eastAsia="Times New Roman" w:hAnsi="Century Gothic" w:cs="Arial"/>
          <w:color w:val="000000"/>
          <w:sz w:val="24"/>
          <w:szCs w:val="24"/>
          <w:lang w:val="en-GB" w:eastAsia="en-GB"/>
        </w:rPr>
        <w:t xml:space="preserve"> and throughout the United Kingdom.</w:t>
      </w:r>
    </w:p>
    <w:p w14:paraId="022AE01D" w14:textId="66530A94" w:rsidR="00C56554" w:rsidRDefault="00A93F94" w:rsidP="004C6215">
      <w:pPr>
        <w:rPr>
          <w:rFonts w:ascii="Century Gothic" w:hAnsi="Century Gothic"/>
          <w:color w:val="auto"/>
          <w:sz w:val="24"/>
        </w:rPr>
      </w:pPr>
      <w:r>
        <w:rPr>
          <w:rFonts w:ascii="Century Gothic" w:hAnsi="Century Gothic"/>
          <w:color w:val="auto"/>
          <w:sz w:val="24"/>
        </w:rPr>
        <w:t xml:space="preserve"> </w:t>
      </w:r>
      <w:r w:rsidR="00C56554" w:rsidRPr="004E6470">
        <w:rPr>
          <w:rFonts w:ascii="Century Gothic" w:hAnsi="Century Gothic"/>
          <w:color w:val="auto"/>
          <w:sz w:val="24"/>
        </w:rPr>
        <w:t xml:space="preserve">In their promotional videos which can be seen as more relaxed and informal than most </w:t>
      </w:r>
      <w:r w:rsidR="004E6470">
        <w:rPr>
          <w:rFonts w:ascii="Century Gothic" w:hAnsi="Century Gothic"/>
          <w:color w:val="auto"/>
          <w:sz w:val="24"/>
        </w:rPr>
        <w:t>religious</w:t>
      </w:r>
      <w:r w:rsidR="00C56554" w:rsidRPr="004E6470">
        <w:rPr>
          <w:rFonts w:ascii="Century Gothic" w:hAnsi="Century Gothic"/>
          <w:color w:val="auto"/>
          <w:sz w:val="24"/>
        </w:rPr>
        <w:t xml:space="preserve"> promotion videos, Pippa and Sanderson state that the assembly is “all the best </w:t>
      </w:r>
      <w:r w:rsidR="004C6215">
        <w:rPr>
          <w:rFonts w:ascii="Century Gothic" w:hAnsi="Century Gothic"/>
          <w:color w:val="auto"/>
          <w:sz w:val="24"/>
        </w:rPr>
        <w:t>b</w:t>
      </w:r>
      <w:r w:rsidR="00C56554" w:rsidRPr="004E6470">
        <w:rPr>
          <w:rFonts w:ascii="Century Gothic" w:hAnsi="Century Gothic"/>
          <w:color w:val="auto"/>
          <w:sz w:val="24"/>
        </w:rPr>
        <w:t xml:space="preserve">its of church but with no </w:t>
      </w:r>
      <w:r w:rsidR="004C6215">
        <w:rPr>
          <w:rFonts w:ascii="Century Gothic" w:hAnsi="Century Gothic"/>
          <w:color w:val="auto"/>
          <w:sz w:val="24"/>
        </w:rPr>
        <w:t>god</w:t>
      </w:r>
      <w:r w:rsidR="00C56554" w:rsidRPr="004E6470">
        <w:rPr>
          <w:rFonts w:ascii="Century Gothic" w:hAnsi="Century Gothic"/>
          <w:color w:val="auto"/>
          <w:sz w:val="24"/>
        </w:rPr>
        <w:t>”</w:t>
      </w:r>
      <w:r w:rsidR="00C56554" w:rsidRPr="004E6470">
        <w:rPr>
          <w:rStyle w:val="FootnoteReference"/>
          <w:rFonts w:ascii="Century Gothic" w:hAnsi="Century Gothic"/>
          <w:color w:val="auto"/>
          <w:sz w:val="24"/>
        </w:rPr>
        <w:footnoteReference w:id="9"/>
      </w:r>
      <w:r w:rsidR="004E6470">
        <w:rPr>
          <w:rFonts w:ascii="Century Gothic" w:hAnsi="Century Gothic"/>
          <w:color w:val="auto"/>
          <w:sz w:val="24"/>
        </w:rPr>
        <w:t xml:space="preserve"> emphasizing the way in which they have set up the congregation in order for those who wish to have communal experience without the need of religion. As the video continues,</w:t>
      </w:r>
      <w:r w:rsidR="0030792D" w:rsidRPr="004E6470">
        <w:rPr>
          <w:rFonts w:ascii="Century Gothic" w:hAnsi="Century Gothic"/>
          <w:color w:val="auto"/>
          <w:sz w:val="24"/>
        </w:rPr>
        <w:t xml:space="preserve"> </w:t>
      </w:r>
      <w:r w:rsidR="004E6470">
        <w:rPr>
          <w:rFonts w:ascii="Century Gothic" w:hAnsi="Century Gothic"/>
          <w:color w:val="auto"/>
          <w:sz w:val="24"/>
        </w:rPr>
        <w:t>c</w:t>
      </w:r>
      <w:r w:rsidR="00EB0A80" w:rsidRPr="004E6470">
        <w:rPr>
          <w:rFonts w:ascii="Century Gothic" w:hAnsi="Century Gothic"/>
          <w:color w:val="auto"/>
          <w:sz w:val="24"/>
        </w:rPr>
        <w:t xml:space="preserve">omedic nature is used in order to </w:t>
      </w:r>
      <w:r w:rsidR="004E6470" w:rsidRPr="004E6470">
        <w:rPr>
          <w:rFonts w:ascii="Century Gothic" w:hAnsi="Century Gothic"/>
          <w:color w:val="auto"/>
          <w:sz w:val="24"/>
        </w:rPr>
        <w:t>emphasize</w:t>
      </w:r>
      <w:r w:rsidR="00EB0A80" w:rsidRPr="004E6470">
        <w:rPr>
          <w:rFonts w:ascii="Century Gothic" w:hAnsi="Century Gothic"/>
          <w:color w:val="auto"/>
          <w:sz w:val="24"/>
        </w:rPr>
        <w:t xml:space="preserve"> their message of not being a “cult”</w:t>
      </w:r>
      <w:r w:rsidR="004C6215">
        <w:rPr>
          <w:rFonts w:ascii="Century Gothic" w:hAnsi="Century Gothic"/>
          <w:color w:val="auto"/>
          <w:sz w:val="24"/>
        </w:rPr>
        <w:t xml:space="preserve"> going as far as referencing Jim Jones and The Peoples Temple for comedic affect.</w:t>
      </w:r>
      <w:r w:rsidR="00EB0A80" w:rsidRPr="004E6470">
        <w:rPr>
          <w:rFonts w:ascii="Century Gothic" w:hAnsi="Century Gothic"/>
          <w:color w:val="auto"/>
          <w:sz w:val="24"/>
        </w:rPr>
        <w:t xml:space="preserve"> They </w:t>
      </w:r>
      <w:r w:rsidR="004E6470">
        <w:rPr>
          <w:rFonts w:ascii="Century Gothic" w:hAnsi="Century Gothic"/>
          <w:color w:val="auto"/>
          <w:sz w:val="24"/>
        </w:rPr>
        <w:t xml:space="preserve">stress </w:t>
      </w:r>
      <w:r w:rsidR="00EB0A80" w:rsidRPr="004E6470">
        <w:rPr>
          <w:rFonts w:ascii="Century Gothic" w:hAnsi="Century Gothic"/>
          <w:color w:val="auto"/>
          <w:sz w:val="24"/>
        </w:rPr>
        <w:t>they meet in order to have talks, sing songs, help in the community and share tea and cake</w:t>
      </w:r>
      <w:r w:rsidR="004E6470">
        <w:rPr>
          <w:rFonts w:ascii="Century Gothic" w:hAnsi="Century Gothic"/>
          <w:color w:val="auto"/>
          <w:sz w:val="24"/>
        </w:rPr>
        <w:t xml:space="preserve"> therefor living up to the statement of being </w:t>
      </w:r>
      <w:r w:rsidR="004C6215">
        <w:rPr>
          <w:rFonts w:ascii="Century Gothic" w:hAnsi="Century Gothic"/>
          <w:color w:val="auto"/>
          <w:sz w:val="24"/>
        </w:rPr>
        <w:t>“</w:t>
      </w:r>
      <w:r w:rsidR="004E6470">
        <w:rPr>
          <w:rFonts w:ascii="Century Gothic" w:hAnsi="Century Gothic"/>
          <w:color w:val="auto"/>
          <w:sz w:val="24"/>
        </w:rPr>
        <w:t>like a church but not quite.</w:t>
      </w:r>
      <w:r w:rsidR="004C6215">
        <w:rPr>
          <w:rFonts w:ascii="Century Gothic" w:hAnsi="Century Gothic"/>
          <w:color w:val="auto"/>
          <w:sz w:val="24"/>
        </w:rPr>
        <w:t>”</w:t>
      </w:r>
      <w:r w:rsidR="004E6470">
        <w:rPr>
          <w:rStyle w:val="FootnoteReference"/>
          <w:rFonts w:ascii="Century Gothic" w:hAnsi="Century Gothic"/>
          <w:color w:val="auto"/>
          <w:sz w:val="24"/>
        </w:rPr>
        <w:footnoteReference w:id="10"/>
      </w:r>
    </w:p>
    <w:p w14:paraId="15604BE3" w14:textId="7F48B8A4" w:rsidR="004E6470" w:rsidRDefault="0088703D" w:rsidP="004C6215">
      <w:pPr>
        <w:rPr>
          <w:rFonts w:ascii="Century Gothic" w:hAnsi="Century Gothic"/>
          <w:color w:val="auto"/>
          <w:sz w:val="24"/>
        </w:rPr>
      </w:pPr>
      <w:r>
        <w:rPr>
          <w:rFonts w:ascii="Century Gothic" w:hAnsi="Century Gothic"/>
          <w:color w:val="auto"/>
          <w:sz w:val="24"/>
        </w:rPr>
        <w:t>Services or meetings can be seen as one of the key comparisons between the assembly and many modern churches. Whist</w:t>
      </w:r>
      <w:r w:rsidR="004C6215">
        <w:rPr>
          <w:rFonts w:ascii="Century Gothic" w:hAnsi="Century Gothic"/>
          <w:color w:val="auto"/>
          <w:sz w:val="24"/>
        </w:rPr>
        <w:t xml:space="preserve"> Christian</w:t>
      </w:r>
      <w:r>
        <w:rPr>
          <w:rFonts w:ascii="Century Gothic" w:hAnsi="Century Gothic"/>
          <w:color w:val="auto"/>
          <w:sz w:val="24"/>
        </w:rPr>
        <w:t xml:space="preserve"> churches will sing hymns or songs created by </w:t>
      </w:r>
      <w:r w:rsidR="004A073A">
        <w:rPr>
          <w:rFonts w:ascii="Century Gothic" w:hAnsi="Century Gothic"/>
          <w:color w:val="auto"/>
          <w:sz w:val="24"/>
        </w:rPr>
        <w:t>newer</w:t>
      </w:r>
      <w:r>
        <w:rPr>
          <w:rFonts w:ascii="Century Gothic" w:hAnsi="Century Gothic"/>
          <w:color w:val="auto"/>
          <w:sz w:val="24"/>
        </w:rPr>
        <w:t xml:space="preserve"> Christian groups such as Hillsong United, the assembly will sing pop songs such as the Pointer Sisters ‘I’m so excited’ and Elvis </w:t>
      </w:r>
      <w:r w:rsidR="004A073A">
        <w:rPr>
          <w:rFonts w:ascii="Century Gothic" w:hAnsi="Century Gothic"/>
          <w:color w:val="auto"/>
          <w:sz w:val="24"/>
        </w:rPr>
        <w:t>Presley’s</w:t>
      </w:r>
      <w:r>
        <w:rPr>
          <w:rFonts w:ascii="Century Gothic" w:hAnsi="Century Gothic"/>
          <w:color w:val="auto"/>
          <w:sz w:val="24"/>
        </w:rPr>
        <w:t xml:space="preserve"> ‘Always on my mind.’</w:t>
      </w:r>
      <w:r w:rsidR="004A073A">
        <w:rPr>
          <w:rFonts w:ascii="Century Gothic" w:hAnsi="Century Gothic"/>
          <w:color w:val="auto"/>
          <w:sz w:val="24"/>
        </w:rPr>
        <w:t xml:space="preserve"> As the service continues, a reading is </w:t>
      </w:r>
      <w:r w:rsidR="00045963">
        <w:rPr>
          <w:rFonts w:ascii="Century Gothic" w:hAnsi="Century Gothic"/>
          <w:color w:val="auto"/>
          <w:sz w:val="24"/>
        </w:rPr>
        <w:t>done,</w:t>
      </w:r>
      <w:r w:rsidR="004A073A">
        <w:rPr>
          <w:rFonts w:ascii="Century Gothic" w:hAnsi="Century Gothic"/>
          <w:color w:val="auto"/>
          <w:sz w:val="24"/>
        </w:rPr>
        <w:t xml:space="preserve"> and a speaker gives a </w:t>
      </w:r>
      <w:proofErr w:type="gramStart"/>
      <w:r w:rsidR="004A073A">
        <w:rPr>
          <w:rFonts w:ascii="Century Gothic" w:hAnsi="Century Gothic"/>
          <w:color w:val="auto"/>
          <w:sz w:val="24"/>
        </w:rPr>
        <w:t>ten minute</w:t>
      </w:r>
      <w:proofErr w:type="gramEnd"/>
      <w:r w:rsidR="004A073A">
        <w:rPr>
          <w:rFonts w:ascii="Century Gothic" w:hAnsi="Century Gothic"/>
          <w:color w:val="auto"/>
          <w:sz w:val="24"/>
        </w:rPr>
        <w:t xml:space="preserve"> talk on something </w:t>
      </w:r>
      <w:r w:rsidR="00045963">
        <w:rPr>
          <w:rFonts w:ascii="Century Gothic" w:hAnsi="Century Gothic"/>
          <w:color w:val="auto"/>
          <w:sz w:val="24"/>
        </w:rPr>
        <w:t xml:space="preserve">for example how science has evolved over </w:t>
      </w:r>
      <w:r w:rsidR="004C6215">
        <w:rPr>
          <w:rFonts w:ascii="Century Gothic" w:hAnsi="Century Gothic"/>
          <w:color w:val="auto"/>
          <w:sz w:val="24"/>
        </w:rPr>
        <w:t>the past</w:t>
      </w:r>
      <w:r w:rsidR="00045963">
        <w:rPr>
          <w:rFonts w:ascii="Century Gothic" w:hAnsi="Century Gothic"/>
          <w:color w:val="auto"/>
          <w:sz w:val="24"/>
        </w:rPr>
        <w:t xml:space="preserve"> decades, leading to more knowledge about things such as the human brain.</w:t>
      </w:r>
      <w:r w:rsidR="00045963">
        <w:rPr>
          <w:rStyle w:val="FootnoteReference"/>
          <w:rFonts w:ascii="Century Gothic" w:hAnsi="Century Gothic"/>
          <w:color w:val="auto"/>
          <w:sz w:val="24"/>
        </w:rPr>
        <w:footnoteReference w:id="11"/>
      </w:r>
      <w:r w:rsidR="00045963">
        <w:rPr>
          <w:rFonts w:ascii="Century Gothic" w:hAnsi="Century Gothic"/>
          <w:color w:val="auto"/>
          <w:sz w:val="24"/>
        </w:rPr>
        <w:t xml:space="preserve"> </w:t>
      </w:r>
      <w:r w:rsidR="0019619D">
        <w:rPr>
          <w:rFonts w:ascii="Century Gothic" w:hAnsi="Century Gothic"/>
          <w:color w:val="auto"/>
          <w:sz w:val="24"/>
        </w:rPr>
        <w:t xml:space="preserve">Therefor </w:t>
      </w:r>
      <w:r w:rsidR="0019619D">
        <w:rPr>
          <w:rFonts w:ascii="Century Gothic" w:hAnsi="Century Gothic"/>
          <w:color w:val="auto"/>
          <w:sz w:val="24"/>
        </w:rPr>
        <w:lastRenderedPageBreak/>
        <w:t xml:space="preserve">creating a second similarity between the Sunday Assembly and the established churches commonly seen not only in the United Kingdom but globally. </w:t>
      </w:r>
      <w:r w:rsidR="00045963">
        <w:rPr>
          <w:rFonts w:ascii="Century Gothic" w:hAnsi="Century Gothic"/>
          <w:color w:val="auto"/>
          <w:sz w:val="24"/>
        </w:rPr>
        <w:t xml:space="preserve"> </w:t>
      </w:r>
    </w:p>
    <w:p w14:paraId="51866EB6" w14:textId="6786A87A" w:rsidR="00001A9A" w:rsidRDefault="00045963" w:rsidP="00A45B32">
      <w:pPr>
        <w:rPr>
          <w:rFonts w:ascii="Century Gothic" w:hAnsi="Century Gothic"/>
          <w:color w:val="auto"/>
          <w:sz w:val="24"/>
        </w:rPr>
      </w:pPr>
      <w:r>
        <w:rPr>
          <w:rFonts w:ascii="Century Gothic" w:hAnsi="Century Gothic"/>
          <w:color w:val="auto"/>
          <w:sz w:val="24"/>
        </w:rPr>
        <w:t xml:space="preserve">A </w:t>
      </w:r>
      <w:r w:rsidR="0019619D">
        <w:rPr>
          <w:rFonts w:ascii="Century Gothic" w:hAnsi="Century Gothic"/>
          <w:color w:val="auto"/>
          <w:sz w:val="24"/>
        </w:rPr>
        <w:t>third</w:t>
      </w:r>
      <w:r>
        <w:rPr>
          <w:rFonts w:ascii="Century Gothic" w:hAnsi="Century Gothic"/>
          <w:color w:val="auto"/>
          <w:sz w:val="24"/>
        </w:rPr>
        <w:t xml:space="preserve"> similarity between the secular group and most churches would be the collection. Whilst most churches will collect donations of various amounts, </w:t>
      </w:r>
      <w:r w:rsidR="00106387">
        <w:rPr>
          <w:rFonts w:ascii="Century Gothic" w:hAnsi="Century Gothic"/>
          <w:color w:val="auto"/>
          <w:sz w:val="24"/>
        </w:rPr>
        <w:t>the charismatic leader Sanderson suggests a donation amount to those in attendance. Whilst many churches will use the collection for maintenance, donations and community projects, the assembly according to various sources will invest the money not only in the surrounding community but also in the lives of its attendees in the form of financial aid</w:t>
      </w:r>
      <w:r w:rsidR="00A36FBD">
        <w:rPr>
          <w:rFonts w:ascii="Century Gothic" w:hAnsi="Century Gothic"/>
          <w:color w:val="auto"/>
          <w:sz w:val="24"/>
        </w:rPr>
        <w:t xml:space="preserve"> which is not commonly seen within many of the </w:t>
      </w:r>
      <w:r w:rsidR="0019619D">
        <w:rPr>
          <w:rFonts w:ascii="Century Gothic" w:hAnsi="Century Gothic"/>
          <w:color w:val="auto"/>
          <w:sz w:val="24"/>
        </w:rPr>
        <w:t>older churches</w:t>
      </w:r>
      <w:r w:rsidR="00106387">
        <w:rPr>
          <w:rFonts w:ascii="Century Gothic" w:hAnsi="Century Gothic"/>
          <w:color w:val="auto"/>
          <w:sz w:val="24"/>
        </w:rPr>
        <w:t xml:space="preserve">. </w:t>
      </w:r>
    </w:p>
    <w:p w14:paraId="00AB3DE4" w14:textId="240291C6" w:rsidR="0019619D" w:rsidRDefault="00231996" w:rsidP="00A45B32">
      <w:pPr>
        <w:rPr>
          <w:rFonts w:ascii="Century Gothic" w:hAnsi="Century Gothic"/>
          <w:color w:val="auto"/>
          <w:sz w:val="24"/>
        </w:rPr>
      </w:pPr>
      <w:r w:rsidRPr="00231996">
        <w:rPr>
          <w:rFonts w:ascii="Century Gothic" w:hAnsi="Century Gothic"/>
          <w:noProof/>
          <w:color w:val="auto"/>
          <w:sz w:val="24"/>
        </w:rPr>
        <mc:AlternateContent>
          <mc:Choice Requires="wps">
            <w:drawing>
              <wp:anchor distT="45720" distB="45720" distL="114300" distR="114300" simplePos="0" relativeHeight="251667456" behindDoc="0" locked="0" layoutInCell="1" allowOverlap="1" wp14:anchorId="6E460DD5" wp14:editId="3180AAD3">
                <wp:simplePos x="0" y="0"/>
                <wp:positionH relativeFrom="column">
                  <wp:posOffset>5343525</wp:posOffset>
                </wp:positionH>
                <wp:positionV relativeFrom="paragraph">
                  <wp:posOffset>1093470</wp:posOffset>
                </wp:positionV>
                <wp:extent cx="590550" cy="3905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90525"/>
                        </a:xfrm>
                        <a:prstGeom prst="rect">
                          <a:avLst/>
                        </a:prstGeom>
                        <a:solidFill>
                          <a:srgbClr val="FFFFFF"/>
                        </a:solidFill>
                        <a:ln w="9525">
                          <a:solidFill>
                            <a:srgbClr val="000000"/>
                          </a:solidFill>
                          <a:miter lim="800000"/>
                          <a:headEnd/>
                          <a:tailEnd/>
                        </a:ln>
                      </wps:spPr>
                      <wps:txbx>
                        <w:txbxContent>
                          <w:p w14:paraId="28BCB735" w14:textId="555092D3" w:rsidR="00231996" w:rsidRDefault="00231996">
                            <w:r>
                              <w:t xml:space="preserve">Fig </w:t>
                            </w:r>
                            <w:r w:rsidR="00F1383A">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460DD5" id="_x0000_s1028" type="#_x0000_t202" style="position:absolute;margin-left:420.75pt;margin-top:86.1pt;width:46.5pt;height:30.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fH4IQIAAEoEAAAOAAAAZHJzL2Uyb0RvYy54bWysVNtu2zAMfR+wfxD0vtjJkq4x4hRdugwD&#10;ugvQ7gNoWY6FSaInKbGzrx8lp1l2wR6G+UEgReqQPCS9uhmMZgfpvEJb8ukk50xagbWyu5J/fty+&#10;uObMB7A1aLSy5Efp+c36+bNV3xVyhi3qWjpGINYXfVfyNoSuyDIvWmnAT7CTlowNOgOBVLfLagc9&#10;oRudzfL8KuvR1Z1DIb2n27vRyNcJv2mkCB+bxsvAdMkpt5BOl84qntl6BcXOQdcqcUoD/iELA8pS&#10;0DPUHQRge6d+gzJKOPTYhIlAk2HTKCFTDVTNNP+lmocWOplqIXJ8d6bJ/z9Y8eHwyTFVl/yKMwuG&#10;WvQoh8Be48BmkZ2+8wU5PXTkFga6pi6nSn13j+KLZxY3LdidvHUO+1ZCTdlN48vs4umI4yNI1b/H&#10;msLAPmACGhpnInVEBiN06tLx3JmYiqDLxTJfLMgiyPSS5NkiRYDi6XHnfHgr0bAolNxR4xM4HO59&#10;iMlA8eQSY3nUqt4qrZPidtVGO3YAGpJt+k7oP7lpy/qSL2Psv0Pk6fsThFGBpl0rU/LrsxMUkbU3&#10;tk6zGEDpUaaUtT3RGJkbOQxDNaR+nbtTYX0kXh2Ow03LSEKL7htnPQ12yf3XPTjJmX5nqTfL6Xwe&#10;NyEp88WrGSnu0lJdWsAKgip54GwUNyFtT2TA4i31sFGJ39jsMZNTyjSwifbTcsWNuNST149fwPo7&#10;AAAA//8DAFBLAwQUAAYACAAAACEAu1nD9OAAAAALAQAADwAAAGRycy9kb3ducmV2LnhtbEyPwU7D&#10;MAyG70i8Q2QkLoila8e6laYTQgLBDQaCa9Z6bUXilCTrytvjneBo/78+fy43kzViRB96RwrmswQE&#10;Uu2anloF728P1ysQIWpqtHGECn4wwKY6Pyt10bgjveK4ja1gCIVCK+hiHAopQ92h1WHmBiTO9s5b&#10;HXn0rWy8PjLcGpkmyVJa3RNf6PSA9x3WX9uDVbBaPI2f4Tl7+aiXe7OOV/n4+O2VuryY7m5BRJzi&#10;XxlO+qwOFTvt3IGaIMyJMb/hKgd5moLgxjpb8GanIM2yHGRVyv8/VL8AAAD//wMAUEsBAi0AFAAG&#10;AAgAAAAhALaDOJL+AAAA4QEAABMAAAAAAAAAAAAAAAAAAAAAAFtDb250ZW50X1R5cGVzXS54bWxQ&#10;SwECLQAUAAYACAAAACEAOP0h/9YAAACUAQAACwAAAAAAAAAAAAAAAAAvAQAAX3JlbHMvLnJlbHNQ&#10;SwECLQAUAAYACAAAACEAXbHx+CECAABKBAAADgAAAAAAAAAAAAAAAAAuAgAAZHJzL2Uyb0RvYy54&#10;bWxQSwECLQAUAAYACAAAACEAu1nD9OAAAAALAQAADwAAAAAAAAAAAAAAAAB7BAAAZHJzL2Rvd25y&#10;ZXYueG1sUEsFBgAAAAAEAAQA8wAAAIgFAAAAAA==&#10;">
                <v:textbox>
                  <w:txbxContent>
                    <w:p w14:paraId="28BCB735" w14:textId="555092D3" w:rsidR="00231996" w:rsidRDefault="00231996">
                      <w:r>
                        <w:t xml:space="preserve">Fig </w:t>
                      </w:r>
                      <w:r w:rsidR="00F1383A">
                        <w:t>3</w:t>
                      </w:r>
                    </w:p>
                  </w:txbxContent>
                </v:textbox>
                <w10:wrap type="square"/>
              </v:shape>
            </w:pict>
          </mc:Fallback>
        </mc:AlternateContent>
      </w:r>
      <w:r w:rsidRPr="00231996">
        <w:rPr>
          <w:rFonts w:ascii="Century Gothic" w:hAnsi="Century Gothic"/>
          <w:noProof/>
          <w:color w:val="auto"/>
          <w:sz w:val="24"/>
        </w:rPr>
        <w:drawing>
          <wp:anchor distT="0" distB="0" distL="114300" distR="114300" simplePos="0" relativeHeight="251665408" behindDoc="0" locked="0" layoutInCell="1" allowOverlap="1" wp14:anchorId="3037EAA3" wp14:editId="401F8AC0">
            <wp:simplePos x="0" y="0"/>
            <wp:positionH relativeFrom="column">
              <wp:posOffset>3371850</wp:posOffset>
            </wp:positionH>
            <wp:positionV relativeFrom="paragraph">
              <wp:posOffset>-1905</wp:posOffset>
            </wp:positionV>
            <wp:extent cx="2857500" cy="1590675"/>
            <wp:effectExtent l="0" t="0" r="0" b="9525"/>
            <wp:wrapSquare wrapText="bothSides"/>
            <wp:docPr id="5" name="Picture 5" descr="C:\Users\User\AppData\Local\Microsoft\Windows\INetCache\Content.MSO\809297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80929709.tmp"/>
                    <pic:cNvPicPr>
                      <a:picLocks noChangeAspect="1" noChangeArrowheads="1"/>
                    </pic:cNvPicPr>
                  </pic:nvPicPr>
                  <pic:blipFill rotWithShape="1">
                    <a:blip r:embed="rId11">
                      <a:extLst>
                        <a:ext uri="{28A0092B-C50C-407E-A947-70E740481C1C}">
                          <a14:useLocalDpi xmlns:a14="http://schemas.microsoft.com/office/drawing/2010/main" val="0"/>
                        </a:ext>
                      </a:extLst>
                    </a:blip>
                    <a:srcRect/>
                    <a:stretch/>
                  </pic:blipFill>
                  <pic:spPr bwMode="auto">
                    <a:xfrm>
                      <a:off x="0" y="0"/>
                      <a:ext cx="2857500" cy="1590675"/>
                    </a:xfrm>
                    <a:prstGeom prst="rect">
                      <a:avLst/>
                    </a:prstGeom>
                    <a:noFill/>
                    <a:ln>
                      <a:noFill/>
                    </a:ln>
                  </pic:spPr>
                </pic:pic>
              </a:graphicData>
            </a:graphic>
            <wp14:sizeRelH relativeFrom="margin">
              <wp14:pctWidth>0</wp14:pctWidth>
            </wp14:sizeRelH>
          </wp:anchor>
        </w:drawing>
      </w:r>
      <w:r>
        <w:rPr>
          <w:rFonts w:ascii="Century Gothic" w:hAnsi="Century Gothic"/>
          <w:color w:val="auto"/>
          <w:sz w:val="24"/>
        </w:rPr>
        <w:t xml:space="preserve">Although similarities can be seen between the assembly and churches, one of the differences seen can be depicted in their logo where an isosceles triangle with its </w:t>
      </w:r>
      <w:r w:rsidR="00F1383A">
        <w:rPr>
          <w:rFonts w:ascii="Century Gothic" w:hAnsi="Century Gothic"/>
          <w:color w:val="auto"/>
          <w:sz w:val="24"/>
        </w:rPr>
        <w:t>narrowest</w:t>
      </w:r>
      <w:r>
        <w:rPr>
          <w:rFonts w:ascii="Century Gothic" w:hAnsi="Century Gothic"/>
          <w:color w:val="auto"/>
          <w:sz w:val="24"/>
        </w:rPr>
        <w:t xml:space="preserve"> point facing downward as seen in figure thre</w:t>
      </w:r>
      <w:r w:rsidR="00F1383A">
        <w:rPr>
          <w:rFonts w:ascii="Century Gothic" w:hAnsi="Century Gothic"/>
          <w:color w:val="auto"/>
          <w:sz w:val="24"/>
        </w:rPr>
        <w:t>e. It is a stark contrast to what is seen and known within churches where the triangle often equilateral is seen to represent the father, the son, and the holy spirit. An integral part of the religion.</w:t>
      </w:r>
    </w:p>
    <w:p w14:paraId="08673E22" w14:textId="79B2DEC6" w:rsidR="00F1383A" w:rsidRDefault="00F1383A" w:rsidP="00F1383A">
      <w:pPr>
        <w:pStyle w:val="Heading2"/>
      </w:pPr>
      <w:r>
        <w:t>the godless revival.</w:t>
      </w:r>
    </w:p>
    <w:p w14:paraId="26A3330F" w14:textId="05166EBE" w:rsidR="003A427A" w:rsidRDefault="00F1383A" w:rsidP="00A45B32">
      <w:pPr>
        <w:rPr>
          <w:rFonts w:ascii="Century Gothic" w:hAnsi="Century Gothic"/>
          <w:color w:val="auto"/>
          <w:sz w:val="24"/>
        </w:rPr>
      </w:pPr>
      <w:r>
        <w:rPr>
          <w:rFonts w:ascii="Century Gothic" w:hAnsi="Century Gothic"/>
          <w:color w:val="auto"/>
          <w:sz w:val="24"/>
        </w:rPr>
        <w:t xml:space="preserve">Many religions such as Christianity have created branches for other groups </w:t>
      </w:r>
      <w:r w:rsidR="00406824">
        <w:rPr>
          <w:rFonts w:ascii="Century Gothic" w:hAnsi="Century Gothic"/>
          <w:color w:val="auto"/>
          <w:sz w:val="24"/>
        </w:rPr>
        <w:t>t</w:t>
      </w:r>
      <w:r>
        <w:rPr>
          <w:rFonts w:ascii="Century Gothic" w:hAnsi="Century Gothic"/>
          <w:color w:val="auto"/>
          <w:sz w:val="24"/>
        </w:rPr>
        <w:t xml:space="preserve">o grow and deviate, the same </w:t>
      </w:r>
      <w:r w:rsidR="00406824">
        <w:rPr>
          <w:rFonts w:ascii="Century Gothic" w:hAnsi="Century Gothic"/>
          <w:color w:val="auto"/>
          <w:sz w:val="24"/>
        </w:rPr>
        <w:t>can be seen to have</w:t>
      </w:r>
      <w:r>
        <w:rPr>
          <w:rFonts w:ascii="Century Gothic" w:hAnsi="Century Gothic"/>
          <w:color w:val="auto"/>
          <w:sz w:val="24"/>
        </w:rPr>
        <w:t xml:space="preserve"> happened within the Sunday assembly.</w:t>
      </w:r>
      <w:r w:rsidR="004B7D58">
        <w:rPr>
          <w:rFonts w:ascii="Century Gothic" w:hAnsi="Century Gothic"/>
          <w:color w:val="auto"/>
          <w:sz w:val="24"/>
        </w:rPr>
        <w:t xml:space="preserve"> According to the spectator, some former members of the New York chapter broke away and formed a group named “The Godless Revival</w:t>
      </w:r>
      <w:r w:rsidR="008C10AB">
        <w:rPr>
          <w:rFonts w:ascii="Century Gothic" w:hAnsi="Century Gothic"/>
          <w:color w:val="auto"/>
          <w:sz w:val="24"/>
        </w:rPr>
        <w:t xml:space="preserve"> in October of 2014</w:t>
      </w:r>
      <w:r w:rsidR="004B7D58">
        <w:rPr>
          <w:rFonts w:ascii="Century Gothic" w:hAnsi="Century Gothic"/>
          <w:color w:val="auto"/>
          <w:sz w:val="24"/>
        </w:rPr>
        <w:t>.”</w:t>
      </w:r>
      <w:r w:rsidR="004B7D58">
        <w:rPr>
          <w:rStyle w:val="FootnoteReference"/>
          <w:rFonts w:ascii="Century Gothic" w:hAnsi="Century Gothic"/>
          <w:color w:val="auto"/>
          <w:sz w:val="24"/>
        </w:rPr>
        <w:footnoteReference w:id="12"/>
      </w:r>
      <w:r w:rsidR="004B7D58">
        <w:rPr>
          <w:rFonts w:ascii="Century Gothic" w:hAnsi="Century Gothic"/>
          <w:color w:val="auto"/>
          <w:sz w:val="24"/>
        </w:rPr>
        <w:t xml:space="preserve"> It is believed this was done due to the “issue with atheism” the Sunday assembly held. The Sunday assembly see themselves as an atheist church with no belief in God. However, those who broke away stated that they should have a belief in no God, therefor proselytizing faith. Lee Moor, a founding member of the Godless revival wrote</w:t>
      </w:r>
      <w:r w:rsidR="007C6BB8">
        <w:rPr>
          <w:rFonts w:ascii="Century Gothic" w:hAnsi="Century Gothic"/>
          <w:color w:val="auto"/>
          <w:sz w:val="24"/>
        </w:rPr>
        <w:t xml:space="preserve"> when </w:t>
      </w:r>
      <w:r w:rsidR="0014734B">
        <w:rPr>
          <w:rFonts w:ascii="Century Gothic" w:hAnsi="Century Gothic"/>
          <w:color w:val="auto"/>
          <w:sz w:val="24"/>
        </w:rPr>
        <w:t>discussing</w:t>
      </w:r>
      <w:r w:rsidR="007C6BB8">
        <w:rPr>
          <w:rFonts w:ascii="Century Gothic" w:hAnsi="Century Gothic"/>
          <w:color w:val="auto"/>
          <w:sz w:val="24"/>
        </w:rPr>
        <w:t xml:space="preserve"> the reason for the</w:t>
      </w:r>
      <w:r w:rsidR="0014734B">
        <w:rPr>
          <w:rFonts w:ascii="Century Gothic" w:hAnsi="Century Gothic"/>
          <w:color w:val="auto"/>
          <w:sz w:val="24"/>
        </w:rPr>
        <w:t xml:space="preserve"> separation:</w:t>
      </w:r>
      <w:r w:rsidR="007C6BB8">
        <w:rPr>
          <w:rFonts w:ascii="Century Gothic" w:hAnsi="Century Gothic"/>
          <w:color w:val="auto"/>
          <w:sz w:val="24"/>
        </w:rPr>
        <w:t xml:space="preserve"> </w:t>
      </w:r>
      <w:r w:rsidR="004B7D58">
        <w:rPr>
          <w:rFonts w:ascii="Century Gothic" w:hAnsi="Century Gothic"/>
          <w:color w:val="auto"/>
          <w:sz w:val="24"/>
        </w:rPr>
        <w:t xml:space="preserve"> </w:t>
      </w:r>
    </w:p>
    <w:p w14:paraId="119F29EE" w14:textId="0BB4D66D" w:rsidR="00F1383A" w:rsidRDefault="004B7D58" w:rsidP="003A427A">
      <w:pPr>
        <w:jc w:val="center"/>
        <w:rPr>
          <w:rFonts w:ascii="Century Gothic" w:hAnsi="Century Gothic"/>
          <w:color w:val="auto"/>
          <w:sz w:val="24"/>
        </w:rPr>
      </w:pPr>
      <w:r w:rsidRPr="003A427A">
        <w:rPr>
          <w:rFonts w:ascii="Century Gothic" w:hAnsi="Century Gothic"/>
          <w:color w:val="auto"/>
        </w:rPr>
        <w:lastRenderedPageBreak/>
        <w:t>“Ultimately, it is for the benefit of the community. One day, I hope there will soon be communities for every different type of atheist, agnostic and humanist. We are only one flavor of ice cream, and one day we hope there’ll be congregations for every godless palate.</w:t>
      </w:r>
      <w:r w:rsidRPr="004B7D58">
        <w:rPr>
          <w:rFonts w:ascii="Century Gothic" w:hAnsi="Century Gothic"/>
          <w:color w:val="auto"/>
          <w:sz w:val="24"/>
        </w:rPr>
        <w:t>”</w:t>
      </w:r>
      <w:r w:rsidR="003A427A">
        <w:rPr>
          <w:rStyle w:val="FootnoteReference"/>
          <w:rFonts w:ascii="Century Gothic" w:hAnsi="Century Gothic"/>
          <w:color w:val="auto"/>
          <w:sz w:val="24"/>
        </w:rPr>
        <w:footnoteReference w:id="13"/>
      </w:r>
    </w:p>
    <w:p w14:paraId="0DC29868" w14:textId="4C85F63F" w:rsidR="00406824" w:rsidRDefault="0014734B" w:rsidP="0014734B">
      <w:pPr>
        <w:rPr>
          <w:rFonts w:ascii="Century Gothic" w:hAnsi="Century Gothic"/>
          <w:color w:val="auto"/>
          <w:sz w:val="24"/>
        </w:rPr>
      </w:pPr>
      <w:r>
        <w:rPr>
          <w:rFonts w:ascii="Century Gothic" w:hAnsi="Century Gothic"/>
          <w:color w:val="auto"/>
          <w:sz w:val="24"/>
        </w:rPr>
        <w:t xml:space="preserve">In this blog entry highlighted by </w:t>
      </w:r>
      <w:proofErr w:type="spellStart"/>
      <w:r>
        <w:rPr>
          <w:rFonts w:ascii="Century Gothic" w:hAnsi="Century Gothic"/>
          <w:color w:val="auto"/>
          <w:sz w:val="24"/>
        </w:rPr>
        <w:t>Huffpoast</w:t>
      </w:r>
      <w:proofErr w:type="spellEnd"/>
      <w:r>
        <w:rPr>
          <w:rFonts w:ascii="Century Gothic" w:hAnsi="Century Gothic"/>
          <w:color w:val="auto"/>
          <w:sz w:val="24"/>
        </w:rPr>
        <w:t>, Moor describes how he felt his form of atheism</w:t>
      </w:r>
      <w:r w:rsidR="00406824">
        <w:rPr>
          <w:rFonts w:ascii="Century Gothic" w:hAnsi="Century Gothic"/>
          <w:color w:val="auto"/>
          <w:sz w:val="24"/>
        </w:rPr>
        <w:t xml:space="preserve"> was not being met. both founders believe that there is no god </w:t>
      </w:r>
      <w:r w:rsidR="00FB2B66">
        <w:rPr>
          <w:rFonts w:ascii="Century Gothic" w:hAnsi="Century Gothic"/>
          <w:color w:val="auto"/>
          <w:sz w:val="24"/>
        </w:rPr>
        <w:t>under which</w:t>
      </w:r>
      <w:r w:rsidR="00406824">
        <w:rPr>
          <w:rFonts w:ascii="Century Gothic" w:hAnsi="Century Gothic"/>
          <w:color w:val="auto"/>
          <w:sz w:val="24"/>
        </w:rPr>
        <w:t xml:space="preserve"> they serve however </w:t>
      </w:r>
      <w:r w:rsidR="00FB2B66">
        <w:rPr>
          <w:rFonts w:ascii="Century Gothic" w:hAnsi="Century Gothic"/>
          <w:color w:val="auto"/>
          <w:sz w:val="24"/>
        </w:rPr>
        <w:t xml:space="preserve">Moor is firmer with his belief of there being no god what so ever. </w:t>
      </w:r>
      <w:r w:rsidR="00AB7213">
        <w:rPr>
          <w:rFonts w:ascii="Century Gothic" w:hAnsi="Century Gothic"/>
          <w:color w:val="auto"/>
          <w:sz w:val="24"/>
        </w:rPr>
        <w:t>Therefore,</w:t>
      </w:r>
      <w:r w:rsidR="00FB2B66">
        <w:rPr>
          <w:rFonts w:ascii="Century Gothic" w:hAnsi="Century Gothic"/>
          <w:color w:val="auto"/>
          <w:sz w:val="24"/>
        </w:rPr>
        <w:t xml:space="preserve"> creating a basis for his decision to separate from the Sunday Assembly. </w:t>
      </w:r>
      <w:r>
        <w:rPr>
          <w:rFonts w:ascii="Century Gothic" w:hAnsi="Century Gothic"/>
          <w:color w:val="auto"/>
          <w:sz w:val="24"/>
        </w:rPr>
        <w:t xml:space="preserve"> </w:t>
      </w:r>
    </w:p>
    <w:p w14:paraId="2F3586E0" w14:textId="77777777" w:rsidR="00406824" w:rsidRDefault="008C10AB" w:rsidP="0014734B">
      <w:pPr>
        <w:rPr>
          <w:rFonts w:ascii="Century Gothic" w:hAnsi="Century Gothic"/>
          <w:color w:val="auto"/>
          <w:sz w:val="24"/>
        </w:rPr>
      </w:pPr>
      <w:r>
        <w:rPr>
          <w:rFonts w:ascii="Century Gothic" w:hAnsi="Century Gothic"/>
          <w:color w:val="auto"/>
          <w:sz w:val="24"/>
        </w:rPr>
        <w:t>Mo</w:t>
      </w:r>
      <w:r w:rsidR="00FB57F7">
        <w:rPr>
          <w:rFonts w:ascii="Century Gothic" w:hAnsi="Century Gothic"/>
          <w:color w:val="auto"/>
          <w:sz w:val="24"/>
        </w:rPr>
        <w:t>or</w:t>
      </w:r>
      <w:r>
        <w:rPr>
          <w:rFonts w:ascii="Century Gothic" w:hAnsi="Century Gothic"/>
          <w:color w:val="auto"/>
          <w:sz w:val="24"/>
        </w:rPr>
        <w:t xml:space="preserve"> furthers his decision by stating the founders of Sunday Assembly wanted the wor</w:t>
      </w:r>
      <w:r w:rsidR="00FB57F7">
        <w:rPr>
          <w:rFonts w:ascii="Century Gothic" w:hAnsi="Century Gothic"/>
          <w:color w:val="auto"/>
          <w:sz w:val="24"/>
        </w:rPr>
        <w:t>d</w:t>
      </w:r>
      <w:r>
        <w:rPr>
          <w:rFonts w:ascii="Century Gothic" w:hAnsi="Century Gothic"/>
          <w:color w:val="auto"/>
          <w:sz w:val="24"/>
        </w:rPr>
        <w:t xml:space="preserve"> atheism boycotted and the meetings to be hosted in a church like setting, not in the bar</w:t>
      </w:r>
      <w:r w:rsidR="00FB57F7">
        <w:rPr>
          <w:rFonts w:ascii="Century Gothic" w:hAnsi="Century Gothic"/>
          <w:color w:val="auto"/>
          <w:sz w:val="24"/>
        </w:rPr>
        <w:t xml:space="preserve"> it </w:t>
      </w:r>
      <w:r>
        <w:rPr>
          <w:rFonts w:ascii="Century Gothic" w:hAnsi="Century Gothic"/>
          <w:color w:val="auto"/>
          <w:sz w:val="24"/>
        </w:rPr>
        <w:t>was launched</w:t>
      </w:r>
      <w:r w:rsidR="00FB57F7">
        <w:rPr>
          <w:rFonts w:ascii="Century Gothic" w:hAnsi="Century Gothic"/>
          <w:color w:val="auto"/>
          <w:sz w:val="24"/>
        </w:rPr>
        <w:t xml:space="preserve"> in</w:t>
      </w:r>
      <w:r>
        <w:rPr>
          <w:rFonts w:ascii="Century Gothic" w:hAnsi="Century Gothic"/>
          <w:color w:val="auto"/>
          <w:sz w:val="24"/>
        </w:rPr>
        <w:t>.</w:t>
      </w:r>
      <w:r>
        <w:rPr>
          <w:rStyle w:val="FootnoteReference"/>
          <w:rFonts w:ascii="Century Gothic" w:hAnsi="Century Gothic"/>
          <w:color w:val="auto"/>
          <w:sz w:val="24"/>
        </w:rPr>
        <w:footnoteReference w:id="14"/>
      </w:r>
      <w:r w:rsidR="00FB57F7">
        <w:rPr>
          <w:rFonts w:ascii="Century Gothic" w:hAnsi="Century Gothic"/>
          <w:color w:val="auto"/>
          <w:sz w:val="24"/>
        </w:rPr>
        <w:t xml:space="preserve"> However a report in the spectator states the Sunday assembly denies stating that the word</w:t>
      </w:r>
      <w:r w:rsidR="00406824">
        <w:rPr>
          <w:rFonts w:ascii="Century Gothic" w:hAnsi="Century Gothic"/>
          <w:color w:val="auto"/>
          <w:sz w:val="24"/>
        </w:rPr>
        <w:t>s</w:t>
      </w:r>
      <w:r w:rsidR="00FB57F7">
        <w:rPr>
          <w:rFonts w:ascii="Century Gothic" w:hAnsi="Century Gothic"/>
          <w:color w:val="auto"/>
          <w:sz w:val="24"/>
        </w:rPr>
        <w:t xml:space="preserve"> atheist or atheism </w:t>
      </w:r>
      <w:r w:rsidR="00406824">
        <w:rPr>
          <w:rFonts w:ascii="Century Gothic" w:hAnsi="Century Gothic"/>
          <w:color w:val="auto"/>
          <w:sz w:val="24"/>
        </w:rPr>
        <w:t>were</w:t>
      </w:r>
      <w:r w:rsidR="00FB57F7">
        <w:rPr>
          <w:rFonts w:ascii="Century Gothic" w:hAnsi="Century Gothic"/>
          <w:color w:val="auto"/>
          <w:sz w:val="24"/>
        </w:rPr>
        <w:t xml:space="preserve"> to be banned.</w:t>
      </w:r>
    </w:p>
    <w:p w14:paraId="7A679153" w14:textId="2BBDE637" w:rsidR="00522ABF" w:rsidRPr="00271CBA" w:rsidRDefault="00FB57F7" w:rsidP="0014734B">
      <w:pPr>
        <w:rPr>
          <w:rFonts w:ascii="Century Gothic" w:hAnsi="Century Gothic"/>
          <w:color w:val="auto"/>
          <w:sz w:val="24"/>
        </w:rPr>
      </w:pPr>
      <w:r>
        <w:rPr>
          <w:rFonts w:ascii="Century Gothic" w:hAnsi="Century Gothic"/>
          <w:color w:val="auto"/>
          <w:sz w:val="24"/>
        </w:rPr>
        <w:t xml:space="preserve"> However, research suggests the godless revival has not had as much of an impact as the Sunday assembly had upon their first meeting. </w:t>
      </w:r>
      <w:r w:rsidR="00A93F94">
        <w:rPr>
          <w:rFonts w:ascii="Century Gothic" w:hAnsi="Century Gothic"/>
          <w:color w:val="auto"/>
          <w:sz w:val="24"/>
        </w:rPr>
        <w:t xml:space="preserve">This assumption is made by the lack of evidence both scholarly and within the public eye. The only source of information is within their Facebook page which has little to no activity within recent years. Furthermore, their links </w:t>
      </w:r>
      <w:r w:rsidR="00A93F94" w:rsidRPr="00271CBA">
        <w:rPr>
          <w:rFonts w:ascii="Century Gothic" w:hAnsi="Century Gothic"/>
          <w:color w:val="auto"/>
          <w:sz w:val="24"/>
        </w:rPr>
        <w:t>directly to their internet page are no longer active.</w:t>
      </w:r>
      <w:r w:rsidR="00522ABF" w:rsidRPr="00271CBA">
        <w:rPr>
          <w:rFonts w:ascii="Century Gothic" w:hAnsi="Century Gothic"/>
          <w:color w:val="auto"/>
          <w:sz w:val="24"/>
        </w:rPr>
        <w:t xml:space="preserve"> </w:t>
      </w:r>
      <w:r w:rsidR="00A93F94" w:rsidRPr="00271CBA">
        <w:rPr>
          <w:rFonts w:ascii="Century Gothic" w:hAnsi="Century Gothic"/>
          <w:color w:val="auto"/>
          <w:sz w:val="24"/>
        </w:rPr>
        <w:t xml:space="preserve"> </w:t>
      </w:r>
    </w:p>
    <w:p w14:paraId="1AE9030D" w14:textId="2F5F01C2" w:rsidR="00522ABF" w:rsidRPr="00271CBA" w:rsidRDefault="00271CBA" w:rsidP="00271CBA">
      <w:pPr>
        <w:pStyle w:val="Heading2"/>
        <w:rPr>
          <w:rFonts w:ascii="Century Gothic" w:hAnsi="Century Gothic"/>
        </w:rPr>
      </w:pPr>
      <w:r w:rsidRPr="00271CBA">
        <w:rPr>
          <w:rFonts w:ascii="Century Gothic" w:hAnsi="Century Gothic"/>
        </w:rPr>
        <w:t>Conclusion.</w:t>
      </w:r>
    </w:p>
    <w:p w14:paraId="6AD32A38" w14:textId="5E76A6A9" w:rsidR="00271CBA" w:rsidRDefault="00271CBA" w:rsidP="00271CBA">
      <w:pPr>
        <w:rPr>
          <w:rFonts w:ascii="Century Gothic" w:hAnsi="Century Gothic"/>
          <w:color w:val="auto"/>
          <w:sz w:val="24"/>
        </w:rPr>
      </w:pPr>
      <w:r w:rsidRPr="00271CBA">
        <w:rPr>
          <w:rFonts w:ascii="Century Gothic" w:hAnsi="Century Gothic"/>
          <w:color w:val="auto"/>
          <w:sz w:val="24"/>
        </w:rPr>
        <w:t>In conclusion,</w:t>
      </w:r>
      <w:r>
        <w:rPr>
          <w:rFonts w:ascii="Century Gothic" w:hAnsi="Century Gothic"/>
          <w:color w:val="auto"/>
          <w:sz w:val="24"/>
        </w:rPr>
        <w:t xml:space="preserve"> whilst it is clear atheism had had a standing not only in the United Kingdom but globally for </w:t>
      </w:r>
      <w:proofErr w:type="spellStart"/>
      <w:r>
        <w:rPr>
          <w:rFonts w:ascii="Century Gothic" w:hAnsi="Century Gothic"/>
          <w:color w:val="auto"/>
          <w:sz w:val="24"/>
        </w:rPr>
        <w:t>may</w:t>
      </w:r>
      <w:proofErr w:type="spellEnd"/>
      <w:r>
        <w:rPr>
          <w:rFonts w:ascii="Century Gothic" w:hAnsi="Century Gothic"/>
          <w:color w:val="auto"/>
          <w:sz w:val="24"/>
        </w:rPr>
        <w:t xml:space="preserve"> years, it is in more recent years the viewpoint on religion has become more varied and a part of a part of our popular culture. It can be argued, that as the thought has become more mainstream acceptance of the viewpoint has become more available. </w:t>
      </w:r>
    </w:p>
    <w:p w14:paraId="140C4D36" w14:textId="4E52B21B" w:rsidR="00290FE2" w:rsidRDefault="00271CBA" w:rsidP="00271CBA">
      <w:pPr>
        <w:rPr>
          <w:rFonts w:ascii="Century Gothic" w:hAnsi="Century Gothic"/>
          <w:color w:val="auto"/>
          <w:sz w:val="24"/>
        </w:rPr>
      </w:pPr>
      <w:proofErr w:type="gramStart"/>
      <w:r>
        <w:rPr>
          <w:rFonts w:ascii="Century Gothic" w:hAnsi="Century Gothic"/>
          <w:color w:val="auto"/>
          <w:sz w:val="24"/>
        </w:rPr>
        <w:t>The census,</w:t>
      </w:r>
      <w:proofErr w:type="gramEnd"/>
      <w:r>
        <w:rPr>
          <w:rFonts w:ascii="Century Gothic" w:hAnsi="Century Gothic"/>
          <w:color w:val="auto"/>
          <w:sz w:val="24"/>
        </w:rPr>
        <w:t xml:space="preserve"> would suggest an increase in the standing viewpoints of atheism and further illustrates it validity as a choice and </w:t>
      </w:r>
      <w:r w:rsidR="00290FE2">
        <w:rPr>
          <w:rFonts w:ascii="Century Gothic" w:hAnsi="Century Gothic"/>
          <w:color w:val="auto"/>
          <w:sz w:val="24"/>
        </w:rPr>
        <w:t>method</w:t>
      </w:r>
      <w:r>
        <w:rPr>
          <w:rFonts w:ascii="Century Gothic" w:hAnsi="Century Gothic"/>
          <w:color w:val="auto"/>
          <w:sz w:val="24"/>
        </w:rPr>
        <w:t xml:space="preserve"> and way of life</w:t>
      </w:r>
      <w:r w:rsidR="00290FE2">
        <w:rPr>
          <w:rFonts w:ascii="Century Gothic" w:hAnsi="Century Gothic"/>
          <w:color w:val="auto"/>
          <w:sz w:val="24"/>
        </w:rPr>
        <w:t xml:space="preserve">. Whilst many churches and other religious buildings continue to close due to lack of funding, groups such as The Sunday Assembly are becoming more prevalent and accepted in modern day society, occasionally going as far as using a former church in order to hold </w:t>
      </w:r>
      <w:r w:rsidR="00290FE2">
        <w:rPr>
          <w:rFonts w:ascii="Century Gothic" w:hAnsi="Century Gothic"/>
          <w:color w:val="auto"/>
          <w:sz w:val="24"/>
        </w:rPr>
        <w:lastRenderedPageBreak/>
        <w:t>meetings. Much to the dismay of members of the previously homed religion.</w:t>
      </w:r>
    </w:p>
    <w:p w14:paraId="55878754" w14:textId="573A1380" w:rsidR="00290FE2" w:rsidRDefault="00290FE2" w:rsidP="00271CBA">
      <w:pPr>
        <w:rPr>
          <w:rFonts w:ascii="Century Gothic" w:hAnsi="Century Gothic"/>
          <w:color w:val="auto"/>
          <w:sz w:val="24"/>
        </w:rPr>
      </w:pPr>
      <w:r>
        <w:rPr>
          <w:rFonts w:ascii="Century Gothic" w:hAnsi="Century Gothic"/>
          <w:color w:val="auto"/>
          <w:sz w:val="24"/>
        </w:rPr>
        <w:t xml:space="preserve">However, could it be possible that Atheism is a new fad in our </w:t>
      </w:r>
      <w:r w:rsidR="00AB7213">
        <w:rPr>
          <w:rFonts w:ascii="Century Gothic" w:hAnsi="Century Gothic"/>
          <w:color w:val="auto"/>
          <w:sz w:val="24"/>
        </w:rPr>
        <w:t>ever-changing</w:t>
      </w:r>
      <w:r>
        <w:rPr>
          <w:rFonts w:ascii="Century Gothic" w:hAnsi="Century Gothic"/>
          <w:color w:val="auto"/>
          <w:sz w:val="24"/>
        </w:rPr>
        <w:t xml:space="preserve"> popular culture? I would suggest that although in modern times access to religious materials is now more readily available, access to </w:t>
      </w:r>
      <w:r w:rsidR="00AB7213">
        <w:rPr>
          <w:rFonts w:ascii="Century Gothic" w:hAnsi="Century Gothic"/>
          <w:color w:val="auto"/>
          <w:sz w:val="24"/>
        </w:rPr>
        <w:t>non-religious</w:t>
      </w:r>
      <w:r>
        <w:rPr>
          <w:rFonts w:ascii="Century Gothic" w:hAnsi="Century Gothic"/>
          <w:color w:val="auto"/>
          <w:sz w:val="24"/>
        </w:rPr>
        <w:t xml:space="preserve"> materials may be even more available. With lives being shared on social media or general media, it is much simpler to argue a point than during the enlightenment or Greek times.</w:t>
      </w:r>
    </w:p>
    <w:p w14:paraId="4EF1103C" w14:textId="4C362FA5" w:rsidR="00290FE2" w:rsidRDefault="00290FE2" w:rsidP="00271CBA">
      <w:pPr>
        <w:rPr>
          <w:rFonts w:ascii="Century Gothic" w:hAnsi="Century Gothic"/>
          <w:color w:val="auto"/>
          <w:sz w:val="24"/>
        </w:rPr>
      </w:pPr>
      <w:r>
        <w:rPr>
          <w:rFonts w:ascii="Century Gothic" w:hAnsi="Century Gothic"/>
          <w:color w:val="auto"/>
          <w:sz w:val="24"/>
        </w:rPr>
        <w:t xml:space="preserve">This document may be developed in the future by visiting an atheist group such as The Sunday Assembly and conducting interviews not only with members of the congregation but members of the leadership also. In addition, random questionnaires would be a useful tool within this report as a representation of atheist beliefs within the United Kingdom could be included as he </w:t>
      </w:r>
      <w:r w:rsidR="00AB7213">
        <w:rPr>
          <w:rFonts w:ascii="Century Gothic" w:hAnsi="Century Gothic"/>
          <w:color w:val="auto"/>
          <w:sz w:val="24"/>
        </w:rPr>
        <w:t>censuses</w:t>
      </w:r>
      <w:r>
        <w:rPr>
          <w:rFonts w:ascii="Century Gothic" w:hAnsi="Century Gothic"/>
          <w:color w:val="auto"/>
          <w:sz w:val="24"/>
        </w:rPr>
        <w:t xml:space="preserve"> could now be deemed as out of date as religious preferences may have changed.</w:t>
      </w:r>
    </w:p>
    <w:p w14:paraId="3499E91B" w14:textId="2EB3D816" w:rsidR="00290FE2" w:rsidRDefault="003D566B" w:rsidP="00271CBA">
      <w:pPr>
        <w:rPr>
          <w:rFonts w:ascii="Century Gothic" w:hAnsi="Century Gothic"/>
          <w:color w:val="auto"/>
          <w:sz w:val="24"/>
        </w:rPr>
      </w:pPr>
      <w:r>
        <w:rPr>
          <w:rFonts w:ascii="Century Gothic" w:hAnsi="Century Gothic"/>
          <w:color w:val="auto"/>
          <w:sz w:val="24"/>
        </w:rPr>
        <w:t>Finally, I believe his report may be of use to another as it provides a basis for work to be continued and adapted upon within the future.</w:t>
      </w:r>
    </w:p>
    <w:p w14:paraId="44759331" w14:textId="6D9C986A" w:rsidR="006F4200" w:rsidRDefault="006F4200" w:rsidP="00271CBA">
      <w:pPr>
        <w:rPr>
          <w:rFonts w:ascii="Century Gothic" w:hAnsi="Century Gothic"/>
          <w:color w:val="auto"/>
          <w:sz w:val="24"/>
        </w:rPr>
      </w:pPr>
    </w:p>
    <w:p w14:paraId="2B8FFDA4" w14:textId="4E023C0B" w:rsidR="006F4200" w:rsidRDefault="006F4200" w:rsidP="00271CBA">
      <w:pPr>
        <w:rPr>
          <w:rFonts w:ascii="Century Gothic" w:hAnsi="Century Gothic"/>
          <w:color w:val="auto"/>
          <w:sz w:val="24"/>
        </w:rPr>
      </w:pPr>
    </w:p>
    <w:p w14:paraId="46C64611" w14:textId="3F7ACC5F" w:rsidR="006F4200" w:rsidRDefault="006F4200" w:rsidP="00271CBA">
      <w:pPr>
        <w:rPr>
          <w:rFonts w:ascii="Century Gothic" w:hAnsi="Century Gothic"/>
          <w:color w:val="auto"/>
          <w:sz w:val="24"/>
        </w:rPr>
      </w:pPr>
    </w:p>
    <w:p w14:paraId="64FF3C50" w14:textId="2EB9C72B" w:rsidR="006F4200" w:rsidRDefault="006F4200" w:rsidP="00271CBA">
      <w:pPr>
        <w:rPr>
          <w:rFonts w:ascii="Century Gothic" w:hAnsi="Century Gothic"/>
          <w:color w:val="auto"/>
          <w:sz w:val="24"/>
        </w:rPr>
      </w:pPr>
    </w:p>
    <w:p w14:paraId="281A8AFF" w14:textId="1D533254" w:rsidR="006F4200" w:rsidRDefault="006F4200" w:rsidP="00271CBA">
      <w:pPr>
        <w:rPr>
          <w:rFonts w:ascii="Century Gothic" w:hAnsi="Century Gothic"/>
          <w:color w:val="auto"/>
          <w:sz w:val="24"/>
        </w:rPr>
      </w:pPr>
    </w:p>
    <w:p w14:paraId="1BBE8441" w14:textId="76E46CE1" w:rsidR="006F4200" w:rsidRDefault="006F4200" w:rsidP="00271CBA">
      <w:pPr>
        <w:rPr>
          <w:rFonts w:ascii="Century Gothic" w:hAnsi="Century Gothic"/>
          <w:color w:val="auto"/>
          <w:sz w:val="24"/>
        </w:rPr>
      </w:pPr>
    </w:p>
    <w:p w14:paraId="3431E794" w14:textId="798DEBB5" w:rsidR="006F4200" w:rsidRDefault="006F4200" w:rsidP="00271CBA">
      <w:pPr>
        <w:rPr>
          <w:rFonts w:ascii="Century Gothic" w:hAnsi="Century Gothic"/>
          <w:color w:val="auto"/>
          <w:sz w:val="24"/>
        </w:rPr>
      </w:pPr>
    </w:p>
    <w:p w14:paraId="549881E1" w14:textId="79BB69C7" w:rsidR="006F4200" w:rsidRDefault="006F4200" w:rsidP="00271CBA">
      <w:pPr>
        <w:rPr>
          <w:rFonts w:ascii="Century Gothic" w:hAnsi="Century Gothic"/>
          <w:color w:val="auto"/>
          <w:sz w:val="24"/>
        </w:rPr>
      </w:pPr>
    </w:p>
    <w:p w14:paraId="25D5FDB7" w14:textId="1D732A3A" w:rsidR="006F4200" w:rsidRDefault="006F4200" w:rsidP="00271CBA">
      <w:pPr>
        <w:rPr>
          <w:rFonts w:ascii="Century Gothic" w:hAnsi="Century Gothic"/>
          <w:color w:val="auto"/>
          <w:sz w:val="24"/>
        </w:rPr>
      </w:pPr>
    </w:p>
    <w:p w14:paraId="78513647" w14:textId="5E9C3CC0" w:rsidR="006F4200" w:rsidRDefault="006F4200" w:rsidP="00271CBA">
      <w:pPr>
        <w:rPr>
          <w:rFonts w:ascii="Century Gothic" w:hAnsi="Century Gothic"/>
          <w:color w:val="auto"/>
          <w:sz w:val="24"/>
        </w:rPr>
      </w:pPr>
    </w:p>
    <w:p w14:paraId="2AD36E70" w14:textId="506A35AF" w:rsidR="006F4200" w:rsidRDefault="004966B5" w:rsidP="004966B5">
      <w:pPr>
        <w:pStyle w:val="Heading2"/>
      </w:pPr>
      <w:r>
        <w:lastRenderedPageBreak/>
        <w:t>Bibliography</w:t>
      </w:r>
      <w:r w:rsidR="006F4200">
        <w:t>.</w:t>
      </w:r>
    </w:p>
    <w:p w14:paraId="464A2821"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r w:rsidRPr="006F4200">
        <w:rPr>
          <w:rFonts w:ascii="Verdana" w:eastAsia="Times New Roman" w:hAnsi="Verdana" w:cs="Times New Roman"/>
          <w:color w:val="000000"/>
          <w:sz w:val="18"/>
          <w:szCs w:val="18"/>
          <w:lang w:val="en-GB" w:eastAsia="en-GB"/>
        </w:rPr>
        <w:t>Bergin, Chris, </w:t>
      </w:r>
      <w:r w:rsidRPr="006F4200">
        <w:rPr>
          <w:rFonts w:ascii="Verdana" w:eastAsia="Times New Roman" w:hAnsi="Verdana" w:cs="Times New Roman"/>
          <w:b/>
          <w:bCs/>
          <w:i/>
          <w:iCs/>
          <w:color w:val="000000"/>
          <w:sz w:val="18"/>
          <w:szCs w:val="18"/>
          <w:lang w:val="en-GB" w:eastAsia="en-GB"/>
        </w:rPr>
        <w:t>  the World's Newest Major Religion: No Religion</w:t>
      </w:r>
      <w:r w:rsidRPr="006F4200">
        <w:rPr>
          <w:rFonts w:ascii="Verdana" w:eastAsia="Times New Roman" w:hAnsi="Verdana" w:cs="Times New Roman"/>
          <w:i/>
          <w:iCs/>
          <w:color w:val="000000"/>
          <w:sz w:val="18"/>
          <w:szCs w:val="18"/>
          <w:lang w:val="en-GB" w:eastAsia="en-GB"/>
        </w:rPr>
        <w:t>, </w:t>
      </w:r>
      <w:hyperlink r:id="rId12" w:tgtFrame="_blank" w:history="1">
        <w:r w:rsidRPr="006F4200">
          <w:rPr>
            <w:rFonts w:ascii="Verdana" w:eastAsia="Times New Roman" w:hAnsi="Verdana" w:cs="Times New Roman"/>
            <w:color w:val="0000FF"/>
            <w:sz w:val="18"/>
            <w:szCs w:val="18"/>
            <w:u w:val="single"/>
            <w:lang w:val="en-GB" w:eastAsia="en-GB"/>
          </w:rPr>
          <w:t>https://news.nationalgeographic.com/2016/04/160422-atheism-agnostic-secular-nones-rising-religion/</w:t>
        </w:r>
      </w:hyperlink>
      <w:r w:rsidRPr="006F4200">
        <w:rPr>
          <w:rFonts w:ascii="Verdana" w:eastAsia="Times New Roman" w:hAnsi="Verdana" w:cs="Times New Roman"/>
          <w:color w:val="000000"/>
          <w:sz w:val="18"/>
          <w:szCs w:val="18"/>
          <w:lang w:val="en-GB" w:eastAsia="en-GB"/>
        </w:rPr>
        <w:t> edn, 2018 vols (National Geographic, ) &lt;</w:t>
      </w:r>
      <w:hyperlink r:id="rId13" w:tgtFrame="_blank" w:history="1">
        <w:r w:rsidRPr="006F4200">
          <w:rPr>
            <w:rFonts w:ascii="Verdana" w:eastAsia="Times New Roman" w:hAnsi="Verdana" w:cs="Times New Roman"/>
            <w:color w:val="0000FF"/>
            <w:sz w:val="18"/>
            <w:szCs w:val="18"/>
            <w:u w:val="single"/>
            <w:lang w:val="en-GB" w:eastAsia="en-GB"/>
          </w:rPr>
          <w:t>https://news.nationalgeographic.com/2016/04/160422-atheism-agnostic-secular-nones-rising-religion/</w:t>
        </w:r>
      </w:hyperlink>
      <w:r w:rsidRPr="006F4200">
        <w:rPr>
          <w:rFonts w:ascii="Verdana" w:eastAsia="Times New Roman" w:hAnsi="Verdana" w:cs="Times New Roman"/>
          <w:color w:val="000000"/>
          <w:sz w:val="18"/>
          <w:szCs w:val="18"/>
          <w:lang w:val="en-GB" w:eastAsia="en-GB"/>
        </w:rPr>
        <w:t>&gt;</w:t>
      </w:r>
    </w:p>
    <w:p w14:paraId="25F26570"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proofErr w:type="spellStart"/>
      <w:r w:rsidRPr="006F4200">
        <w:rPr>
          <w:rFonts w:ascii="Verdana" w:eastAsia="Times New Roman" w:hAnsi="Verdana" w:cs="Times New Roman"/>
          <w:color w:val="000000"/>
          <w:sz w:val="18"/>
          <w:szCs w:val="18"/>
          <w:lang w:val="en-GB" w:eastAsia="en-GB"/>
        </w:rPr>
        <w:t>Cliteur</w:t>
      </w:r>
      <w:proofErr w:type="spellEnd"/>
      <w:r w:rsidRPr="006F4200">
        <w:rPr>
          <w:rFonts w:ascii="Verdana" w:eastAsia="Times New Roman" w:hAnsi="Verdana" w:cs="Times New Roman"/>
          <w:color w:val="000000"/>
          <w:sz w:val="18"/>
          <w:szCs w:val="18"/>
          <w:lang w:val="en-GB" w:eastAsia="en-GB"/>
        </w:rPr>
        <w:t>, Paul, 'The Definition of Atheism', 11 (2009), 1-1-23</w:t>
      </w:r>
      <w:r w:rsidRPr="006F4200">
        <w:rPr>
          <w:rFonts w:ascii="Verdana" w:eastAsia="Times New Roman" w:hAnsi="Verdana" w:cs="Times New Roman"/>
          <w:i/>
          <w:iCs/>
          <w:color w:val="000000"/>
          <w:sz w:val="18"/>
          <w:szCs w:val="18"/>
          <w:lang w:val="en-GB" w:eastAsia="en-GB"/>
        </w:rPr>
        <w:t>, in Journal of Religion and Society</w:t>
      </w:r>
      <w:r w:rsidRPr="006F4200">
        <w:rPr>
          <w:rFonts w:ascii="Verdana" w:eastAsia="Times New Roman" w:hAnsi="Verdana" w:cs="Times New Roman"/>
          <w:color w:val="000000"/>
          <w:sz w:val="18"/>
          <w:szCs w:val="18"/>
          <w:lang w:val="en-GB" w:eastAsia="en-GB"/>
        </w:rPr>
        <w:t> [accessed 2018]</w:t>
      </w:r>
    </w:p>
    <w:p w14:paraId="5F2A3F4B"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r w:rsidRPr="006F4200">
        <w:rPr>
          <w:rFonts w:ascii="Verdana" w:eastAsia="Times New Roman" w:hAnsi="Verdana" w:cs="Times New Roman"/>
          <w:color w:val="000000"/>
          <w:sz w:val="18"/>
          <w:szCs w:val="18"/>
          <w:lang w:val="en-GB" w:eastAsia="en-GB"/>
        </w:rPr>
        <w:t>Hurtado, Larry, </w:t>
      </w:r>
      <w:r w:rsidRPr="006F4200">
        <w:rPr>
          <w:rFonts w:ascii="Verdana" w:eastAsia="Times New Roman" w:hAnsi="Verdana" w:cs="Times New Roman"/>
          <w:i/>
          <w:iCs/>
          <w:color w:val="000000"/>
          <w:sz w:val="18"/>
          <w:szCs w:val="18"/>
          <w:lang w:val="en-GB" w:eastAsia="en-GB"/>
        </w:rPr>
        <w:t>When Christians were Atheists, </w:t>
      </w:r>
      <w:hyperlink r:id="rId14" w:tgtFrame="_blank" w:history="1">
        <w:r w:rsidRPr="006F4200">
          <w:rPr>
            <w:rFonts w:ascii="Verdana" w:eastAsia="Times New Roman" w:hAnsi="Verdana" w:cs="Times New Roman"/>
            <w:color w:val="0000FF"/>
            <w:sz w:val="18"/>
            <w:szCs w:val="18"/>
            <w:u w:val="single"/>
            <w:lang w:val="en-GB" w:eastAsia="en-GB"/>
          </w:rPr>
          <w:t>https://larryhurtado.wordpress.com/2016/12/13/when-christians-were-atheists/</w:t>
        </w:r>
      </w:hyperlink>
      <w:r w:rsidRPr="006F4200">
        <w:rPr>
          <w:rFonts w:ascii="Verdana" w:eastAsia="Times New Roman" w:hAnsi="Verdana" w:cs="Times New Roman"/>
          <w:color w:val="000000"/>
          <w:sz w:val="18"/>
          <w:szCs w:val="18"/>
          <w:lang w:val="en-GB" w:eastAsia="en-GB"/>
        </w:rPr>
        <w:t> edn, 2018 vols (NA: NA, 2016) [accessed 15.12.18]</w:t>
      </w:r>
    </w:p>
    <w:p w14:paraId="72CB16A1"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proofErr w:type="spellStart"/>
      <w:r w:rsidRPr="006F4200">
        <w:rPr>
          <w:rFonts w:ascii="Verdana" w:eastAsia="Times New Roman" w:hAnsi="Verdana" w:cs="Times New Roman"/>
          <w:color w:val="000000"/>
          <w:sz w:val="18"/>
          <w:szCs w:val="18"/>
          <w:lang w:val="en-GB" w:eastAsia="en-GB"/>
        </w:rPr>
        <w:t>Mastin</w:t>
      </w:r>
      <w:proofErr w:type="spellEnd"/>
      <w:r w:rsidRPr="006F4200">
        <w:rPr>
          <w:rFonts w:ascii="Verdana" w:eastAsia="Times New Roman" w:hAnsi="Verdana" w:cs="Times New Roman"/>
          <w:color w:val="000000"/>
          <w:sz w:val="18"/>
          <w:szCs w:val="18"/>
          <w:lang w:val="en-GB" w:eastAsia="en-GB"/>
        </w:rPr>
        <w:t>, Luke, </w:t>
      </w:r>
      <w:r w:rsidRPr="006F4200">
        <w:rPr>
          <w:rFonts w:ascii="Verdana" w:eastAsia="Times New Roman" w:hAnsi="Verdana" w:cs="Times New Roman"/>
          <w:i/>
          <w:iCs/>
          <w:color w:val="000000"/>
          <w:sz w:val="18"/>
          <w:szCs w:val="18"/>
          <w:lang w:val="en-GB" w:eastAsia="en-GB"/>
        </w:rPr>
        <w:t>Arguments for Atheism, </w:t>
      </w:r>
      <w:r w:rsidRPr="006F4200">
        <w:rPr>
          <w:rFonts w:ascii="Verdana" w:eastAsia="Times New Roman" w:hAnsi="Verdana" w:cs="Times New Roman"/>
          <w:color w:val="000000"/>
          <w:sz w:val="18"/>
          <w:szCs w:val="18"/>
          <w:lang w:val="en-GB" w:eastAsia="en-GB"/>
        </w:rPr>
        <w:t>History of Atheism, </w:t>
      </w:r>
      <w:hyperlink r:id="rId15" w:tgtFrame="_blank" w:history="1">
        <w:r w:rsidRPr="006F4200">
          <w:rPr>
            <w:rFonts w:ascii="Verdana" w:eastAsia="Times New Roman" w:hAnsi="Verdana" w:cs="Times New Roman"/>
            <w:color w:val="0000FF"/>
            <w:sz w:val="18"/>
            <w:szCs w:val="18"/>
            <w:u w:val="single"/>
            <w:lang w:val="en-GB" w:eastAsia="en-GB"/>
          </w:rPr>
          <w:t>http://www.argumentsforatheism.com/history.html</w:t>
        </w:r>
      </w:hyperlink>
      <w:r w:rsidRPr="006F4200">
        <w:rPr>
          <w:rFonts w:ascii="Verdana" w:eastAsia="Times New Roman" w:hAnsi="Verdana" w:cs="Times New Roman"/>
          <w:color w:val="000000"/>
          <w:sz w:val="18"/>
          <w:szCs w:val="18"/>
          <w:lang w:val="en-GB" w:eastAsia="en-GB"/>
        </w:rPr>
        <w:t> edn, 2018 vols (2011)</w:t>
      </w:r>
    </w:p>
    <w:p w14:paraId="74301E63"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r w:rsidRPr="006F4200">
        <w:rPr>
          <w:rFonts w:ascii="Verdana" w:eastAsia="Times New Roman" w:hAnsi="Verdana" w:cs="Times New Roman"/>
          <w:i/>
          <w:iCs/>
          <w:color w:val="000000"/>
          <w:sz w:val="18"/>
          <w:szCs w:val="18"/>
          <w:lang w:val="en-GB" w:eastAsia="en-GB"/>
        </w:rPr>
        <w:t>What's Sunday Assembly? </w:t>
      </w:r>
      <w:r w:rsidRPr="006F4200">
        <w:rPr>
          <w:rFonts w:ascii="Verdana" w:eastAsia="Times New Roman" w:hAnsi="Verdana" w:cs="Times New Roman"/>
          <w:color w:val="000000"/>
          <w:sz w:val="18"/>
          <w:szCs w:val="18"/>
          <w:lang w:val="en-GB" w:eastAsia="en-GB"/>
        </w:rPr>
        <w:t>Dir. N/A, YouTube, </w:t>
      </w:r>
      <w:r w:rsidRPr="006F4200">
        <w:rPr>
          <w:rFonts w:ascii="Verdana" w:eastAsia="Times New Roman" w:hAnsi="Verdana" w:cs="Times New Roman"/>
          <w:i/>
          <w:iCs/>
          <w:color w:val="000000"/>
          <w:sz w:val="18"/>
          <w:szCs w:val="18"/>
          <w:lang w:val="en-GB" w:eastAsia="en-GB"/>
        </w:rPr>
        <w:t>2017</w:t>
      </w:r>
      <w:r w:rsidRPr="006F4200">
        <w:rPr>
          <w:rFonts w:ascii="Verdana" w:eastAsia="Times New Roman" w:hAnsi="Verdana" w:cs="Times New Roman"/>
          <w:color w:val="000000"/>
          <w:sz w:val="18"/>
          <w:szCs w:val="18"/>
          <w:lang w:val="en-GB" w:eastAsia="en-GB"/>
        </w:rPr>
        <w:t> [accessed 2018]</w:t>
      </w:r>
    </w:p>
    <w:p w14:paraId="750ABE90"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r w:rsidRPr="006F4200">
        <w:rPr>
          <w:rFonts w:ascii="Verdana" w:eastAsia="Times New Roman" w:hAnsi="Verdana" w:cs="Times New Roman"/>
          <w:color w:val="000000"/>
          <w:sz w:val="18"/>
          <w:szCs w:val="18"/>
          <w:lang w:val="en-GB" w:eastAsia="en-GB"/>
        </w:rPr>
        <w:t>Office of National Statistics, </w:t>
      </w:r>
      <w:r w:rsidRPr="006F4200">
        <w:rPr>
          <w:rFonts w:ascii="Verdana" w:eastAsia="Times New Roman" w:hAnsi="Verdana" w:cs="Times New Roman"/>
          <w:i/>
          <w:iCs/>
          <w:color w:val="000000"/>
          <w:sz w:val="18"/>
          <w:szCs w:val="18"/>
          <w:lang w:val="en-GB" w:eastAsia="en-GB"/>
        </w:rPr>
        <w:t>Why we have a Census, </w:t>
      </w:r>
      <w:hyperlink r:id="rId16" w:tgtFrame="_blank" w:history="1">
        <w:r w:rsidRPr="006F4200">
          <w:rPr>
            <w:rFonts w:ascii="Verdana" w:eastAsia="Times New Roman" w:hAnsi="Verdana" w:cs="Times New Roman"/>
            <w:color w:val="0000FF"/>
            <w:sz w:val="18"/>
            <w:szCs w:val="18"/>
            <w:u w:val="single"/>
            <w:lang w:val="en-GB" w:eastAsia="en-GB"/>
          </w:rPr>
          <w:t>https://www.ons.gov.uk/census/2011census/whywehaveacensus</w:t>
        </w:r>
      </w:hyperlink>
      <w:r w:rsidRPr="006F4200">
        <w:rPr>
          <w:rFonts w:ascii="Verdana" w:eastAsia="Times New Roman" w:hAnsi="Verdana" w:cs="Times New Roman"/>
          <w:color w:val="000000"/>
          <w:sz w:val="18"/>
          <w:szCs w:val="18"/>
          <w:lang w:val="en-GB" w:eastAsia="en-GB"/>
        </w:rPr>
        <w:t> edn, 2018 vols () [accessed 15.12.18]</w:t>
      </w:r>
    </w:p>
    <w:p w14:paraId="383D8B3B"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r w:rsidRPr="006F4200">
        <w:rPr>
          <w:rFonts w:ascii="Verdana" w:eastAsia="Times New Roman" w:hAnsi="Verdana" w:cs="Times New Roman"/>
          <w:color w:val="000000"/>
          <w:sz w:val="18"/>
          <w:szCs w:val="18"/>
          <w:lang w:val="en-GB" w:eastAsia="en-GB"/>
        </w:rPr>
        <w:t>Pigott, Robert, </w:t>
      </w:r>
      <w:r w:rsidRPr="006F4200">
        <w:rPr>
          <w:rFonts w:ascii="Verdana" w:eastAsia="Times New Roman" w:hAnsi="Verdana" w:cs="Times New Roman"/>
          <w:i/>
          <w:iCs/>
          <w:color w:val="000000"/>
          <w:sz w:val="18"/>
          <w:szCs w:val="18"/>
          <w:lang w:val="en-GB" w:eastAsia="en-GB"/>
        </w:rPr>
        <w:t xml:space="preserve">Doing Church </w:t>
      </w:r>
      <w:proofErr w:type="spellStart"/>
      <w:r w:rsidRPr="006F4200">
        <w:rPr>
          <w:rFonts w:ascii="Verdana" w:eastAsia="Times New Roman" w:hAnsi="Verdana" w:cs="Times New Roman"/>
          <w:i/>
          <w:iCs/>
          <w:color w:val="000000"/>
          <w:sz w:val="18"/>
          <w:szCs w:val="18"/>
          <w:lang w:val="en-GB" w:eastAsia="en-GB"/>
        </w:rPr>
        <w:t>Withought</w:t>
      </w:r>
      <w:proofErr w:type="spellEnd"/>
      <w:r w:rsidRPr="006F4200">
        <w:rPr>
          <w:rFonts w:ascii="Verdana" w:eastAsia="Times New Roman" w:hAnsi="Verdana" w:cs="Times New Roman"/>
          <w:i/>
          <w:iCs/>
          <w:color w:val="000000"/>
          <w:sz w:val="18"/>
          <w:szCs w:val="18"/>
          <w:lang w:val="en-GB" w:eastAsia="en-GB"/>
        </w:rPr>
        <w:t xml:space="preserve"> God, </w:t>
      </w:r>
      <w:hyperlink r:id="rId17" w:tgtFrame="_blank" w:history="1">
        <w:r w:rsidRPr="006F4200">
          <w:rPr>
            <w:rFonts w:ascii="Verdana" w:eastAsia="Times New Roman" w:hAnsi="Verdana" w:cs="Times New Roman"/>
            <w:color w:val="0000FF"/>
            <w:sz w:val="18"/>
            <w:szCs w:val="18"/>
            <w:u w:val="single"/>
            <w:lang w:val="en-GB" w:eastAsia="en-GB"/>
          </w:rPr>
          <w:t>https://www.bbc.co.uk/news/uk-24766314</w:t>
        </w:r>
      </w:hyperlink>
      <w:r w:rsidRPr="006F4200">
        <w:rPr>
          <w:rFonts w:ascii="Verdana" w:eastAsia="Times New Roman" w:hAnsi="Verdana" w:cs="Times New Roman"/>
          <w:color w:val="000000"/>
          <w:sz w:val="18"/>
          <w:szCs w:val="18"/>
          <w:lang w:val="en-GB" w:eastAsia="en-GB"/>
        </w:rPr>
        <w:t> edn, 2018 vols (BBC, 2013)</w:t>
      </w:r>
    </w:p>
    <w:p w14:paraId="2C132615" w14:textId="77777777" w:rsidR="006F4200" w:rsidRP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r w:rsidRPr="006F4200">
        <w:rPr>
          <w:rFonts w:ascii="Verdana" w:eastAsia="Times New Roman" w:hAnsi="Verdana" w:cs="Times New Roman"/>
          <w:color w:val="000000"/>
          <w:sz w:val="18"/>
          <w:szCs w:val="18"/>
          <w:lang w:val="en-GB" w:eastAsia="en-GB"/>
        </w:rPr>
        <w:t>Sunday Assembly, </w:t>
      </w:r>
      <w:r w:rsidRPr="006F4200">
        <w:rPr>
          <w:rFonts w:ascii="Verdana" w:eastAsia="Times New Roman" w:hAnsi="Verdana" w:cs="Times New Roman"/>
          <w:i/>
          <w:iCs/>
          <w:color w:val="000000"/>
          <w:sz w:val="18"/>
          <w:szCs w:val="18"/>
          <w:lang w:val="en-GB" w:eastAsia="en-GB"/>
        </w:rPr>
        <w:t>Our Story, </w:t>
      </w:r>
      <w:hyperlink r:id="rId18" w:tgtFrame="_blank" w:history="1">
        <w:r w:rsidRPr="006F4200">
          <w:rPr>
            <w:rFonts w:ascii="Verdana" w:eastAsia="Times New Roman" w:hAnsi="Verdana" w:cs="Times New Roman"/>
            <w:color w:val="0000FF"/>
            <w:sz w:val="18"/>
            <w:szCs w:val="18"/>
            <w:u w:val="single"/>
            <w:lang w:val="en-GB" w:eastAsia="en-GB"/>
          </w:rPr>
          <w:t>https://www.sundayassembly.com/story</w:t>
        </w:r>
      </w:hyperlink>
      <w:r w:rsidRPr="006F4200">
        <w:rPr>
          <w:rFonts w:ascii="Verdana" w:eastAsia="Times New Roman" w:hAnsi="Verdana" w:cs="Times New Roman"/>
          <w:color w:val="000000"/>
          <w:sz w:val="18"/>
          <w:szCs w:val="18"/>
          <w:lang w:val="en-GB" w:eastAsia="en-GB"/>
        </w:rPr>
        <w:t> edn, 2018 vols (2018) [accessed 2018]</w:t>
      </w:r>
    </w:p>
    <w:p w14:paraId="4E1C130B" w14:textId="67BC2DD2" w:rsidR="006F4200" w:rsidRDefault="006F4200" w:rsidP="006F4200">
      <w:pPr>
        <w:spacing w:before="100" w:beforeAutospacing="1" w:after="100" w:afterAutospacing="1" w:line="480" w:lineRule="auto"/>
        <w:ind w:left="450" w:hanging="450"/>
        <w:rPr>
          <w:rFonts w:ascii="Verdana" w:eastAsia="Times New Roman" w:hAnsi="Verdana" w:cs="Times New Roman"/>
          <w:color w:val="000000"/>
          <w:sz w:val="18"/>
          <w:szCs w:val="18"/>
          <w:lang w:val="en-GB" w:eastAsia="en-GB"/>
        </w:rPr>
      </w:pPr>
      <w:r w:rsidRPr="006F4200">
        <w:rPr>
          <w:rFonts w:ascii="Verdana" w:eastAsia="Times New Roman" w:hAnsi="Verdana" w:cs="Times New Roman"/>
          <w:color w:val="000000"/>
          <w:sz w:val="18"/>
          <w:szCs w:val="18"/>
          <w:lang w:val="en-GB" w:eastAsia="en-GB"/>
        </w:rPr>
        <w:t>Watts, Andrew, </w:t>
      </w:r>
      <w:r w:rsidRPr="006F4200">
        <w:rPr>
          <w:rFonts w:ascii="Verdana" w:eastAsia="Times New Roman" w:hAnsi="Verdana" w:cs="Times New Roman"/>
          <w:i/>
          <w:iCs/>
          <w:color w:val="000000"/>
          <w:sz w:val="18"/>
          <w:szCs w:val="18"/>
          <w:lang w:val="en-GB" w:eastAsia="en-GB"/>
        </w:rPr>
        <w:t xml:space="preserve">The Church of Self-Worship: Sunday Morning </w:t>
      </w:r>
      <w:proofErr w:type="spellStart"/>
      <w:r w:rsidRPr="006F4200">
        <w:rPr>
          <w:rFonts w:ascii="Verdana" w:eastAsia="Times New Roman" w:hAnsi="Verdana" w:cs="Times New Roman"/>
          <w:i/>
          <w:iCs/>
          <w:color w:val="000000"/>
          <w:sz w:val="18"/>
          <w:szCs w:val="18"/>
          <w:lang w:val="en-GB" w:eastAsia="en-GB"/>
        </w:rPr>
        <w:t>Wih</w:t>
      </w:r>
      <w:proofErr w:type="spellEnd"/>
      <w:r w:rsidRPr="006F4200">
        <w:rPr>
          <w:rFonts w:ascii="Verdana" w:eastAsia="Times New Roman" w:hAnsi="Verdana" w:cs="Times New Roman"/>
          <w:i/>
          <w:iCs/>
          <w:color w:val="000000"/>
          <w:sz w:val="18"/>
          <w:szCs w:val="18"/>
          <w:lang w:val="en-GB" w:eastAsia="en-GB"/>
        </w:rPr>
        <w:t xml:space="preserve"> the Atheists, </w:t>
      </w:r>
      <w:hyperlink r:id="rId19" w:tgtFrame="_blank" w:history="1">
        <w:r w:rsidRPr="006F4200">
          <w:rPr>
            <w:rFonts w:ascii="Verdana" w:eastAsia="Times New Roman" w:hAnsi="Verdana" w:cs="Times New Roman"/>
            <w:color w:val="0000FF"/>
            <w:sz w:val="18"/>
            <w:szCs w:val="18"/>
            <w:u w:val="single"/>
            <w:lang w:val="en-GB" w:eastAsia="en-GB"/>
          </w:rPr>
          <w:t>https://www.spectator.co.uk/2014/02/so-tell-me-about-your-f</w:t>
        </w:r>
      </w:hyperlink>
    </w:p>
    <w:p w14:paraId="3936B9AA" w14:textId="0F4DB966" w:rsidR="006F4200" w:rsidRDefault="006F4200" w:rsidP="004966B5">
      <w:pPr>
        <w:pStyle w:val="Heading2"/>
        <w:rPr>
          <w:rFonts w:eastAsia="Times New Roman"/>
          <w:lang w:val="en-GB" w:eastAsia="en-GB"/>
        </w:rPr>
      </w:pPr>
      <w:r>
        <w:rPr>
          <w:rFonts w:eastAsia="Times New Roman"/>
          <w:lang w:val="en-GB" w:eastAsia="en-GB"/>
        </w:rPr>
        <w:lastRenderedPageBreak/>
        <w:t>Images</w:t>
      </w:r>
    </w:p>
    <w:p w14:paraId="33CE2C83" w14:textId="12A64F1E" w:rsidR="004966B5" w:rsidRDefault="004966B5" w:rsidP="004966B5">
      <w:pPr>
        <w:rPr>
          <w:lang w:val="en-GB" w:eastAsia="en-GB"/>
        </w:rPr>
      </w:pPr>
      <w:r>
        <w:rPr>
          <w:lang w:val="en-GB" w:eastAsia="en-GB"/>
        </w:rPr>
        <w:t>Figure 1- Census Data</w:t>
      </w:r>
    </w:p>
    <w:p w14:paraId="1135E0E2" w14:textId="18D91A72" w:rsidR="004966B5" w:rsidRDefault="004966B5" w:rsidP="004966B5">
      <w:pPr>
        <w:rPr>
          <w:lang w:val="en-GB" w:eastAsia="en-GB"/>
        </w:rPr>
      </w:pPr>
      <w:r>
        <w:rPr>
          <w:lang w:val="en-GB" w:eastAsia="en-GB"/>
        </w:rPr>
        <w:t>Figure 2- World religion database</w:t>
      </w:r>
    </w:p>
    <w:p w14:paraId="5BD85291" w14:textId="73E33EA1" w:rsidR="004966B5" w:rsidRPr="004966B5" w:rsidRDefault="004966B5" w:rsidP="004966B5">
      <w:pPr>
        <w:rPr>
          <w:lang w:val="en-GB" w:eastAsia="en-GB"/>
        </w:rPr>
      </w:pPr>
      <w:r>
        <w:rPr>
          <w:lang w:val="en-GB" w:eastAsia="en-GB"/>
        </w:rPr>
        <w:t>Figure 3- Sunday Assembly</w:t>
      </w:r>
    </w:p>
    <w:sectPr w:rsidR="004966B5" w:rsidRPr="004966B5">
      <w:footerReference w:type="default" r:id="rId2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6B19A" w14:textId="77777777" w:rsidR="004118D2" w:rsidRDefault="004118D2" w:rsidP="00C6554A">
      <w:pPr>
        <w:spacing w:before="0" w:after="0" w:line="240" w:lineRule="auto"/>
      </w:pPr>
      <w:r>
        <w:separator/>
      </w:r>
    </w:p>
  </w:endnote>
  <w:endnote w:type="continuationSeparator" w:id="0">
    <w:p w14:paraId="53FF77C5" w14:textId="77777777" w:rsidR="004118D2" w:rsidRDefault="004118D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F447A"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208D1" w14:textId="77777777" w:rsidR="004118D2" w:rsidRDefault="004118D2" w:rsidP="00C6554A">
      <w:pPr>
        <w:spacing w:before="0" w:after="0" w:line="240" w:lineRule="auto"/>
      </w:pPr>
      <w:r>
        <w:separator/>
      </w:r>
    </w:p>
  </w:footnote>
  <w:footnote w:type="continuationSeparator" w:id="0">
    <w:p w14:paraId="72AC7748" w14:textId="77777777" w:rsidR="004118D2" w:rsidRDefault="004118D2" w:rsidP="00C6554A">
      <w:pPr>
        <w:spacing w:before="0" w:after="0" w:line="240" w:lineRule="auto"/>
      </w:pPr>
      <w:r>
        <w:continuationSeparator/>
      </w:r>
    </w:p>
  </w:footnote>
  <w:footnote w:id="1">
    <w:p w14:paraId="230760B5" w14:textId="77777777" w:rsidR="0020741B" w:rsidRPr="0020741B" w:rsidRDefault="0020741B" w:rsidP="0020741B">
      <w:pPr>
        <w:pStyle w:val="FootnoteText"/>
        <w:rPr>
          <w:lang w:val="en-GB"/>
        </w:rPr>
      </w:pPr>
      <w:r>
        <w:rPr>
          <w:rStyle w:val="FootnoteReference"/>
        </w:rPr>
        <w:footnoteRef/>
      </w:r>
      <w:r>
        <w:t xml:space="preserve"> </w:t>
      </w:r>
      <w:r w:rsidRPr="0020741B">
        <w:rPr>
          <w:lang w:val="en-GB"/>
        </w:rPr>
        <w:t xml:space="preserve">Michael Martin, </w:t>
      </w:r>
      <w:r w:rsidRPr="0020741B">
        <w:rPr>
          <w:i/>
          <w:iCs/>
          <w:lang w:val="en-GB"/>
        </w:rPr>
        <w:t xml:space="preserve">The Cambridge Companion to Atheism </w:t>
      </w:r>
      <w:r w:rsidRPr="0020741B">
        <w:rPr>
          <w:lang w:val="en-GB"/>
        </w:rPr>
        <w:t>(Cambridge: Cambridge University Press, 2007), 1.</w:t>
      </w:r>
    </w:p>
    <w:p w14:paraId="39F4E257" w14:textId="33B04319" w:rsidR="0020741B" w:rsidRPr="0020741B" w:rsidRDefault="0020741B">
      <w:pPr>
        <w:pStyle w:val="FootnoteText"/>
        <w:rPr>
          <w:lang w:val="en-GB"/>
        </w:rPr>
      </w:pPr>
    </w:p>
  </w:footnote>
  <w:footnote w:id="2">
    <w:p w14:paraId="50818CB9" w14:textId="0CC8A1E6" w:rsidR="00C3309B" w:rsidRPr="00C3309B" w:rsidRDefault="00C3309B">
      <w:pPr>
        <w:pStyle w:val="FootnoteText"/>
        <w:rPr>
          <w:lang w:val="en-GB"/>
        </w:rPr>
      </w:pPr>
      <w:r>
        <w:rPr>
          <w:rStyle w:val="FootnoteReference"/>
        </w:rPr>
        <w:footnoteRef/>
      </w:r>
      <w:r>
        <w:t xml:space="preserve"> </w:t>
      </w:r>
      <w:r w:rsidRPr="00C3309B">
        <w:t>Curd, Patricia, "Anaxagoras", </w:t>
      </w:r>
      <w:r w:rsidRPr="00C3309B">
        <w:rPr>
          <w:i/>
          <w:iCs/>
        </w:rPr>
        <w:t>The Stanford Encyclopedia of Philosophy </w:t>
      </w:r>
      <w:r w:rsidRPr="00C3309B">
        <w:t xml:space="preserve">(Winter 2015 Edition), Edward N. </w:t>
      </w:r>
      <w:proofErr w:type="spellStart"/>
      <w:r w:rsidRPr="00C3309B">
        <w:t>Zalta</w:t>
      </w:r>
      <w:proofErr w:type="spellEnd"/>
      <w:r w:rsidRPr="00C3309B">
        <w:t> (ed.), URL = &lt;https://plato.stanford.edu/archives/win2015/entries/anaxagoras/&gt;.</w:t>
      </w:r>
    </w:p>
  </w:footnote>
  <w:footnote w:id="3">
    <w:p w14:paraId="5C4AAD30" w14:textId="525AAF44" w:rsidR="0035253F" w:rsidRPr="0035253F" w:rsidRDefault="0035253F">
      <w:pPr>
        <w:pStyle w:val="FootnoteText"/>
        <w:rPr>
          <w:lang w:val="en-GB"/>
        </w:rPr>
      </w:pPr>
      <w:r>
        <w:rPr>
          <w:rStyle w:val="FootnoteReference"/>
        </w:rPr>
        <w:footnoteRef/>
      </w:r>
      <w:r>
        <w:t xml:space="preserve"> </w:t>
      </w:r>
      <w:r w:rsidRPr="0035253F">
        <w:t>{{134 Hurtado, Larry 2016;}}</w:t>
      </w:r>
    </w:p>
  </w:footnote>
  <w:footnote w:id="4">
    <w:p w14:paraId="7D0AC148" w14:textId="3D462699" w:rsidR="00147E35" w:rsidRPr="00147E35" w:rsidRDefault="00147E35">
      <w:pPr>
        <w:pStyle w:val="FootnoteText"/>
        <w:rPr>
          <w:lang w:val="en-GB"/>
        </w:rPr>
      </w:pPr>
      <w:r>
        <w:rPr>
          <w:rStyle w:val="FootnoteReference"/>
        </w:rPr>
        <w:footnoteRef/>
      </w:r>
      <w:r>
        <w:t xml:space="preserve"> </w:t>
      </w:r>
      <w:r w:rsidRPr="00147E35">
        <w:t xml:space="preserve">{{137 </w:t>
      </w:r>
      <w:proofErr w:type="spellStart"/>
      <w:r w:rsidRPr="00147E35">
        <w:t>Mastin</w:t>
      </w:r>
      <w:proofErr w:type="spellEnd"/>
      <w:r w:rsidRPr="00147E35">
        <w:t>, Luke 2011;}}</w:t>
      </w:r>
    </w:p>
  </w:footnote>
  <w:footnote w:id="5">
    <w:p w14:paraId="0555EC76" w14:textId="7E6B3FEC" w:rsidR="00C55FD6" w:rsidRPr="00C55FD6" w:rsidRDefault="00C55FD6">
      <w:pPr>
        <w:pStyle w:val="FootnoteText"/>
        <w:rPr>
          <w:lang w:val="en-GB"/>
        </w:rPr>
      </w:pPr>
      <w:r>
        <w:rPr>
          <w:rStyle w:val="FootnoteReference"/>
        </w:rPr>
        <w:footnoteRef/>
      </w:r>
      <w:r>
        <w:t xml:space="preserve"> </w:t>
      </w:r>
      <w:r w:rsidR="005A3173" w:rsidRPr="005A3173">
        <w:t>{{136 Office of National Statistics;}}</w:t>
      </w:r>
    </w:p>
  </w:footnote>
  <w:footnote w:id="6">
    <w:p w14:paraId="6E8BADCA" w14:textId="5BEADB7E" w:rsidR="00001A9A" w:rsidRPr="00001A9A" w:rsidRDefault="00001A9A">
      <w:pPr>
        <w:pStyle w:val="FootnoteText"/>
        <w:rPr>
          <w:lang w:val="en-GB"/>
        </w:rPr>
      </w:pPr>
      <w:r>
        <w:rPr>
          <w:rStyle w:val="FootnoteReference"/>
        </w:rPr>
        <w:footnoteRef/>
      </w:r>
      <w:r>
        <w:t xml:space="preserve"> </w:t>
      </w:r>
      <w:r w:rsidR="00147E35" w:rsidRPr="00147E35">
        <w:t>{{138 Bergin, Chris;}}</w:t>
      </w:r>
    </w:p>
  </w:footnote>
  <w:footnote w:id="7">
    <w:p w14:paraId="085D99A3" w14:textId="50E69F11" w:rsidR="00282625" w:rsidRPr="00282625" w:rsidRDefault="00282625">
      <w:pPr>
        <w:pStyle w:val="FootnoteText"/>
        <w:rPr>
          <w:lang w:val="en-GB"/>
        </w:rPr>
      </w:pPr>
      <w:r>
        <w:rPr>
          <w:rStyle w:val="FootnoteReference"/>
        </w:rPr>
        <w:footnoteRef/>
      </w:r>
      <w:r>
        <w:t xml:space="preserve"> </w:t>
      </w:r>
      <w:r w:rsidR="00147E35" w:rsidRPr="00147E35">
        <w:t>{{139 Pigott, Robert 2013;}}</w:t>
      </w:r>
    </w:p>
  </w:footnote>
  <w:footnote w:id="8">
    <w:p w14:paraId="340FDDDD" w14:textId="4443553D" w:rsidR="00282625" w:rsidRPr="00282625" w:rsidRDefault="00282625">
      <w:pPr>
        <w:pStyle w:val="FootnoteText"/>
        <w:rPr>
          <w:lang w:val="en-GB"/>
        </w:rPr>
      </w:pPr>
      <w:r>
        <w:rPr>
          <w:rStyle w:val="FootnoteReference"/>
        </w:rPr>
        <w:footnoteRef/>
      </w:r>
      <w:r>
        <w:t xml:space="preserve"> </w:t>
      </w:r>
      <w:r w:rsidR="006F4200" w:rsidRPr="006F4200">
        <w:t>{{140 Sunday Assembly 2018;}}</w:t>
      </w:r>
    </w:p>
  </w:footnote>
  <w:footnote w:id="9">
    <w:p w14:paraId="6CFF1BB7" w14:textId="749E1F9E" w:rsidR="00C56554" w:rsidRPr="00C56554" w:rsidRDefault="00C56554">
      <w:pPr>
        <w:pStyle w:val="FootnoteText"/>
        <w:rPr>
          <w:lang w:val="en-GB"/>
        </w:rPr>
      </w:pPr>
      <w:r>
        <w:rPr>
          <w:rStyle w:val="FootnoteReference"/>
        </w:rPr>
        <w:footnoteRef/>
      </w:r>
      <w:r>
        <w:t xml:space="preserve"> </w:t>
      </w:r>
      <w:r w:rsidR="006F4200" w:rsidRPr="006F4200">
        <w:t>{{141 N/A 2017;}}</w:t>
      </w:r>
    </w:p>
  </w:footnote>
  <w:footnote w:id="10">
    <w:p w14:paraId="74ACC56B" w14:textId="48D3472B" w:rsidR="004E6470" w:rsidRPr="004E6470" w:rsidRDefault="004E6470">
      <w:pPr>
        <w:pStyle w:val="FootnoteText"/>
        <w:rPr>
          <w:lang w:val="en-GB"/>
        </w:rPr>
      </w:pPr>
      <w:r>
        <w:rPr>
          <w:rStyle w:val="FootnoteReference"/>
        </w:rPr>
        <w:footnoteRef/>
      </w:r>
      <w:r>
        <w:t xml:space="preserve"> </w:t>
      </w:r>
      <w:r w:rsidR="006F4200" w:rsidRPr="006F4200">
        <w:t>{{141 N/A 2017;}}</w:t>
      </w:r>
    </w:p>
  </w:footnote>
  <w:footnote w:id="11">
    <w:p w14:paraId="79336751" w14:textId="5AC21C56" w:rsidR="00045963" w:rsidRPr="00045963" w:rsidRDefault="00045963">
      <w:pPr>
        <w:pStyle w:val="FootnoteText"/>
        <w:rPr>
          <w:lang w:val="en-GB"/>
        </w:rPr>
      </w:pPr>
      <w:r>
        <w:rPr>
          <w:rStyle w:val="FootnoteReference"/>
        </w:rPr>
        <w:footnoteRef/>
      </w:r>
      <w:r>
        <w:t xml:space="preserve"> </w:t>
      </w:r>
      <w:r w:rsidR="006F4200" w:rsidRPr="006F4200">
        <w:t>{{142 Watts, Andrew;}}</w:t>
      </w:r>
    </w:p>
  </w:footnote>
  <w:footnote w:id="12">
    <w:p w14:paraId="1EB14BE2" w14:textId="5244A67D" w:rsidR="004B7D58" w:rsidRPr="004B7D58" w:rsidRDefault="004B7D58">
      <w:pPr>
        <w:pStyle w:val="FootnoteText"/>
        <w:rPr>
          <w:lang w:val="en-GB"/>
        </w:rPr>
      </w:pPr>
      <w:r>
        <w:rPr>
          <w:rStyle w:val="FootnoteReference"/>
        </w:rPr>
        <w:footnoteRef/>
      </w:r>
      <w:r>
        <w:t xml:space="preserve"> </w:t>
      </w:r>
      <w:r w:rsidR="006F4200" w:rsidRPr="006F4200">
        <w:t>{{142 Watts, Andrew;}}</w:t>
      </w:r>
    </w:p>
  </w:footnote>
  <w:footnote w:id="13">
    <w:p w14:paraId="0D1F880A" w14:textId="3D683C47" w:rsidR="003A427A" w:rsidRPr="003A427A" w:rsidRDefault="003A427A">
      <w:pPr>
        <w:pStyle w:val="FootnoteText"/>
        <w:rPr>
          <w:lang w:val="en-GB"/>
        </w:rPr>
      </w:pPr>
      <w:r>
        <w:rPr>
          <w:rStyle w:val="FootnoteReference"/>
        </w:rPr>
        <w:footnoteRef/>
      </w:r>
      <w:r>
        <w:t xml:space="preserve"> </w:t>
      </w:r>
      <w:r w:rsidRPr="003A427A">
        <w:t>https://www.huffingtonpost.com/2014/01/06/atheist-church-split_n_4550456.html</w:t>
      </w:r>
    </w:p>
  </w:footnote>
  <w:footnote w:id="14">
    <w:p w14:paraId="636AD1E0" w14:textId="3F94B62A" w:rsidR="008C10AB" w:rsidRPr="008C10AB" w:rsidRDefault="008C10AB">
      <w:pPr>
        <w:pStyle w:val="FootnoteText"/>
        <w:rPr>
          <w:lang w:val="en-GB"/>
        </w:rPr>
      </w:pPr>
      <w:r>
        <w:rPr>
          <w:rStyle w:val="FootnoteReference"/>
        </w:rPr>
        <w:footnoteRef/>
      </w:r>
      <w:r>
        <w:t xml:space="preserve"> </w:t>
      </w:r>
      <w:r w:rsidRPr="008C10AB">
        <w:t>http://religion.blogs.cnn.com/2014/01/04/after-a-schism-a-question-can-atheist-churches-last/?sr=fb010514atheistchurches4p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61352DD"/>
    <w:multiLevelType w:val="hybridMultilevel"/>
    <w:tmpl w:val="5D02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FCD3590"/>
    <w:multiLevelType w:val="multilevel"/>
    <w:tmpl w:val="2F92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3CB"/>
    <w:rsid w:val="00001A9A"/>
    <w:rsid w:val="00045963"/>
    <w:rsid w:val="00091E0B"/>
    <w:rsid w:val="001000BA"/>
    <w:rsid w:val="00106387"/>
    <w:rsid w:val="00132C85"/>
    <w:rsid w:val="0014734B"/>
    <w:rsid w:val="00147E35"/>
    <w:rsid w:val="0019619D"/>
    <w:rsid w:val="0019625B"/>
    <w:rsid w:val="0020741B"/>
    <w:rsid w:val="0022422A"/>
    <w:rsid w:val="00231996"/>
    <w:rsid w:val="002554CD"/>
    <w:rsid w:val="00271CBA"/>
    <w:rsid w:val="00282625"/>
    <w:rsid w:val="00290FE2"/>
    <w:rsid w:val="00293B83"/>
    <w:rsid w:val="002960C8"/>
    <w:rsid w:val="002B4294"/>
    <w:rsid w:val="002B7015"/>
    <w:rsid w:val="002D319D"/>
    <w:rsid w:val="0030145C"/>
    <w:rsid w:val="00305E7E"/>
    <w:rsid w:val="0030792D"/>
    <w:rsid w:val="00333D0D"/>
    <w:rsid w:val="0035253F"/>
    <w:rsid w:val="003A427A"/>
    <w:rsid w:val="003C042F"/>
    <w:rsid w:val="003D566B"/>
    <w:rsid w:val="00406824"/>
    <w:rsid w:val="004118D2"/>
    <w:rsid w:val="00477509"/>
    <w:rsid w:val="004966B5"/>
    <w:rsid w:val="004A073A"/>
    <w:rsid w:val="004B7D58"/>
    <w:rsid w:val="004C049F"/>
    <w:rsid w:val="004C6215"/>
    <w:rsid w:val="004E6470"/>
    <w:rsid w:val="005000E2"/>
    <w:rsid w:val="00522ABF"/>
    <w:rsid w:val="00545CD3"/>
    <w:rsid w:val="005A3173"/>
    <w:rsid w:val="006959A8"/>
    <w:rsid w:val="006A3CE7"/>
    <w:rsid w:val="006B3AC5"/>
    <w:rsid w:val="006F4200"/>
    <w:rsid w:val="00723A29"/>
    <w:rsid w:val="00732938"/>
    <w:rsid w:val="007C03CB"/>
    <w:rsid w:val="007C6BB8"/>
    <w:rsid w:val="008271D3"/>
    <w:rsid w:val="00830547"/>
    <w:rsid w:val="00830E5D"/>
    <w:rsid w:val="0088703D"/>
    <w:rsid w:val="008C10AB"/>
    <w:rsid w:val="008E31C7"/>
    <w:rsid w:val="008E3949"/>
    <w:rsid w:val="008E7F9A"/>
    <w:rsid w:val="009776ED"/>
    <w:rsid w:val="00984A41"/>
    <w:rsid w:val="009F07BB"/>
    <w:rsid w:val="00A36FBD"/>
    <w:rsid w:val="00A42695"/>
    <w:rsid w:val="00A45B32"/>
    <w:rsid w:val="00A467E4"/>
    <w:rsid w:val="00A93F94"/>
    <w:rsid w:val="00AB7213"/>
    <w:rsid w:val="00C3309B"/>
    <w:rsid w:val="00C50639"/>
    <w:rsid w:val="00C55FD6"/>
    <w:rsid w:val="00C56554"/>
    <w:rsid w:val="00C61772"/>
    <w:rsid w:val="00C6554A"/>
    <w:rsid w:val="00CA6C2D"/>
    <w:rsid w:val="00CE7117"/>
    <w:rsid w:val="00D01F32"/>
    <w:rsid w:val="00D06C16"/>
    <w:rsid w:val="00DC3DC4"/>
    <w:rsid w:val="00E257FF"/>
    <w:rsid w:val="00EB0A80"/>
    <w:rsid w:val="00EB6091"/>
    <w:rsid w:val="00ED7C44"/>
    <w:rsid w:val="00F1383A"/>
    <w:rsid w:val="00F91657"/>
    <w:rsid w:val="00FB2B66"/>
    <w:rsid w:val="00FB5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C5146"/>
  <w15:chartTrackingRefBased/>
  <w15:docId w15:val="{7F5F94BF-0C93-4331-ABD4-1D737C71F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22422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2422A"/>
    <w:pPr>
      <w:spacing w:after="0" w:line="240" w:lineRule="auto"/>
    </w:pPr>
    <w:tblPr>
      <w:tblStyleRowBandSize w:val="1"/>
      <w:tblStyleColBandSize w:val="1"/>
      <w:tblBorders>
        <w:top w:val="single" w:sz="4" w:space="0" w:color="3BE4FF" w:themeColor="accent1" w:themeTint="99"/>
        <w:left w:val="single" w:sz="4" w:space="0" w:color="3BE4FF" w:themeColor="accent1" w:themeTint="99"/>
        <w:bottom w:val="single" w:sz="4" w:space="0" w:color="3BE4FF" w:themeColor="accent1" w:themeTint="99"/>
        <w:right w:val="single" w:sz="4" w:space="0" w:color="3BE4FF" w:themeColor="accent1" w:themeTint="99"/>
        <w:insideH w:val="single" w:sz="4" w:space="0" w:color="3BE4FF" w:themeColor="accent1" w:themeTint="99"/>
        <w:insideV w:val="single" w:sz="4" w:space="0" w:color="3BE4FF" w:themeColor="accent1" w:themeTint="99"/>
      </w:tblBorders>
    </w:tblPr>
    <w:tblStylePr w:type="firstRow">
      <w:rPr>
        <w:b/>
        <w:bCs/>
        <w:color w:val="FFFFFF" w:themeColor="background1"/>
      </w:rPr>
      <w:tblPr/>
      <w:tcPr>
        <w:tcBorders>
          <w:top w:val="single" w:sz="4" w:space="0" w:color="00A0B8" w:themeColor="accent1"/>
          <w:left w:val="single" w:sz="4" w:space="0" w:color="00A0B8" w:themeColor="accent1"/>
          <w:bottom w:val="single" w:sz="4" w:space="0" w:color="00A0B8" w:themeColor="accent1"/>
          <w:right w:val="single" w:sz="4" w:space="0" w:color="00A0B8" w:themeColor="accent1"/>
          <w:insideH w:val="nil"/>
          <w:insideV w:val="nil"/>
        </w:tcBorders>
        <w:shd w:val="clear" w:color="auto" w:fill="00A0B8" w:themeFill="accent1"/>
      </w:tcPr>
    </w:tblStylePr>
    <w:tblStylePr w:type="lastRow">
      <w:rPr>
        <w:b/>
        <w:bCs/>
      </w:rPr>
      <w:tblPr/>
      <w:tcPr>
        <w:tcBorders>
          <w:top w:val="double" w:sz="4" w:space="0" w:color="00A0B8" w:themeColor="accent1"/>
        </w:tcBorders>
      </w:tcPr>
    </w:tblStylePr>
    <w:tblStylePr w:type="firstCol">
      <w:rPr>
        <w:b/>
        <w:bCs/>
      </w:rPr>
    </w:tblStylePr>
    <w:tblStylePr w:type="lastCol">
      <w:rPr>
        <w:b/>
        <w:bCs/>
      </w:rPr>
    </w:tblStylePr>
    <w:tblStylePr w:type="band1Vert">
      <w:tblPr/>
      <w:tcPr>
        <w:shd w:val="clear" w:color="auto" w:fill="BDF6FF" w:themeFill="accent1" w:themeFillTint="33"/>
      </w:tcPr>
    </w:tblStylePr>
    <w:tblStylePr w:type="band1Horz">
      <w:tblPr/>
      <w:tcPr>
        <w:shd w:val="clear" w:color="auto" w:fill="BDF6FF" w:themeFill="accent1" w:themeFillTint="33"/>
      </w:tcPr>
    </w:tblStylePr>
  </w:style>
  <w:style w:type="table" w:styleId="GridTable3-Accent1">
    <w:name w:val="Grid Table 3 Accent 1"/>
    <w:basedOn w:val="TableNormal"/>
    <w:uiPriority w:val="48"/>
    <w:rsid w:val="0022422A"/>
    <w:pPr>
      <w:spacing w:after="0" w:line="240" w:lineRule="auto"/>
    </w:pPr>
    <w:tblPr>
      <w:tblStyleRowBandSize w:val="1"/>
      <w:tblStyleColBandSize w:val="1"/>
      <w:tblBorders>
        <w:top w:val="single" w:sz="4" w:space="0" w:color="3BE4FF" w:themeColor="accent1" w:themeTint="99"/>
        <w:left w:val="single" w:sz="4" w:space="0" w:color="3BE4FF" w:themeColor="accent1" w:themeTint="99"/>
        <w:bottom w:val="single" w:sz="4" w:space="0" w:color="3BE4FF" w:themeColor="accent1" w:themeTint="99"/>
        <w:right w:val="single" w:sz="4" w:space="0" w:color="3BE4FF" w:themeColor="accent1" w:themeTint="99"/>
        <w:insideH w:val="single" w:sz="4" w:space="0" w:color="3BE4FF" w:themeColor="accent1" w:themeTint="99"/>
        <w:insideV w:val="single" w:sz="4" w:space="0" w:color="3BE4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DF6FF" w:themeFill="accent1" w:themeFillTint="33"/>
      </w:tcPr>
    </w:tblStylePr>
    <w:tblStylePr w:type="band1Horz">
      <w:tblPr/>
      <w:tcPr>
        <w:shd w:val="clear" w:color="auto" w:fill="BDF6FF" w:themeFill="accent1" w:themeFillTint="33"/>
      </w:tcPr>
    </w:tblStylePr>
    <w:tblStylePr w:type="neCell">
      <w:tblPr/>
      <w:tcPr>
        <w:tcBorders>
          <w:bottom w:val="single" w:sz="4" w:space="0" w:color="3BE4FF" w:themeColor="accent1" w:themeTint="99"/>
        </w:tcBorders>
      </w:tcPr>
    </w:tblStylePr>
    <w:tblStylePr w:type="nwCell">
      <w:tblPr/>
      <w:tcPr>
        <w:tcBorders>
          <w:bottom w:val="single" w:sz="4" w:space="0" w:color="3BE4FF" w:themeColor="accent1" w:themeTint="99"/>
        </w:tcBorders>
      </w:tcPr>
    </w:tblStylePr>
    <w:tblStylePr w:type="seCell">
      <w:tblPr/>
      <w:tcPr>
        <w:tcBorders>
          <w:top w:val="single" w:sz="4" w:space="0" w:color="3BE4FF" w:themeColor="accent1" w:themeTint="99"/>
        </w:tcBorders>
      </w:tcPr>
    </w:tblStylePr>
    <w:tblStylePr w:type="swCell">
      <w:tblPr/>
      <w:tcPr>
        <w:tcBorders>
          <w:top w:val="single" w:sz="4" w:space="0" w:color="3BE4FF" w:themeColor="accent1" w:themeTint="99"/>
        </w:tcBorders>
      </w:tcPr>
    </w:tblStylePr>
  </w:style>
  <w:style w:type="table" w:styleId="GridTable1Light-Accent1">
    <w:name w:val="Grid Table 1 Light Accent 1"/>
    <w:basedOn w:val="TableNormal"/>
    <w:uiPriority w:val="46"/>
    <w:rsid w:val="0022422A"/>
    <w:pPr>
      <w:spacing w:after="0" w:line="240" w:lineRule="auto"/>
    </w:pPr>
    <w:tblPr>
      <w:tblStyleRowBandSize w:val="1"/>
      <w:tblStyleColBandSize w:val="1"/>
      <w:tblBorders>
        <w:top w:val="single" w:sz="4" w:space="0" w:color="7CEDFF" w:themeColor="accent1" w:themeTint="66"/>
        <w:left w:val="single" w:sz="4" w:space="0" w:color="7CEDFF" w:themeColor="accent1" w:themeTint="66"/>
        <w:bottom w:val="single" w:sz="4" w:space="0" w:color="7CEDFF" w:themeColor="accent1" w:themeTint="66"/>
        <w:right w:val="single" w:sz="4" w:space="0" w:color="7CEDFF" w:themeColor="accent1" w:themeTint="66"/>
        <w:insideH w:val="single" w:sz="4" w:space="0" w:color="7CEDFF" w:themeColor="accent1" w:themeTint="66"/>
        <w:insideV w:val="single" w:sz="4" w:space="0" w:color="7CEDFF" w:themeColor="accent1" w:themeTint="66"/>
      </w:tblBorders>
    </w:tblPr>
    <w:tblStylePr w:type="firstRow">
      <w:rPr>
        <w:b/>
        <w:bCs/>
      </w:rPr>
      <w:tblPr/>
      <w:tcPr>
        <w:tcBorders>
          <w:bottom w:val="single" w:sz="12" w:space="0" w:color="3BE4FF" w:themeColor="accent1" w:themeTint="99"/>
        </w:tcBorders>
      </w:tcPr>
    </w:tblStylePr>
    <w:tblStylePr w:type="lastRow">
      <w:rPr>
        <w:b/>
        <w:bCs/>
      </w:rPr>
      <w:tblPr/>
      <w:tcPr>
        <w:tcBorders>
          <w:top w:val="double" w:sz="2" w:space="0" w:color="3BE4FF" w:themeColor="accent1" w:themeTint="99"/>
        </w:tcBorders>
      </w:tcPr>
    </w:tblStylePr>
    <w:tblStylePr w:type="firstCol">
      <w:rPr>
        <w:b/>
        <w:bCs/>
      </w:rPr>
    </w:tblStylePr>
    <w:tblStylePr w:type="lastCol">
      <w:rPr>
        <w:b/>
        <w:bCs/>
      </w:rPr>
    </w:tblStylePr>
  </w:style>
  <w:style w:type="character" w:styleId="FootnoteReference">
    <w:name w:val="footnote reference"/>
    <w:basedOn w:val="DefaultParagraphFont"/>
    <w:uiPriority w:val="99"/>
    <w:semiHidden/>
    <w:unhideWhenUsed/>
    <w:rsid w:val="0020741B"/>
    <w:rPr>
      <w:vertAlign w:val="superscript"/>
    </w:rPr>
  </w:style>
  <w:style w:type="paragraph" w:styleId="NormalWeb">
    <w:name w:val="Normal (Web)"/>
    <w:basedOn w:val="Normal"/>
    <w:uiPriority w:val="99"/>
    <w:semiHidden/>
    <w:unhideWhenUsed/>
    <w:rsid w:val="0020741B"/>
    <w:rPr>
      <w:rFonts w:ascii="Times New Roman" w:hAnsi="Times New Roman" w:cs="Times New Roman"/>
      <w:sz w:val="24"/>
      <w:szCs w:val="24"/>
    </w:rPr>
  </w:style>
  <w:style w:type="paragraph" w:styleId="ListParagraph">
    <w:name w:val="List Paragraph"/>
    <w:basedOn w:val="Normal"/>
    <w:uiPriority w:val="34"/>
    <w:unhideWhenUsed/>
    <w:qFormat/>
    <w:rsid w:val="006F42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573862">
      <w:bodyDiv w:val="1"/>
      <w:marLeft w:val="0"/>
      <w:marRight w:val="0"/>
      <w:marTop w:val="0"/>
      <w:marBottom w:val="0"/>
      <w:divBdr>
        <w:top w:val="none" w:sz="0" w:space="0" w:color="auto"/>
        <w:left w:val="none" w:sz="0" w:space="0" w:color="auto"/>
        <w:bottom w:val="none" w:sz="0" w:space="0" w:color="auto"/>
        <w:right w:val="none" w:sz="0" w:space="0" w:color="auto"/>
      </w:divBdr>
      <w:divsChild>
        <w:div w:id="1347055100">
          <w:marLeft w:val="0"/>
          <w:marRight w:val="0"/>
          <w:marTop w:val="0"/>
          <w:marBottom w:val="0"/>
          <w:divBdr>
            <w:top w:val="none" w:sz="0" w:space="0" w:color="auto"/>
            <w:left w:val="none" w:sz="0" w:space="0" w:color="auto"/>
            <w:bottom w:val="none" w:sz="0" w:space="0" w:color="auto"/>
            <w:right w:val="none" w:sz="0" w:space="0" w:color="auto"/>
          </w:divBdr>
          <w:divsChild>
            <w:div w:id="1939823604">
              <w:marLeft w:val="0"/>
              <w:marRight w:val="0"/>
              <w:marTop w:val="0"/>
              <w:marBottom w:val="0"/>
              <w:divBdr>
                <w:top w:val="none" w:sz="0" w:space="0" w:color="auto"/>
                <w:left w:val="none" w:sz="0" w:space="0" w:color="auto"/>
                <w:bottom w:val="none" w:sz="0" w:space="0" w:color="auto"/>
                <w:right w:val="none" w:sz="0" w:space="0" w:color="auto"/>
              </w:divBdr>
              <w:divsChild>
                <w:div w:id="2124954758">
                  <w:marLeft w:val="0"/>
                  <w:marRight w:val="0"/>
                  <w:marTop w:val="0"/>
                  <w:marBottom w:val="0"/>
                  <w:divBdr>
                    <w:top w:val="none" w:sz="0" w:space="0" w:color="auto"/>
                    <w:left w:val="none" w:sz="0" w:space="0" w:color="auto"/>
                    <w:bottom w:val="none" w:sz="0" w:space="0" w:color="auto"/>
                    <w:right w:val="none" w:sz="0" w:space="0" w:color="auto"/>
                  </w:divBdr>
                  <w:divsChild>
                    <w:div w:id="157308814">
                      <w:marLeft w:val="0"/>
                      <w:marRight w:val="0"/>
                      <w:marTop w:val="0"/>
                      <w:marBottom w:val="150"/>
                      <w:divBdr>
                        <w:top w:val="none" w:sz="0" w:space="0" w:color="auto"/>
                        <w:left w:val="none" w:sz="0" w:space="0" w:color="auto"/>
                        <w:bottom w:val="none" w:sz="0" w:space="0" w:color="auto"/>
                        <w:right w:val="none" w:sz="0" w:space="0" w:color="auto"/>
                      </w:divBdr>
                      <w:divsChild>
                        <w:div w:id="128897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403509">
      <w:bodyDiv w:val="1"/>
      <w:marLeft w:val="0"/>
      <w:marRight w:val="0"/>
      <w:marTop w:val="0"/>
      <w:marBottom w:val="0"/>
      <w:divBdr>
        <w:top w:val="none" w:sz="0" w:space="0" w:color="auto"/>
        <w:left w:val="none" w:sz="0" w:space="0" w:color="auto"/>
        <w:bottom w:val="none" w:sz="0" w:space="0" w:color="auto"/>
        <w:right w:val="none" w:sz="0" w:space="0" w:color="auto"/>
      </w:divBdr>
    </w:div>
    <w:div w:id="160283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nationalgeographic.com/2016/04/160422-atheism-agnostic-secular-nones-rising-religion/" TargetMode="External"/><Relationship Id="rId18" Type="http://schemas.openxmlformats.org/officeDocument/2006/relationships/hyperlink" Target="https://www.sundayassembly.com/sto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ews.nationalgeographic.com/2016/04/160422-atheism-agnostic-secular-nones-rising-religion/" TargetMode="External"/><Relationship Id="rId17" Type="http://schemas.openxmlformats.org/officeDocument/2006/relationships/hyperlink" Target="https://www.bbc.co.uk/news/uk-24766314" TargetMode="External"/><Relationship Id="rId2" Type="http://schemas.openxmlformats.org/officeDocument/2006/relationships/numbering" Target="numbering.xml"/><Relationship Id="rId16" Type="http://schemas.openxmlformats.org/officeDocument/2006/relationships/hyperlink" Target="https://www.ons.gov.uk/census/2011census/whywehaveacensu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argumentsforatheism.com/history.html" TargetMode="External"/><Relationship Id="rId10" Type="http://schemas.openxmlformats.org/officeDocument/2006/relationships/image" Target="media/image2.png"/><Relationship Id="rId19" Type="http://schemas.openxmlformats.org/officeDocument/2006/relationships/hyperlink" Target="https://www.spectator.co.uk/2014/02/so-tell-me-about-your-faith-journey-sunday-morning-at-the-atheist-church/"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larryhurtado.wordpress.com/2016/12/13/when-christians-were-atheist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2011</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Christian</c:v>
                </c:pt>
                <c:pt idx="1">
                  <c:v>Buddhist</c:v>
                </c:pt>
                <c:pt idx="2">
                  <c:v>Hindu</c:v>
                </c:pt>
                <c:pt idx="3">
                  <c:v>Jewish</c:v>
                </c:pt>
                <c:pt idx="4">
                  <c:v>Muslim</c:v>
                </c:pt>
                <c:pt idx="5">
                  <c:v>Sikh</c:v>
                </c:pt>
                <c:pt idx="6">
                  <c:v>Other Religion</c:v>
                </c:pt>
                <c:pt idx="7">
                  <c:v>No Religion</c:v>
                </c:pt>
                <c:pt idx="8">
                  <c:v>Not Stated</c:v>
                </c:pt>
              </c:strCache>
            </c:strRef>
          </c:cat>
          <c:val>
            <c:numRef>
              <c:f>Sheet1!$B$2:$B$10</c:f>
              <c:numCache>
                <c:formatCode>General</c:formatCode>
                <c:ptCount val="9"/>
                <c:pt idx="0">
                  <c:v>59.3</c:v>
                </c:pt>
                <c:pt idx="1">
                  <c:v>0.4</c:v>
                </c:pt>
                <c:pt idx="2">
                  <c:v>1.5</c:v>
                </c:pt>
                <c:pt idx="3">
                  <c:v>0.5</c:v>
                </c:pt>
                <c:pt idx="4">
                  <c:v>4.8</c:v>
                </c:pt>
                <c:pt idx="5">
                  <c:v>0.8</c:v>
                </c:pt>
                <c:pt idx="6">
                  <c:v>0.4</c:v>
                </c:pt>
                <c:pt idx="7">
                  <c:v>25.1</c:v>
                </c:pt>
                <c:pt idx="8">
                  <c:v>7.2</c:v>
                </c:pt>
              </c:numCache>
            </c:numRef>
          </c:val>
          <c:extLst>
            <c:ext xmlns:c16="http://schemas.microsoft.com/office/drawing/2014/chart" uri="{C3380CC4-5D6E-409C-BE32-E72D297353CC}">
              <c16:uniqueId val="{00000000-05D6-4BD0-973D-C8EA678F5D16}"/>
            </c:ext>
          </c:extLst>
        </c:ser>
        <c:dLbls>
          <c:showLegendKey val="0"/>
          <c:showVal val="0"/>
          <c:showCatName val="0"/>
          <c:showSerName val="0"/>
          <c:showPercent val="0"/>
          <c:showBubbleSize val="0"/>
        </c:dLbls>
        <c:gapWidth val="219"/>
        <c:overlap val="-27"/>
        <c:axId val="538482504"/>
        <c:axId val="538482832"/>
      </c:barChart>
      <c:catAx>
        <c:axId val="538482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482832"/>
        <c:crosses val="autoZero"/>
        <c:auto val="1"/>
        <c:lblAlgn val="ctr"/>
        <c:lblOffset val="100"/>
        <c:noMultiLvlLbl val="0"/>
      </c:catAx>
      <c:valAx>
        <c:axId val="538482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482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F634BB-A208-47E4-8BE5-DAA480B23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TotalTime>
  <Pages>11</Pages>
  <Words>2332</Words>
  <Characters>13296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Eilian Nia Jones.</dc:creator>
  <cp:keywords/>
  <dc:description/>
  <cp:lastModifiedBy>Eilian Nia Jones.</cp:lastModifiedBy>
  <cp:revision>2</cp:revision>
  <dcterms:created xsi:type="dcterms:W3CDTF">2018-12-21T23:03:00Z</dcterms:created>
  <dcterms:modified xsi:type="dcterms:W3CDTF">2018-12-21T23:03:00Z</dcterms:modified>
</cp:coreProperties>
</file>