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F70341" w14:textId="7F2CFF13" w:rsidR="00200782" w:rsidRDefault="005F4A45" w:rsidP="005F4A45">
      <w:pPr>
        <w:jc w:val="center"/>
        <w:rPr>
          <w:rFonts w:ascii="Courier New" w:hAnsi="Courier New" w:cs="Courier New"/>
          <w:sz w:val="28"/>
          <w:szCs w:val="28"/>
        </w:rPr>
      </w:pPr>
      <w:r w:rsidRPr="005F4A45">
        <w:rPr>
          <w:rFonts w:ascii="Courier New" w:hAnsi="Courier New" w:cs="Courier New"/>
          <w:sz w:val="28"/>
          <w:szCs w:val="28"/>
        </w:rPr>
        <w:t>The boundaries between citizens and non-citizens in the Roman Empire</w:t>
      </w:r>
    </w:p>
    <w:p w14:paraId="544D91AD" w14:textId="77777777" w:rsidR="005F4A45" w:rsidRDefault="005F4A45" w:rsidP="005F4A45">
      <w:pPr>
        <w:jc w:val="center"/>
        <w:rPr>
          <w:rFonts w:ascii="Courier New" w:hAnsi="Courier New" w:cs="Courier New"/>
          <w:sz w:val="28"/>
          <w:szCs w:val="28"/>
        </w:rPr>
      </w:pPr>
    </w:p>
    <w:p w14:paraId="60919635" w14:textId="77777777" w:rsidR="005F4A45" w:rsidRDefault="005F4A45" w:rsidP="005F4A45">
      <w:pPr>
        <w:jc w:val="center"/>
        <w:rPr>
          <w:rFonts w:ascii="Courier New" w:hAnsi="Courier New" w:cs="Courier New"/>
          <w:sz w:val="28"/>
          <w:szCs w:val="28"/>
        </w:rPr>
      </w:pPr>
    </w:p>
    <w:p w14:paraId="422E53F9" w14:textId="0DC6342A" w:rsidR="005F4A45" w:rsidRDefault="005F4A45" w:rsidP="005F4A45">
      <w:pPr>
        <w:rPr>
          <w:rFonts w:ascii="Courier New" w:hAnsi="Courier New" w:cs="Courier New"/>
        </w:rPr>
      </w:pPr>
      <w:r>
        <w:rPr>
          <w:rFonts w:ascii="Courier New" w:hAnsi="Courier New" w:cs="Courier New"/>
        </w:rPr>
        <w:t xml:space="preserve">The Roman Empire, one of history’s most influential and enduring civilizations, was characterised by its complex social hierarchy and legal distinctions that defined the lives of their inhabitants. At the heart of Roman society lay the concept of </w:t>
      </w:r>
      <w:r>
        <w:rPr>
          <w:rFonts w:ascii="Courier New" w:hAnsi="Courier New" w:cs="Courier New"/>
          <w:i/>
          <w:iCs/>
        </w:rPr>
        <w:t xml:space="preserve">civitas </w:t>
      </w:r>
      <w:r>
        <w:rPr>
          <w:rFonts w:ascii="Courier New" w:hAnsi="Courier New" w:cs="Courier New"/>
        </w:rPr>
        <w:t>(citizenship), a status that conferred significant legal rights, social privileges and economic advantages. Roman citizenship was not merely a label; it was a powerful tool that determined one’s position within the Empire, influencing access to legal protection, property ownership and political participation. The distinction between citizens (</w:t>
      </w:r>
      <w:proofErr w:type="spellStart"/>
      <w:r>
        <w:rPr>
          <w:rFonts w:ascii="Courier New" w:hAnsi="Courier New" w:cs="Courier New"/>
          <w:i/>
          <w:iCs/>
        </w:rPr>
        <w:t>cives</w:t>
      </w:r>
      <w:proofErr w:type="spellEnd"/>
      <w:r>
        <w:rPr>
          <w:rFonts w:ascii="Courier New" w:hAnsi="Courier New" w:cs="Courier New"/>
          <w:i/>
          <w:iCs/>
        </w:rPr>
        <w:t xml:space="preserve">) </w:t>
      </w:r>
      <w:r>
        <w:rPr>
          <w:rFonts w:ascii="Courier New" w:hAnsi="Courier New" w:cs="Courier New"/>
        </w:rPr>
        <w:t xml:space="preserve">and non-citizens (peregrines, slaves and freedmen) was a fundamental aspect of Roman law and governance. </w:t>
      </w:r>
    </w:p>
    <w:p w14:paraId="1A3FB569" w14:textId="2200AC6A" w:rsidR="003C5551" w:rsidRDefault="003C5551" w:rsidP="005F4A45">
      <w:pPr>
        <w:rPr>
          <w:rFonts w:ascii="Courier New" w:hAnsi="Courier New" w:cs="Courier New"/>
        </w:rPr>
      </w:pPr>
      <w:r>
        <w:rPr>
          <w:rFonts w:ascii="Courier New" w:hAnsi="Courier New" w:cs="Courier New"/>
        </w:rPr>
        <w:t>Throughout its history, the Roman Empire meticulously maintained these boundaries as a means of control, loyalty and integration. The rights of citizens were codified in Roman Law, while non-citizens were often subjected to legal limitations and social exclusion. These distinctions created a rigid social structure where one’s legal status determined their opportunities and freedoms.</w:t>
      </w:r>
      <w:r w:rsidR="00775B75">
        <w:rPr>
          <w:rFonts w:ascii="Courier New" w:hAnsi="Courier New" w:cs="Courier New"/>
        </w:rPr>
        <w:t xml:space="preserve"> However, the boundaries between citizens and non-citizens were not always impermeable. Over time, expansion, shifting legal priorities and the need for military and economic integration led to gradual changes in the rights and status of non-citizens. The extension of citizenship became a </w:t>
      </w:r>
      <w:r w:rsidR="00157BB1">
        <w:rPr>
          <w:rFonts w:ascii="Courier New" w:hAnsi="Courier New" w:cs="Courier New"/>
        </w:rPr>
        <w:t>strategic tool</w:t>
      </w:r>
      <w:r w:rsidR="00775B75">
        <w:rPr>
          <w:rFonts w:ascii="Courier New" w:hAnsi="Courier New" w:cs="Courier New"/>
        </w:rPr>
        <w:t>, allowing Rome to integrate conquered peoples, reward loyalty and strengthen its hold on diverse territories.</w:t>
      </w:r>
    </w:p>
    <w:p w14:paraId="2E7E2F99" w14:textId="4D3A82E9" w:rsidR="00157BB1" w:rsidRPr="00157BB1" w:rsidRDefault="00157BB1" w:rsidP="00157BB1">
      <w:pPr>
        <w:rPr>
          <w:rFonts w:ascii="Courier New" w:hAnsi="Courier New" w:cs="Courier New"/>
          <w:lang w:val="en-US"/>
        </w:rPr>
      </w:pPr>
      <w:r w:rsidRPr="00157BB1">
        <w:rPr>
          <w:rFonts w:ascii="Courier New" w:hAnsi="Courier New" w:cs="Courier New"/>
          <w:lang w:val="en-US"/>
        </w:rPr>
        <w:t>This essay seeks to explore the complex boundaries that existed between citizens and non-citizens in the Roman Empire, examining the legal, social, and economic implications of these divisions. It will also investigate the mechanisms through which these boundaries were challenged and, at times overcome</w:t>
      </w:r>
      <w:r>
        <w:rPr>
          <w:rFonts w:ascii="Courier New" w:hAnsi="Courier New" w:cs="Courier New"/>
          <w:lang w:val="en-US"/>
        </w:rPr>
        <w:t>.</w:t>
      </w:r>
    </w:p>
    <w:p w14:paraId="39F4C059" w14:textId="77777777" w:rsidR="00157BB1" w:rsidRDefault="00157BB1" w:rsidP="00157BB1">
      <w:pPr>
        <w:rPr>
          <w:rFonts w:ascii="Courier New" w:hAnsi="Courier New" w:cs="Courier New"/>
          <w:lang w:val="en-US"/>
        </w:rPr>
      </w:pPr>
      <w:r w:rsidRPr="00157BB1">
        <w:rPr>
          <w:rFonts w:ascii="Courier New" w:hAnsi="Courier New" w:cs="Courier New"/>
          <w:lang w:val="en-US"/>
        </w:rPr>
        <w:t>In doing so, the essay will address key questions: What defined Roman citizenship, and what rights and privileges did it entail? How did the legal and social status of non-citizens differ from that of citizens? What were the pathways to citizenship for non-citizens, and how did the extension of citizenship affect the stability and cohesion of the empire? By examining these issues, we can better understand the role of citizenship as both a divisive and unifying force in one of history's greatest empires.</w:t>
      </w:r>
    </w:p>
    <w:p w14:paraId="689DA8A2" w14:textId="77777777" w:rsidR="00157BB1" w:rsidRDefault="00157BB1" w:rsidP="00157BB1">
      <w:pPr>
        <w:rPr>
          <w:rFonts w:ascii="Courier New" w:hAnsi="Courier New" w:cs="Courier New"/>
          <w:lang w:val="en-US"/>
        </w:rPr>
      </w:pPr>
    </w:p>
    <w:p w14:paraId="610E7C98" w14:textId="4328EA55" w:rsidR="00157BB1" w:rsidRDefault="00157BB1" w:rsidP="00157BB1">
      <w:pPr>
        <w:rPr>
          <w:rFonts w:ascii="Courier New" w:hAnsi="Courier New" w:cs="Courier New"/>
          <w:lang w:val="en-US"/>
        </w:rPr>
      </w:pPr>
      <w:r>
        <w:rPr>
          <w:rFonts w:ascii="Courier New" w:hAnsi="Courier New" w:cs="Courier New"/>
          <w:lang w:val="en-US"/>
        </w:rPr>
        <w:lastRenderedPageBreak/>
        <w:t>The concept of citizenship in the Roman Empire was a dynamic and evolving institution that reflected the political, social and cultural transformations of Rome from its early Republic to its later Imperial heights. Roman citizenship (</w:t>
      </w:r>
      <w:r>
        <w:rPr>
          <w:rFonts w:ascii="Courier New" w:hAnsi="Courier New" w:cs="Courier New"/>
          <w:i/>
          <w:iCs/>
          <w:lang w:val="en-US"/>
        </w:rPr>
        <w:t>civitas Romana</w:t>
      </w:r>
      <w:r>
        <w:rPr>
          <w:rFonts w:ascii="Courier New" w:hAnsi="Courier New" w:cs="Courier New"/>
          <w:lang w:val="en-US"/>
        </w:rPr>
        <w:t xml:space="preserve">) was not just a legal status but a powerful social identity that distinguished individuals within the vast and diverse population of the empire. </w:t>
      </w:r>
    </w:p>
    <w:p w14:paraId="3E703861" w14:textId="77777777" w:rsidR="00157BB1" w:rsidRPr="00157BB1" w:rsidRDefault="00157BB1" w:rsidP="00157BB1">
      <w:pPr>
        <w:rPr>
          <w:rFonts w:ascii="Courier New" w:hAnsi="Courier New" w:cs="Courier New"/>
          <w:lang w:val="en-US"/>
        </w:rPr>
      </w:pPr>
      <w:r>
        <w:rPr>
          <w:rFonts w:ascii="Courier New" w:hAnsi="Courier New" w:cs="Courier New"/>
          <w:lang w:val="en-US"/>
        </w:rPr>
        <w:t xml:space="preserve">Under the rule of Augustus (27 BCE – 14 CE) and his successors, the Empire expanded its territories across the Mediterranean and beyond, incorporating diverse peoples and cultures. The extension of Roman citizenship </w:t>
      </w:r>
      <w:r w:rsidRPr="00157BB1">
        <w:rPr>
          <w:rFonts w:ascii="Courier New" w:hAnsi="Courier New" w:cs="Courier New"/>
          <w:lang w:val="en-US"/>
        </w:rPr>
        <w:t>became a crucial tool for consolidating Roman authority over these new provinces. It was granted selectively to individuals and communities as a reward for loyalty, military service, or to promote the Romanization of the provinces. The spread of citizenship was not only a political strategy but also a means of fostering a shared identity that transcended local allegiances.</w:t>
      </w:r>
    </w:p>
    <w:p w14:paraId="722FC14B" w14:textId="0548263C" w:rsidR="00157BB1" w:rsidRDefault="00157BB1" w:rsidP="00157BB1">
      <w:pPr>
        <w:rPr>
          <w:rFonts w:ascii="Courier New" w:hAnsi="Courier New" w:cs="Courier New"/>
          <w:lang w:val="en-US"/>
        </w:rPr>
      </w:pPr>
      <w:r w:rsidRPr="00157BB1">
        <w:rPr>
          <w:rFonts w:ascii="Courier New" w:hAnsi="Courier New" w:cs="Courier New"/>
          <w:lang w:val="en-US"/>
        </w:rPr>
        <w:t>The Edict of Caracalla</w:t>
      </w:r>
      <w:r>
        <w:rPr>
          <w:rFonts w:ascii="Courier New" w:hAnsi="Courier New" w:cs="Courier New"/>
          <w:lang w:val="en-US"/>
        </w:rPr>
        <w:t xml:space="preserve"> </w:t>
      </w:r>
      <w:r w:rsidRPr="00157BB1">
        <w:rPr>
          <w:rFonts w:ascii="Courier New" w:hAnsi="Courier New" w:cs="Courier New"/>
          <w:lang w:val="en-US"/>
        </w:rPr>
        <w:t>in 212 CE marked the most dramatic expansion of Roman citizenship. This decree, issued by Emperor Caracalla, granted full Roman citizenship to all free inhabitants of the empire. The motivations behind this sweeping reform were likely multifaceted, including the desire to increase tax revenues, expand the recruitment pool for the army, and unify the diverse populations under a common legal framework. By this time, Roman citizenship had evolved from an exclusive privilege of the Roman elite to a more inclusive status that encompassed the diverse peoples of the empire. However, despite this formal inclusivity, social and economic inequalities persisted, and the privileges associated with citizenship continued to be stratified.</w:t>
      </w:r>
    </w:p>
    <w:p w14:paraId="70DC8039" w14:textId="77777777" w:rsidR="00157BB1" w:rsidRPr="00157BB1" w:rsidRDefault="00157BB1" w:rsidP="00157BB1">
      <w:pPr>
        <w:rPr>
          <w:rFonts w:ascii="Courier New" w:hAnsi="Courier New" w:cs="Courier New"/>
          <w:lang w:val="en-US"/>
        </w:rPr>
      </w:pPr>
      <w:r w:rsidRPr="00157BB1">
        <w:rPr>
          <w:rFonts w:ascii="Courier New" w:hAnsi="Courier New" w:cs="Courier New"/>
          <w:lang w:val="en-US"/>
        </w:rPr>
        <w:t xml:space="preserve">Roman law was instrumental in delineating the boundaries between citizens and non-citizens. The Roman legal system was divided into two main branches: the </w:t>
      </w:r>
      <w:r w:rsidRPr="00157BB1">
        <w:rPr>
          <w:rFonts w:ascii="Courier New" w:hAnsi="Courier New" w:cs="Courier New"/>
          <w:i/>
          <w:iCs/>
          <w:lang w:val="en-US"/>
        </w:rPr>
        <w:t>ius civile</w:t>
      </w:r>
      <w:r w:rsidRPr="00157BB1">
        <w:rPr>
          <w:rFonts w:ascii="Courier New" w:hAnsi="Courier New" w:cs="Courier New"/>
          <w:lang w:val="en-US"/>
        </w:rPr>
        <w:t xml:space="preserve"> (civil law), which applied exclusively to Roman citizens, and the </w:t>
      </w:r>
      <w:r w:rsidRPr="00157BB1">
        <w:rPr>
          <w:rFonts w:ascii="Courier New" w:hAnsi="Courier New" w:cs="Courier New"/>
          <w:i/>
          <w:iCs/>
          <w:lang w:val="en-US"/>
        </w:rPr>
        <w:t>ius gentium</w:t>
      </w:r>
      <w:r w:rsidRPr="00157BB1">
        <w:rPr>
          <w:rFonts w:ascii="Courier New" w:hAnsi="Courier New" w:cs="Courier New"/>
          <w:lang w:val="en-US"/>
        </w:rPr>
        <w:t xml:space="preserve"> (law of nations), which governed interactions with foreigners and non-citizens. Citizens enjoyed a range of legal rights, including the right to own property, make contracts, and access the Roman courts, which were generally not available to non-citizens. For example, the </w:t>
      </w:r>
      <w:r w:rsidRPr="00157BB1">
        <w:rPr>
          <w:rFonts w:ascii="Courier New" w:hAnsi="Courier New" w:cs="Courier New"/>
          <w:i/>
          <w:iCs/>
          <w:lang w:val="en-US"/>
        </w:rPr>
        <w:t>ius conubii</w:t>
      </w:r>
      <w:r w:rsidRPr="00157BB1">
        <w:rPr>
          <w:rFonts w:ascii="Courier New" w:hAnsi="Courier New" w:cs="Courier New"/>
          <w:lang w:val="en-US"/>
        </w:rPr>
        <w:t xml:space="preserve"> (the right to legally recognized marriage) and </w:t>
      </w:r>
      <w:r w:rsidRPr="00157BB1">
        <w:rPr>
          <w:rFonts w:ascii="Courier New" w:hAnsi="Courier New" w:cs="Courier New"/>
          <w:i/>
          <w:iCs/>
          <w:lang w:val="en-US"/>
        </w:rPr>
        <w:t>ius commercii</w:t>
      </w:r>
      <w:r w:rsidRPr="00157BB1">
        <w:rPr>
          <w:rFonts w:ascii="Courier New" w:hAnsi="Courier New" w:cs="Courier New"/>
          <w:lang w:val="en-US"/>
        </w:rPr>
        <w:t xml:space="preserve"> (the right to conduct business) were privileges that distinguished citizens from non-citizens.</w:t>
      </w:r>
    </w:p>
    <w:p w14:paraId="562FF554" w14:textId="4C3DFF3E" w:rsidR="00157BB1" w:rsidRDefault="00157BB1" w:rsidP="00157BB1">
      <w:pPr>
        <w:rPr>
          <w:rFonts w:ascii="Courier New" w:hAnsi="Courier New" w:cs="Courier New"/>
          <w:lang w:val="en-US"/>
        </w:rPr>
      </w:pPr>
      <w:r w:rsidRPr="00157BB1">
        <w:rPr>
          <w:rFonts w:ascii="Courier New" w:hAnsi="Courier New" w:cs="Courier New"/>
          <w:lang w:val="en-US"/>
        </w:rPr>
        <w:t xml:space="preserve">Non-citizens, particularly </w:t>
      </w:r>
      <w:r w:rsidRPr="00157BB1">
        <w:rPr>
          <w:rFonts w:ascii="Courier New" w:hAnsi="Courier New" w:cs="Courier New"/>
          <w:i/>
          <w:iCs/>
          <w:lang w:val="en-US"/>
        </w:rPr>
        <w:t>peregrini</w:t>
      </w:r>
      <w:r w:rsidRPr="00157BB1">
        <w:rPr>
          <w:rFonts w:ascii="Courier New" w:hAnsi="Courier New" w:cs="Courier New"/>
          <w:lang w:val="en-US"/>
        </w:rPr>
        <w:t xml:space="preserve"> (foreigners), were subject to the </w:t>
      </w:r>
      <w:r w:rsidRPr="00157BB1">
        <w:rPr>
          <w:rFonts w:ascii="Courier New" w:hAnsi="Courier New" w:cs="Courier New"/>
          <w:i/>
          <w:iCs/>
          <w:lang w:val="en-US"/>
        </w:rPr>
        <w:t>ius gentium</w:t>
      </w:r>
      <w:r w:rsidRPr="00157BB1">
        <w:rPr>
          <w:rFonts w:ascii="Courier New" w:hAnsi="Courier New" w:cs="Courier New"/>
          <w:lang w:val="en-US"/>
        </w:rPr>
        <w:t xml:space="preserve">, a body of laws that was more flexible and less stringent than the </w:t>
      </w:r>
      <w:r w:rsidRPr="00157BB1">
        <w:rPr>
          <w:rFonts w:ascii="Courier New" w:hAnsi="Courier New" w:cs="Courier New"/>
          <w:i/>
          <w:iCs/>
          <w:lang w:val="en-US"/>
        </w:rPr>
        <w:t>ius civile</w:t>
      </w:r>
      <w:r w:rsidRPr="00157BB1">
        <w:rPr>
          <w:rFonts w:ascii="Courier New" w:hAnsi="Courier New" w:cs="Courier New"/>
          <w:lang w:val="en-US"/>
        </w:rPr>
        <w:t xml:space="preserve">. This legal framework allowed Rome to effectively manage the diverse populations within its expanding territories while maintaining a clear distinction between citizens and non-citizens. Slaves, on the other hand, were considered property rather than persons under Roman law and had no legal rights until they were </w:t>
      </w:r>
      <w:r w:rsidRPr="00157BB1">
        <w:rPr>
          <w:rFonts w:ascii="Courier New" w:hAnsi="Courier New" w:cs="Courier New"/>
          <w:i/>
          <w:iCs/>
          <w:lang w:val="en-US"/>
        </w:rPr>
        <w:t>manumitted</w:t>
      </w:r>
      <w:r w:rsidRPr="00157BB1">
        <w:rPr>
          <w:rFonts w:ascii="Courier New" w:hAnsi="Courier New" w:cs="Courier New"/>
          <w:lang w:val="en-US"/>
        </w:rPr>
        <w:t xml:space="preserve"> (freed). Even then, </w:t>
      </w:r>
      <w:r w:rsidR="002902FC" w:rsidRPr="002902FC">
        <w:rPr>
          <w:rFonts w:ascii="Courier New" w:hAnsi="Courier New" w:cs="Courier New"/>
          <w:i/>
          <w:iCs/>
          <w:lang w:val="en-US"/>
        </w:rPr>
        <w:t>liberti</w:t>
      </w:r>
      <w:r w:rsidRPr="00157BB1">
        <w:rPr>
          <w:rFonts w:ascii="Courier New" w:hAnsi="Courier New" w:cs="Courier New"/>
          <w:lang w:val="en-US"/>
        </w:rPr>
        <w:t xml:space="preserve"> (</w:t>
      </w:r>
      <w:r w:rsidR="002902FC" w:rsidRPr="002902FC">
        <w:rPr>
          <w:rFonts w:ascii="Courier New" w:hAnsi="Courier New" w:cs="Courier New"/>
          <w:lang w:val="en-US"/>
        </w:rPr>
        <w:t>freemen</w:t>
      </w:r>
      <w:r w:rsidRPr="00157BB1">
        <w:rPr>
          <w:rFonts w:ascii="Courier New" w:hAnsi="Courier New" w:cs="Courier New"/>
          <w:lang w:val="en-US"/>
        </w:rPr>
        <w:t xml:space="preserve">) did not gain full </w:t>
      </w:r>
      <w:r w:rsidRPr="00157BB1">
        <w:rPr>
          <w:rFonts w:ascii="Courier New" w:hAnsi="Courier New" w:cs="Courier New"/>
          <w:lang w:val="en-US"/>
        </w:rPr>
        <w:lastRenderedPageBreak/>
        <w:t>citizenship rights, though their children born after manumission could become full citizens.</w:t>
      </w:r>
    </w:p>
    <w:p w14:paraId="0999770F" w14:textId="4B114877" w:rsidR="00157BB1" w:rsidRPr="00157BB1" w:rsidRDefault="00157BB1" w:rsidP="00157BB1">
      <w:pPr>
        <w:rPr>
          <w:rFonts w:ascii="Courier New" w:hAnsi="Courier New" w:cs="Courier New"/>
          <w:lang w:val="en-US"/>
        </w:rPr>
      </w:pPr>
      <w:r w:rsidRPr="00157BB1">
        <w:rPr>
          <w:rFonts w:ascii="Courier New" w:hAnsi="Courier New" w:cs="Courier New"/>
          <w:lang w:val="en-US"/>
        </w:rPr>
        <w:t xml:space="preserve">The historical understanding of Roman citizenship is enriched by the writings of ancient historians, legal scholars, and political thinkers. Livy’s </w:t>
      </w:r>
      <w:r w:rsidRPr="00157BB1">
        <w:rPr>
          <w:rFonts w:ascii="Courier New" w:hAnsi="Courier New" w:cs="Courier New"/>
          <w:i/>
          <w:iCs/>
          <w:lang w:val="en-US"/>
        </w:rPr>
        <w:t>Ab Urbe Condita</w:t>
      </w:r>
      <w:r w:rsidRPr="00157BB1">
        <w:rPr>
          <w:rFonts w:ascii="Courier New" w:hAnsi="Courier New" w:cs="Courier New"/>
          <w:lang w:val="en-US"/>
        </w:rPr>
        <w:t xml:space="preserve"> offers insights into the early struggles and expansions of Rome, highlighting the role of citizenship in unifying the Roman people. Cicero’s speeches and philosophical works provide a detailed account of the rights and duties of Roman citizens, emphasizing the moral and civic responsibilities associated with </w:t>
      </w:r>
      <w:r w:rsidRPr="00157BB1">
        <w:rPr>
          <w:rFonts w:ascii="Courier New" w:hAnsi="Courier New" w:cs="Courier New"/>
          <w:i/>
          <w:iCs/>
          <w:lang w:val="en-US"/>
        </w:rPr>
        <w:t>civitas</w:t>
      </w:r>
      <w:r w:rsidRPr="00157BB1">
        <w:rPr>
          <w:rFonts w:ascii="Courier New" w:hAnsi="Courier New" w:cs="Courier New"/>
          <w:lang w:val="en-US"/>
        </w:rPr>
        <w:t xml:space="preserve">. Tacitus, in his </w:t>
      </w:r>
      <w:r w:rsidRPr="00157BB1">
        <w:rPr>
          <w:rFonts w:ascii="Courier New" w:hAnsi="Courier New" w:cs="Courier New"/>
          <w:i/>
          <w:iCs/>
          <w:lang w:val="en-US"/>
        </w:rPr>
        <w:t>Annals</w:t>
      </w:r>
      <w:r w:rsidRPr="00157BB1">
        <w:rPr>
          <w:rFonts w:ascii="Courier New" w:hAnsi="Courier New" w:cs="Courier New"/>
          <w:lang w:val="en-US"/>
        </w:rPr>
        <w:t xml:space="preserve"> and </w:t>
      </w:r>
      <w:r w:rsidRPr="00157BB1">
        <w:rPr>
          <w:rFonts w:ascii="Courier New" w:hAnsi="Courier New" w:cs="Courier New"/>
          <w:i/>
          <w:iCs/>
          <w:lang w:val="en-US"/>
        </w:rPr>
        <w:t>Histories</w:t>
      </w:r>
      <w:r w:rsidRPr="00157BB1">
        <w:rPr>
          <w:rFonts w:ascii="Courier New" w:hAnsi="Courier New" w:cs="Courier New"/>
          <w:lang w:val="en-US"/>
        </w:rPr>
        <w:t xml:space="preserve">, reflects on the social and political implications of extending citizenship during the early empire. Finally, the legal compilations of Justinian, particularly the </w:t>
      </w:r>
      <w:r w:rsidRPr="00157BB1">
        <w:rPr>
          <w:rFonts w:ascii="Courier New" w:hAnsi="Courier New" w:cs="Courier New"/>
          <w:i/>
          <w:iCs/>
          <w:lang w:val="en-US"/>
        </w:rPr>
        <w:t>Digest</w:t>
      </w:r>
      <w:r w:rsidRPr="00157BB1">
        <w:rPr>
          <w:rFonts w:ascii="Courier New" w:hAnsi="Courier New" w:cs="Courier New"/>
          <w:lang w:val="en-US"/>
        </w:rPr>
        <w:t>, offer a comprehensive view of Roman law, illustrating the legal distinctions between citizens, non-citizens, and slaves.</w:t>
      </w:r>
    </w:p>
    <w:p w14:paraId="5F7929F4" w14:textId="77777777" w:rsidR="00157BB1" w:rsidRDefault="00157BB1" w:rsidP="00157BB1">
      <w:pPr>
        <w:rPr>
          <w:rFonts w:ascii="Courier New" w:hAnsi="Courier New" w:cs="Courier New"/>
          <w:lang w:val="en-US"/>
        </w:rPr>
      </w:pPr>
      <w:r w:rsidRPr="00157BB1">
        <w:rPr>
          <w:rFonts w:ascii="Courier New" w:hAnsi="Courier New" w:cs="Courier New"/>
          <w:lang w:val="en-US"/>
        </w:rPr>
        <w:t>These sources, alongside modern scholarship, provide a framework for analyzing how Roman citizenship served as a boundary that both united and divided the peoples of the empire. The evolution of citizenship from a limited privilege to a more inclusive legal status reflects Rome’s adaptation to the challenges of governing a vast, multicultural empire.</w:t>
      </w:r>
    </w:p>
    <w:p w14:paraId="6F55AEC9" w14:textId="77777777" w:rsidR="002902FC" w:rsidRDefault="002902FC" w:rsidP="00157BB1">
      <w:pPr>
        <w:rPr>
          <w:rFonts w:ascii="Courier New" w:hAnsi="Courier New" w:cs="Courier New"/>
          <w:lang w:val="en-US"/>
        </w:rPr>
      </w:pPr>
    </w:p>
    <w:p w14:paraId="5A5528A6" w14:textId="35E93B41" w:rsidR="002902FC" w:rsidRDefault="002902FC" w:rsidP="00157BB1">
      <w:pPr>
        <w:rPr>
          <w:rFonts w:ascii="Courier New" w:hAnsi="Courier New" w:cs="Courier New"/>
          <w:lang w:val="en-US"/>
        </w:rPr>
      </w:pPr>
      <w:r>
        <w:rPr>
          <w:rFonts w:ascii="Courier New" w:hAnsi="Courier New" w:cs="Courier New"/>
          <w:lang w:val="en-US"/>
        </w:rPr>
        <w:t xml:space="preserve">Roman society was structured as a complex hierarchy where citizenship played a crucial role in determining one’s social standing. At the top of this hierarchy were the </w:t>
      </w:r>
      <w:r>
        <w:rPr>
          <w:rFonts w:ascii="Courier New" w:hAnsi="Courier New" w:cs="Courier New"/>
          <w:i/>
          <w:iCs/>
          <w:lang w:val="en-US"/>
        </w:rPr>
        <w:t>patricians</w:t>
      </w:r>
      <w:r>
        <w:rPr>
          <w:rFonts w:ascii="Courier New" w:hAnsi="Courier New" w:cs="Courier New"/>
          <w:lang w:val="en-US"/>
        </w:rPr>
        <w:t xml:space="preserve">, the aristocratic elite families who held significant political power. Below them were the </w:t>
      </w:r>
      <w:r>
        <w:rPr>
          <w:rFonts w:ascii="Courier New" w:hAnsi="Courier New" w:cs="Courier New"/>
          <w:i/>
          <w:iCs/>
          <w:lang w:val="en-US"/>
        </w:rPr>
        <w:t>plebei</w:t>
      </w:r>
      <w:r w:rsidR="00465255">
        <w:rPr>
          <w:rFonts w:ascii="Courier New" w:hAnsi="Courier New" w:cs="Courier New"/>
          <w:i/>
          <w:iCs/>
          <w:lang w:val="en-US"/>
        </w:rPr>
        <w:t xml:space="preserve">ans, </w:t>
      </w:r>
      <w:r w:rsidR="00465255">
        <w:rPr>
          <w:rFonts w:ascii="Courier New" w:hAnsi="Courier New" w:cs="Courier New"/>
          <w:lang w:val="en-US"/>
        </w:rPr>
        <w:t>the common freeborn citizens who made up most of Rome’s population. While both patricians and plebians were Roman citizens, there was a clear social divide between these two groups.</w:t>
      </w:r>
    </w:p>
    <w:p w14:paraId="57D59184" w14:textId="79E3BF00" w:rsidR="00465255" w:rsidRDefault="00465255" w:rsidP="00157BB1">
      <w:pPr>
        <w:rPr>
          <w:rFonts w:ascii="Courier New" w:hAnsi="Courier New" w:cs="Courier New"/>
          <w:lang w:val="en-US"/>
        </w:rPr>
      </w:pPr>
      <w:r>
        <w:rPr>
          <w:rFonts w:ascii="Courier New" w:hAnsi="Courier New" w:cs="Courier New"/>
          <w:lang w:val="en-US"/>
        </w:rPr>
        <w:t xml:space="preserve">The distinctions became more pronounced when considering the status of non-citizens: </w:t>
      </w:r>
    </w:p>
    <w:p w14:paraId="3761FF77" w14:textId="4D6C913F" w:rsidR="00465255" w:rsidRDefault="00465255" w:rsidP="00465255">
      <w:pPr>
        <w:pStyle w:val="ListParagraph"/>
        <w:numPr>
          <w:ilvl w:val="0"/>
          <w:numId w:val="1"/>
        </w:numPr>
        <w:rPr>
          <w:rFonts w:ascii="Courier New" w:hAnsi="Courier New" w:cs="Courier New"/>
          <w:lang w:val="en-US"/>
        </w:rPr>
      </w:pPr>
      <w:r>
        <w:rPr>
          <w:rFonts w:ascii="Courier New" w:hAnsi="Courier New" w:cs="Courier New"/>
          <w:lang w:val="en-US"/>
        </w:rPr>
        <w:t>Freedmen (</w:t>
      </w:r>
      <w:r>
        <w:rPr>
          <w:rFonts w:ascii="Courier New" w:hAnsi="Courier New" w:cs="Courier New"/>
          <w:i/>
          <w:iCs/>
          <w:lang w:val="en-US"/>
        </w:rPr>
        <w:t>Liberti)</w:t>
      </w:r>
      <w:r>
        <w:rPr>
          <w:rFonts w:ascii="Courier New" w:hAnsi="Courier New" w:cs="Courier New"/>
          <w:lang w:val="en-US"/>
        </w:rPr>
        <w:t xml:space="preserve">: Freed slaves, known as </w:t>
      </w:r>
      <w:r>
        <w:rPr>
          <w:rFonts w:ascii="Courier New" w:hAnsi="Courier New" w:cs="Courier New"/>
          <w:i/>
          <w:iCs/>
          <w:lang w:val="en-US"/>
        </w:rPr>
        <w:t xml:space="preserve">liberti, </w:t>
      </w:r>
      <w:r>
        <w:rPr>
          <w:rFonts w:ascii="Courier New" w:hAnsi="Courier New" w:cs="Courier New"/>
          <w:lang w:val="en-US"/>
        </w:rPr>
        <w:t>occupied a unique social position, although they were legally free, their social status was below that of freeborn citizens. They were often associated with their former owners though patron-client relationships, which could offer some protection and opportunities but also reinforced their lower status.</w:t>
      </w:r>
      <w:r>
        <w:rPr>
          <w:rFonts w:ascii="Courier New" w:hAnsi="Courier New" w:cs="Courier New"/>
          <w:i/>
          <w:iCs/>
          <w:lang w:val="en-US"/>
        </w:rPr>
        <w:t xml:space="preserve"> </w:t>
      </w:r>
    </w:p>
    <w:p w14:paraId="6232049C" w14:textId="0DDB56BF" w:rsidR="00465255" w:rsidRDefault="00465255" w:rsidP="00465255">
      <w:pPr>
        <w:pStyle w:val="ListParagraph"/>
        <w:numPr>
          <w:ilvl w:val="0"/>
          <w:numId w:val="1"/>
        </w:numPr>
        <w:rPr>
          <w:rFonts w:ascii="Courier New" w:hAnsi="Courier New" w:cs="Courier New"/>
          <w:lang w:val="en-US"/>
        </w:rPr>
      </w:pPr>
      <w:r>
        <w:rPr>
          <w:rFonts w:ascii="Courier New" w:hAnsi="Courier New" w:cs="Courier New"/>
          <w:lang w:val="en-US"/>
        </w:rPr>
        <w:t>Foreigners (</w:t>
      </w:r>
      <w:r>
        <w:rPr>
          <w:rFonts w:ascii="Courier New" w:hAnsi="Courier New" w:cs="Courier New"/>
          <w:i/>
          <w:iCs/>
          <w:lang w:val="en-US"/>
        </w:rPr>
        <w:t>Peregrini)</w:t>
      </w:r>
      <w:r>
        <w:rPr>
          <w:rFonts w:ascii="Courier New" w:hAnsi="Courier New" w:cs="Courier New"/>
          <w:lang w:val="en-US"/>
        </w:rPr>
        <w:t>: The foreign residents of the Roman Empire were often marginalized in terms of social integration. They were usually people from the provinces who did not possess Roman citizenship. Socially they were considered outsiders and were often excluded from the full spectrum of social interactions and privileges enjoyed by citizens.</w:t>
      </w:r>
    </w:p>
    <w:p w14:paraId="1450A8A0" w14:textId="1F28E72D" w:rsidR="00465255" w:rsidRDefault="00465255" w:rsidP="00465255">
      <w:pPr>
        <w:pStyle w:val="ListParagraph"/>
        <w:numPr>
          <w:ilvl w:val="0"/>
          <w:numId w:val="1"/>
        </w:numPr>
        <w:rPr>
          <w:rFonts w:ascii="Courier New" w:hAnsi="Courier New" w:cs="Courier New"/>
          <w:lang w:val="en-US"/>
        </w:rPr>
      </w:pPr>
      <w:r>
        <w:rPr>
          <w:rFonts w:ascii="Courier New" w:hAnsi="Courier New" w:cs="Courier New"/>
          <w:lang w:val="en-US"/>
        </w:rPr>
        <w:lastRenderedPageBreak/>
        <w:t>Slaves (</w:t>
      </w:r>
      <w:r>
        <w:rPr>
          <w:rFonts w:ascii="Courier New" w:hAnsi="Courier New" w:cs="Courier New"/>
          <w:i/>
          <w:iCs/>
          <w:lang w:val="en-US"/>
        </w:rPr>
        <w:t>Servi)</w:t>
      </w:r>
      <w:r>
        <w:rPr>
          <w:rFonts w:ascii="Courier New" w:hAnsi="Courier New" w:cs="Courier New"/>
          <w:lang w:val="en-US"/>
        </w:rPr>
        <w:t xml:space="preserve">: At the bottom of the social hierarchy were slaves, who were viewed as property rather than persons. Slaves were integral to the Roman economy, working household, farms, mines and even the Imperial bureaucracy. Despite their lack of rights, slaves could sometimes </w:t>
      </w:r>
      <w:r w:rsidR="007D3B57">
        <w:rPr>
          <w:rFonts w:ascii="Courier New" w:hAnsi="Courier New" w:cs="Courier New"/>
          <w:lang w:val="en-US"/>
        </w:rPr>
        <w:t>earn or be granted freedom (</w:t>
      </w:r>
      <w:r w:rsidR="007D3B57">
        <w:rPr>
          <w:rFonts w:ascii="Courier New" w:hAnsi="Courier New" w:cs="Courier New"/>
          <w:i/>
          <w:iCs/>
          <w:lang w:val="en-US"/>
        </w:rPr>
        <w:t xml:space="preserve">manumission) </w:t>
      </w:r>
      <w:r w:rsidR="007D3B57">
        <w:rPr>
          <w:rFonts w:ascii="Courier New" w:hAnsi="Courier New" w:cs="Courier New"/>
          <w:lang w:val="en-US"/>
        </w:rPr>
        <w:t xml:space="preserve">after which they would become </w:t>
      </w:r>
      <w:r w:rsidR="007D3B57">
        <w:rPr>
          <w:rFonts w:ascii="Courier New" w:hAnsi="Courier New" w:cs="Courier New"/>
          <w:i/>
          <w:iCs/>
          <w:lang w:val="en-US"/>
        </w:rPr>
        <w:t xml:space="preserve">liberti </w:t>
      </w:r>
      <w:r w:rsidR="007D3B57">
        <w:rPr>
          <w:rFonts w:ascii="Courier New" w:hAnsi="Courier New" w:cs="Courier New"/>
          <w:lang w:val="en-US"/>
        </w:rPr>
        <w:t xml:space="preserve">and gain a limited legal status. </w:t>
      </w:r>
    </w:p>
    <w:p w14:paraId="5781C619" w14:textId="77777777" w:rsidR="007D3B57" w:rsidRDefault="007D3B57" w:rsidP="007D3B57">
      <w:pPr>
        <w:rPr>
          <w:rFonts w:ascii="Courier New" w:hAnsi="Courier New" w:cs="Courier New"/>
          <w:lang w:val="en-US"/>
        </w:rPr>
      </w:pPr>
    </w:p>
    <w:p w14:paraId="7645549C" w14:textId="04257804" w:rsidR="007D3B57" w:rsidRDefault="007D3B57" w:rsidP="007D3B57">
      <w:pPr>
        <w:rPr>
          <w:rFonts w:ascii="Courier New" w:hAnsi="Courier New" w:cs="Courier New"/>
          <w:lang w:val="en-US"/>
        </w:rPr>
      </w:pPr>
      <w:r>
        <w:rPr>
          <w:rFonts w:ascii="Courier New" w:hAnsi="Courier New" w:cs="Courier New"/>
          <w:lang w:val="en-US"/>
        </w:rPr>
        <w:t xml:space="preserve">The economic opportunities available to individuals in the Roman Empire were largely determined by their legal and social status. Roman citizens, particularly the </w:t>
      </w:r>
      <w:r w:rsidR="005E6A8D">
        <w:rPr>
          <w:rFonts w:ascii="Courier New" w:hAnsi="Courier New" w:cs="Courier New"/>
          <w:lang w:val="en-US"/>
        </w:rPr>
        <w:t>elite,</w:t>
      </w:r>
      <w:r>
        <w:rPr>
          <w:rFonts w:ascii="Courier New" w:hAnsi="Courier New" w:cs="Courier New"/>
          <w:lang w:val="en-US"/>
        </w:rPr>
        <w:t xml:space="preserve"> enjoyed privileged access to wealth accumulation, land ownership and lucrative trade ventures, while non-citizens faced various restrictions that limited their economic potential.</w:t>
      </w:r>
    </w:p>
    <w:p w14:paraId="7F00D0E8" w14:textId="07E40BA1" w:rsidR="007D3B57" w:rsidRDefault="007D3B57" w:rsidP="007D3B57">
      <w:pPr>
        <w:rPr>
          <w:rFonts w:ascii="Courier New" w:hAnsi="Courier New" w:cs="Courier New"/>
          <w:lang w:val="en-US"/>
        </w:rPr>
      </w:pPr>
      <w:r>
        <w:rPr>
          <w:rFonts w:ascii="Courier New" w:hAnsi="Courier New" w:cs="Courier New"/>
          <w:lang w:val="en-US"/>
        </w:rPr>
        <w:t>Citizens, particularly those of the senatorial class dominated the most profitable sectors of the economy, including large scale agriculture, mining and trade. They could own vast estates (</w:t>
      </w:r>
      <w:r>
        <w:rPr>
          <w:rFonts w:ascii="Courier New" w:hAnsi="Courier New" w:cs="Courier New"/>
          <w:i/>
          <w:iCs/>
          <w:lang w:val="en-US"/>
        </w:rPr>
        <w:t xml:space="preserve">latifundia), </w:t>
      </w:r>
      <w:r>
        <w:rPr>
          <w:rFonts w:ascii="Courier New" w:hAnsi="Courier New" w:cs="Courier New"/>
          <w:lang w:val="en-US"/>
        </w:rPr>
        <w:t>benefit from tax exemptions and secure government contracts (</w:t>
      </w:r>
      <w:r>
        <w:rPr>
          <w:rFonts w:ascii="Courier New" w:hAnsi="Courier New" w:cs="Courier New"/>
          <w:i/>
          <w:iCs/>
          <w:lang w:val="en-US"/>
        </w:rPr>
        <w:t xml:space="preserve">publicani) </w:t>
      </w:r>
      <w:r>
        <w:rPr>
          <w:rFonts w:ascii="Courier New" w:hAnsi="Courier New" w:cs="Courier New"/>
          <w:lang w:val="en-US"/>
        </w:rPr>
        <w:t xml:space="preserve">for public works or tax collection. Additionally, military service was a significant economic opportunity for citizens, as soldiers were </w:t>
      </w:r>
      <w:r w:rsidR="005E6A8D">
        <w:rPr>
          <w:rFonts w:ascii="Courier New" w:hAnsi="Courier New" w:cs="Courier New"/>
          <w:lang w:val="en-US"/>
        </w:rPr>
        <w:t>paid regular wages and upon retirement were often granted land or a cash bonus.</w:t>
      </w:r>
    </w:p>
    <w:p w14:paraId="5C8C81E8" w14:textId="43F4D19B" w:rsidR="005E6A8D" w:rsidRDefault="005E6A8D" w:rsidP="007D3B57">
      <w:pPr>
        <w:rPr>
          <w:rFonts w:ascii="Courier New" w:hAnsi="Courier New" w:cs="Courier New"/>
        </w:rPr>
      </w:pPr>
      <w:r w:rsidRPr="005E6A8D">
        <w:rPr>
          <w:rFonts w:ascii="Courier New" w:hAnsi="Courier New" w:cs="Courier New"/>
        </w:rPr>
        <w:t xml:space="preserve">Non-citizens, such as </w:t>
      </w:r>
      <w:r w:rsidRPr="005E6A8D">
        <w:rPr>
          <w:rFonts w:ascii="Courier New" w:hAnsi="Courier New" w:cs="Courier New"/>
          <w:i/>
          <w:iCs/>
        </w:rPr>
        <w:t>peregrini</w:t>
      </w:r>
      <w:r w:rsidRPr="005E6A8D">
        <w:rPr>
          <w:rFonts w:ascii="Courier New" w:hAnsi="Courier New" w:cs="Courier New"/>
        </w:rPr>
        <w:t>, faced legal restrictions that impacted their economic activities. For instance, they were often excluded from owning land within Roman territory and had limited access to formal contracts recognized by Roman law. However, they could engage in trade and crafts, particularly in the urban</w:t>
      </w:r>
      <w:r>
        <w:rPr>
          <w:rFonts w:ascii="Courier New" w:hAnsi="Courier New" w:cs="Courier New"/>
        </w:rPr>
        <w:t xml:space="preserve"> </w:t>
      </w:r>
      <w:r w:rsidRPr="005E6A8D">
        <w:rPr>
          <w:rFonts w:ascii="Courier New" w:hAnsi="Courier New" w:cs="Courier New"/>
        </w:rPr>
        <w:t>centre</w:t>
      </w:r>
      <w:r>
        <w:rPr>
          <w:rFonts w:ascii="Courier New" w:hAnsi="Courier New" w:cs="Courier New"/>
        </w:rPr>
        <w:t xml:space="preserve">s </w:t>
      </w:r>
      <w:r w:rsidRPr="005E6A8D">
        <w:rPr>
          <w:rFonts w:ascii="Courier New" w:hAnsi="Courier New" w:cs="Courier New"/>
        </w:rPr>
        <w:t>where economic diversity was greater.</w:t>
      </w:r>
    </w:p>
    <w:p w14:paraId="5C4E8D98" w14:textId="0FBC8B3E" w:rsidR="005E6A8D" w:rsidRDefault="005E6A8D" w:rsidP="007D3B57">
      <w:pPr>
        <w:rPr>
          <w:rFonts w:ascii="Courier New" w:hAnsi="Courier New" w:cs="Courier New"/>
        </w:rPr>
      </w:pPr>
      <w:r w:rsidRPr="005E6A8D">
        <w:rPr>
          <w:rFonts w:ascii="Courier New" w:hAnsi="Courier New" w:cs="Courier New"/>
        </w:rPr>
        <w:t xml:space="preserve">Freedmen often took advantage of the skills they acquired during their time as slaves to become successful entrepreneurs, particularly in trade, shipping, and manufacturing. Some of the wealthiest individuals in Roman society were </w:t>
      </w:r>
      <w:r w:rsidRPr="005E6A8D">
        <w:rPr>
          <w:rFonts w:ascii="Courier New" w:hAnsi="Courier New" w:cs="Courier New"/>
          <w:i/>
          <w:iCs/>
        </w:rPr>
        <w:t>liberti</w:t>
      </w:r>
      <w:r w:rsidRPr="005E6A8D">
        <w:rPr>
          <w:rFonts w:ascii="Courier New" w:hAnsi="Courier New" w:cs="Courier New"/>
        </w:rPr>
        <w:t xml:space="preserve"> who had amassed fortunes in industries that were less restricted by social status, such as baking, taverns, and shipping. However, their upward mobility was still socially constrained, as they were not fully accepted into the ranks of the freeborn elite.</w:t>
      </w:r>
    </w:p>
    <w:p w14:paraId="7A54A46D" w14:textId="77777777" w:rsidR="005E6A8D" w:rsidRDefault="005E6A8D" w:rsidP="007D3B57">
      <w:pPr>
        <w:rPr>
          <w:rFonts w:ascii="Courier New" w:hAnsi="Courier New" w:cs="Courier New"/>
        </w:rPr>
      </w:pPr>
    </w:p>
    <w:p w14:paraId="322B8F8D" w14:textId="27C6A56D" w:rsidR="005E6A8D" w:rsidRDefault="005E6A8D" w:rsidP="007D3B57">
      <w:pPr>
        <w:rPr>
          <w:rFonts w:ascii="Courier New" w:hAnsi="Courier New" w:cs="Courier New"/>
        </w:rPr>
      </w:pPr>
      <w:r>
        <w:rPr>
          <w:rFonts w:ascii="Courier New" w:hAnsi="Courier New" w:cs="Courier New"/>
        </w:rPr>
        <w:t xml:space="preserve">The social and economic boundaries between citizens and non-citizens were not entirely rigid. Various mechanisms allowed for some degree of social mobility and integration, albeit with some significant limitations. </w:t>
      </w:r>
    </w:p>
    <w:p w14:paraId="5AE0CBD3" w14:textId="418B54F8" w:rsidR="007D3B57" w:rsidRDefault="005E6A8D" w:rsidP="007D3B57">
      <w:pPr>
        <w:rPr>
          <w:rFonts w:ascii="Courier New" w:hAnsi="Courier New" w:cs="Courier New"/>
        </w:rPr>
      </w:pPr>
      <w:r>
        <w:rPr>
          <w:rFonts w:ascii="Courier New" w:hAnsi="Courier New" w:cs="Courier New"/>
        </w:rPr>
        <w:t>The Roman military was a crucial institution for integrating non-citizens into Roman society. Service in the auxiliary forces (</w:t>
      </w:r>
      <w:r>
        <w:rPr>
          <w:rFonts w:ascii="Courier New" w:hAnsi="Courier New" w:cs="Courier New"/>
          <w:i/>
          <w:iCs/>
        </w:rPr>
        <w:t xml:space="preserve">auxilia) </w:t>
      </w:r>
      <w:r>
        <w:rPr>
          <w:rFonts w:ascii="Courier New" w:hAnsi="Courier New" w:cs="Courier New"/>
        </w:rPr>
        <w:lastRenderedPageBreak/>
        <w:t xml:space="preserve">was one of the most common ways for </w:t>
      </w:r>
      <w:r>
        <w:rPr>
          <w:rFonts w:ascii="Courier New" w:hAnsi="Courier New" w:cs="Courier New"/>
          <w:i/>
          <w:iCs/>
        </w:rPr>
        <w:t xml:space="preserve">peregrini </w:t>
      </w:r>
      <w:r>
        <w:rPr>
          <w:rFonts w:ascii="Courier New" w:hAnsi="Courier New" w:cs="Courier New"/>
        </w:rPr>
        <w:t>to obtain citizenship. Upon completion of their service, usually twenty-five years, auxiliary soldiers and their families were granted citizenship, a practise that both rewarded loyalty and helped to Romanize the provinces.</w:t>
      </w:r>
    </w:p>
    <w:p w14:paraId="51D4D63B" w14:textId="7F7B18F0" w:rsidR="005E6A8D" w:rsidRPr="005E6A8D" w:rsidRDefault="005E6A8D" w:rsidP="005E6A8D">
      <w:pPr>
        <w:rPr>
          <w:rFonts w:ascii="Courier New" w:hAnsi="Courier New" w:cs="Courier New"/>
          <w:lang w:val="en-US"/>
        </w:rPr>
      </w:pPr>
      <w:r w:rsidRPr="005E6A8D">
        <w:rPr>
          <w:rFonts w:ascii="Courier New" w:hAnsi="Courier New" w:cs="Courier New"/>
          <w:lang w:val="en-US"/>
        </w:rPr>
        <w:t xml:space="preserve">While the extension of citizenship provided new opportunities for integration, it did not eliminate the deep social and economic inequalities that characterized Roman society. The disparity between the wealthy elite and the poor was vast, with </w:t>
      </w:r>
      <w:r w:rsidRPr="005E6A8D">
        <w:rPr>
          <w:rFonts w:ascii="Courier New" w:hAnsi="Courier New" w:cs="Courier New"/>
          <w:lang w:val="en-US"/>
        </w:rPr>
        <w:t>most</w:t>
      </w:r>
      <w:r w:rsidRPr="005E6A8D">
        <w:rPr>
          <w:rFonts w:ascii="Courier New" w:hAnsi="Courier New" w:cs="Courier New"/>
          <w:lang w:val="en-US"/>
        </w:rPr>
        <w:t xml:space="preserve"> citizens living at a subsistence level. Non-citizens, particularly in the provinces, often faced even harsher economic conditions, exacerbated by heavy taxation, land dispossession, and limited legal protections.</w:t>
      </w:r>
    </w:p>
    <w:p w14:paraId="6D2B7B2F" w14:textId="77777777" w:rsidR="005E6A8D" w:rsidRDefault="005E6A8D" w:rsidP="005E6A8D">
      <w:pPr>
        <w:rPr>
          <w:rFonts w:ascii="Courier New" w:hAnsi="Courier New" w:cs="Courier New"/>
          <w:lang w:val="en-US"/>
        </w:rPr>
      </w:pPr>
      <w:r w:rsidRPr="005E6A8D">
        <w:rPr>
          <w:rFonts w:ascii="Courier New" w:hAnsi="Courier New" w:cs="Courier New"/>
          <w:lang w:val="en-US"/>
        </w:rPr>
        <w:t>The social and economic boundaries within the Roman Empire, therefore, were not just about legal distinctions but were also a reflection of the broader inequalities that defined Roman life. These boundaries created a society where social mobility was possible but constrained by rigid hierarchies, leaving many to navigate a complex web of social, economic, and legal challenges to improve their status.</w:t>
      </w:r>
    </w:p>
    <w:p w14:paraId="49BCBC2E" w14:textId="77777777" w:rsidR="004940B6" w:rsidRDefault="004940B6" w:rsidP="005E6A8D">
      <w:pPr>
        <w:rPr>
          <w:rFonts w:ascii="Courier New" w:hAnsi="Courier New" w:cs="Courier New"/>
          <w:lang w:val="en-US"/>
        </w:rPr>
      </w:pPr>
    </w:p>
    <w:p w14:paraId="75E295CC" w14:textId="77777777" w:rsidR="004940B6" w:rsidRPr="004940B6" w:rsidRDefault="004940B6" w:rsidP="004940B6">
      <w:pPr>
        <w:rPr>
          <w:rFonts w:ascii="Courier New" w:hAnsi="Courier New" w:cs="Courier New"/>
          <w:lang w:val="en-US"/>
        </w:rPr>
      </w:pPr>
      <w:r w:rsidRPr="004940B6">
        <w:rPr>
          <w:rFonts w:ascii="Courier New" w:hAnsi="Courier New" w:cs="Courier New"/>
          <w:lang w:val="en-US"/>
        </w:rPr>
        <w:t xml:space="preserve">The boundaries between citizens and non-citizens in the Roman Empire were deeply entrenched in its legal, social, and economic structures, reflecting the complexities of an expansive and diverse society. Roman citizenship was a highly coveted status that conferred numerous legal rights, social privileges, and economic opportunities, setting citizens apart from the vast majority of the empire’s inhabitants. These distinctions were reinforced through a sophisticated legal framework that protected the interests of citizens while limiting the rights of non-citizens, </w:t>
      </w:r>
      <w:r w:rsidRPr="004940B6">
        <w:rPr>
          <w:rFonts w:ascii="Courier New" w:hAnsi="Courier New" w:cs="Courier New"/>
          <w:i/>
          <w:iCs/>
          <w:lang w:val="en-US"/>
        </w:rPr>
        <w:t>peregrini</w:t>
      </w:r>
      <w:r w:rsidRPr="004940B6">
        <w:rPr>
          <w:rFonts w:ascii="Courier New" w:hAnsi="Courier New" w:cs="Courier New"/>
          <w:lang w:val="en-US"/>
        </w:rPr>
        <w:t>, freedmen, and slaves.</w:t>
      </w:r>
    </w:p>
    <w:p w14:paraId="1099AC6C" w14:textId="77777777" w:rsidR="004940B6" w:rsidRPr="004940B6" w:rsidRDefault="004940B6" w:rsidP="004940B6">
      <w:pPr>
        <w:rPr>
          <w:rFonts w:ascii="Courier New" w:hAnsi="Courier New" w:cs="Courier New"/>
          <w:lang w:val="en-US"/>
        </w:rPr>
      </w:pPr>
      <w:r w:rsidRPr="004940B6">
        <w:rPr>
          <w:rFonts w:ascii="Courier New" w:hAnsi="Courier New" w:cs="Courier New"/>
          <w:lang w:val="en-US"/>
        </w:rPr>
        <w:t>Despite these rigid boundaries, the Roman Empire demonstrated a remarkable ability to integrate diverse populations through mechanisms such as military service, manumission, and the gradual extension of citizenship, culminating in the Edict of Caracalla. These policies not only promoted social cohesion but also served the pragmatic needs of the empire, fostering loyalty and stability across its vast territories. However, the inclusivity of Roman citizenship did not eliminate social and economic inequalities, as the hierarchical nature of Roman society continued to influence one's status and opportunities.</w:t>
      </w:r>
    </w:p>
    <w:p w14:paraId="727861B4" w14:textId="77777777" w:rsidR="004940B6" w:rsidRDefault="004940B6" w:rsidP="004940B6">
      <w:pPr>
        <w:rPr>
          <w:rFonts w:ascii="Courier New" w:hAnsi="Courier New" w:cs="Courier New"/>
          <w:lang w:val="en-US"/>
        </w:rPr>
      </w:pPr>
      <w:r w:rsidRPr="004940B6">
        <w:rPr>
          <w:rFonts w:ascii="Courier New" w:hAnsi="Courier New" w:cs="Courier New"/>
          <w:lang w:val="en-US"/>
        </w:rPr>
        <w:t xml:space="preserve">In examining the boundaries between citizens and non-citizens, we gain insight into the adaptive strategies of Roman governance and the complexities of identity, integration, and inequality in one of history's most influential civilizations. The legacy of Roman citizenship, with its blend of exclusivity and inclusiveness, offers a profound reflection on the dynamics of power, belonging, and social </w:t>
      </w:r>
      <w:r w:rsidRPr="004940B6">
        <w:rPr>
          <w:rFonts w:ascii="Courier New" w:hAnsi="Courier New" w:cs="Courier New"/>
          <w:lang w:val="en-US"/>
        </w:rPr>
        <w:lastRenderedPageBreak/>
        <w:t>structure that continue to resonate in modern discussions of citizenship and rights.</w:t>
      </w:r>
    </w:p>
    <w:p w14:paraId="646346F5" w14:textId="77777777" w:rsidR="00E25776" w:rsidRDefault="00E25776" w:rsidP="004940B6">
      <w:pPr>
        <w:rPr>
          <w:rFonts w:ascii="Courier New" w:hAnsi="Courier New" w:cs="Courier New"/>
          <w:lang w:val="en-US"/>
        </w:rPr>
      </w:pPr>
    </w:p>
    <w:p w14:paraId="332D9C97" w14:textId="77777777" w:rsidR="00E25776" w:rsidRDefault="00E25776" w:rsidP="004940B6">
      <w:pPr>
        <w:rPr>
          <w:rFonts w:ascii="Courier New" w:hAnsi="Courier New" w:cs="Courier New"/>
          <w:lang w:val="en-US"/>
        </w:rPr>
      </w:pPr>
    </w:p>
    <w:p w14:paraId="7B33600C" w14:textId="77777777" w:rsidR="00E25776" w:rsidRDefault="00E25776" w:rsidP="004940B6">
      <w:pPr>
        <w:rPr>
          <w:rFonts w:ascii="Courier New" w:hAnsi="Courier New" w:cs="Courier New"/>
          <w:lang w:val="en-US"/>
        </w:rPr>
      </w:pPr>
    </w:p>
    <w:p w14:paraId="69C4B048" w14:textId="77777777" w:rsidR="00E25776" w:rsidRPr="00E25776" w:rsidRDefault="00E25776" w:rsidP="004940B6">
      <w:pPr>
        <w:rPr>
          <w:rFonts w:ascii="Courier New" w:hAnsi="Courier New" w:cs="Courier New"/>
          <w:sz w:val="18"/>
          <w:szCs w:val="18"/>
          <w:lang w:val="en-US"/>
        </w:rPr>
      </w:pPr>
    </w:p>
    <w:p w14:paraId="2F59FBCF" w14:textId="77777777" w:rsidR="00E25776" w:rsidRPr="00E25776" w:rsidRDefault="00E25776" w:rsidP="00E25776">
      <w:pPr>
        <w:rPr>
          <w:rFonts w:ascii="Courier New" w:hAnsi="Courier New" w:cs="Courier New"/>
          <w:sz w:val="18"/>
          <w:szCs w:val="18"/>
          <w:lang w:val="en-US"/>
        </w:rPr>
      </w:pPr>
      <w:r w:rsidRPr="00E25776">
        <w:rPr>
          <w:rFonts w:ascii="Courier New" w:hAnsi="Courier New" w:cs="Courier New"/>
          <w:sz w:val="18"/>
          <w:szCs w:val="18"/>
          <w:lang w:val="en-US"/>
        </w:rPr>
        <w:t>ADRIAN NICOLAS SHERWIN-WHITE, 1973. </w:t>
      </w:r>
      <w:r w:rsidRPr="00E25776">
        <w:rPr>
          <w:rFonts w:ascii="Courier New" w:hAnsi="Courier New" w:cs="Courier New"/>
          <w:i/>
          <w:iCs/>
          <w:sz w:val="18"/>
          <w:szCs w:val="18"/>
          <w:lang w:val="en-US"/>
        </w:rPr>
        <w:t>The Roman Citizenship. </w:t>
      </w:r>
      <w:r w:rsidRPr="00E25776">
        <w:rPr>
          <w:rFonts w:ascii="Courier New" w:hAnsi="Courier New" w:cs="Courier New"/>
          <w:sz w:val="18"/>
          <w:szCs w:val="18"/>
          <w:lang w:val="en-US"/>
        </w:rPr>
        <w:t>Oxford: Clarendon Press.</w:t>
      </w:r>
    </w:p>
    <w:p w14:paraId="2A1DEEF2" w14:textId="5C2CFC51" w:rsidR="00E25776" w:rsidRPr="00E25776" w:rsidRDefault="00E25776" w:rsidP="00E25776">
      <w:pPr>
        <w:rPr>
          <w:rFonts w:ascii="Courier New" w:hAnsi="Courier New" w:cs="Courier New"/>
          <w:sz w:val="18"/>
          <w:szCs w:val="18"/>
          <w:lang w:val="en-US"/>
        </w:rPr>
      </w:pPr>
      <w:r w:rsidRPr="00E25776">
        <w:rPr>
          <w:rFonts w:ascii="Courier New" w:hAnsi="Courier New" w:cs="Courier New"/>
          <w:sz w:val="18"/>
          <w:szCs w:val="18"/>
          <w:lang w:val="en-US"/>
        </w:rPr>
        <w:t>BARKER. G, B.J., STEVENSON. H, S.C. and LEVETT. C, 2024</w:t>
      </w:r>
      <w:r w:rsidR="00893864">
        <w:rPr>
          <w:rFonts w:ascii="Courier New" w:hAnsi="Courier New" w:cs="Courier New"/>
          <w:sz w:val="18"/>
          <w:szCs w:val="18"/>
          <w:lang w:val="en-US"/>
        </w:rPr>
        <w:t>.</w:t>
      </w:r>
      <w:r w:rsidRPr="00E25776">
        <w:rPr>
          <w:rFonts w:ascii="Courier New" w:hAnsi="Courier New" w:cs="Courier New"/>
          <w:sz w:val="18"/>
          <w:szCs w:val="18"/>
          <w:lang w:val="en-US"/>
        </w:rPr>
        <w:t xml:space="preserve"> Introduction to Legion Life. Available: </w:t>
      </w:r>
      <w:hyperlink r:id="rId5" w:tgtFrame="_blank" w:history="1">
        <w:r w:rsidRPr="00E25776">
          <w:rPr>
            <w:rStyle w:val="Hyperlink"/>
            <w:rFonts w:ascii="Courier New" w:hAnsi="Courier New" w:cs="Courier New"/>
            <w:sz w:val="18"/>
            <w:szCs w:val="18"/>
            <w:lang w:val="en-US"/>
          </w:rPr>
          <w:t>https://www.britishmuseum.org/blog/introduction-legion-life-roman-army</w:t>
        </w:r>
      </w:hyperlink>
      <w:r w:rsidRPr="00E25776">
        <w:rPr>
          <w:rFonts w:ascii="Courier New" w:hAnsi="Courier New" w:cs="Courier New"/>
          <w:sz w:val="18"/>
          <w:szCs w:val="18"/>
          <w:lang w:val="en-US"/>
        </w:rPr>
        <w:t> </w:t>
      </w:r>
      <w:r>
        <w:rPr>
          <w:rFonts w:ascii="Courier New" w:hAnsi="Courier New" w:cs="Courier New"/>
          <w:sz w:val="18"/>
          <w:szCs w:val="18"/>
          <w:lang w:val="en-US"/>
        </w:rPr>
        <w:t>Accessed on: 17</w:t>
      </w:r>
      <w:r w:rsidRPr="00E25776">
        <w:rPr>
          <w:rFonts w:ascii="Courier New" w:hAnsi="Courier New" w:cs="Courier New"/>
          <w:sz w:val="18"/>
          <w:szCs w:val="18"/>
          <w:lang w:val="en-US"/>
        </w:rPr>
        <w:t>/11</w:t>
      </w:r>
      <w:r>
        <w:rPr>
          <w:rFonts w:ascii="Courier New" w:hAnsi="Courier New" w:cs="Courier New"/>
          <w:sz w:val="18"/>
          <w:szCs w:val="18"/>
          <w:lang w:val="en-US"/>
        </w:rPr>
        <w:t>/</w:t>
      </w:r>
      <w:r w:rsidRPr="00E25776">
        <w:rPr>
          <w:rFonts w:ascii="Courier New" w:hAnsi="Courier New" w:cs="Courier New"/>
          <w:sz w:val="18"/>
          <w:szCs w:val="18"/>
          <w:lang w:val="en-US"/>
        </w:rPr>
        <w:t>2024.</w:t>
      </w:r>
    </w:p>
    <w:p w14:paraId="59647CF9" w14:textId="77777777" w:rsidR="00E25776" w:rsidRPr="00E25776" w:rsidRDefault="00E25776" w:rsidP="00E25776">
      <w:pPr>
        <w:rPr>
          <w:rFonts w:ascii="Courier New" w:hAnsi="Courier New" w:cs="Courier New"/>
          <w:sz w:val="18"/>
          <w:szCs w:val="18"/>
          <w:lang w:val="en-US"/>
        </w:rPr>
      </w:pPr>
      <w:r w:rsidRPr="00E25776">
        <w:rPr>
          <w:rFonts w:ascii="Courier New" w:hAnsi="Courier New" w:cs="Courier New"/>
          <w:sz w:val="18"/>
          <w:szCs w:val="18"/>
          <w:lang w:val="en-US"/>
        </w:rPr>
        <w:t>BY TATARYN - OWN WORK, CC BY-SA 3. 0, </w:t>
      </w:r>
      <w:r w:rsidRPr="00E25776">
        <w:rPr>
          <w:rFonts w:ascii="Courier New" w:hAnsi="Courier New" w:cs="Courier New"/>
          <w:i/>
          <w:iCs/>
          <w:sz w:val="18"/>
          <w:szCs w:val="18"/>
          <w:lang w:val="en-US"/>
        </w:rPr>
        <w:t xml:space="preserve">Roman Empire </w:t>
      </w:r>
      <w:proofErr w:type="spellStart"/>
      <w:r w:rsidRPr="00E25776">
        <w:rPr>
          <w:rFonts w:ascii="Courier New" w:hAnsi="Courier New" w:cs="Courier New"/>
          <w:i/>
          <w:iCs/>
          <w:sz w:val="18"/>
          <w:szCs w:val="18"/>
          <w:lang w:val="en-US"/>
        </w:rPr>
        <w:t>trajan</w:t>
      </w:r>
      <w:proofErr w:type="spellEnd"/>
      <w:r w:rsidRPr="00E25776">
        <w:rPr>
          <w:rFonts w:ascii="Courier New" w:hAnsi="Courier New" w:cs="Courier New"/>
          <w:i/>
          <w:iCs/>
          <w:sz w:val="18"/>
          <w:szCs w:val="18"/>
          <w:lang w:val="en-US"/>
        </w:rPr>
        <w:t xml:space="preserve"> 117AD. </w:t>
      </w:r>
      <w:r w:rsidRPr="00E25776">
        <w:rPr>
          <w:rFonts w:ascii="Courier New" w:hAnsi="Courier New" w:cs="Courier New"/>
          <w:sz w:val="18"/>
          <w:szCs w:val="18"/>
          <w:lang w:val="en-US"/>
        </w:rPr>
        <w:t>Wikipedia.</w:t>
      </w:r>
    </w:p>
    <w:p w14:paraId="7F1B4C19" w14:textId="06327EA7" w:rsidR="00E25776" w:rsidRPr="00E25776" w:rsidRDefault="00E25776" w:rsidP="00E25776">
      <w:pPr>
        <w:rPr>
          <w:rFonts w:ascii="Courier New" w:hAnsi="Courier New" w:cs="Courier New"/>
          <w:sz w:val="18"/>
          <w:szCs w:val="18"/>
          <w:lang w:val="fr-FR"/>
        </w:rPr>
      </w:pPr>
      <w:r w:rsidRPr="00E25776">
        <w:rPr>
          <w:rFonts w:ascii="Courier New" w:hAnsi="Courier New" w:cs="Courier New"/>
          <w:sz w:val="18"/>
          <w:szCs w:val="18"/>
          <w:lang w:val="en-US"/>
        </w:rPr>
        <w:t>CÉBEILLAC-GERVASONI, M., CALDELLI, M.L. and ZEVI, F, 2006. </w:t>
      </w:r>
      <w:proofErr w:type="spellStart"/>
      <w:r w:rsidRPr="00E25776">
        <w:rPr>
          <w:rFonts w:ascii="Courier New" w:hAnsi="Courier New" w:cs="Courier New"/>
          <w:i/>
          <w:iCs/>
          <w:sz w:val="18"/>
          <w:szCs w:val="18"/>
          <w:lang w:val="fr-FR"/>
        </w:rPr>
        <w:t>Épigraphie</w:t>
      </w:r>
      <w:proofErr w:type="spellEnd"/>
      <w:r w:rsidRPr="00E25776">
        <w:rPr>
          <w:rFonts w:ascii="Courier New" w:hAnsi="Courier New" w:cs="Courier New"/>
          <w:i/>
          <w:iCs/>
          <w:sz w:val="18"/>
          <w:szCs w:val="18"/>
          <w:lang w:val="fr-FR"/>
        </w:rPr>
        <w:t xml:space="preserve"> latine. </w:t>
      </w:r>
      <w:r w:rsidRPr="00E25776">
        <w:rPr>
          <w:rFonts w:ascii="Courier New" w:hAnsi="Courier New" w:cs="Courier New"/>
          <w:sz w:val="18"/>
          <w:szCs w:val="18"/>
          <w:lang w:val="fr-FR"/>
        </w:rPr>
        <w:t>Paris</w:t>
      </w:r>
      <w:r w:rsidR="00893864">
        <w:rPr>
          <w:rFonts w:ascii="Courier New" w:hAnsi="Courier New" w:cs="Courier New"/>
          <w:sz w:val="18"/>
          <w:szCs w:val="18"/>
          <w:lang w:val="fr-FR"/>
        </w:rPr>
        <w:t>,</w:t>
      </w:r>
      <w:r w:rsidRPr="00E25776">
        <w:rPr>
          <w:rFonts w:ascii="Courier New" w:hAnsi="Courier New" w:cs="Courier New"/>
          <w:sz w:val="18"/>
          <w:szCs w:val="18"/>
          <w:lang w:val="fr-FR"/>
        </w:rPr>
        <w:t xml:space="preserve"> A. Colin.</w:t>
      </w:r>
    </w:p>
    <w:p w14:paraId="55434DA5" w14:textId="36B4ECA2" w:rsidR="00E25776" w:rsidRPr="00E25776" w:rsidRDefault="00E25776" w:rsidP="00E25776">
      <w:pPr>
        <w:rPr>
          <w:rFonts w:ascii="Courier New" w:hAnsi="Courier New" w:cs="Courier New"/>
          <w:sz w:val="18"/>
          <w:szCs w:val="18"/>
          <w:lang w:val="en-US"/>
        </w:rPr>
      </w:pPr>
      <w:r w:rsidRPr="00E25776">
        <w:rPr>
          <w:rFonts w:ascii="Courier New" w:hAnsi="Courier New" w:cs="Courier New"/>
          <w:sz w:val="18"/>
          <w:szCs w:val="18"/>
          <w:lang w:val="en-US"/>
        </w:rPr>
        <w:t>CICERO and TRANSLATED BY CLINTON WALKER KEYES, 1928. </w:t>
      </w:r>
      <w:r w:rsidRPr="00E25776">
        <w:rPr>
          <w:rFonts w:ascii="Courier New" w:hAnsi="Courier New" w:cs="Courier New"/>
          <w:i/>
          <w:iCs/>
          <w:sz w:val="18"/>
          <w:szCs w:val="18"/>
          <w:lang w:val="en-US"/>
        </w:rPr>
        <w:t xml:space="preserve">De </w:t>
      </w:r>
      <w:proofErr w:type="spellStart"/>
      <w:r w:rsidRPr="00E25776">
        <w:rPr>
          <w:rFonts w:ascii="Courier New" w:hAnsi="Courier New" w:cs="Courier New"/>
          <w:i/>
          <w:iCs/>
          <w:sz w:val="18"/>
          <w:szCs w:val="18"/>
          <w:lang w:val="en-US"/>
        </w:rPr>
        <w:t>Legibus</w:t>
      </w:r>
      <w:proofErr w:type="spellEnd"/>
      <w:r w:rsidRPr="00E25776">
        <w:rPr>
          <w:rFonts w:ascii="Courier New" w:hAnsi="Courier New" w:cs="Courier New"/>
          <w:i/>
          <w:iCs/>
          <w:sz w:val="18"/>
          <w:szCs w:val="18"/>
          <w:lang w:val="en-US"/>
        </w:rPr>
        <w:t>. </w:t>
      </w:r>
      <w:r w:rsidRPr="00E25776">
        <w:rPr>
          <w:rFonts w:ascii="Courier New" w:hAnsi="Courier New" w:cs="Courier New"/>
          <w:sz w:val="18"/>
          <w:szCs w:val="18"/>
          <w:lang w:val="en-US"/>
        </w:rPr>
        <w:t>Cambridge</w:t>
      </w:r>
      <w:r w:rsidR="00893864">
        <w:rPr>
          <w:rFonts w:ascii="Courier New" w:hAnsi="Courier New" w:cs="Courier New"/>
          <w:sz w:val="18"/>
          <w:szCs w:val="18"/>
          <w:lang w:val="en-US"/>
        </w:rPr>
        <w:t>,</w:t>
      </w:r>
      <w:r w:rsidRPr="00E25776">
        <w:rPr>
          <w:rFonts w:ascii="Courier New" w:hAnsi="Courier New" w:cs="Courier New"/>
          <w:sz w:val="18"/>
          <w:szCs w:val="18"/>
          <w:lang w:val="en-US"/>
        </w:rPr>
        <w:t xml:space="preserve"> Harvard University Press.</w:t>
      </w:r>
    </w:p>
    <w:p w14:paraId="1206A8CF" w14:textId="13FB0BFE" w:rsidR="00E25776" w:rsidRPr="00E25776" w:rsidRDefault="00E25776" w:rsidP="00E25776">
      <w:pPr>
        <w:rPr>
          <w:rFonts w:ascii="Courier New" w:hAnsi="Courier New" w:cs="Courier New"/>
          <w:sz w:val="18"/>
          <w:szCs w:val="18"/>
          <w:lang w:val="en-US"/>
        </w:rPr>
      </w:pPr>
      <w:r w:rsidRPr="00E25776">
        <w:rPr>
          <w:rFonts w:ascii="Courier New" w:hAnsi="Courier New" w:cs="Courier New"/>
          <w:sz w:val="18"/>
          <w:szCs w:val="18"/>
          <w:lang w:val="en-US"/>
        </w:rPr>
        <w:t>CICERO and TRANSLATED BY WALTER MILLER, 1913. </w:t>
      </w:r>
      <w:r w:rsidRPr="00E25776">
        <w:rPr>
          <w:rFonts w:ascii="Courier New" w:hAnsi="Courier New" w:cs="Courier New"/>
          <w:i/>
          <w:iCs/>
          <w:sz w:val="18"/>
          <w:szCs w:val="18"/>
          <w:lang w:val="en-US"/>
        </w:rPr>
        <w:t xml:space="preserve">De </w:t>
      </w:r>
      <w:proofErr w:type="spellStart"/>
      <w:r w:rsidRPr="00E25776">
        <w:rPr>
          <w:rFonts w:ascii="Courier New" w:hAnsi="Courier New" w:cs="Courier New"/>
          <w:i/>
          <w:iCs/>
          <w:sz w:val="18"/>
          <w:szCs w:val="18"/>
          <w:lang w:val="en-US"/>
        </w:rPr>
        <w:t>Officiis</w:t>
      </w:r>
      <w:proofErr w:type="spellEnd"/>
      <w:r w:rsidRPr="00E25776">
        <w:rPr>
          <w:rFonts w:ascii="Courier New" w:hAnsi="Courier New" w:cs="Courier New"/>
          <w:i/>
          <w:iCs/>
          <w:sz w:val="18"/>
          <w:szCs w:val="18"/>
          <w:lang w:val="en-US"/>
        </w:rPr>
        <w:t>. </w:t>
      </w:r>
      <w:r w:rsidRPr="00E25776">
        <w:rPr>
          <w:rFonts w:ascii="Courier New" w:hAnsi="Courier New" w:cs="Courier New"/>
          <w:sz w:val="18"/>
          <w:szCs w:val="18"/>
          <w:lang w:val="en-US"/>
        </w:rPr>
        <w:t>Cambridge</w:t>
      </w:r>
      <w:r w:rsidR="00893864">
        <w:rPr>
          <w:rFonts w:ascii="Courier New" w:hAnsi="Courier New" w:cs="Courier New"/>
          <w:sz w:val="18"/>
          <w:szCs w:val="18"/>
          <w:lang w:val="en-US"/>
        </w:rPr>
        <w:t>,</w:t>
      </w:r>
      <w:r w:rsidRPr="00E25776">
        <w:rPr>
          <w:rFonts w:ascii="Courier New" w:hAnsi="Courier New" w:cs="Courier New"/>
          <w:sz w:val="18"/>
          <w:szCs w:val="18"/>
          <w:lang w:val="en-US"/>
        </w:rPr>
        <w:t xml:space="preserve"> Harvard University Press.</w:t>
      </w:r>
    </w:p>
    <w:p w14:paraId="2486B5F6" w14:textId="4581667C" w:rsidR="00E25776" w:rsidRPr="00E25776" w:rsidRDefault="00E25776" w:rsidP="00E25776">
      <w:pPr>
        <w:rPr>
          <w:rFonts w:ascii="Courier New" w:hAnsi="Courier New" w:cs="Courier New"/>
          <w:sz w:val="18"/>
          <w:szCs w:val="18"/>
          <w:lang w:val="en-US"/>
        </w:rPr>
      </w:pPr>
      <w:r w:rsidRPr="00E25776">
        <w:rPr>
          <w:rFonts w:ascii="Courier New" w:hAnsi="Courier New" w:cs="Courier New"/>
          <w:sz w:val="18"/>
          <w:szCs w:val="18"/>
          <w:lang w:val="en-US"/>
        </w:rPr>
        <w:t>CLIFFORD ANDO, 2000. </w:t>
      </w:r>
      <w:r w:rsidRPr="00E25776">
        <w:rPr>
          <w:rFonts w:ascii="Courier New" w:hAnsi="Courier New" w:cs="Courier New"/>
          <w:i/>
          <w:iCs/>
          <w:sz w:val="18"/>
          <w:szCs w:val="18"/>
          <w:lang w:val="en-US"/>
        </w:rPr>
        <w:t>Imperial Ideology and Provincial Loyalty in the Roman Empire. </w:t>
      </w:r>
      <w:r w:rsidRPr="00E25776">
        <w:rPr>
          <w:rFonts w:ascii="Courier New" w:hAnsi="Courier New" w:cs="Courier New"/>
          <w:sz w:val="18"/>
          <w:szCs w:val="18"/>
          <w:lang w:val="en-US"/>
        </w:rPr>
        <w:t>Berkeley</w:t>
      </w:r>
      <w:r w:rsidR="00893864">
        <w:rPr>
          <w:rFonts w:ascii="Courier New" w:hAnsi="Courier New" w:cs="Courier New"/>
          <w:sz w:val="18"/>
          <w:szCs w:val="18"/>
          <w:lang w:val="en-US"/>
        </w:rPr>
        <w:t>,</w:t>
      </w:r>
      <w:r w:rsidRPr="00E25776">
        <w:rPr>
          <w:rFonts w:ascii="Courier New" w:hAnsi="Courier New" w:cs="Courier New"/>
          <w:sz w:val="18"/>
          <w:szCs w:val="18"/>
          <w:lang w:val="en-US"/>
        </w:rPr>
        <w:t xml:space="preserve"> University of California Press.</w:t>
      </w:r>
    </w:p>
    <w:p w14:paraId="5EFF7103" w14:textId="77777777" w:rsidR="00E25776" w:rsidRPr="00E25776" w:rsidRDefault="00E25776" w:rsidP="00E25776">
      <w:pPr>
        <w:rPr>
          <w:rFonts w:ascii="Courier New" w:hAnsi="Courier New" w:cs="Courier New"/>
          <w:sz w:val="18"/>
          <w:szCs w:val="18"/>
          <w:lang w:val="en-US"/>
        </w:rPr>
      </w:pPr>
      <w:r w:rsidRPr="00E25776">
        <w:rPr>
          <w:rFonts w:ascii="Courier New" w:hAnsi="Courier New" w:cs="Courier New"/>
          <w:sz w:val="18"/>
          <w:szCs w:val="18"/>
          <w:lang w:val="en-US"/>
        </w:rPr>
        <w:t>CRAWFORD, M.H., 2003. </w:t>
      </w:r>
      <w:r w:rsidRPr="00E25776">
        <w:rPr>
          <w:rFonts w:ascii="Courier New" w:hAnsi="Courier New" w:cs="Courier New"/>
          <w:i/>
          <w:iCs/>
          <w:sz w:val="18"/>
          <w:szCs w:val="18"/>
          <w:lang w:val="en-US"/>
        </w:rPr>
        <w:t>citizenship, Roman. </w:t>
      </w:r>
      <w:r w:rsidRPr="00E25776">
        <w:rPr>
          <w:rFonts w:ascii="Courier New" w:hAnsi="Courier New" w:cs="Courier New"/>
          <w:sz w:val="18"/>
          <w:szCs w:val="18"/>
          <w:lang w:val="en-US"/>
        </w:rPr>
        <w:t>Oxford University Press.</w:t>
      </w:r>
    </w:p>
    <w:p w14:paraId="089F6758" w14:textId="37DD9329" w:rsidR="00E25776" w:rsidRPr="00E25776" w:rsidRDefault="00E25776" w:rsidP="00E25776">
      <w:pPr>
        <w:rPr>
          <w:rFonts w:ascii="Courier New" w:hAnsi="Courier New" w:cs="Courier New"/>
          <w:sz w:val="18"/>
          <w:szCs w:val="18"/>
          <w:lang w:val="en-US"/>
        </w:rPr>
      </w:pPr>
      <w:r w:rsidRPr="00E25776">
        <w:rPr>
          <w:rFonts w:ascii="Courier New" w:hAnsi="Courier New" w:cs="Courier New"/>
          <w:sz w:val="18"/>
          <w:szCs w:val="18"/>
          <w:lang w:val="en-US"/>
        </w:rPr>
        <w:t>CROOK, J.A., 1967. </w:t>
      </w:r>
      <w:r w:rsidRPr="00E25776">
        <w:rPr>
          <w:rFonts w:ascii="Courier New" w:hAnsi="Courier New" w:cs="Courier New"/>
          <w:i/>
          <w:iCs/>
          <w:sz w:val="18"/>
          <w:szCs w:val="18"/>
          <w:lang w:val="en-US"/>
        </w:rPr>
        <w:t xml:space="preserve">Law and Life of Rome, 90 </w:t>
      </w:r>
      <w:proofErr w:type="gramStart"/>
      <w:r w:rsidRPr="00E25776">
        <w:rPr>
          <w:rFonts w:ascii="Courier New" w:hAnsi="Courier New" w:cs="Courier New"/>
          <w:i/>
          <w:iCs/>
          <w:sz w:val="18"/>
          <w:szCs w:val="18"/>
          <w:lang w:val="en-US"/>
        </w:rPr>
        <w:t>BC.―</w:t>
      </w:r>
      <w:proofErr w:type="gramEnd"/>
      <w:r w:rsidRPr="00E25776">
        <w:rPr>
          <w:rFonts w:ascii="Courier New" w:hAnsi="Courier New" w:cs="Courier New"/>
          <w:i/>
          <w:iCs/>
          <w:sz w:val="18"/>
          <w:szCs w:val="18"/>
          <w:lang w:val="en-US"/>
        </w:rPr>
        <w:t>A.D. 212. </w:t>
      </w:r>
      <w:r w:rsidR="00893864">
        <w:rPr>
          <w:rFonts w:ascii="Courier New" w:hAnsi="Courier New" w:cs="Courier New"/>
          <w:sz w:val="18"/>
          <w:szCs w:val="18"/>
          <w:lang w:val="en-US"/>
        </w:rPr>
        <w:t>Ithaca,</w:t>
      </w:r>
      <w:r w:rsidRPr="00E25776">
        <w:rPr>
          <w:rFonts w:ascii="Courier New" w:hAnsi="Courier New" w:cs="Courier New"/>
          <w:sz w:val="18"/>
          <w:szCs w:val="18"/>
          <w:lang w:val="en-US"/>
        </w:rPr>
        <w:t xml:space="preserve"> Cornell University Press</w:t>
      </w:r>
      <w:r w:rsidR="00893864">
        <w:rPr>
          <w:rFonts w:ascii="Courier New" w:hAnsi="Courier New" w:cs="Courier New"/>
          <w:sz w:val="18"/>
          <w:szCs w:val="18"/>
          <w:lang w:val="en-US"/>
        </w:rPr>
        <w:t>.</w:t>
      </w:r>
    </w:p>
    <w:p w14:paraId="664C59FB" w14:textId="73FAF1DC" w:rsidR="00E25776" w:rsidRPr="00E25776" w:rsidRDefault="00E25776" w:rsidP="00E25776">
      <w:pPr>
        <w:rPr>
          <w:rFonts w:ascii="Courier New" w:hAnsi="Courier New" w:cs="Courier New"/>
          <w:sz w:val="18"/>
          <w:szCs w:val="18"/>
          <w:lang w:val="en-US"/>
        </w:rPr>
      </w:pPr>
      <w:r w:rsidRPr="00E25776">
        <w:rPr>
          <w:rFonts w:ascii="Courier New" w:hAnsi="Courier New" w:cs="Courier New"/>
          <w:sz w:val="18"/>
          <w:szCs w:val="18"/>
          <w:lang w:val="en-US"/>
        </w:rPr>
        <w:t>DONALD L. WASSON,</w:t>
      </w:r>
      <w:r w:rsidR="00893864">
        <w:rPr>
          <w:rFonts w:ascii="Courier New" w:hAnsi="Courier New" w:cs="Courier New"/>
          <w:sz w:val="18"/>
          <w:szCs w:val="18"/>
          <w:lang w:val="en-US"/>
        </w:rPr>
        <w:t xml:space="preserve"> </w:t>
      </w:r>
      <w:r w:rsidRPr="00E25776">
        <w:rPr>
          <w:rFonts w:ascii="Courier New" w:hAnsi="Courier New" w:cs="Courier New"/>
          <w:sz w:val="18"/>
          <w:szCs w:val="18"/>
          <w:lang w:val="en-US"/>
        </w:rPr>
        <w:t>2016</w:t>
      </w:r>
      <w:r w:rsidR="00893864">
        <w:rPr>
          <w:rFonts w:ascii="Courier New" w:hAnsi="Courier New" w:cs="Courier New"/>
          <w:sz w:val="18"/>
          <w:szCs w:val="18"/>
          <w:lang w:val="en-US"/>
        </w:rPr>
        <w:t>.</w:t>
      </w:r>
      <w:r w:rsidRPr="00E25776">
        <w:rPr>
          <w:rFonts w:ascii="Courier New" w:hAnsi="Courier New" w:cs="Courier New"/>
          <w:sz w:val="18"/>
          <w:szCs w:val="18"/>
          <w:lang w:val="en-US"/>
        </w:rPr>
        <w:t xml:space="preserve"> Roman Citizenship. Available: </w:t>
      </w:r>
      <w:hyperlink r:id="rId6" w:tgtFrame="_blank" w:history="1">
        <w:r w:rsidRPr="00E25776">
          <w:rPr>
            <w:rStyle w:val="Hyperlink"/>
            <w:rFonts w:ascii="Courier New" w:hAnsi="Courier New" w:cs="Courier New"/>
            <w:sz w:val="18"/>
            <w:szCs w:val="18"/>
            <w:lang w:val="en-US"/>
          </w:rPr>
          <w:t>https://www.worldhistory.org/article/859/roman-citizenship/</w:t>
        </w:r>
      </w:hyperlink>
      <w:r w:rsidRPr="00E25776">
        <w:rPr>
          <w:rFonts w:ascii="Courier New" w:hAnsi="Courier New" w:cs="Courier New"/>
          <w:sz w:val="18"/>
          <w:szCs w:val="18"/>
          <w:lang w:val="en-US"/>
        </w:rPr>
        <w:t> </w:t>
      </w:r>
      <w:r w:rsidR="00893864">
        <w:rPr>
          <w:rFonts w:ascii="Courier New" w:hAnsi="Courier New" w:cs="Courier New"/>
          <w:sz w:val="18"/>
          <w:szCs w:val="18"/>
          <w:lang w:val="en-US"/>
        </w:rPr>
        <w:t xml:space="preserve">Accessed on: </w:t>
      </w:r>
      <w:r w:rsidRPr="00E25776">
        <w:rPr>
          <w:rFonts w:ascii="Courier New" w:hAnsi="Courier New" w:cs="Courier New"/>
          <w:sz w:val="18"/>
          <w:szCs w:val="18"/>
          <w:lang w:val="en-US"/>
        </w:rPr>
        <w:t>10/03</w:t>
      </w:r>
      <w:r w:rsidR="00893864">
        <w:rPr>
          <w:rFonts w:ascii="Courier New" w:hAnsi="Courier New" w:cs="Courier New"/>
          <w:sz w:val="18"/>
          <w:szCs w:val="18"/>
          <w:lang w:val="en-US"/>
        </w:rPr>
        <w:t>/</w:t>
      </w:r>
      <w:r w:rsidRPr="00E25776">
        <w:rPr>
          <w:rFonts w:ascii="Courier New" w:hAnsi="Courier New" w:cs="Courier New"/>
          <w:sz w:val="18"/>
          <w:szCs w:val="18"/>
          <w:lang w:val="en-US"/>
        </w:rPr>
        <w:t>2024.</w:t>
      </w:r>
    </w:p>
    <w:p w14:paraId="1A24E92C" w14:textId="6385595A" w:rsidR="00E25776" w:rsidRPr="00E25776" w:rsidRDefault="00E25776" w:rsidP="00E25776">
      <w:pPr>
        <w:rPr>
          <w:rFonts w:ascii="Courier New" w:hAnsi="Courier New" w:cs="Courier New"/>
          <w:sz w:val="18"/>
          <w:szCs w:val="18"/>
          <w:lang w:val="en-US"/>
        </w:rPr>
      </w:pPr>
      <w:r w:rsidRPr="00E25776">
        <w:rPr>
          <w:rFonts w:ascii="Courier New" w:hAnsi="Courier New" w:cs="Courier New"/>
          <w:sz w:val="18"/>
          <w:szCs w:val="18"/>
          <w:lang w:val="en-US"/>
        </w:rPr>
        <w:t>GÜNTHER, S.</w:t>
      </w:r>
      <w:r w:rsidR="00893864">
        <w:rPr>
          <w:rFonts w:ascii="Courier New" w:hAnsi="Courier New" w:cs="Courier New"/>
          <w:sz w:val="18"/>
          <w:szCs w:val="18"/>
          <w:lang w:val="en-US"/>
        </w:rPr>
        <w:t xml:space="preserve"> </w:t>
      </w:r>
      <w:r w:rsidRPr="00E25776">
        <w:rPr>
          <w:rFonts w:ascii="Courier New" w:hAnsi="Courier New" w:cs="Courier New"/>
          <w:sz w:val="18"/>
          <w:szCs w:val="18"/>
          <w:lang w:val="en-US"/>
        </w:rPr>
        <w:t>Taxation in the Greco-Roman World: The Roman Principate. In: OXFORD HANDBOOKS EDITORIAL BOARD, ed, </w:t>
      </w:r>
      <w:r w:rsidRPr="00E25776">
        <w:rPr>
          <w:rFonts w:ascii="Courier New" w:hAnsi="Courier New" w:cs="Courier New"/>
          <w:i/>
          <w:iCs/>
          <w:sz w:val="18"/>
          <w:szCs w:val="18"/>
          <w:lang w:val="en-US"/>
        </w:rPr>
        <w:t>Oxford Handbook Topics in Classical Studies. </w:t>
      </w:r>
      <w:r w:rsidRPr="00E25776">
        <w:rPr>
          <w:rFonts w:ascii="Courier New" w:hAnsi="Courier New" w:cs="Courier New"/>
          <w:sz w:val="18"/>
          <w:szCs w:val="18"/>
          <w:lang w:val="en-US"/>
        </w:rPr>
        <w:t>Oxford University Press.</w:t>
      </w:r>
    </w:p>
    <w:p w14:paraId="1512018C" w14:textId="0B94D246" w:rsidR="00E25776" w:rsidRPr="00E25776" w:rsidRDefault="00E25776" w:rsidP="00E25776">
      <w:pPr>
        <w:rPr>
          <w:rFonts w:ascii="Courier New" w:hAnsi="Courier New" w:cs="Courier New"/>
          <w:sz w:val="18"/>
          <w:szCs w:val="18"/>
          <w:lang w:val="en-US"/>
        </w:rPr>
      </w:pPr>
      <w:r w:rsidRPr="00E25776">
        <w:rPr>
          <w:rFonts w:ascii="Courier New" w:hAnsi="Courier New" w:cs="Courier New"/>
          <w:sz w:val="18"/>
          <w:szCs w:val="18"/>
          <w:lang w:val="en-US"/>
        </w:rPr>
        <w:t>JUSTINIAN and TRANSLATED BY ALAN WATSON, 1985. </w:t>
      </w:r>
      <w:r w:rsidRPr="00E25776">
        <w:rPr>
          <w:rFonts w:ascii="Courier New" w:hAnsi="Courier New" w:cs="Courier New"/>
          <w:i/>
          <w:iCs/>
          <w:sz w:val="18"/>
          <w:szCs w:val="18"/>
          <w:lang w:val="en-US"/>
        </w:rPr>
        <w:t>The Digest of Justinian. </w:t>
      </w:r>
      <w:r w:rsidRPr="00E25776">
        <w:rPr>
          <w:rFonts w:ascii="Courier New" w:hAnsi="Courier New" w:cs="Courier New"/>
          <w:sz w:val="18"/>
          <w:szCs w:val="18"/>
          <w:lang w:val="en-US"/>
        </w:rPr>
        <w:t>Philadelphia</w:t>
      </w:r>
      <w:r w:rsidR="00893864">
        <w:rPr>
          <w:rFonts w:ascii="Courier New" w:hAnsi="Courier New" w:cs="Courier New"/>
          <w:sz w:val="18"/>
          <w:szCs w:val="18"/>
          <w:lang w:val="en-US"/>
        </w:rPr>
        <w:t>,</w:t>
      </w:r>
      <w:r w:rsidRPr="00E25776">
        <w:rPr>
          <w:rFonts w:ascii="Courier New" w:hAnsi="Courier New" w:cs="Courier New"/>
          <w:sz w:val="18"/>
          <w:szCs w:val="18"/>
          <w:lang w:val="en-US"/>
        </w:rPr>
        <w:t xml:space="preserve"> University of Pennsylvania Press.</w:t>
      </w:r>
    </w:p>
    <w:p w14:paraId="6ED2130D" w14:textId="6D048057" w:rsidR="00E25776" w:rsidRPr="00E25776" w:rsidRDefault="00E25776" w:rsidP="00E25776">
      <w:pPr>
        <w:rPr>
          <w:rFonts w:ascii="Courier New" w:hAnsi="Courier New" w:cs="Courier New"/>
          <w:sz w:val="18"/>
          <w:szCs w:val="18"/>
          <w:lang w:val="en-US"/>
        </w:rPr>
      </w:pPr>
      <w:r w:rsidRPr="00E25776">
        <w:rPr>
          <w:rFonts w:ascii="Courier New" w:hAnsi="Courier New" w:cs="Courier New"/>
          <w:sz w:val="18"/>
          <w:szCs w:val="18"/>
          <w:lang w:val="en-US"/>
        </w:rPr>
        <w:t>LIVY&amp;NBSP and TRANSLATED BY B.O. FOSTER, 1971. </w:t>
      </w:r>
      <w:r w:rsidRPr="00E25776">
        <w:rPr>
          <w:rFonts w:ascii="Courier New" w:hAnsi="Courier New" w:cs="Courier New"/>
          <w:i/>
          <w:iCs/>
          <w:sz w:val="18"/>
          <w:szCs w:val="18"/>
          <w:lang w:val="en-US"/>
        </w:rPr>
        <w:t xml:space="preserve">The early history of Rome. Books I-V of </w:t>
      </w:r>
      <w:proofErr w:type="gramStart"/>
      <w:r w:rsidRPr="00E25776">
        <w:rPr>
          <w:rFonts w:ascii="Courier New" w:hAnsi="Courier New" w:cs="Courier New"/>
          <w:i/>
          <w:iCs/>
          <w:sz w:val="18"/>
          <w:szCs w:val="18"/>
          <w:lang w:val="en-US"/>
        </w:rPr>
        <w:t>The</w:t>
      </w:r>
      <w:proofErr w:type="gramEnd"/>
      <w:r w:rsidRPr="00E25776">
        <w:rPr>
          <w:rFonts w:ascii="Courier New" w:hAnsi="Courier New" w:cs="Courier New"/>
          <w:i/>
          <w:iCs/>
          <w:sz w:val="18"/>
          <w:szCs w:val="18"/>
          <w:lang w:val="en-US"/>
        </w:rPr>
        <w:t xml:space="preserve"> history of Rome from its foundation. </w:t>
      </w:r>
      <w:r w:rsidRPr="00E25776">
        <w:rPr>
          <w:rFonts w:ascii="Courier New" w:hAnsi="Courier New" w:cs="Courier New"/>
          <w:sz w:val="18"/>
          <w:szCs w:val="18"/>
          <w:lang w:val="en-US"/>
        </w:rPr>
        <w:t>Harmondsworth</w:t>
      </w:r>
      <w:r w:rsidR="00893864">
        <w:rPr>
          <w:rFonts w:ascii="Courier New" w:hAnsi="Courier New" w:cs="Courier New"/>
          <w:sz w:val="18"/>
          <w:szCs w:val="18"/>
          <w:lang w:val="en-US"/>
        </w:rPr>
        <w:t>,</w:t>
      </w:r>
      <w:r w:rsidRPr="00E25776">
        <w:rPr>
          <w:rFonts w:ascii="Courier New" w:hAnsi="Courier New" w:cs="Courier New"/>
          <w:sz w:val="18"/>
          <w:szCs w:val="18"/>
          <w:lang w:val="en-US"/>
        </w:rPr>
        <w:t xml:space="preserve"> Penguin, 1971.</w:t>
      </w:r>
    </w:p>
    <w:p w14:paraId="0C31C699" w14:textId="387BE480" w:rsidR="00E25776" w:rsidRPr="00E25776" w:rsidRDefault="00E25776" w:rsidP="00E25776">
      <w:pPr>
        <w:rPr>
          <w:rFonts w:ascii="Courier New" w:hAnsi="Courier New" w:cs="Courier New"/>
          <w:sz w:val="18"/>
          <w:szCs w:val="18"/>
          <w:lang w:val="en-US"/>
        </w:rPr>
      </w:pPr>
      <w:r w:rsidRPr="00E25776">
        <w:rPr>
          <w:rFonts w:ascii="Courier New" w:hAnsi="Courier New" w:cs="Courier New"/>
          <w:sz w:val="18"/>
          <w:szCs w:val="18"/>
          <w:lang w:val="en-US"/>
        </w:rPr>
        <w:t>PETER GARNSEY&amp;NBSP and RICHARD SALLER. 1987. </w:t>
      </w:r>
      <w:r w:rsidRPr="00E25776">
        <w:rPr>
          <w:rFonts w:ascii="Courier New" w:hAnsi="Courier New" w:cs="Courier New"/>
          <w:i/>
          <w:iCs/>
          <w:sz w:val="18"/>
          <w:szCs w:val="18"/>
          <w:lang w:val="en-US"/>
        </w:rPr>
        <w:t>The Roman Empire: Economy, Society and Culture. </w:t>
      </w:r>
      <w:r w:rsidRPr="00E25776">
        <w:rPr>
          <w:rFonts w:ascii="Courier New" w:hAnsi="Courier New" w:cs="Courier New"/>
          <w:sz w:val="18"/>
          <w:szCs w:val="18"/>
          <w:lang w:val="en-US"/>
        </w:rPr>
        <w:t>Berkeley</w:t>
      </w:r>
      <w:r w:rsidR="00893864">
        <w:rPr>
          <w:rFonts w:ascii="Courier New" w:hAnsi="Courier New" w:cs="Courier New"/>
          <w:sz w:val="18"/>
          <w:szCs w:val="18"/>
          <w:lang w:val="en-US"/>
        </w:rPr>
        <w:t>,</w:t>
      </w:r>
      <w:r w:rsidRPr="00E25776">
        <w:rPr>
          <w:rFonts w:ascii="Courier New" w:hAnsi="Courier New" w:cs="Courier New"/>
          <w:sz w:val="18"/>
          <w:szCs w:val="18"/>
          <w:lang w:val="en-US"/>
        </w:rPr>
        <w:t xml:space="preserve"> University of California Press.</w:t>
      </w:r>
    </w:p>
    <w:p w14:paraId="6C9C8C35" w14:textId="236168F6" w:rsidR="00E25776" w:rsidRPr="00E25776" w:rsidRDefault="00E25776" w:rsidP="00E25776">
      <w:pPr>
        <w:rPr>
          <w:rFonts w:ascii="Courier New" w:hAnsi="Courier New" w:cs="Courier New"/>
          <w:sz w:val="18"/>
          <w:szCs w:val="18"/>
          <w:lang w:val="en-US"/>
        </w:rPr>
      </w:pPr>
      <w:r w:rsidRPr="00E25776">
        <w:rPr>
          <w:rFonts w:ascii="Courier New" w:hAnsi="Courier New" w:cs="Courier New"/>
          <w:sz w:val="18"/>
          <w:szCs w:val="18"/>
          <w:lang w:val="en-US"/>
        </w:rPr>
        <w:t>TACITUS and TRANSLATED BY CLIFFORD H. MOORE, 1925. </w:t>
      </w:r>
      <w:r w:rsidRPr="00E25776">
        <w:rPr>
          <w:rFonts w:ascii="Courier New" w:hAnsi="Courier New" w:cs="Courier New"/>
          <w:i/>
          <w:iCs/>
          <w:sz w:val="18"/>
          <w:szCs w:val="18"/>
          <w:lang w:val="en-US"/>
        </w:rPr>
        <w:t>Histories. </w:t>
      </w:r>
      <w:r w:rsidRPr="00E25776">
        <w:rPr>
          <w:rFonts w:ascii="Courier New" w:hAnsi="Courier New" w:cs="Courier New"/>
          <w:sz w:val="18"/>
          <w:szCs w:val="18"/>
          <w:lang w:val="en-US"/>
        </w:rPr>
        <w:t>Cambridge</w:t>
      </w:r>
      <w:r w:rsidR="00893864">
        <w:rPr>
          <w:rFonts w:ascii="Courier New" w:hAnsi="Courier New" w:cs="Courier New"/>
          <w:sz w:val="18"/>
          <w:szCs w:val="18"/>
          <w:lang w:val="en-US"/>
        </w:rPr>
        <w:t>,</w:t>
      </w:r>
      <w:r w:rsidRPr="00E25776">
        <w:rPr>
          <w:rFonts w:ascii="Courier New" w:hAnsi="Courier New" w:cs="Courier New"/>
          <w:sz w:val="18"/>
          <w:szCs w:val="18"/>
          <w:lang w:val="en-US"/>
        </w:rPr>
        <w:t xml:space="preserve"> Harvard University Press.</w:t>
      </w:r>
    </w:p>
    <w:p w14:paraId="4CBBC909" w14:textId="23076EAA" w:rsidR="00E25776" w:rsidRPr="00E25776" w:rsidRDefault="00E25776" w:rsidP="00E25776">
      <w:pPr>
        <w:rPr>
          <w:rFonts w:ascii="Courier New" w:hAnsi="Courier New" w:cs="Courier New"/>
          <w:sz w:val="18"/>
          <w:szCs w:val="18"/>
          <w:lang w:val="en-US"/>
        </w:rPr>
      </w:pPr>
      <w:r w:rsidRPr="00E25776">
        <w:rPr>
          <w:rFonts w:ascii="Courier New" w:hAnsi="Courier New" w:cs="Courier New"/>
          <w:sz w:val="18"/>
          <w:szCs w:val="18"/>
          <w:lang w:val="en-US"/>
        </w:rPr>
        <w:t>TACITUS and TRANSLATED BY JOHN JACKSON, 1931. </w:t>
      </w:r>
      <w:r w:rsidRPr="00E25776">
        <w:rPr>
          <w:rFonts w:ascii="Courier New" w:hAnsi="Courier New" w:cs="Courier New"/>
          <w:i/>
          <w:iCs/>
          <w:sz w:val="18"/>
          <w:szCs w:val="18"/>
          <w:lang w:val="en-US"/>
        </w:rPr>
        <w:t>The Annals. </w:t>
      </w:r>
      <w:r w:rsidRPr="00E25776">
        <w:rPr>
          <w:rFonts w:ascii="Courier New" w:hAnsi="Courier New" w:cs="Courier New"/>
          <w:sz w:val="18"/>
          <w:szCs w:val="18"/>
          <w:lang w:val="en-US"/>
        </w:rPr>
        <w:t>Cambridge</w:t>
      </w:r>
      <w:r w:rsidR="00893864">
        <w:rPr>
          <w:rFonts w:ascii="Courier New" w:hAnsi="Courier New" w:cs="Courier New"/>
          <w:sz w:val="18"/>
          <w:szCs w:val="18"/>
          <w:lang w:val="en-US"/>
        </w:rPr>
        <w:t>,</w:t>
      </w:r>
      <w:r w:rsidRPr="00E25776">
        <w:rPr>
          <w:rFonts w:ascii="Courier New" w:hAnsi="Courier New" w:cs="Courier New"/>
          <w:sz w:val="18"/>
          <w:szCs w:val="18"/>
          <w:lang w:val="en-US"/>
        </w:rPr>
        <w:t xml:space="preserve"> Harvard University Press.</w:t>
      </w:r>
    </w:p>
    <w:p w14:paraId="0C07EDE0" w14:textId="77777777" w:rsidR="00E25776" w:rsidRPr="004940B6" w:rsidRDefault="00E25776" w:rsidP="004940B6">
      <w:pPr>
        <w:rPr>
          <w:rFonts w:ascii="Courier New" w:hAnsi="Courier New" w:cs="Courier New"/>
          <w:lang w:val="en-US"/>
        </w:rPr>
      </w:pPr>
    </w:p>
    <w:p w14:paraId="6157DF8E" w14:textId="77777777" w:rsidR="004940B6" w:rsidRPr="005E6A8D" w:rsidRDefault="004940B6" w:rsidP="005E6A8D">
      <w:pPr>
        <w:rPr>
          <w:rFonts w:ascii="Courier New" w:hAnsi="Courier New" w:cs="Courier New"/>
          <w:lang w:val="en-US"/>
        </w:rPr>
      </w:pPr>
    </w:p>
    <w:p w14:paraId="6556CE9A" w14:textId="77777777" w:rsidR="005E6A8D" w:rsidRPr="005E6A8D" w:rsidRDefault="005E6A8D" w:rsidP="007D3B57">
      <w:pPr>
        <w:rPr>
          <w:rFonts w:ascii="Courier New" w:hAnsi="Courier New" w:cs="Courier New"/>
          <w:lang w:val="en-US"/>
        </w:rPr>
      </w:pPr>
    </w:p>
    <w:p w14:paraId="7A6B629A" w14:textId="77777777" w:rsidR="007D3B57" w:rsidRPr="007D3B57" w:rsidRDefault="007D3B57" w:rsidP="007D3B57">
      <w:pPr>
        <w:rPr>
          <w:rFonts w:ascii="Courier New" w:hAnsi="Courier New" w:cs="Courier New"/>
          <w:lang w:val="en-US"/>
        </w:rPr>
      </w:pPr>
    </w:p>
    <w:p w14:paraId="477C7F6C" w14:textId="77777777" w:rsidR="00157BB1" w:rsidRPr="00157BB1" w:rsidRDefault="00157BB1" w:rsidP="00157BB1">
      <w:pPr>
        <w:rPr>
          <w:rFonts w:ascii="Courier New" w:hAnsi="Courier New" w:cs="Courier New"/>
          <w:lang w:val="en-US"/>
        </w:rPr>
      </w:pPr>
    </w:p>
    <w:p w14:paraId="6BF888DC" w14:textId="77777777" w:rsidR="00157BB1" w:rsidRPr="00157BB1" w:rsidRDefault="00157BB1" w:rsidP="00157BB1">
      <w:pPr>
        <w:rPr>
          <w:rFonts w:ascii="Courier New" w:hAnsi="Courier New" w:cs="Courier New"/>
          <w:lang w:val="en-US"/>
        </w:rPr>
      </w:pPr>
    </w:p>
    <w:p w14:paraId="462F15CA" w14:textId="2D175534" w:rsidR="00157BB1" w:rsidRPr="00157BB1" w:rsidRDefault="00157BB1" w:rsidP="00157BB1">
      <w:pPr>
        <w:rPr>
          <w:rFonts w:ascii="Courier New" w:hAnsi="Courier New" w:cs="Courier New"/>
          <w:lang w:val="en-US"/>
        </w:rPr>
      </w:pPr>
    </w:p>
    <w:p w14:paraId="0380CD7F" w14:textId="77777777" w:rsidR="00157BB1" w:rsidRPr="00157BB1" w:rsidRDefault="00157BB1" w:rsidP="005F4A45">
      <w:pPr>
        <w:rPr>
          <w:rFonts w:ascii="Courier New" w:hAnsi="Courier New" w:cs="Courier New"/>
          <w:lang w:val="en-US"/>
        </w:rPr>
      </w:pPr>
    </w:p>
    <w:sectPr w:rsidR="00157BB1" w:rsidRPr="00157BB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0403FA"/>
    <w:multiLevelType w:val="hybridMultilevel"/>
    <w:tmpl w:val="2E0AAE3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277726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A45"/>
    <w:rsid w:val="00157BB1"/>
    <w:rsid w:val="00200782"/>
    <w:rsid w:val="002902FC"/>
    <w:rsid w:val="00320DDC"/>
    <w:rsid w:val="003C5551"/>
    <w:rsid w:val="00465255"/>
    <w:rsid w:val="004940B6"/>
    <w:rsid w:val="005E6A8D"/>
    <w:rsid w:val="005F4A45"/>
    <w:rsid w:val="00775B75"/>
    <w:rsid w:val="007D3B57"/>
    <w:rsid w:val="00864DA1"/>
    <w:rsid w:val="00893864"/>
    <w:rsid w:val="00E257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A8F1B"/>
  <w15:chartTrackingRefBased/>
  <w15:docId w15:val="{A5D813EE-3C5D-408E-9A09-226E44ABC1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F4A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4A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4A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4A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4A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4A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4A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4A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4A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4A45"/>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5F4A45"/>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5F4A45"/>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5F4A45"/>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5F4A45"/>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5F4A4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F4A4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F4A4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F4A4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F4A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4A4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F4A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4A4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F4A45"/>
    <w:pPr>
      <w:spacing w:before="160"/>
      <w:jc w:val="center"/>
    </w:pPr>
    <w:rPr>
      <w:i/>
      <w:iCs/>
      <w:color w:val="404040" w:themeColor="text1" w:themeTint="BF"/>
    </w:rPr>
  </w:style>
  <w:style w:type="character" w:customStyle="1" w:styleId="QuoteChar">
    <w:name w:val="Quote Char"/>
    <w:basedOn w:val="DefaultParagraphFont"/>
    <w:link w:val="Quote"/>
    <w:uiPriority w:val="29"/>
    <w:rsid w:val="005F4A45"/>
    <w:rPr>
      <w:i/>
      <w:iCs/>
      <w:color w:val="404040" w:themeColor="text1" w:themeTint="BF"/>
      <w:lang w:val="en-GB"/>
    </w:rPr>
  </w:style>
  <w:style w:type="paragraph" w:styleId="ListParagraph">
    <w:name w:val="List Paragraph"/>
    <w:basedOn w:val="Normal"/>
    <w:uiPriority w:val="34"/>
    <w:qFormat/>
    <w:rsid w:val="005F4A45"/>
    <w:pPr>
      <w:ind w:left="720"/>
      <w:contextualSpacing/>
    </w:pPr>
  </w:style>
  <w:style w:type="character" w:styleId="IntenseEmphasis">
    <w:name w:val="Intense Emphasis"/>
    <w:basedOn w:val="DefaultParagraphFont"/>
    <w:uiPriority w:val="21"/>
    <w:qFormat/>
    <w:rsid w:val="005F4A45"/>
    <w:rPr>
      <w:i/>
      <w:iCs/>
      <w:color w:val="0F4761" w:themeColor="accent1" w:themeShade="BF"/>
    </w:rPr>
  </w:style>
  <w:style w:type="paragraph" w:styleId="IntenseQuote">
    <w:name w:val="Intense Quote"/>
    <w:basedOn w:val="Normal"/>
    <w:next w:val="Normal"/>
    <w:link w:val="IntenseQuoteChar"/>
    <w:uiPriority w:val="30"/>
    <w:qFormat/>
    <w:rsid w:val="005F4A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4A45"/>
    <w:rPr>
      <w:i/>
      <w:iCs/>
      <w:color w:val="0F4761" w:themeColor="accent1" w:themeShade="BF"/>
      <w:lang w:val="en-GB"/>
    </w:rPr>
  </w:style>
  <w:style w:type="character" w:styleId="IntenseReference">
    <w:name w:val="Intense Reference"/>
    <w:basedOn w:val="DefaultParagraphFont"/>
    <w:uiPriority w:val="32"/>
    <w:qFormat/>
    <w:rsid w:val="005F4A45"/>
    <w:rPr>
      <w:b/>
      <w:bCs/>
      <w:smallCaps/>
      <w:color w:val="0F4761" w:themeColor="accent1" w:themeShade="BF"/>
      <w:spacing w:val="5"/>
    </w:rPr>
  </w:style>
  <w:style w:type="paragraph" w:styleId="NormalWeb">
    <w:name w:val="Normal (Web)"/>
    <w:basedOn w:val="Normal"/>
    <w:uiPriority w:val="99"/>
    <w:semiHidden/>
    <w:unhideWhenUsed/>
    <w:rsid w:val="00157BB1"/>
    <w:rPr>
      <w:rFonts w:ascii="Times New Roman" w:hAnsi="Times New Roman" w:cs="Times New Roman"/>
      <w:sz w:val="24"/>
      <w:szCs w:val="24"/>
    </w:rPr>
  </w:style>
  <w:style w:type="character" w:styleId="Hyperlink">
    <w:name w:val="Hyperlink"/>
    <w:basedOn w:val="DefaultParagraphFont"/>
    <w:uiPriority w:val="99"/>
    <w:unhideWhenUsed/>
    <w:rsid w:val="00E25776"/>
    <w:rPr>
      <w:color w:val="467886" w:themeColor="hyperlink"/>
      <w:u w:val="single"/>
    </w:rPr>
  </w:style>
  <w:style w:type="character" w:styleId="UnresolvedMention">
    <w:name w:val="Unresolved Mention"/>
    <w:basedOn w:val="DefaultParagraphFont"/>
    <w:uiPriority w:val="99"/>
    <w:semiHidden/>
    <w:unhideWhenUsed/>
    <w:rsid w:val="00E257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6893889">
      <w:bodyDiv w:val="1"/>
      <w:marLeft w:val="0"/>
      <w:marRight w:val="0"/>
      <w:marTop w:val="0"/>
      <w:marBottom w:val="0"/>
      <w:divBdr>
        <w:top w:val="none" w:sz="0" w:space="0" w:color="auto"/>
        <w:left w:val="none" w:sz="0" w:space="0" w:color="auto"/>
        <w:bottom w:val="none" w:sz="0" w:space="0" w:color="auto"/>
        <w:right w:val="none" w:sz="0" w:space="0" w:color="auto"/>
      </w:divBdr>
    </w:div>
    <w:div w:id="152915089">
      <w:bodyDiv w:val="1"/>
      <w:marLeft w:val="0"/>
      <w:marRight w:val="0"/>
      <w:marTop w:val="0"/>
      <w:marBottom w:val="0"/>
      <w:divBdr>
        <w:top w:val="none" w:sz="0" w:space="0" w:color="auto"/>
        <w:left w:val="none" w:sz="0" w:space="0" w:color="auto"/>
        <w:bottom w:val="none" w:sz="0" w:space="0" w:color="auto"/>
        <w:right w:val="none" w:sz="0" w:space="0" w:color="auto"/>
      </w:divBdr>
    </w:div>
    <w:div w:id="317154338">
      <w:bodyDiv w:val="1"/>
      <w:marLeft w:val="0"/>
      <w:marRight w:val="0"/>
      <w:marTop w:val="0"/>
      <w:marBottom w:val="0"/>
      <w:divBdr>
        <w:top w:val="none" w:sz="0" w:space="0" w:color="auto"/>
        <w:left w:val="none" w:sz="0" w:space="0" w:color="auto"/>
        <w:bottom w:val="none" w:sz="0" w:space="0" w:color="auto"/>
        <w:right w:val="none" w:sz="0" w:space="0" w:color="auto"/>
      </w:divBdr>
    </w:div>
    <w:div w:id="809056166">
      <w:bodyDiv w:val="1"/>
      <w:marLeft w:val="0"/>
      <w:marRight w:val="0"/>
      <w:marTop w:val="0"/>
      <w:marBottom w:val="0"/>
      <w:divBdr>
        <w:top w:val="none" w:sz="0" w:space="0" w:color="auto"/>
        <w:left w:val="none" w:sz="0" w:space="0" w:color="auto"/>
        <w:bottom w:val="none" w:sz="0" w:space="0" w:color="auto"/>
        <w:right w:val="none" w:sz="0" w:space="0" w:color="auto"/>
      </w:divBdr>
    </w:div>
    <w:div w:id="1033772232">
      <w:bodyDiv w:val="1"/>
      <w:marLeft w:val="0"/>
      <w:marRight w:val="0"/>
      <w:marTop w:val="0"/>
      <w:marBottom w:val="0"/>
      <w:divBdr>
        <w:top w:val="none" w:sz="0" w:space="0" w:color="auto"/>
        <w:left w:val="none" w:sz="0" w:space="0" w:color="auto"/>
        <w:bottom w:val="none" w:sz="0" w:space="0" w:color="auto"/>
        <w:right w:val="none" w:sz="0" w:space="0" w:color="auto"/>
      </w:divBdr>
    </w:div>
    <w:div w:id="1051878839">
      <w:bodyDiv w:val="1"/>
      <w:marLeft w:val="0"/>
      <w:marRight w:val="0"/>
      <w:marTop w:val="0"/>
      <w:marBottom w:val="0"/>
      <w:divBdr>
        <w:top w:val="none" w:sz="0" w:space="0" w:color="auto"/>
        <w:left w:val="none" w:sz="0" w:space="0" w:color="auto"/>
        <w:bottom w:val="none" w:sz="0" w:space="0" w:color="auto"/>
        <w:right w:val="none" w:sz="0" w:space="0" w:color="auto"/>
      </w:divBdr>
    </w:div>
    <w:div w:id="1060909654">
      <w:bodyDiv w:val="1"/>
      <w:marLeft w:val="0"/>
      <w:marRight w:val="0"/>
      <w:marTop w:val="0"/>
      <w:marBottom w:val="0"/>
      <w:divBdr>
        <w:top w:val="none" w:sz="0" w:space="0" w:color="auto"/>
        <w:left w:val="none" w:sz="0" w:space="0" w:color="auto"/>
        <w:bottom w:val="none" w:sz="0" w:space="0" w:color="auto"/>
        <w:right w:val="none" w:sz="0" w:space="0" w:color="auto"/>
      </w:divBdr>
    </w:div>
    <w:div w:id="1063867341">
      <w:bodyDiv w:val="1"/>
      <w:marLeft w:val="0"/>
      <w:marRight w:val="0"/>
      <w:marTop w:val="0"/>
      <w:marBottom w:val="0"/>
      <w:divBdr>
        <w:top w:val="none" w:sz="0" w:space="0" w:color="auto"/>
        <w:left w:val="none" w:sz="0" w:space="0" w:color="auto"/>
        <w:bottom w:val="none" w:sz="0" w:space="0" w:color="auto"/>
        <w:right w:val="none" w:sz="0" w:space="0" w:color="auto"/>
      </w:divBdr>
    </w:div>
    <w:div w:id="1207138711">
      <w:bodyDiv w:val="1"/>
      <w:marLeft w:val="0"/>
      <w:marRight w:val="0"/>
      <w:marTop w:val="0"/>
      <w:marBottom w:val="0"/>
      <w:divBdr>
        <w:top w:val="none" w:sz="0" w:space="0" w:color="auto"/>
        <w:left w:val="none" w:sz="0" w:space="0" w:color="auto"/>
        <w:bottom w:val="none" w:sz="0" w:space="0" w:color="auto"/>
        <w:right w:val="none" w:sz="0" w:space="0" w:color="auto"/>
      </w:divBdr>
    </w:div>
    <w:div w:id="1756438913">
      <w:bodyDiv w:val="1"/>
      <w:marLeft w:val="0"/>
      <w:marRight w:val="0"/>
      <w:marTop w:val="0"/>
      <w:marBottom w:val="0"/>
      <w:divBdr>
        <w:top w:val="none" w:sz="0" w:space="0" w:color="auto"/>
        <w:left w:val="none" w:sz="0" w:space="0" w:color="auto"/>
        <w:bottom w:val="none" w:sz="0" w:space="0" w:color="auto"/>
        <w:right w:val="none" w:sz="0" w:space="0" w:color="auto"/>
      </w:divBdr>
    </w:div>
    <w:div w:id="1760566851">
      <w:bodyDiv w:val="1"/>
      <w:marLeft w:val="0"/>
      <w:marRight w:val="0"/>
      <w:marTop w:val="0"/>
      <w:marBottom w:val="0"/>
      <w:divBdr>
        <w:top w:val="none" w:sz="0" w:space="0" w:color="auto"/>
        <w:left w:val="none" w:sz="0" w:space="0" w:color="auto"/>
        <w:bottom w:val="none" w:sz="0" w:space="0" w:color="auto"/>
        <w:right w:val="none" w:sz="0" w:space="0" w:color="auto"/>
      </w:divBdr>
    </w:div>
    <w:div w:id="1762334349">
      <w:bodyDiv w:val="1"/>
      <w:marLeft w:val="0"/>
      <w:marRight w:val="0"/>
      <w:marTop w:val="0"/>
      <w:marBottom w:val="0"/>
      <w:divBdr>
        <w:top w:val="none" w:sz="0" w:space="0" w:color="auto"/>
        <w:left w:val="none" w:sz="0" w:space="0" w:color="auto"/>
        <w:bottom w:val="none" w:sz="0" w:space="0" w:color="auto"/>
        <w:right w:val="none" w:sz="0" w:space="0" w:color="auto"/>
      </w:divBdr>
    </w:div>
    <w:div w:id="1821845570">
      <w:bodyDiv w:val="1"/>
      <w:marLeft w:val="0"/>
      <w:marRight w:val="0"/>
      <w:marTop w:val="0"/>
      <w:marBottom w:val="0"/>
      <w:divBdr>
        <w:top w:val="none" w:sz="0" w:space="0" w:color="auto"/>
        <w:left w:val="none" w:sz="0" w:space="0" w:color="auto"/>
        <w:bottom w:val="none" w:sz="0" w:space="0" w:color="auto"/>
        <w:right w:val="none" w:sz="0" w:space="0" w:color="auto"/>
      </w:divBdr>
    </w:div>
    <w:div w:id="1949237554">
      <w:bodyDiv w:val="1"/>
      <w:marLeft w:val="0"/>
      <w:marRight w:val="0"/>
      <w:marTop w:val="0"/>
      <w:marBottom w:val="0"/>
      <w:divBdr>
        <w:top w:val="none" w:sz="0" w:space="0" w:color="auto"/>
        <w:left w:val="none" w:sz="0" w:space="0" w:color="auto"/>
        <w:bottom w:val="none" w:sz="0" w:space="0" w:color="auto"/>
        <w:right w:val="none" w:sz="0" w:space="0" w:color="auto"/>
      </w:divBdr>
    </w:div>
    <w:div w:id="1991133385">
      <w:bodyDiv w:val="1"/>
      <w:marLeft w:val="0"/>
      <w:marRight w:val="0"/>
      <w:marTop w:val="0"/>
      <w:marBottom w:val="0"/>
      <w:divBdr>
        <w:top w:val="none" w:sz="0" w:space="0" w:color="auto"/>
        <w:left w:val="none" w:sz="0" w:space="0" w:color="auto"/>
        <w:bottom w:val="none" w:sz="0" w:space="0" w:color="auto"/>
        <w:right w:val="none" w:sz="0" w:space="0" w:color="auto"/>
      </w:divBdr>
    </w:div>
    <w:div w:id="2017340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orldhistory.org/article/859/roman-citizenship/" TargetMode="External"/><Relationship Id="rId5" Type="http://schemas.openxmlformats.org/officeDocument/2006/relationships/hyperlink" Target="https://www.britishmuseum.org/blog/introduction-legion-life-roman-arm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TotalTime>
  <Pages>7</Pages>
  <Words>2273</Words>
  <Characters>12958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Warne-Cleave</dc:creator>
  <cp:keywords/>
  <dc:description/>
  <cp:lastModifiedBy>James Warne-Cleave</cp:lastModifiedBy>
  <cp:revision>1</cp:revision>
  <dcterms:created xsi:type="dcterms:W3CDTF">2024-11-17T18:02:00Z</dcterms:created>
  <dcterms:modified xsi:type="dcterms:W3CDTF">2024-11-17T20:44:00Z</dcterms:modified>
</cp:coreProperties>
</file>