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F1B85" w14:textId="77777777" w:rsidR="00F91CA5" w:rsidRDefault="008530D5" w:rsidP="008530D5">
      <w:pPr>
        <w:jc w:val="center"/>
        <w:rPr>
          <w:rFonts w:ascii="Arial" w:hAnsi="Arial" w:cs="Arial"/>
          <w:b/>
          <w:bCs/>
          <w:sz w:val="32"/>
          <w:szCs w:val="32"/>
          <w:u w:val="single"/>
        </w:rPr>
      </w:pPr>
      <w:r>
        <w:rPr>
          <w:rFonts w:ascii="Arial" w:hAnsi="Arial" w:cs="Arial"/>
          <w:b/>
          <w:bCs/>
          <w:sz w:val="32"/>
          <w:szCs w:val="32"/>
          <w:u w:val="single"/>
        </w:rPr>
        <w:t xml:space="preserve">Chapter Four: </w:t>
      </w:r>
    </w:p>
    <w:p w14:paraId="453A3F02" w14:textId="60E9F5FF" w:rsidR="008530D5" w:rsidRDefault="008530D5" w:rsidP="008530D5">
      <w:pPr>
        <w:jc w:val="center"/>
        <w:rPr>
          <w:rFonts w:ascii="Arial" w:hAnsi="Arial" w:cs="Arial"/>
          <w:b/>
          <w:bCs/>
          <w:sz w:val="32"/>
          <w:szCs w:val="32"/>
          <w:u w:val="single"/>
        </w:rPr>
      </w:pPr>
      <w:r>
        <w:rPr>
          <w:rFonts w:ascii="Arial" w:hAnsi="Arial" w:cs="Arial"/>
          <w:b/>
          <w:bCs/>
          <w:sz w:val="32"/>
          <w:szCs w:val="32"/>
          <w:u w:val="single"/>
        </w:rPr>
        <w:t>Results Analysis</w:t>
      </w:r>
    </w:p>
    <w:p w14:paraId="66900B36" w14:textId="77777777" w:rsidR="008530D5" w:rsidRDefault="008530D5" w:rsidP="008530D5">
      <w:pPr>
        <w:rPr>
          <w:rFonts w:ascii="Arial" w:hAnsi="Arial" w:cs="Arial"/>
          <w:sz w:val="28"/>
          <w:szCs w:val="28"/>
        </w:rPr>
      </w:pPr>
    </w:p>
    <w:p w14:paraId="77A32472" w14:textId="77777777" w:rsidR="007E41B5" w:rsidRDefault="007E41B5" w:rsidP="00625297">
      <w:pPr>
        <w:spacing w:after="0" w:line="360" w:lineRule="auto"/>
      </w:pPr>
    </w:p>
    <w:p w14:paraId="405BAFB1" w14:textId="241E59C6" w:rsidR="00F91CA5" w:rsidRDefault="00F91CA5" w:rsidP="00625297">
      <w:pPr>
        <w:spacing w:after="0" w:line="360" w:lineRule="auto"/>
        <w:rPr>
          <w:rFonts w:ascii="Arial" w:hAnsi="Arial" w:cs="Arial"/>
          <w:b/>
          <w:bCs/>
          <w:i/>
          <w:iCs/>
        </w:rPr>
      </w:pPr>
      <w:r w:rsidRPr="00625297">
        <w:rPr>
          <w:rFonts w:ascii="Arial" w:hAnsi="Arial" w:cs="Arial"/>
          <w:b/>
          <w:bCs/>
          <w:i/>
          <w:iCs/>
        </w:rPr>
        <w:t>4.1</w:t>
      </w:r>
      <w:r w:rsidRPr="00625297">
        <w:rPr>
          <w:rFonts w:ascii="Arial" w:hAnsi="Arial" w:cs="Arial"/>
          <w:b/>
          <w:bCs/>
          <w:i/>
          <w:iCs/>
        </w:rPr>
        <w:tab/>
      </w:r>
      <w:r w:rsidRPr="00625297">
        <w:rPr>
          <w:rFonts w:ascii="Arial" w:hAnsi="Arial" w:cs="Arial"/>
          <w:b/>
          <w:bCs/>
          <w:i/>
          <w:iCs/>
        </w:rPr>
        <w:t>Introduction</w:t>
      </w:r>
    </w:p>
    <w:p w14:paraId="2CCF86E3" w14:textId="77777777" w:rsidR="00625297" w:rsidRPr="00625297" w:rsidRDefault="00625297" w:rsidP="00625297">
      <w:pPr>
        <w:spacing w:after="0" w:line="360" w:lineRule="auto"/>
        <w:rPr>
          <w:rFonts w:ascii="Arial" w:hAnsi="Arial" w:cs="Arial"/>
          <w:b/>
          <w:bCs/>
          <w:i/>
          <w:iCs/>
        </w:rPr>
      </w:pPr>
    </w:p>
    <w:p w14:paraId="55A606E7" w14:textId="77777777" w:rsidR="00933210" w:rsidRDefault="00933210" w:rsidP="00933210">
      <w:pPr>
        <w:spacing w:after="0" w:line="360" w:lineRule="auto"/>
        <w:rPr>
          <w:rFonts w:ascii="Arial" w:hAnsi="Arial" w:cs="Arial"/>
        </w:rPr>
      </w:pPr>
      <w:r>
        <w:rPr>
          <w:rFonts w:ascii="Arial" w:hAnsi="Arial" w:cs="Arial"/>
        </w:rPr>
        <w:t>The previous chapter explored the methodology considered within this dissertation, where primary data collection was selected to close the research gap, with the utilisation of the public</w:t>
      </w:r>
      <w:r>
        <w:rPr>
          <w:rFonts w:ascii="Arial" w:hAnsi="Arial" w:cs="Arial"/>
        </w:rPr>
        <w:t xml:space="preserve"> facilitating this process. Prior to in-depth analysis,</w:t>
      </w:r>
      <w:r>
        <w:rPr>
          <w:rFonts w:ascii="Arial" w:hAnsi="Arial" w:cs="Arial"/>
        </w:rPr>
        <w:t xml:space="preserve"> the dataset underwent scrutiny for missing values and outliers. The "outlier labelling rule" was employed to identify data points falling outside a predetermined range, consequently classifying them as outliers (Hoaglin &amp; </w:t>
      </w:r>
      <w:proofErr w:type="spellStart"/>
      <w:r>
        <w:rPr>
          <w:rFonts w:ascii="Arial" w:hAnsi="Arial" w:cs="Arial"/>
        </w:rPr>
        <w:t>Iglewicz</w:t>
      </w:r>
      <w:proofErr w:type="spellEnd"/>
      <w:r>
        <w:rPr>
          <w:rFonts w:ascii="Arial" w:hAnsi="Arial" w:cs="Arial"/>
        </w:rPr>
        <w:t>, 1987). Furthermore, analysis of data collection methods created a research design to include Microsoft Excel to facilitate the statistical analysis of the remaining quantitative data and thematic analysis techniques to extract meaning from the qualitative data and provide both a statical overview and deeper insights into participants perspectives.</w:t>
      </w:r>
      <w:r>
        <w:rPr>
          <w:rFonts w:ascii="Arial" w:hAnsi="Arial" w:cs="Arial"/>
        </w:rPr>
        <w:t xml:space="preserve"> </w:t>
      </w:r>
      <w:r>
        <w:rPr>
          <w:rFonts w:ascii="Arial" w:hAnsi="Arial" w:cs="Arial"/>
        </w:rPr>
        <w:t xml:space="preserve">This chapter will provide both an analysis and discussion of the results </w:t>
      </w:r>
      <w:r>
        <w:rPr>
          <w:rFonts w:ascii="Arial" w:hAnsi="Arial" w:cs="Arial"/>
        </w:rPr>
        <w:t>derived</w:t>
      </w:r>
      <w:r>
        <w:rPr>
          <w:rFonts w:ascii="Arial" w:hAnsi="Arial" w:cs="Arial"/>
        </w:rPr>
        <w:t xml:space="preserve"> by </w:t>
      </w:r>
      <w:r>
        <w:rPr>
          <w:rFonts w:ascii="Arial" w:hAnsi="Arial" w:cs="Arial"/>
        </w:rPr>
        <w:t xml:space="preserve">the responses </w:t>
      </w:r>
      <w:proofErr w:type="spellStart"/>
      <w:r>
        <w:rPr>
          <w:rFonts w:ascii="Arial" w:hAnsi="Arial" w:cs="Arial"/>
        </w:rPr>
        <w:t>garned</w:t>
      </w:r>
      <w:proofErr w:type="spellEnd"/>
      <w:r>
        <w:rPr>
          <w:rFonts w:ascii="Arial" w:hAnsi="Arial" w:cs="Arial"/>
        </w:rPr>
        <w:t xml:space="preserve"> through the researcher-developed questionnaire.</w:t>
      </w:r>
      <w:r>
        <w:rPr>
          <w:rFonts w:ascii="Arial" w:hAnsi="Arial" w:cs="Arial"/>
        </w:rPr>
        <w:t xml:space="preserve"> </w:t>
      </w:r>
      <w:r w:rsidRPr="00625297">
        <w:rPr>
          <w:rFonts w:ascii="Arial" w:hAnsi="Arial" w:cs="Arial"/>
        </w:rPr>
        <w:t xml:space="preserve">The overarching research objective guiding this inquiry is to explore the barriers faced by male victims of domestic abuse in reporting the abuse. To achieve this objective, three core research </w:t>
      </w:r>
      <w:r>
        <w:rPr>
          <w:rFonts w:ascii="Arial" w:hAnsi="Arial" w:cs="Arial"/>
        </w:rPr>
        <w:t>objectives</w:t>
      </w:r>
      <w:r w:rsidRPr="00625297">
        <w:rPr>
          <w:rFonts w:ascii="Arial" w:hAnsi="Arial" w:cs="Arial"/>
        </w:rPr>
        <w:t xml:space="preserve"> were formulated and pursued:</w:t>
      </w:r>
    </w:p>
    <w:p w14:paraId="1D8FF917" w14:textId="755193F5" w:rsidR="00F91CA5" w:rsidRPr="00933210" w:rsidRDefault="00F91CA5" w:rsidP="00933210">
      <w:pPr>
        <w:pStyle w:val="ListParagraph"/>
        <w:numPr>
          <w:ilvl w:val="0"/>
          <w:numId w:val="3"/>
        </w:numPr>
        <w:spacing w:after="0" w:line="360" w:lineRule="auto"/>
        <w:rPr>
          <w:rFonts w:ascii="Arial" w:hAnsi="Arial" w:cs="Arial"/>
        </w:rPr>
      </w:pPr>
      <w:r w:rsidRPr="00933210">
        <w:rPr>
          <w:rFonts w:ascii="Arial" w:hAnsi="Arial" w:cs="Arial"/>
        </w:rPr>
        <w:t>To identify potential barriers faced by male victims of domestic abuse in reporting.</w:t>
      </w:r>
    </w:p>
    <w:p w14:paraId="37539DD4" w14:textId="1F85EDFB" w:rsidR="00F91CA5" w:rsidRPr="00625297" w:rsidRDefault="00F91CA5" w:rsidP="00625297">
      <w:pPr>
        <w:pStyle w:val="ListParagraph"/>
        <w:numPr>
          <w:ilvl w:val="0"/>
          <w:numId w:val="3"/>
        </w:numPr>
        <w:spacing w:after="0" w:line="360" w:lineRule="auto"/>
        <w:rPr>
          <w:rFonts w:ascii="Arial" w:hAnsi="Arial" w:cs="Arial"/>
        </w:rPr>
      </w:pPr>
      <w:r w:rsidRPr="00625297">
        <w:rPr>
          <w:rFonts w:ascii="Arial" w:hAnsi="Arial" w:cs="Arial"/>
        </w:rPr>
        <w:t>To explore potential attitudes, beliefs and stereotypes surrounding male victims of domestic abuse.</w:t>
      </w:r>
    </w:p>
    <w:p w14:paraId="622779C3" w14:textId="55B3F4A7" w:rsidR="00F91CA5" w:rsidRPr="00625297" w:rsidRDefault="00F91CA5" w:rsidP="00625297">
      <w:pPr>
        <w:pStyle w:val="ListParagraph"/>
        <w:numPr>
          <w:ilvl w:val="0"/>
          <w:numId w:val="3"/>
        </w:numPr>
        <w:spacing w:after="0" w:line="360" w:lineRule="auto"/>
        <w:rPr>
          <w:rFonts w:ascii="Arial" w:hAnsi="Arial" w:cs="Arial"/>
        </w:rPr>
      </w:pPr>
      <w:r w:rsidRPr="00625297">
        <w:rPr>
          <w:rFonts w:ascii="Arial" w:hAnsi="Arial" w:cs="Arial"/>
        </w:rPr>
        <w:t>To explore what support services are available for male victims of domestic abuse and if they are easily accessible.</w:t>
      </w:r>
    </w:p>
    <w:p w14:paraId="7FEFE438" w14:textId="77777777" w:rsidR="00625297" w:rsidRPr="00625297" w:rsidRDefault="00625297" w:rsidP="00625297">
      <w:pPr>
        <w:spacing w:after="0" w:line="360" w:lineRule="auto"/>
        <w:rPr>
          <w:rFonts w:ascii="Arial" w:hAnsi="Arial" w:cs="Arial"/>
        </w:rPr>
      </w:pPr>
    </w:p>
    <w:p w14:paraId="4607F0B5" w14:textId="499282DA" w:rsidR="00F91CA5" w:rsidRDefault="00F91CA5" w:rsidP="00625297">
      <w:pPr>
        <w:pStyle w:val="NormalWeb"/>
        <w:spacing w:before="0" w:beforeAutospacing="0" w:after="0" w:afterAutospacing="0" w:line="360" w:lineRule="auto"/>
        <w:rPr>
          <w:rFonts w:ascii="Arial" w:hAnsi="Arial" w:cs="Arial"/>
          <w:b/>
          <w:bCs/>
          <w:i/>
          <w:iCs/>
        </w:rPr>
      </w:pPr>
      <w:r w:rsidRPr="00625297">
        <w:rPr>
          <w:rFonts w:ascii="Arial" w:hAnsi="Arial" w:cs="Arial"/>
          <w:b/>
          <w:bCs/>
          <w:i/>
          <w:iCs/>
        </w:rPr>
        <w:t>4.2</w:t>
      </w:r>
      <w:r w:rsidR="00625297">
        <w:rPr>
          <w:rFonts w:ascii="Arial" w:hAnsi="Arial" w:cs="Arial"/>
          <w:b/>
          <w:bCs/>
          <w:i/>
          <w:iCs/>
        </w:rPr>
        <w:tab/>
      </w:r>
      <w:r w:rsidRPr="00625297">
        <w:rPr>
          <w:rFonts w:ascii="Arial" w:hAnsi="Arial" w:cs="Arial"/>
          <w:b/>
          <w:bCs/>
          <w:i/>
          <w:iCs/>
        </w:rPr>
        <w:t>Participants</w:t>
      </w:r>
    </w:p>
    <w:p w14:paraId="25FEC8F9" w14:textId="77777777" w:rsidR="00625297" w:rsidRPr="00625297" w:rsidRDefault="00625297" w:rsidP="00625297">
      <w:pPr>
        <w:pStyle w:val="NormalWeb"/>
        <w:spacing w:before="0" w:beforeAutospacing="0" w:after="0" w:afterAutospacing="0" w:line="360" w:lineRule="auto"/>
        <w:rPr>
          <w:rFonts w:ascii="Arial" w:hAnsi="Arial" w:cs="Arial"/>
          <w:b/>
          <w:bCs/>
          <w:i/>
          <w:iCs/>
        </w:rPr>
      </w:pPr>
    </w:p>
    <w:p w14:paraId="39AA23F9" w14:textId="2E579E32" w:rsidR="00F91CA5" w:rsidRPr="00625297"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The research employed a survey instrument distributed to the public, yielding a sample of 51 participants</w:t>
      </w:r>
      <w:r w:rsidRPr="00625297">
        <w:rPr>
          <w:rFonts w:ascii="Arial" w:hAnsi="Arial" w:cs="Arial"/>
        </w:rPr>
        <w:t xml:space="preserve"> completing the full questionnaire</w:t>
      </w:r>
      <w:r w:rsidRPr="00625297">
        <w:rPr>
          <w:rFonts w:ascii="Arial" w:hAnsi="Arial" w:cs="Arial"/>
        </w:rPr>
        <w:t xml:space="preserve">. Question </w:t>
      </w:r>
      <w:r w:rsidRPr="00625297">
        <w:rPr>
          <w:rFonts w:ascii="Arial" w:hAnsi="Arial" w:cs="Arial"/>
        </w:rPr>
        <w:t xml:space="preserve">one </w:t>
      </w:r>
      <w:r w:rsidRPr="00625297">
        <w:rPr>
          <w:rFonts w:ascii="Arial" w:hAnsi="Arial" w:cs="Arial"/>
        </w:rPr>
        <w:t xml:space="preserve">addressed participant demographics, revealing a gender distribution of 76% male and 24% female. Given the study's focus on exploring the </w:t>
      </w:r>
      <w:r w:rsidRPr="00625297">
        <w:rPr>
          <w:rFonts w:ascii="Arial" w:hAnsi="Arial" w:cs="Arial"/>
        </w:rPr>
        <w:t xml:space="preserve">views of males, </w:t>
      </w:r>
      <w:r w:rsidRPr="00625297">
        <w:rPr>
          <w:rFonts w:ascii="Arial" w:hAnsi="Arial" w:cs="Arial"/>
        </w:rPr>
        <w:t>female respondents were excluded from continuing the survey after the initial demographic question.</w:t>
      </w:r>
    </w:p>
    <w:p w14:paraId="66F2AC13" w14:textId="77777777" w:rsidR="00F91CA5" w:rsidRPr="00625297" w:rsidRDefault="00F91CA5" w:rsidP="00625297">
      <w:pPr>
        <w:pStyle w:val="NormalWeb"/>
        <w:spacing w:before="0" w:beforeAutospacing="0" w:after="0" w:afterAutospacing="0" w:line="360" w:lineRule="auto"/>
        <w:rPr>
          <w:rFonts w:ascii="Arial" w:hAnsi="Arial" w:cs="Arial"/>
        </w:rPr>
      </w:pPr>
    </w:p>
    <w:p w14:paraId="64F1C503" w14:textId="5A71E39E" w:rsidR="00F91CA5"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 xml:space="preserve">The survey distribution strategy leveraged social media platforms such as Instagram and Facebook to reach a broad audience. It is noteworthy that the survey was also shared within </w:t>
      </w:r>
      <w:r w:rsidRPr="00625297">
        <w:rPr>
          <w:rFonts w:ascii="Arial" w:hAnsi="Arial" w:cs="Arial"/>
        </w:rPr>
        <w:lastRenderedPageBreak/>
        <w:t xml:space="preserve">a specific online group, Team SWP, which caters to police officers. This targeted distribution approach may have contributed to the finding observed in Question </w:t>
      </w:r>
      <w:r w:rsidRPr="00625297">
        <w:rPr>
          <w:rFonts w:ascii="Arial" w:hAnsi="Arial" w:cs="Arial"/>
        </w:rPr>
        <w:t>four</w:t>
      </w:r>
      <w:r w:rsidRPr="00625297">
        <w:rPr>
          <w:rFonts w:ascii="Arial" w:hAnsi="Arial" w:cs="Arial"/>
        </w:rPr>
        <w:t>, where a significant portion of participants reported prior exposure to domestic abuse scenarios involving female perpetrators and male victims.</w:t>
      </w:r>
    </w:p>
    <w:p w14:paraId="1C14C50E" w14:textId="77777777" w:rsidR="00625297" w:rsidRPr="00625297" w:rsidRDefault="00625297" w:rsidP="00625297">
      <w:pPr>
        <w:pStyle w:val="NormalWeb"/>
        <w:spacing w:before="0" w:beforeAutospacing="0" w:after="0" w:afterAutospacing="0" w:line="360" w:lineRule="auto"/>
        <w:rPr>
          <w:rFonts w:ascii="Arial" w:hAnsi="Arial" w:cs="Arial"/>
        </w:rPr>
      </w:pPr>
    </w:p>
    <w:p w14:paraId="5FBF5620" w14:textId="1CF66A95" w:rsidR="00F91CA5" w:rsidRDefault="00F91CA5" w:rsidP="00625297">
      <w:pPr>
        <w:pStyle w:val="NormalWeb"/>
        <w:spacing w:before="0" w:beforeAutospacing="0" w:after="0" w:afterAutospacing="0" w:line="360" w:lineRule="auto"/>
        <w:rPr>
          <w:rFonts w:ascii="Arial" w:hAnsi="Arial" w:cs="Arial"/>
          <w:b/>
          <w:bCs/>
          <w:i/>
          <w:iCs/>
        </w:rPr>
      </w:pPr>
      <w:r w:rsidRPr="00625297">
        <w:rPr>
          <w:rFonts w:ascii="Arial" w:hAnsi="Arial" w:cs="Arial"/>
          <w:b/>
          <w:bCs/>
          <w:i/>
          <w:iCs/>
        </w:rPr>
        <w:t>4.3</w:t>
      </w:r>
      <w:r w:rsidR="00625297">
        <w:rPr>
          <w:rFonts w:ascii="Arial" w:hAnsi="Arial" w:cs="Arial"/>
          <w:b/>
          <w:bCs/>
          <w:i/>
          <w:iCs/>
        </w:rPr>
        <w:tab/>
      </w:r>
      <w:r w:rsidRPr="00625297">
        <w:rPr>
          <w:rFonts w:ascii="Arial" w:hAnsi="Arial" w:cs="Arial"/>
          <w:b/>
          <w:bCs/>
          <w:i/>
          <w:iCs/>
        </w:rPr>
        <w:t>Theme One: Gender Stereotypes</w:t>
      </w:r>
    </w:p>
    <w:p w14:paraId="0122311D" w14:textId="77777777" w:rsidR="00625297" w:rsidRPr="00625297" w:rsidRDefault="00625297" w:rsidP="00625297">
      <w:pPr>
        <w:pStyle w:val="NormalWeb"/>
        <w:spacing w:before="0" w:beforeAutospacing="0" w:after="0" w:afterAutospacing="0" w:line="360" w:lineRule="auto"/>
        <w:rPr>
          <w:rFonts w:ascii="Arial" w:hAnsi="Arial" w:cs="Arial"/>
          <w:b/>
          <w:bCs/>
          <w:i/>
          <w:iCs/>
        </w:rPr>
      </w:pPr>
    </w:p>
    <w:p w14:paraId="4A57F18D" w14:textId="5BEC721C" w:rsidR="00F91CA5" w:rsidRPr="00625297"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Thematic analysis revealed the pervasive influence of gender stereotypes and social stigmas surrounding masculinity as a significant barrier to reporting domestic abuse. These stereotypes often portray men as inherently strong and capable of defending themselves, thereby devaluing their experiences as victims (P9: "men are stronger...Therefore, a woman can't hurt a man"). This is further reinforced by societal expectations that men occupy the aggressor role within relationships,</w:t>
      </w:r>
      <w:r w:rsidRPr="00625297">
        <w:rPr>
          <w:rFonts w:ascii="Arial" w:hAnsi="Arial" w:cs="Arial"/>
        </w:rPr>
        <w:t xml:space="preserve"> </w:t>
      </w:r>
      <w:r w:rsidRPr="00625297">
        <w:rPr>
          <w:rFonts w:ascii="Arial" w:hAnsi="Arial" w:cs="Arial"/>
        </w:rPr>
        <w:t>leading to disbelief when they report abuse (P33: "female on male abuse does</w:t>
      </w:r>
      <w:r w:rsidRPr="00625297">
        <w:rPr>
          <w:rFonts w:ascii="Arial" w:hAnsi="Arial" w:cs="Arial"/>
        </w:rPr>
        <w:t xml:space="preserve"> not</w:t>
      </w:r>
      <w:r w:rsidRPr="00625297">
        <w:rPr>
          <w:rFonts w:ascii="Arial" w:hAnsi="Arial" w:cs="Arial"/>
        </w:rPr>
        <w:t xml:space="preserve"> happen...Why didn't he fight back?").</w:t>
      </w:r>
      <w:r w:rsidRPr="00625297">
        <w:rPr>
          <w:rFonts w:ascii="Arial" w:hAnsi="Arial" w:cs="Arial"/>
        </w:rPr>
        <w:t xml:space="preserve"> </w:t>
      </w:r>
      <w:r w:rsidRPr="00625297">
        <w:rPr>
          <w:rFonts w:ascii="Arial" w:hAnsi="Arial" w:cs="Arial"/>
        </w:rPr>
        <w:t>Similarly, P7 highlights the perception that men somehow contribute to the abusive dynamic, diminishing the legitimacy of their victimhood (P7: "society will perceive...the male was in some way the subject").</w:t>
      </w:r>
    </w:p>
    <w:p w14:paraId="56F1B3FF" w14:textId="07F878FF" w:rsidR="00F91CA5" w:rsidRPr="00625297"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 xml:space="preserve">These findings resonate with the existing body of research by Bates (2020) and Scarduzio </w:t>
      </w:r>
      <w:r w:rsidRPr="00625297">
        <w:rPr>
          <w:rFonts w:ascii="Arial" w:hAnsi="Arial" w:cs="Arial"/>
          <w:i/>
          <w:iCs/>
        </w:rPr>
        <w:t>et al.</w:t>
      </w:r>
      <w:r w:rsidRPr="00625297">
        <w:rPr>
          <w:rFonts w:ascii="Arial" w:hAnsi="Arial" w:cs="Arial"/>
        </w:rPr>
        <w:t xml:space="preserve"> (2017), who explore the detrimental impact of gendered expectations on male victims seeking help. Consequently, the prevalence of such stereotypes fosters the misconception that men are less vulnerable to domestic abuse compared to female victims.</w:t>
      </w:r>
      <w:r w:rsidRPr="00625297">
        <w:rPr>
          <w:rFonts w:ascii="Arial" w:hAnsi="Arial" w:cs="Arial"/>
        </w:rPr>
        <w:t xml:space="preserve"> </w:t>
      </w:r>
      <w:r w:rsidRPr="00625297">
        <w:rPr>
          <w:rFonts w:ascii="Arial" w:hAnsi="Arial" w:cs="Arial"/>
        </w:rPr>
        <w:t>However</w:t>
      </w:r>
      <w:r w:rsidRPr="00625297">
        <w:rPr>
          <w:rFonts w:ascii="Arial" w:hAnsi="Arial" w:cs="Arial"/>
        </w:rPr>
        <w:t>,</w:t>
      </w:r>
      <w:r w:rsidRPr="00625297">
        <w:rPr>
          <w:rFonts w:ascii="Arial" w:hAnsi="Arial" w:cs="Arial"/>
        </w:rPr>
        <w:t xml:space="preserve"> data collected through Question</w:t>
      </w:r>
      <w:r w:rsidRPr="00625297">
        <w:rPr>
          <w:rFonts w:ascii="Arial" w:hAnsi="Arial" w:cs="Arial"/>
        </w:rPr>
        <w:t xml:space="preserve"> six</w:t>
      </w:r>
      <w:r w:rsidRPr="00625297">
        <w:rPr>
          <w:rFonts w:ascii="Arial" w:hAnsi="Arial" w:cs="Arial"/>
        </w:rPr>
        <w:t xml:space="preserve"> challenged this assumption. A significant portion (73%) of participants indicated that men are somewhat or very likely to be injured in abusive relationships. This aligns with the work of Hines and Douglas (2010), who report that one-third of male victims experience serious injuries </w:t>
      </w:r>
      <w:proofErr w:type="gramStart"/>
      <w:r w:rsidRPr="00625297">
        <w:rPr>
          <w:rFonts w:ascii="Arial" w:hAnsi="Arial" w:cs="Arial"/>
        </w:rPr>
        <w:t>as a result of</w:t>
      </w:r>
      <w:proofErr w:type="gramEnd"/>
      <w:r w:rsidRPr="00625297">
        <w:rPr>
          <w:rFonts w:ascii="Arial" w:hAnsi="Arial" w:cs="Arial"/>
        </w:rPr>
        <w:t xml:space="preserve"> abuse.</w:t>
      </w:r>
    </w:p>
    <w:p w14:paraId="566DCD29" w14:textId="77777777" w:rsidR="00F91CA5" w:rsidRPr="00625297" w:rsidRDefault="00F91CA5" w:rsidP="00625297">
      <w:pPr>
        <w:spacing w:after="0" w:line="360" w:lineRule="auto"/>
        <w:rPr>
          <w:rFonts w:ascii="Arial" w:hAnsi="Arial" w:cs="Arial"/>
        </w:rPr>
      </w:pPr>
    </w:p>
    <w:p w14:paraId="0177CFC5" w14:textId="2F3FEEDB" w:rsidR="00F91CA5" w:rsidRPr="00625297" w:rsidRDefault="00F91CA5" w:rsidP="00625297">
      <w:pPr>
        <w:pStyle w:val="NormalWeb"/>
        <w:spacing w:before="0" w:beforeAutospacing="0" w:after="0" w:afterAutospacing="0" w:line="360" w:lineRule="auto"/>
        <w:rPr>
          <w:rFonts w:ascii="Arial" w:hAnsi="Arial" w:cs="Arial"/>
          <w:b/>
          <w:bCs/>
          <w:i/>
          <w:iCs/>
        </w:rPr>
      </w:pPr>
      <w:r w:rsidRPr="00625297">
        <w:rPr>
          <w:rFonts w:ascii="Arial" w:hAnsi="Arial" w:cs="Arial"/>
          <w:b/>
          <w:bCs/>
          <w:i/>
          <w:iCs/>
        </w:rPr>
        <w:t>4.4</w:t>
      </w:r>
      <w:r w:rsidR="00625297">
        <w:rPr>
          <w:rFonts w:ascii="Arial" w:hAnsi="Arial" w:cs="Arial"/>
          <w:b/>
          <w:bCs/>
          <w:i/>
          <w:iCs/>
        </w:rPr>
        <w:tab/>
      </w:r>
      <w:r w:rsidRPr="00625297">
        <w:rPr>
          <w:rFonts w:ascii="Arial" w:hAnsi="Arial" w:cs="Arial"/>
          <w:b/>
          <w:bCs/>
          <w:i/>
          <w:iCs/>
        </w:rPr>
        <w:t>Theme Two: Reluctance of Male Victims in Seeking Help</w:t>
      </w:r>
    </w:p>
    <w:p w14:paraId="2A0BEE41" w14:textId="77777777" w:rsidR="00625297" w:rsidRPr="00625297" w:rsidRDefault="00625297" w:rsidP="00625297">
      <w:pPr>
        <w:pStyle w:val="NormalWeb"/>
        <w:spacing w:before="0" w:beforeAutospacing="0" w:after="0" w:afterAutospacing="0" w:line="360" w:lineRule="auto"/>
        <w:rPr>
          <w:rFonts w:ascii="Arial" w:hAnsi="Arial" w:cs="Arial"/>
          <w:b/>
          <w:bCs/>
          <w:i/>
          <w:iCs/>
        </w:rPr>
      </w:pPr>
    </w:p>
    <w:p w14:paraId="6C6A7BB3" w14:textId="707B38E5" w:rsidR="00F91CA5" w:rsidRPr="00625297"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 xml:space="preserve">While apprehension surrounding disclosure is common amongst all victims of domestic abuse, the research suggests a heightened reluctance among male victims to seek help. This is supported by the findings from </w:t>
      </w:r>
      <w:r w:rsidRPr="00625297">
        <w:rPr>
          <w:rFonts w:ascii="Arial" w:hAnsi="Arial" w:cs="Arial"/>
        </w:rPr>
        <w:t>q</w:t>
      </w:r>
      <w:r w:rsidRPr="00625297">
        <w:rPr>
          <w:rFonts w:ascii="Arial" w:hAnsi="Arial" w:cs="Arial"/>
        </w:rPr>
        <w:t xml:space="preserve">uestion </w:t>
      </w:r>
      <w:r w:rsidRPr="00625297">
        <w:rPr>
          <w:rFonts w:ascii="Arial" w:hAnsi="Arial" w:cs="Arial"/>
        </w:rPr>
        <w:t>seven</w:t>
      </w:r>
      <w:r w:rsidRPr="00625297">
        <w:rPr>
          <w:rFonts w:ascii="Arial" w:hAnsi="Arial" w:cs="Arial"/>
        </w:rPr>
        <w:t>, where a substantial majority (94%) of participants concurred that men often remain silent about their abuse experiences. This aligns with existing literature on male victimi</w:t>
      </w:r>
      <w:r w:rsidRPr="00625297">
        <w:rPr>
          <w:rFonts w:ascii="Arial" w:hAnsi="Arial" w:cs="Arial"/>
        </w:rPr>
        <w:t>s</w:t>
      </w:r>
      <w:r w:rsidRPr="00625297">
        <w:rPr>
          <w:rFonts w:ascii="Arial" w:hAnsi="Arial" w:cs="Arial"/>
        </w:rPr>
        <w:t>ation, which highlights a significantly low rate of reporting amongst this population group (</w:t>
      </w:r>
      <w:proofErr w:type="spellStart"/>
      <w:r w:rsidRPr="00625297">
        <w:rPr>
          <w:rFonts w:ascii="Arial" w:hAnsi="Arial" w:cs="Arial"/>
        </w:rPr>
        <w:t>ManKind</w:t>
      </w:r>
      <w:proofErr w:type="spellEnd"/>
      <w:r w:rsidRPr="00625297">
        <w:rPr>
          <w:rFonts w:ascii="Arial" w:hAnsi="Arial" w:cs="Arial"/>
        </w:rPr>
        <w:t>, 2023).</w:t>
      </w:r>
    </w:p>
    <w:p w14:paraId="4C1878A4" w14:textId="63209459" w:rsidR="00F91CA5" w:rsidRPr="00625297"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 xml:space="preserve">Thematic analysis revealed that the concept of masculinity plays a pivotal role in this reluctance. Participants expressed difficulty reconciling their identities as male with the perceived vulnerability inherent in victimhood (P44: "looking like a victim is a weakness"). Furthermore, a significant portion of participants (majority responding to Question 9) identified embarrassment as the most significant deterrent to reporting. These findings resonate with the work of Machado </w:t>
      </w:r>
      <w:r w:rsidRPr="00625297">
        <w:rPr>
          <w:rFonts w:ascii="Arial" w:hAnsi="Arial" w:cs="Arial"/>
          <w:i/>
          <w:iCs/>
        </w:rPr>
        <w:t>et al.</w:t>
      </w:r>
      <w:r w:rsidRPr="00625297">
        <w:rPr>
          <w:rFonts w:ascii="Arial" w:hAnsi="Arial" w:cs="Arial"/>
        </w:rPr>
        <w:t xml:space="preserve"> </w:t>
      </w:r>
      <w:r w:rsidRPr="00625297">
        <w:rPr>
          <w:rFonts w:ascii="Arial" w:hAnsi="Arial" w:cs="Arial"/>
        </w:rPr>
        <w:t>(2020) and Hine</w:t>
      </w:r>
      <w:r w:rsidRPr="00625297">
        <w:rPr>
          <w:rFonts w:ascii="Arial" w:hAnsi="Arial" w:cs="Arial"/>
        </w:rPr>
        <w:t>s</w:t>
      </w:r>
      <w:r w:rsidRPr="00625297">
        <w:rPr>
          <w:rFonts w:ascii="Arial" w:hAnsi="Arial" w:cs="Arial"/>
        </w:rPr>
        <w:t xml:space="preserve"> (2019), who emphasize the complex interplay between masculinity and help-seeking </w:t>
      </w:r>
      <w:r w:rsidRPr="00625297">
        <w:rPr>
          <w:rFonts w:ascii="Arial" w:hAnsi="Arial" w:cs="Arial"/>
        </w:rPr>
        <w:t>behaviours</w:t>
      </w:r>
      <w:r w:rsidRPr="00625297">
        <w:rPr>
          <w:rFonts w:ascii="Arial" w:hAnsi="Arial" w:cs="Arial"/>
        </w:rPr>
        <w:t>.</w:t>
      </w:r>
    </w:p>
    <w:p w14:paraId="61D8FF45" w14:textId="31887AFE" w:rsidR="00F91CA5" w:rsidRPr="00625297" w:rsidRDefault="00F91CA5" w:rsidP="00625297">
      <w:pPr>
        <w:pStyle w:val="NormalWeb"/>
        <w:spacing w:before="0" w:beforeAutospacing="0" w:after="0" w:afterAutospacing="0" w:line="360" w:lineRule="auto"/>
        <w:rPr>
          <w:rFonts w:ascii="Arial" w:hAnsi="Arial" w:cs="Arial"/>
        </w:rPr>
      </w:pPr>
      <w:r w:rsidRPr="00625297">
        <w:rPr>
          <w:rFonts w:ascii="Arial" w:hAnsi="Arial" w:cs="Arial"/>
        </w:rPr>
        <w:t xml:space="preserve">Concerns regarding the support system also emerged as a theme. One participant expressed </w:t>
      </w:r>
      <w:r w:rsidR="00625297" w:rsidRPr="00625297">
        <w:rPr>
          <w:rFonts w:ascii="Arial" w:hAnsi="Arial" w:cs="Arial"/>
        </w:rPr>
        <w:t>scepticism</w:t>
      </w:r>
      <w:r w:rsidRPr="00625297">
        <w:rPr>
          <w:rFonts w:ascii="Arial" w:hAnsi="Arial" w:cs="Arial"/>
        </w:rPr>
        <w:t xml:space="preserve"> about the legal system's capacity to respond effectively to male victims, stating </w:t>
      </w:r>
      <w:r w:rsidR="00625297" w:rsidRPr="00625297">
        <w:rPr>
          <w:rFonts w:ascii="Arial" w:hAnsi="Arial" w:cs="Arial"/>
        </w:rPr>
        <w:t>“I don't think the legal system and policing see it the same of it was the other around”.</w:t>
      </w:r>
      <w:r w:rsidR="00625297" w:rsidRPr="00625297">
        <w:rPr>
          <w:rFonts w:ascii="Arial" w:hAnsi="Arial" w:cs="Arial"/>
        </w:rPr>
        <w:t xml:space="preserve"> </w:t>
      </w:r>
      <w:r w:rsidRPr="00625297">
        <w:rPr>
          <w:rFonts w:ascii="Arial" w:hAnsi="Arial" w:cs="Arial"/>
        </w:rPr>
        <w:t xml:space="preserve">This aligns with research by </w:t>
      </w:r>
      <w:proofErr w:type="spellStart"/>
      <w:r w:rsidRPr="00625297">
        <w:rPr>
          <w:rFonts w:ascii="Arial" w:hAnsi="Arial" w:cs="Arial"/>
        </w:rPr>
        <w:t>Lysova</w:t>
      </w:r>
      <w:proofErr w:type="spellEnd"/>
      <w:r w:rsidRPr="00625297">
        <w:rPr>
          <w:rFonts w:ascii="Arial" w:hAnsi="Arial" w:cs="Arial"/>
        </w:rPr>
        <w:t xml:space="preserve"> </w:t>
      </w:r>
      <w:r w:rsidRPr="00625297">
        <w:rPr>
          <w:rFonts w:ascii="Arial" w:hAnsi="Arial" w:cs="Arial"/>
          <w:i/>
          <w:iCs/>
        </w:rPr>
        <w:t>et al.</w:t>
      </w:r>
      <w:r w:rsidRPr="00625297">
        <w:rPr>
          <w:rFonts w:ascii="Arial" w:hAnsi="Arial" w:cs="Arial"/>
        </w:rPr>
        <w:t xml:space="preserve"> (2020), which highlights negative experiences with </w:t>
      </w:r>
      <w:r w:rsidR="00625297" w:rsidRPr="00625297">
        <w:rPr>
          <w:rFonts w:ascii="Arial" w:hAnsi="Arial" w:cs="Arial"/>
        </w:rPr>
        <w:t>police</w:t>
      </w:r>
      <w:r w:rsidRPr="00625297">
        <w:rPr>
          <w:rFonts w:ascii="Arial" w:hAnsi="Arial" w:cs="Arial"/>
        </w:rPr>
        <w:t xml:space="preserve"> as a barrier to help-seeking for male victims of domestic abuse.</w:t>
      </w:r>
    </w:p>
    <w:p w14:paraId="04658CCB" w14:textId="77777777" w:rsidR="00625297" w:rsidRPr="00625297" w:rsidRDefault="00625297" w:rsidP="00625297">
      <w:pPr>
        <w:spacing w:after="0" w:line="360" w:lineRule="auto"/>
        <w:rPr>
          <w:rFonts w:ascii="Arial" w:hAnsi="Arial" w:cs="Arial"/>
          <w:color w:val="FF0000"/>
        </w:rPr>
      </w:pPr>
    </w:p>
    <w:p w14:paraId="187ABDA2" w14:textId="34738167" w:rsidR="00625297" w:rsidRPr="00625297" w:rsidRDefault="00625297" w:rsidP="00625297">
      <w:pPr>
        <w:pStyle w:val="NormalWeb"/>
        <w:spacing w:before="0" w:beforeAutospacing="0" w:after="0" w:afterAutospacing="0" w:line="360" w:lineRule="auto"/>
        <w:rPr>
          <w:rFonts w:ascii="Arial" w:hAnsi="Arial" w:cs="Arial"/>
          <w:b/>
          <w:bCs/>
          <w:i/>
          <w:iCs/>
        </w:rPr>
      </w:pPr>
      <w:r w:rsidRPr="00625297">
        <w:rPr>
          <w:rFonts w:ascii="Arial" w:hAnsi="Arial" w:cs="Arial"/>
          <w:b/>
          <w:bCs/>
          <w:i/>
          <w:iCs/>
        </w:rPr>
        <w:t>4.5</w:t>
      </w:r>
      <w:r>
        <w:rPr>
          <w:rFonts w:ascii="Arial" w:hAnsi="Arial" w:cs="Arial"/>
          <w:b/>
          <w:bCs/>
          <w:i/>
          <w:iCs/>
        </w:rPr>
        <w:tab/>
      </w:r>
      <w:r w:rsidRPr="00625297">
        <w:rPr>
          <w:rFonts w:ascii="Arial" w:hAnsi="Arial" w:cs="Arial"/>
          <w:b/>
          <w:bCs/>
          <w:i/>
          <w:iCs/>
        </w:rPr>
        <w:t>Theme Three: Service Provision</w:t>
      </w:r>
    </w:p>
    <w:p w14:paraId="6C2993E1" w14:textId="77777777" w:rsidR="00625297" w:rsidRPr="00625297" w:rsidRDefault="00625297" w:rsidP="00625297">
      <w:pPr>
        <w:pStyle w:val="NormalWeb"/>
        <w:spacing w:before="0" w:beforeAutospacing="0" w:after="0" w:afterAutospacing="0" w:line="360" w:lineRule="auto"/>
        <w:rPr>
          <w:rFonts w:ascii="Arial" w:hAnsi="Arial" w:cs="Arial"/>
        </w:rPr>
      </w:pPr>
    </w:p>
    <w:p w14:paraId="4EFB8EA2" w14:textId="76FDD163" w:rsidR="00625297" w:rsidRPr="00625297" w:rsidRDefault="00625297" w:rsidP="00625297">
      <w:pPr>
        <w:pStyle w:val="NormalWeb"/>
        <w:spacing w:before="0" w:beforeAutospacing="0" w:after="0" w:afterAutospacing="0" w:line="360" w:lineRule="auto"/>
        <w:rPr>
          <w:rFonts w:ascii="Arial" w:hAnsi="Arial" w:cs="Arial"/>
        </w:rPr>
      </w:pPr>
      <w:r w:rsidRPr="00625297">
        <w:rPr>
          <w:rFonts w:ascii="Arial" w:hAnsi="Arial" w:cs="Arial"/>
        </w:rPr>
        <w:t>A critical theme identified through thematic analysis is the persistent focus on female victims within public awareness campaigns and broader societal discourse surrounding domestic abuse. While participants demonstrated a relatively high level of confidence (84% somewhat or very confident - Question 13) in directing a friend towards general domestic abuse support services, awareness regarding services specifically catering to male victims remained low. This is evidenced by the finding that 75% of participants were unaware of such services (Question 14). Furthermore, Question 16 revealed that a significant majority (60.8%) of participants were unfamiliar with established organi</w:t>
      </w:r>
      <w:r w:rsidRPr="00625297">
        <w:rPr>
          <w:rFonts w:ascii="Arial" w:hAnsi="Arial" w:cs="Arial"/>
        </w:rPr>
        <w:t>s</w:t>
      </w:r>
      <w:r w:rsidRPr="00625297">
        <w:rPr>
          <w:rFonts w:ascii="Arial" w:hAnsi="Arial" w:cs="Arial"/>
        </w:rPr>
        <w:t>ations supporting male victims,</w:t>
      </w:r>
      <w:r w:rsidRPr="00625297">
        <w:rPr>
          <w:rFonts w:ascii="Arial" w:hAnsi="Arial" w:cs="Arial"/>
        </w:rPr>
        <w:t xml:space="preserve"> </w:t>
      </w:r>
      <w:r w:rsidRPr="00625297">
        <w:rPr>
          <w:rFonts w:ascii="Arial" w:hAnsi="Arial" w:cs="Arial"/>
        </w:rPr>
        <w:t>including Mankind, Men's Advice Line, AEGIS, IDAS, and Safer Wales.</w:t>
      </w:r>
      <w:r w:rsidRPr="00625297">
        <w:rPr>
          <w:rFonts w:ascii="Arial" w:hAnsi="Arial" w:cs="Arial"/>
        </w:rPr>
        <w:t xml:space="preserve"> </w:t>
      </w:r>
      <w:r w:rsidRPr="00625297">
        <w:rPr>
          <w:rFonts w:ascii="Arial" w:hAnsi="Arial" w:cs="Arial"/>
        </w:rPr>
        <w:t>These findings align with the work of Mankind (2023), whose research highlights the limited availability of dedicated support services for male victims. This concern was further echoed by organi</w:t>
      </w:r>
      <w:r w:rsidRPr="00625297">
        <w:rPr>
          <w:rFonts w:ascii="Arial" w:hAnsi="Arial" w:cs="Arial"/>
        </w:rPr>
        <w:t>s</w:t>
      </w:r>
      <w:r w:rsidRPr="00625297">
        <w:rPr>
          <w:rFonts w:ascii="Arial" w:hAnsi="Arial" w:cs="Arial"/>
        </w:rPr>
        <w:t>ations participating in Lambert's study (2023), although some progress was acknowledged. For instance, while participants initially reported a complete lack of male-specific services in Devon and Cornwall, the region now generally offers support for victims of all genders.</w:t>
      </w:r>
    </w:p>
    <w:p w14:paraId="4FD879C9" w14:textId="77777777" w:rsidR="008A4E93" w:rsidRPr="00625297" w:rsidRDefault="008A4E93" w:rsidP="00625297">
      <w:pPr>
        <w:spacing w:after="0" w:line="360" w:lineRule="auto"/>
        <w:rPr>
          <w:rFonts w:ascii="Arial" w:hAnsi="Arial" w:cs="Arial"/>
          <w:b/>
          <w:bCs/>
          <w:i/>
          <w:iCs/>
          <w:sz w:val="28"/>
          <w:szCs w:val="28"/>
        </w:rPr>
      </w:pPr>
    </w:p>
    <w:p w14:paraId="1FFE619A" w14:textId="5757CF3B" w:rsidR="00625297" w:rsidRDefault="00625297" w:rsidP="00625297">
      <w:pPr>
        <w:pStyle w:val="NormalWeb"/>
        <w:spacing w:before="0" w:beforeAutospacing="0" w:after="0" w:afterAutospacing="0" w:line="360" w:lineRule="auto"/>
        <w:rPr>
          <w:rFonts w:ascii="Arial" w:hAnsi="Arial" w:cs="Arial"/>
          <w:b/>
          <w:bCs/>
          <w:i/>
          <w:iCs/>
        </w:rPr>
      </w:pPr>
      <w:r w:rsidRPr="00625297">
        <w:rPr>
          <w:rFonts w:ascii="Arial" w:hAnsi="Arial" w:cs="Arial"/>
          <w:b/>
          <w:bCs/>
          <w:i/>
          <w:iCs/>
        </w:rPr>
        <w:t>4.6</w:t>
      </w:r>
      <w:r>
        <w:rPr>
          <w:rFonts w:ascii="Arial" w:hAnsi="Arial" w:cs="Arial"/>
          <w:b/>
          <w:bCs/>
          <w:i/>
          <w:iCs/>
        </w:rPr>
        <w:tab/>
      </w:r>
      <w:r w:rsidRPr="00625297">
        <w:rPr>
          <w:rFonts w:ascii="Arial" w:hAnsi="Arial" w:cs="Arial"/>
          <w:b/>
          <w:bCs/>
          <w:i/>
          <w:iCs/>
        </w:rPr>
        <w:t>Conclusion</w:t>
      </w:r>
    </w:p>
    <w:p w14:paraId="0419F690" w14:textId="77777777" w:rsidR="00625297" w:rsidRPr="00625297" w:rsidRDefault="00625297" w:rsidP="00625297">
      <w:pPr>
        <w:pStyle w:val="NormalWeb"/>
        <w:spacing w:before="0" w:beforeAutospacing="0" w:after="0" w:afterAutospacing="0" w:line="360" w:lineRule="auto"/>
        <w:rPr>
          <w:rFonts w:ascii="Arial" w:hAnsi="Arial" w:cs="Arial"/>
          <w:b/>
          <w:bCs/>
          <w:i/>
          <w:iCs/>
        </w:rPr>
      </w:pPr>
    </w:p>
    <w:p w14:paraId="7CF322EA" w14:textId="77777777" w:rsidR="00625297" w:rsidRPr="00625297" w:rsidRDefault="00625297" w:rsidP="00625297">
      <w:pPr>
        <w:pStyle w:val="NormalWeb"/>
        <w:spacing w:before="0" w:beforeAutospacing="0" w:after="0" w:afterAutospacing="0" w:line="360" w:lineRule="auto"/>
        <w:rPr>
          <w:rFonts w:ascii="Arial" w:hAnsi="Arial" w:cs="Arial"/>
        </w:rPr>
      </w:pPr>
      <w:r w:rsidRPr="00625297">
        <w:rPr>
          <w:rFonts w:ascii="Arial" w:hAnsi="Arial" w:cs="Arial"/>
        </w:rPr>
        <w:t>In conclusion, the thematic analysis of the research data yielded a compelling interplay between established knowledge gleaned from the literature review and the emergence of novel insights. The following chapter will delve deeper into these findings, drawing more comprehensive conclusions and exploring the research objectives in greater detail. This will encompass a critical analysis of the implications arising from this study's contributions to the understanding of the barriers faced by male victims of domestic abuse in reporting the abuse.</w:t>
      </w:r>
    </w:p>
    <w:p w14:paraId="33CF8CBD" w14:textId="5565085B" w:rsidR="00222DDF" w:rsidRPr="008530D5" w:rsidRDefault="00222DDF" w:rsidP="00625297">
      <w:pPr>
        <w:rPr>
          <w:rFonts w:ascii="Arial" w:hAnsi="Arial" w:cs="Arial"/>
          <w:sz w:val="24"/>
          <w:szCs w:val="24"/>
        </w:rPr>
      </w:pPr>
    </w:p>
    <w:sectPr w:rsidR="00222DDF" w:rsidRPr="00853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33C5"/>
    <w:multiLevelType w:val="multilevel"/>
    <w:tmpl w:val="99A4D6BA"/>
    <w:lvl w:ilvl="0">
      <w:start w:val="1"/>
      <w:numFmt w:val="decimal"/>
      <w:lvlText w:val="%1)"/>
      <w:lvlJc w:val="left"/>
      <w:pPr>
        <w:ind w:left="720" w:hanging="360"/>
      </w:pPr>
      <w:rPr>
        <w:rFonts w:ascii="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C3A6340"/>
    <w:multiLevelType w:val="hybridMultilevel"/>
    <w:tmpl w:val="C1DA4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C825D7"/>
    <w:multiLevelType w:val="hybridMultilevel"/>
    <w:tmpl w:val="A656BF10"/>
    <w:lvl w:ilvl="0" w:tplc="C8F88BF2">
      <w:start w:val="1"/>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430091">
    <w:abstractNumId w:val="0"/>
  </w:num>
  <w:num w:numId="2" w16cid:durableId="1164857538">
    <w:abstractNumId w:val="1"/>
  </w:num>
  <w:num w:numId="3" w16cid:durableId="913010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0D5"/>
    <w:rsid w:val="001716D4"/>
    <w:rsid w:val="00195F1A"/>
    <w:rsid w:val="00222DDF"/>
    <w:rsid w:val="002650B4"/>
    <w:rsid w:val="00625297"/>
    <w:rsid w:val="006C0868"/>
    <w:rsid w:val="00710CCA"/>
    <w:rsid w:val="007E41B5"/>
    <w:rsid w:val="008530D5"/>
    <w:rsid w:val="00864AED"/>
    <w:rsid w:val="008A4E93"/>
    <w:rsid w:val="00933210"/>
    <w:rsid w:val="00A0357F"/>
    <w:rsid w:val="00A568AF"/>
    <w:rsid w:val="00BC4525"/>
    <w:rsid w:val="00BE5886"/>
    <w:rsid w:val="00C602D3"/>
    <w:rsid w:val="00C65FF8"/>
    <w:rsid w:val="00CF4B23"/>
    <w:rsid w:val="00D61E12"/>
    <w:rsid w:val="00DA1FAC"/>
    <w:rsid w:val="00EC09C8"/>
    <w:rsid w:val="00F70667"/>
    <w:rsid w:val="00F91CA5"/>
    <w:rsid w:val="00F92B9A"/>
    <w:rsid w:val="00FE05EE"/>
    <w:rsid w:val="00FF1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1D572"/>
  <w15:chartTrackingRefBased/>
  <w15:docId w15:val="{4D6E79AA-8D7A-46A4-B905-0B6749C5A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0D5"/>
    <w:pPr>
      <w:suppressAutoHyphens/>
      <w:autoSpaceDN w:val="0"/>
      <w:spacing w:line="240"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8530D5"/>
    <w:pPr>
      <w:ind w:left="720"/>
      <w:contextualSpacing/>
    </w:pPr>
  </w:style>
  <w:style w:type="paragraph" w:styleId="NormalWeb">
    <w:name w:val="Normal (Web)"/>
    <w:basedOn w:val="Normal"/>
    <w:uiPriority w:val="99"/>
    <w:unhideWhenUsed/>
    <w:rsid w:val="00F91CA5"/>
    <w:pPr>
      <w:suppressAutoHyphens w:val="0"/>
      <w:autoSpaceDN/>
      <w:spacing w:before="100" w:beforeAutospacing="1" w:after="100" w:afterAutospacing="1"/>
    </w:pPr>
    <w:rPr>
      <w:rFonts w:eastAsiaTheme="minorHAnsi" w:cs="Calibri"/>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5041">
      <w:bodyDiv w:val="1"/>
      <w:marLeft w:val="0"/>
      <w:marRight w:val="0"/>
      <w:marTop w:val="0"/>
      <w:marBottom w:val="0"/>
      <w:divBdr>
        <w:top w:val="none" w:sz="0" w:space="0" w:color="auto"/>
        <w:left w:val="none" w:sz="0" w:space="0" w:color="auto"/>
        <w:bottom w:val="none" w:sz="0" w:space="0" w:color="auto"/>
        <w:right w:val="none" w:sz="0" w:space="0" w:color="auto"/>
      </w:divBdr>
    </w:div>
    <w:div w:id="506481016">
      <w:bodyDiv w:val="1"/>
      <w:marLeft w:val="0"/>
      <w:marRight w:val="0"/>
      <w:marTop w:val="0"/>
      <w:marBottom w:val="0"/>
      <w:divBdr>
        <w:top w:val="none" w:sz="0" w:space="0" w:color="auto"/>
        <w:left w:val="none" w:sz="0" w:space="0" w:color="auto"/>
        <w:bottom w:val="none" w:sz="0" w:space="0" w:color="auto"/>
        <w:right w:val="none" w:sz="0" w:space="0" w:color="auto"/>
      </w:divBdr>
    </w:div>
    <w:div w:id="897672913">
      <w:bodyDiv w:val="1"/>
      <w:marLeft w:val="0"/>
      <w:marRight w:val="0"/>
      <w:marTop w:val="0"/>
      <w:marBottom w:val="0"/>
      <w:divBdr>
        <w:top w:val="none" w:sz="0" w:space="0" w:color="auto"/>
        <w:left w:val="none" w:sz="0" w:space="0" w:color="auto"/>
        <w:bottom w:val="none" w:sz="0" w:space="0" w:color="auto"/>
        <w:right w:val="none" w:sz="0" w:space="0" w:color="auto"/>
      </w:divBdr>
    </w:div>
    <w:div w:id="1033843131">
      <w:bodyDiv w:val="1"/>
      <w:marLeft w:val="0"/>
      <w:marRight w:val="0"/>
      <w:marTop w:val="0"/>
      <w:marBottom w:val="0"/>
      <w:divBdr>
        <w:top w:val="none" w:sz="0" w:space="0" w:color="auto"/>
        <w:left w:val="none" w:sz="0" w:space="0" w:color="auto"/>
        <w:bottom w:val="none" w:sz="0" w:space="0" w:color="auto"/>
        <w:right w:val="none" w:sz="0" w:space="0" w:color="auto"/>
      </w:divBdr>
    </w:div>
    <w:div w:id="1309868387">
      <w:bodyDiv w:val="1"/>
      <w:marLeft w:val="0"/>
      <w:marRight w:val="0"/>
      <w:marTop w:val="0"/>
      <w:marBottom w:val="0"/>
      <w:divBdr>
        <w:top w:val="none" w:sz="0" w:space="0" w:color="auto"/>
        <w:left w:val="none" w:sz="0" w:space="0" w:color="auto"/>
        <w:bottom w:val="none" w:sz="0" w:space="0" w:color="auto"/>
        <w:right w:val="none" w:sz="0" w:space="0" w:color="auto"/>
      </w:divBdr>
    </w:div>
    <w:div w:id="1866752721">
      <w:bodyDiv w:val="1"/>
      <w:marLeft w:val="0"/>
      <w:marRight w:val="0"/>
      <w:marTop w:val="0"/>
      <w:marBottom w:val="0"/>
      <w:divBdr>
        <w:top w:val="none" w:sz="0" w:space="0" w:color="auto"/>
        <w:left w:val="none" w:sz="0" w:space="0" w:color="auto"/>
        <w:bottom w:val="none" w:sz="0" w:space="0" w:color="auto"/>
        <w:right w:val="none" w:sz="0" w:space="0" w:color="auto"/>
      </w:divBdr>
    </w:div>
    <w:div w:id="192538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Ellis-Hunt,Sophie swp8101</dc:creator>
  <cp:keywords/>
  <dc:description/>
  <cp:lastModifiedBy>Ellis-Hunt,Sophie swp8101</cp:lastModifiedBy>
  <cp:revision>8</cp:revision>
  <dcterms:created xsi:type="dcterms:W3CDTF">2024-05-05T18:08:00Z</dcterms:created>
  <dcterms:modified xsi:type="dcterms:W3CDTF">2024-05-06T19:51:00Z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2024-05-05T18:22:24Z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7f206110-00df-43ce-9f2d-44cf8fdf8c6a</vt:lpwstr>
  </property>
  <property fmtid="{D5CDD505-2E9C-101B-9397-08002B2CF9AE}" pid="8" name="MSIP_Label_66cf8fe5-b7b7-4df7-b38d-1c61ac2f6639_ContentBits">
    <vt:lpwstr>0</vt:lpwstr>
  </property>
</Properties>
</file>