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92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48"/>
        <w:gridCol w:w="2340"/>
        <w:gridCol w:w="2340"/>
        <w:tblGridChange w:id="0">
          <w:tblGrid>
            <w:gridCol w:w="4248"/>
            <w:gridCol w:w="2340"/>
            <w:gridCol w:w="2340"/>
          </w:tblGrid>
        </w:tblGridChange>
      </w:tblGrid>
      <w:tr>
        <w:trPr>
          <w:cantSplit w:val="0"/>
          <w:trHeight w:val="1255" w:hRule="atLeast"/>
          <w:tblHeader w:val="0"/>
        </w:trPr>
        <w:tc>
          <w:tcPr>
            <w:vAlign w:val="cente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560955" cy="828675"/>
                  <wp:effectExtent b="0" l="0" r="0" t="0"/>
                  <wp:docPr descr="TSD_logo2010" id="2" name="image2.jpg"/>
                  <a:graphic>
                    <a:graphicData uri="http://schemas.openxmlformats.org/drawingml/2006/picture">
                      <pic:pic>
                        <pic:nvPicPr>
                          <pic:cNvPr descr="TSD_logo2010" id="0" name="image2.jpg"/>
                          <pic:cNvPicPr preferRelativeResize="0"/>
                        </pic:nvPicPr>
                        <pic:blipFill>
                          <a:blip r:embed="rId7"/>
                          <a:srcRect b="0" l="0" r="0" t="0"/>
                          <a:stretch>
                            <a:fillRect/>
                          </a:stretch>
                        </pic:blipFill>
                        <pic:spPr>
                          <a:xfrm>
                            <a:off x="0" y="0"/>
                            <a:ext cx="2560955" cy="8286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Faculty of Humanities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MA Dissertation Approval Form</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88"/>
        <w:gridCol w:w="6768"/>
        <w:tblGridChange w:id="0">
          <w:tblGrid>
            <w:gridCol w:w="2088"/>
            <w:gridCol w:w="6768"/>
          </w:tblGrid>
        </w:tblGridChange>
      </w:tblGrid>
      <w:tr>
        <w:trPr>
          <w:cantSplit w:val="0"/>
          <w:tblHeader w:val="0"/>
        </w:trPr>
        <w:tc>
          <w:tcPr>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Student Name</w:t>
            </w:r>
          </w:p>
        </w:tc>
        <w:tc>
          <w:tcPr>
            <w:vAlign w:val="top"/>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WWW</w:t>
            </w:r>
          </w:p>
        </w:tc>
      </w:tr>
      <w:tr>
        <w:trPr>
          <w:cantSplit w:val="0"/>
          <w:trHeight w:val="494" w:hRule="atLeast"/>
          <w:tblHeader w:val="0"/>
        </w:trPr>
        <w:tc>
          <w:tcPr>
            <w:vAlign w:val="cente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Degree Scheme</w:t>
            </w:r>
          </w:p>
        </w:tc>
        <w:tc>
          <w:tcPr>
            <w:vAlign w:val="cente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  Confucian Classical Studies</w:t>
            </w:r>
          </w:p>
        </w:tc>
      </w:tr>
      <w:tr>
        <w:trPr>
          <w:cantSplit w:val="0"/>
          <w:trHeight w:val="416" w:hRule="atLeast"/>
          <w:tblHeader w:val="0"/>
        </w:trPr>
        <w:tc>
          <w:tcPr>
            <w:vAlign w:val="cente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Start date</w:t>
            </w:r>
          </w:p>
        </w:tc>
        <w:tc>
          <w:tcPr>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000000</w:t>
            </w:r>
            <w:r w:rsidDel="00000000" w:rsidR="00000000" w:rsidRPr="00000000">
              <w:rPr>
                <w:rtl w:val="0"/>
              </w:rPr>
            </w:r>
          </w:p>
        </w:tc>
      </w:tr>
    </w:tbl>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have completed Part 1 of my degree.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delete as appropriate.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56"/>
        <w:tblGridChange w:id="0">
          <w:tblGrid>
            <w:gridCol w:w="8856"/>
          </w:tblGrid>
        </w:tblGridChange>
      </w:tblGrid>
      <w:tr>
        <w:trPr>
          <w:cantSplit w:val="0"/>
          <w:tblHeader w:val="0"/>
        </w:trPr>
        <w:tc>
          <w:tcPr>
            <w:vAlign w:val="top"/>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Title of Dissertation:</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The Literary Types of ‘Righteous Gentleman’ (Yi Shi 義士）in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Zhan </w:t>
            </w: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（左傳）</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Aims and Objectives:</w:t>
            </w:r>
          </w:p>
          <w:bookmarkStart w:colFirst="0" w:colLast="0" w:name="gjdgxs" w:id="0"/>
          <w:bookmarkEnd w:id="0"/>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This paper focuses on the study of literary types of ‘Righteous Gentleman’ (Yi Shi 義士）in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 will explore the real meaning of ‘righteousness’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based on close reading and contextual analysis, examining which characters are in line with the characteristics of the righteous. Through in-depth analysis, the image of ‘Righteous Gentleman’ will be displayed clearly, inspiring modern people how to take righteousness as the principle of life anytime and anywhere.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Abstract (approximately 500 words):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both"/>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known as the masterpiece of historical literature, especially good at figure description. It was commented, ‘ Reading  the text and imagining the personality, mood, voice and  smiling of the figures always create an illusion that they are still alive even though they have passed away thousands of years.’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More importantly, its content has not only historical and literary value, but also ethical and moral. As to various kinds of characters narrated in the book, for example, the monarchs, the hegemons, the ministers, the scholars, the female characters, academics have paid attention to them. The righteous gentlemen, however, so far no one has explored in depth.</w:t>
            </w:r>
            <w:bookmarkStart w:colFirst="0" w:colLast="0" w:name="30j0zll" w:id="1"/>
            <w:bookmarkEnd w:id="1"/>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“義”</w:t>
            </w:r>
            <w:bookmarkStart w:colFirst="0" w:colLast="0" w:name="1fob9te" w:id="2"/>
            <w:bookmarkEnd w:id="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(Yi), the character which  literally means righteousness in English, is one of the most important moral concept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bookmarkStart w:colFirst="0" w:colLast="0" w:name="3znysh7" w:id="3"/>
            <w:bookmarkEnd w:id="3"/>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appears in the text 111 times in total. According to the concept of Confucianism, the meaning of “義”(Yi) is similar to “宜”</w:t>
            </w:r>
            <w:bookmarkStart w:colFirst="0" w:colLast="0" w:name="2et92p0" w:id="4"/>
            <w:bookmarkEnd w:id="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(Yi), that is, to do the right things even in face of all kinds of difficulties and challenges. The righteous gentlemen recorded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bookmarkStart w:colFirst="0" w:colLast="0" w:name="tyjcwt" w:id="5"/>
            <w:bookmarkEnd w:id="5"/>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were from various social classes, including high-ranking officials, soldiers, merchants, retainers, and so forth. Some of them chosen to commit suicide when doing something wrong, some went to death unflinchingly when resisting enemies. They refused to accept any kinds of ill-gotten wealth, while recommended talents to the monarchs impartially regardless of personal hatred. Their examples are awe-inspiring throughout history. This paper focuses on the  study of literary types of‘Righteous Gentleman’ (Yi Shi 義士）in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We hope with the comprehensive understanding of the righteous gentlemen, people could gain inspirations, strength and courage from them.</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paper will be separated into three chapters: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1 (1200 words)</w:t>
            </w:r>
            <w:bookmarkStart w:colFirst="0" w:colLast="0" w:name="3dy6vkm" w:id="6"/>
            <w:bookmarkEnd w:id="6"/>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This chapter will review the previous study about  this topic and define the concept of  “義” (Yi)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accordance with contextual analysis, explaining the motive of the research.</w:t>
              <w:br w:type="textWrapping"/>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2 (8000 words)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chapter will be separated into several parts, analyzing the different literary types of righteous gentlemen recorded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according to their words and deeds.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3 (800 words)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80"/>
              <w:jc w:val="both"/>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the analysis and research above, it will be shown that the code of behaviour emphasized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 Zhuan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to act according to the principle of   righteousness regardless of any kinds of personal interests. The righteous gentlemen recorded in the text knew well what is just and what is unjust, obeying the moral principles no matter which circumstances they were, so that their words and deeds moved a lot of people throughout history.</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Short Introductory Bibliography:</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1、Du Yu (222-285), Kong Yingda (574-648),</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Chunqiu Zuozhuan Zhengyi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[Annotation on the Notes of Zuo],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Shisanjing Zhushu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Taibei: Yiwen Publishing House, 1955.</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r w:rsidDel="00000000" w:rsidR="00000000" w:rsidRPr="00000000">
              <w:rPr>
                <w:rFonts w:ascii="MingLiU" w:cs="MingLiU" w:eastAsia="MingLiU" w:hAnsi="MingLiU"/>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Fan Ning (about339-401), Tang Shixun,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Chunqiu Guliangzhuan Zhushu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[Annotation on the Notes of Guliang],</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Shisanjing Zhushu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Taibei: Yiwen Publishing House,1955.</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3、He Xiu (129-182), Xu Yan (?),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Chunqiu Gongyangzhuan Zhushu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[Annotation on the Notes of Gongyang],</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Shisanjing Zhushu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Taibei: Yiwen Publishing House,1955.</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4、Lv Zuqian (1137-1181), Wang Mingfei,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Quanben Donglai Boyi Jinyi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[Modern Translation of Donglai Boyi], Lanzhou: Gansu Nationalities Publishing House, 2006.</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5、Ma Su (1621-1673), Xu Lianchen,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Zuozhuan Shiwei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[Event-Focused Compilation of the Notes of Zuo], Jinan: Qilu Publishing House, 1986.</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6、Cheng Faren,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Chunqiu Renpu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[Figure-Focused Compilation of the Notes of Zuo], Taibei: The Commercial Press, 1990.</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7、Wu Kaisheng,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Zuozhuan Wei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Implied Words of the Notes of Zuo], Hefei: Huangshan press, 1995.</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8、Fang Zhaohui,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Chunqiu Zuozhuan Renwupu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[Figure-Focused Study of the Notes of Zuo], Jinan: Qilu Press, 2001.</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9、Li Mengsheng,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Zuozhuan Yizhu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Annotation of the Notes of Zuo], Shanghai: Shanghai Classics Publishing House, 2004.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10、Zhang Gaoping,</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Chunqiu Shufa Yu Zuozhuan Shibi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Rhetoric Research on the Spring and Autumn Annals and the Notes of Zuo], Taibei: Liren Publishing House, 2011.</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br w:type="textWrapping"/>
            </w: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11、Zhang Gaoping,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Yanjiu Zongshu Yu Lunwen Xuanti: Yi Chunqiu Zuozhuan Shiji Songshi Shihua Weili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Summary of  the Previous Research and the Selection of titles of Paper: Examples from the Study about the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Spring and Autumn Annals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Notes of Zuo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the Records of Grand Historian</w:t>
            </w: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the Poetry of Song Dynasty and the Commentary of Poems], Xinzhu：Huayuan Wenchuang Gufen Youxian Gongsi,2017.</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12、Yang Bojun,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Chunqiu Zuozhuan Zhu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Annotation of the Spring and Autumn Annals and the Notes of Zuo], Beijing: Zhonghua Bookshop, 2018.</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13、Tong Shuye,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Chunqiu Zuozhuan Yanjiu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on the Spring and Autumn Annals and the Notes of Zuo], Shanghai: Shanghai People’s Publishing House, 2019.</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ingLiU" w:cs="MingLiU" w:eastAsia="MingLiU" w:hAnsi="MingLiU"/>
                <w:b w:val="0"/>
                <w:i w:val="0"/>
                <w:smallCaps w:val="0"/>
                <w:strike w:val="0"/>
                <w:color w:val="000000"/>
                <w:sz w:val="24"/>
                <w:szCs w:val="24"/>
                <w:u w:val="none"/>
                <w:shd w:fill="auto" w:val="clear"/>
                <w:vertAlign w:val="baseline"/>
                <w:rtl w:val="0"/>
              </w:rPr>
              <w:t xml:space="preserve">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Ji Qingfeng,</w:t>
            </w:r>
            <w:r w:rsidDel="00000000" w:rsidR="00000000" w:rsidRPr="00000000">
              <w:rPr>
                <w:rFonts w:ascii="MingLiU" w:cs="MingLiU" w:eastAsia="MingLiU" w:hAnsi="MingLiU"/>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Zuozhuan Zhongyi Shiguan Yanjiu,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Study of the Concept of Loyalty and Righteousness in the Notes of Zuo], 2005.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ingLiU" w:cs="MingLiU" w:eastAsia="MingLiU" w:hAnsi="MingLiU"/>
                <w:b w:val="0"/>
                <w:i w:val="0"/>
                <w:smallCaps w:val="0"/>
                <w:strike w:val="0"/>
                <w:color w:val="000000"/>
                <w:sz w:val="24"/>
                <w:szCs w:val="24"/>
                <w:u w:val="none"/>
                <w:shd w:fill="auto" w:val="clear"/>
                <w:vertAlign w:val="baseline"/>
              </w:rPr>
            </w:pPr>
            <w:r w:rsidDel="00000000" w:rsidR="00000000" w:rsidRPr="00000000">
              <w:rPr>
                <w:rFonts w:ascii="MingLiU" w:cs="MingLiU" w:eastAsia="MingLiU" w:hAnsi="MingLiU"/>
                <w:b w:val="0"/>
                <w:i w:val="0"/>
                <w:smallCaps w:val="0"/>
                <w:strike w:val="0"/>
                <w:color w:val="000000"/>
                <w:sz w:val="24"/>
                <w:szCs w:val="24"/>
                <w:u w:val="none"/>
                <w:shd w:fill="auto" w:val="clear"/>
                <w:vertAlign w:val="baseline"/>
                <w:rtl w:val="0"/>
              </w:rPr>
              <w:t xml:space="preserve">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Jian Yingyan,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Ming Yu De: Lun Zuozhuan Zhong De Jixiong Huofu,</w:t>
            </w:r>
            <w:r w:rsidDel="00000000" w:rsidR="00000000" w:rsidRPr="00000000">
              <w:rPr>
                <w:rFonts w:ascii="MingLiU" w:cs="MingLiU" w:eastAsia="MingLiU" w:hAnsi="MingLiU"/>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[Destiny and morality - A discussion on the Good Fortune and Bad Luck in the Notes of Zuo], 2009.</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Proposed Supervisor:</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114300" distR="114300">
                  <wp:extent cx="1556385" cy="429895"/>
                  <wp:effectExtent b="0" l="0" r="0" t="0"/>
                  <wp:docPr descr="英文1" id="3" name="image1.png"/>
                  <a:graphic>
                    <a:graphicData uri="http://schemas.openxmlformats.org/drawingml/2006/picture">
                      <pic:pic>
                        <pic:nvPicPr>
                          <pic:cNvPr descr="英文1" id="0" name="image1.png"/>
                          <pic:cNvPicPr preferRelativeResize="0"/>
                        </pic:nvPicPr>
                        <pic:blipFill>
                          <a:blip r:embed="rId8"/>
                          <a:srcRect b="0" l="0" r="0" t="0"/>
                          <a:stretch>
                            <a:fillRect/>
                          </a:stretch>
                        </pic:blipFill>
                        <pic:spPr>
                          <a:xfrm>
                            <a:off x="0" y="0"/>
                            <a:ext cx="1556385" cy="429895"/>
                          </a:xfrm>
                          <a:prstGeom prst="rect"/>
                          <a:ln/>
                        </pic:spPr>
                      </pic:pic>
                    </a:graphicData>
                  </a:graphic>
                </wp:inline>
              </w:drawing>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r>
    </w:tb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indicate whether ethical approval for project is needed – NO</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indicate whether sufficient resources are available for the project – YES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above topic, proposal, and supervisor have been agreed: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Signed : ……………………..Programme Director</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Please return this form to your Programme Director</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footerReference r:id="rId9" w:type="default"/>
      <w:pgSz w:h="15840" w:w="1224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Gungsuh"/>
  <w:font w:name="PMingLiU"/>
  <w:font w:name="Calibri"/>
  <w:font w:name="MingLiU"/>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1816100</wp:posOffset>
              </wp:positionH>
              <wp:positionV relativeFrom="paragraph">
                <wp:posOffset>0</wp:posOffset>
              </wp:positionV>
              <wp:extent cx="1838325" cy="1838325"/>
              <wp:effectExtent b="0" l="0" r="0" t="0"/>
              <wp:wrapNone/>
              <wp:docPr id="1" name=""/>
              <a:graphic>
                <a:graphicData uri="http://schemas.microsoft.com/office/word/2010/wordprocessingShape">
                  <wps:wsp>
                    <wps:cNvSpPr/>
                    <wps:cNvPr id="2" name="Shape 2"/>
                    <wps:spPr>
                      <a:xfrm>
                        <a:off x="4431600" y="2865600"/>
                        <a:ext cx="1828800" cy="182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PAGE  \* MERGEFORMAT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1816100</wp:posOffset>
              </wp:positionH>
              <wp:positionV relativeFrom="paragraph">
                <wp:posOffset>0</wp:posOffset>
              </wp:positionV>
              <wp:extent cx="1838325" cy="1838325"/>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838325" cy="1838325"/>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Feng Lihua, Lu Hao,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Chunqiu Zuoxiu</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Gungsuh" w:cs="Gungsuh" w:eastAsia="Gungsuh" w:hAnsi="Gungsuh"/>
          <w:b w:val="0"/>
          <w:i w:val="0"/>
          <w:smallCaps w:val="0"/>
          <w:strike w:val="0"/>
          <w:color w:val="000000"/>
          <w:sz w:val="18"/>
          <w:szCs w:val="18"/>
          <w:u w:val="none"/>
          <w:shd w:fill="auto" w:val="clear"/>
          <w:vertAlign w:val="baseline"/>
          <w:rtl w:val="0"/>
        </w:rPr>
        <w:t xml:space="preserve">https://www.doc88.com/p-5099806044756.html，2019年12月20日。</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1E5BCA7E29E442ACEA7DE787893430" ma:contentTypeVersion="16" ma:contentTypeDescription="Create a new document." ma:contentTypeScope="" ma:versionID="1205a4f985acac3d965fc15649f6547c">
  <xsd:schema xmlns:xsd="http://www.w3.org/2001/XMLSchema" xmlns:xs="http://www.w3.org/2001/XMLSchema" xmlns:p="http://schemas.microsoft.com/office/2006/metadata/properties" xmlns:ns2="a4c544ec-8a57-4b04-9908-10cfc1a3d94b" xmlns:ns3="ad2e13bf-badd-4d45-afe1-83b4a166ce96" targetNamespace="http://schemas.microsoft.com/office/2006/metadata/properties" ma:root="true" ma:fieldsID="9e0661f74daad27decb6f84ff4a0ae24" ns2:_="" ns3:_="">
    <xsd:import namespace="a4c544ec-8a57-4b04-9908-10cfc1a3d94b"/>
    <xsd:import namespace="ad2e13bf-badd-4d45-afe1-83b4a166ce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c544ec-8a57-4b04-9908-10cfc1a3d9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2e13bf-badd-4d45-afe1-83b4a166ce96"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639a40-bcba-42a2-8db6-f6d8e23b399c}" ma:internalName="TaxCatchAll" ma:showField="CatchAllData" ma:web="ad2e13bf-badd-4d45-afe1-83b4a166ce9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c544ec-8a57-4b04-9908-10cfc1a3d94b">
      <Terms xmlns="http://schemas.microsoft.com/office/infopath/2007/PartnerControls"/>
    </lcf76f155ced4ddcb4097134ff3c332f>
    <TaxCatchAll xmlns="ad2e13bf-badd-4d45-afe1-83b4a166ce96" xsi:nil="true"/>
  </documentManagement>
</p:properties>
</file>

<file path=customXml/itemProps1.xml><?xml version="1.0" encoding="utf-8"?>
<ds:datastoreItem xmlns:ds="http://schemas.openxmlformats.org/officeDocument/2006/customXml" ds:itemID="{45729627-8395-4AA1-9454-ECC159E193D9}"/>
</file>

<file path=customXml/itemProps2.xml><?xml version="1.0" encoding="utf-8"?>
<ds:datastoreItem xmlns:ds="http://schemas.openxmlformats.org/officeDocument/2006/customXml" ds:itemID="{DBDE810E-AD6C-4EAD-9D6B-41E3D2ED87E5}"/>
</file>

<file path=customXml/itemProps3.xml><?xml version="1.0" encoding="utf-8"?>
<ds:datastoreItem xmlns:ds="http://schemas.openxmlformats.org/officeDocument/2006/customXml" ds:itemID="{0CACFEB3-FC35-48E2-B3EA-4D06DF72014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0x010100F71E5BCA7E29E442ACEA7DE787893430</vt:lpwstr>
  </property>
</Properties>
</file>