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330EA47E" w14:textId="77777777" w:rsidR="007C40F3" w:rsidRDefault="007C40F3" w:rsidP="007C40F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Learner’s name: Enya Louise Davies </w:t>
            </w:r>
          </w:p>
          <w:p w14:paraId="53C944AC" w14:textId="77777777" w:rsidR="007C40F3" w:rsidRDefault="007C40F3" w:rsidP="007C40F3">
            <w:pPr>
              <w:overflowPunct/>
              <w:autoSpaceDE/>
              <w:autoSpaceDN/>
              <w:adjustRightInd/>
              <w:ind w:right="-957"/>
              <w:textAlignment w:val="auto"/>
              <w:rPr>
                <w:rFonts w:ascii="Times New Roman" w:hAnsi="Times New Roman" w:cs="Times New Roman"/>
                <w:b/>
                <w:color w:val="auto"/>
                <w:sz w:val="48"/>
              </w:rPr>
            </w:pPr>
          </w:p>
          <w:p w14:paraId="6B5C5E96" w14:textId="77777777" w:rsidR="007C40F3" w:rsidRDefault="007C40F3" w:rsidP="007C40F3">
            <w:pPr>
              <w:overflowPunct/>
              <w:autoSpaceDE/>
              <w:autoSpaceDN/>
              <w:adjustRightInd/>
              <w:ind w:right="-957"/>
              <w:textAlignment w:val="auto"/>
              <w:rPr>
                <w:rFonts w:ascii="Times New Roman" w:hAnsi="Times New Roman" w:cs="Times New Roman"/>
                <w:b/>
                <w:bCs/>
                <w:color w:val="auto"/>
                <w:sz w:val="40"/>
                <w:szCs w:val="40"/>
              </w:rPr>
            </w:pPr>
            <w:r>
              <w:rPr>
                <w:rFonts w:ascii="Times New Roman" w:hAnsi="Times New Roman" w:cs="Times New Roman"/>
                <w:b/>
                <w:color w:val="auto"/>
                <w:sz w:val="48"/>
              </w:rPr>
              <w:t xml:space="preserve">Email address: </w:t>
            </w:r>
            <w:hyperlink r:id="rId11" w:history="1">
              <w:r w:rsidRPr="00E0520F">
                <w:rPr>
                  <w:rStyle w:val="Hyperddolen"/>
                  <w:rFonts w:ascii="Times New Roman" w:hAnsi="Times New Roman" w:cs="Times New Roman"/>
                  <w:b/>
                  <w:bCs/>
                  <w:color w:val="auto"/>
                  <w:sz w:val="40"/>
                  <w:szCs w:val="40"/>
                  <w:u w:val="none"/>
                  <w:shd w:val="clear" w:color="auto" w:fill="FFFFFF"/>
                </w:rPr>
                <w:t>2329848@student.uwtsd.ac.uk</w:t>
              </w:r>
            </w:hyperlink>
            <w:r w:rsidRPr="00E0520F">
              <w:rPr>
                <w:rFonts w:ascii="Times New Roman" w:hAnsi="Times New Roman" w:cs="Times New Roman"/>
                <w:b/>
                <w:bCs/>
                <w:color w:val="auto"/>
                <w:sz w:val="40"/>
                <w:szCs w:val="40"/>
              </w:rPr>
              <w:t xml:space="preserve"> / </w:t>
            </w:r>
          </w:p>
          <w:p w14:paraId="51A5941B" w14:textId="2EF782B2" w:rsidR="007C40F3" w:rsidRPr="000752BD" w:rsidRDefault="00000000" w:rsidP="007C40F3">
            <w:pPr>
              <w:overflowPunct/>
              <w:autoSpaceDE/>
              <w:autoSpaceDN/>
              <w:adjustRightInd/>
              <w:ind w:right="-957"/>
              <w:textAlignment w:val="auto"/>
              <w:rPr>
                <w:rFonts w:ascii="Times New Roman" w:hAnsi="Times New Roman" w:cs="Times New Roman"/>
                <w:b/>
                <w:color w:val="auto"/>
                <w:sz w:val="48"/>
              </w:rPr>
            </w:pPr>
            <w:hyperlink r:id="rId12" w:history="1">
              <w:r w:rsidR="007C40F3" w:rsidRPr="000752BD">
                <w:rPr>
                  <w:rStyle w:val="Hyperddolen"/>
                  <w:rFonts w:ascii="Times New Roman" w:hAnsi="Times New Roman" w:cs="Times New Roman"/>
                  <w:b/>
                  <w:bCs/>
                  <w:color w:val="auto"/>
                  <w:sz w:val="40"/>
                  <w:szCs w:val="40"/>
                  <w:u w:val="none"/>
                </w:rPr>
                <w:t>enyaldavies@icloud.com</w:t>
              </w:r>
            </w:hyperlink>
            <w:r w:rsidR="00FB4C9F">
              <w:rPr>
                <w:rStyle w:val="Hyperddolen"/>
                <w:rFonts w:ascii="Times New Roman" w:hAnsi="Times New Roman" w:cs="Times New Roman"/>
                <w:b/>
                <w:bCs/>
                <w:color w:val="auto"/>
                <w:sz w:val="40"/>
                <w:szCs w:val="40"/>
                <w:u w:val="none"/>
              </w:rPr>
              <w:t xml:space="preserve"> </w:t>
            </w:r>
          </w:p>
          <w:p w14:paraId="582FB423" w14:textId="77777777" w:rsidR="007C40F3" w:rsidRDefault="007C40F3" w:rsidP="007C40F3">
            <w:pPr>
              <w:overflowPunct/>
              <w:autoSpaceDE/>
              <w:autoSpaceDN/>
              <w:adjustRightInd/>
              <w:ind w:right="-957"/>
              <w:textAlignment w:val="auto"/>
              <w:rPr>
                <w:rFonts w:ascii="Times New Roman" w:hAnsi="Times New Roman" w:cs="Times New Roman"/>
                <w:b/>
                <w:color w:val="auto"/>
                <w:sz w:val="48"/>
              </w:rPr>
            </w:pPr>
          </w:p>
          <w:p w14:paraId="391E84DF" w14:textId="77777777" w:rsidR="007C40F3" w:rsidRDefault="007C40F3" w:rsidP="007C40F3">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p>
          <w:p w14:paraId="62DC36E7" w14:textId="77777777" w:rsidR="007C40F3" w:rsidRDefault="007C40F3" w:rsidP="007C40F3">
            <w:pPr>
              <w:overflowPunct/>
              <w:autoSpaceDE/>
              <w:autoSpaceDN/>
              <w:adjustRightInd/>
              <w:ind w:right="-957"/>
              <w:textAlignment w:val="auto"/>
              <w:rPr>
                <w:rFonts w:ascii="Times New Roman" w:hAnsi="Times New Roman" w:cs="Times New Roman"/>
                <w:b/>
                <w:color w:val="auto"/>
                <w:sz w:val="48"/>
              </w:rPr>
            </w:pPr>
            <w:r w:rsidRPr="00F8091A">
              <w:rPr>
                <w:rFonts w:ascii="Times New Roman" w:hAnsi="Times New Roman" w:cs="Times New Roman"/>
                <w:b/>
                <w:color w:val="auto"/>
                <w:sz w:val="48"/>
              </w:rPr>
              <w:t>2329848</w:t>
            </w:r>
          </w:p>
          <w:p w14:paraId="3533183B" w14:textId="77777777" w:rsidR="007C40F3" w:rsidRPr="005D3F07" w:rsidRDefault="007C40F3" w:rsidP="007C40F3">
            <w:pPr>
              <w:overflowPunct/>
              <w:autoSpaceDE/>
              <w:autoSpaceDN/>
              <w:adjustRightInd/>
              <w:ind w:right="-957"/>
              <w:textAlignment w:val="auto"/>
              <w:rPr>
                <w:rFonts w:ascii="Times New Roman" w:hAnsi="Times New Roman" w:cs="Times New Roman"/>
                <w:b/>
                <w:color w:val="auto"/>
                <w:sz w:val="48"/>
              </w:rPr>
            </w:pPr>
          </w:p>
          <w:p w14:paraId="5F84129B" w14:textId="043560E2" w:rsidR="0085230E" w:rsidRPr="005D3F07" w:rsidRDefault="007C40F3" w:rsidP="007C40F3">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Pr>
                <w:rFonts w:ascii="Times New Roman" w:hAnsi="Times New Roman" w:cs="Times New Roman"/>
                <w:b/>
                <w:color w:val="auto"/>
                <w:sz w:val="48"/>
              </w:rPr>
              <w:t>21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1F1A57CB" w14:textId="1450D27B" w:rsidR="00A8709F" w:rsidRPr="00A8709F" w:rsidRDefault="00A8709F" w:rsidP="00A8709F">
            <w:pPr>
              <w:spacing w:line="276" w:lineRule="auto"/>
              <w:jc w:val="both"/>
              <w:rPr>
                <w:sz w:val="24"/>
                <w:szCs w:val="24"/>
              </w:rPr>
            </w:pPr>
            <w:bookmarkStart w:id="0" w:name="_Hlk190840511"/>
            <w:r w:rsidRPr="00A8709F">
              <w:rPr>
                <w:sz w:val="24"/>
                <w:szCs w:val="24"/>
              </w:rPr>
              <w:t xml:space="preserve">Although my primary area of practice is adult mental health, I am also familiar with legislation, including national, local, and organisational policies related to safeguarding children. This knowledge stems from previous experience working within the local authority’s children and families department, where my role focused on safeguarding and child protection. </w:t>
            </w:r>
          </w:p>
          <w:p w14:paraId="50A6CE87" w14:textId="77777777" w:rsidR="00A8709F" w:rsidRPr="00A8709F" w:rsidRDefault="00A8709F" w:rsidP="00A8709F">
            <w:pPr>
              <w:spacing w:line="276" w:lineRule="auto"/>
              <w:jc w:val="both"/>
              <w:rPr>
                <w:sz w:val="24"/>
                <w:szCs w:val="24"/>
              </w:rPr>
            </w:pPr>
          </w:p>
          <w:p w14:paraId="3FBAD5DA" w14:textId="472522A0" w:rsidR="00A8709F" w:rsidRPr="00A8709F" w:rsidRDefault="00A8709F" w:rsidP="00A8709F">
            <w:pPr>
              <w:spacing w:line="276" w:lineRule="auto"/>
              <w:jc w:val="both"/>
              <w:rPr>
                <w:sz w:val="24"/>
                <w:szCs w:val="24"/>
              </w:rPr>
            </w:pPr>
            <w:bookmarkStart w:id="1" w:name="_Hlk190842879"/>
            <w:r w:rsidRPr="00A8709F">
              <w:rPr>
                <w:sz w:val="24"/>
                <w:szCs w:val="24"/>
              </w:rPr>
              <w:t>The Social Services and Wellbeing (Wales) Act (2014) is the primary safeguarding legislation in Wales; Part 7 of the Act (SSWBA, 2014) places a statutory duty on all professionals to work collaboratively to safeguard both adults and children at risk of harm in the form of abuse and/or neglect</w:t>
            </w:r>
            <w:bookmarkEnd w:id="0"/>
            <w:r w:rsidRPr="00A8709F">
              <w:rPr>
                <w:sz w:val="24"/>
                <w:szCs w:val="24"/>
              </w:rPr>
              <w:t>. The definition of a ‘child at risk’ per the Social Services and Wellbeing (Wales) Act (2014) can be found under Section 130(4)</w:t>
            </w:r>
            <w:r w:rsidR="00A834DD">
              <w:rPr>
                <w:sz w:val="24"/>
                <w:szCs w:val="24"/>
              </w:rPr>
              <w:t xml:space="preserve">, </w:t>
            </w:r>
            <w:r w:rsidRPr="00A8709F">
              <w:rPr>
                <w:sz w:val="24"/>
                <w:szCs w:val="24"/>
              </w:rPr>
              <w:t>and is described as “a</w:t>
            </w:r>
            <w:r w:rsidRPr="00A8709F">
              <w:rPr>
                <w:rStyle w:val="Pwyslais"/>
                <w:sz w:val="24"/>
                <w:szCs w:val="24"/>
              </w:rPr>
              <w:t xml:space="preserve"> child who is experiencing or is at risk of abuse, neglect, or other kinds of harm, and who has care and support needs (whether or not the local authority is currently meeting those needs)</w:t>
            </w:r>
            <w:r w:rsidRPr="00A8709F">
              <w:rPr>
                <w:sz w:val="24"/>
                <w:szCs w:val="24"/>
              </w:rPr>
              <w:t xml:space="preserve"> (Social Services and Wellbeing Wales Act, 2014).</w:t>
            </w:r>
            <w:r>
              <w:rPr>
                <w:sz w:val="24"/>
                <w:szCs w:val="24"/>
              </w:rPr>
              <w:t xml:space="preserve"> </w:t>
            </w:r>
            <w:r w:rsidRPr="00A8709F">
              <w:rPr>
                <w:sz w:val="24"/>
                <w:szCs w:val="24"/>
              </w:rPr>
              <w:t xml:space="preserve">The Act (SSWBA, 2014) strongly focuses on prevention and intervention </w:t>
            </w:r>
            <w:r w:rsidR="00BA4C89">
              <w:rPr>
                <w:sz w:val="24"/>
                <w:szCs w:val="24"/>
              </w:rPr>
              <w:t xml:space="preserve">as crucial components within social work practice, </w:t>
            </w:r>
            <w:r w:rsidRPr="00A8709F">
              <w:rPr>
                <w:sz w:val="24"/>
                <w:szCs w:val="24"/>
              </w:rPr>
              <w:t xml:space="preserve">to ensure </w:t>
            </w:r>
            <w:r w:rsidR="00BA4C89">
              <w:rPr>
                <w:sz w:val="24"/>
                <w:szCs w:val="24"/>
              </w:rPr>
              <w:t xml:space="preserve">the provision of person-centred care and support to </w:t>
            </w:r>
            <w:r w:rsidRPr="00A8709F">
              <w:rPr>
                <w:sz w:val="24"/>
                <w:szCs w:val="24"/>
              </w:rPr>
              <w:t xml:space="preserve">children and families to avoid escalating </w:t>
            </w:r>
            <w:r w:rsidR="00BA4C89">
              <w:rPr>
                <w:sz w:val="24"/>
                <w:szCs w:val="24"/>
              </w:rPr>
              <w:t>safeguarding concerns</w:t>
            </w:r>
            <w:r w:rsidRPr="00A8709F">
              <w:rPr>
                <w:sz w:val="24"/>
                <w:szCs w:val="24"/>
              </w:rPr>
              <w:t xml:space="preserve">. </w:t>
            </w:r>
            <w:r w:rsidR="00BA4C89">
              <w:rPr>
                <w:sz w:val="24"/>
                <w:szCs w:val="24"/>
              </w:rPr>
              <w:t xml:space="preserve">This is in alignment with the Act’s (SSWBA, 2014) principles which emphasizes the importance of wellbeing, empowerment, and co-production to enhance family support and resilience.  </w:t>
            </w:r>
          </w:p>
          <w:p w14:paraId="2A4DEB55" w14:textId="38A03FAF" w:rsidR="00A8709F" w:rsidRPr="00A8709F" w:rsidRDefault="00A8709F" w:rsidP="00A8709F">
            <w:pPr>
              <w:spacing w:line="276" w:lineRule="auto"/>
              <w:jc w:val="both"/>
              <w:rPr>
                <w:sz w:val="24"/>
                <w:szCs w:val="24"/>
              </w:rPr>
            </w:pPr>
          </w:p>
          <w:p w14:paraId="0A49F100" w14:textId="77777777" w:rsidR="00A8709F" w:rsidRPr="00A8709F" w:rsidRDefault="00A8709F" w:rsidP="00A8709F">
            <w:pPr>
              <w:spacing w:line="276" w:lineRule="auto"/>
              <w:jc w:val="both"/>
              <w:rPr>
                <w:sz w:val="24"/>
                <w:szCs w:val="24"/>
              </w:rPr>
            </w:pPr>
          </w:p>
          <w:p w14:paraId="51AF4DAA" w14:textId="1FFD140E" w:rsidR="00A8709F" w:rsidRPr="00A8709F" w:rsidRDefault="00A8709F" w:rsidP="00A8709F">
            <w:pPr>
              <w:spacing w:line="276" w:lineRule="auto"/>
              <w:jc w:val="both"/>
              <w:rPr>
                <w:sz w:val="24"/>
                <w:szCs w:val="24"/>
              </w:rPr>
            </w:pPr>
            <w:r w:rsidRPr="00A8709F">
              <w:rPr>
                <w:sz w:val="24"/>
                <w:szCs w:val="24"/>
              </w:rPr>
              <w:t xml:space="preserve">The experiences I gained during my time in children’s services have reinforced the importance of multi-agency collaboration in the context of safeguarding children; </w:t>
            </w:r>
            <w:r w:rsidR="00BA4C89">
              <w:rPr>
                <w:sz w:val="24"/>
                <w:szCs w:val="24"/>
              </w:rPr>
              <w:t xml:space="preserve">a concept that is </w:t>
            </w:r>
            <w:r w:rsidRPr="00A8709F">
              <w:rPr>
                <w:sz w:val="24"/>
                <w:szCs w:val="24"/>
              </w:rPr>
              <w:t xml:space="preserve">highlighted within the Wales Safeguarding Procedures (2019). This framework highlights the vitality of collaboration between social workers, health professionals, the education system, and the police to protect children from harm, abuse and/or neglect (Wales Safeguarding </w:t>
            </w:r>
            <w:r w:rsidRPr="00A8709F">
              <w:rPr>
                <w:sz w:val="24"/>
                <w:szCs w:val="24"/>
              </w:rPr>
              <w:lastRenderedPageBreak/>
              <w:t xml:space="preserve">Procedures, 2019). This is also emphasised within statutory frameworks such as the Working Together to Safeguard Children (2018) and Working Together to Safeguard People (2016); which underscores best practices for multi-agency working, such as effective communication between services as a crucial factor in ensuring that risk of harm to children is addressed accordingly (Welsh Government 2016; 2018). This guidance (Working Together to Safeguard Children, 2018) provides a framework for safeguarding practices across England and Wales. </w:t>
            </w:r>
          </w:p>
          <w:p w14:paraId="4D43433B" w14:textId="77777777" w:rsidR="00A8709F" w:rsidRPr="00A8709F" w:rsidRDefault="00A8709F" w:rsidP="00A8709F">
            <w:pPr>
              <w:spacing w:line="276" w:lineRule="auto"/>
              <w:jc w:val="both"/>
              <w:rPr>
                <w:sz w:val="24"/>
                <w:szCs w:val="24"/>
              </w:rPr>
            </w:pPr>
          </w:p>
          <w:p w14:paraId="28770B6C" w14:textId="06740207" w:rsidR="00A8709F" w:rsidRPr="00A8709F" w:rsidRDefault="00A8709F" w:rsidP="00A8709F">
            <w:pPr>
              <w:pStyle w:val="NormalGwe"/>
              <w:spacing w:line="276" w:lineRule="auto"/>
              <w:jc w:val="both"/>
              <w:rPr>
                <w:rFonts w:ascii="Arial" w:hAnsi="Arial" w:cs="Arial"/>
              </w:rPr>
            </w:pPr>
            <w:r w:rsidRPr="00A8709F">
              <w:rPr>
                <w:rFonts w:ascii="Arial" w:hAnsi="Arial" w:cs="Arial"/>
              </w:rPr>
              <w:t xml:space="preserve">I am aware that the safeguarding process concerning children involves several key stages in practice; early identification of risk factors, referral to social services, multi-agency assessment to determine risk(s) and necessary intervention(s), strategy discussions and child case conferences to develop safeguarding plans, and where necessary, and the implementation of a child protection plan, when a child is at risk of significant harm. These steps ensure that concerns are adequately assessed and that interventions are proportional to the level of risk posed (Horwath, 2007). My knowledge of organisational safeguarding policies has also broadened my understanding of how child protection is operationalised in practice; local authorities must adhere to statutory guidance, such as the Children Act (1989), whilst also implementing internal safeguarding procedures to ensure adequate referral pathways, which include timely risk assessments and child-centred intervention(s) (Children Act, 1989; Social Services and Wellbeing Wales Act, 2014). </w:t>
            </w:r>
          </w:p>
          <w:bookmarkEnd w:id="1"/>
          <w:p w14:paraId="49641ACD" w14:textId="77777777" w:rsidR="00FC0334" w:rsidRDefault="00FC0334" w:rsidP="00FF7EBB">
            <w:pPr>
              <w:jc w:val="both"/>
              <w:rPr>
                <w:sz w:val="24"/>
                <w:szCs w:val="24"/>
              </w:rPr>
            </w:pPr>
          </w:p>
          <w:p w14:paraId="60D8C669" w14:textId="471CE3D5" w:rsidR="00FC0334" w:rsidRPr="00BA4C89" w:rsidRDefault="00BA4C89" w:rsidP="00FF7EBB">
            <w:pPr>
              <w:jc w:val="both"/>
              <w:rPr>
                <w:i/>
                <w:iCs/>
                <w:sz w:val="24"/>
                <w:szCs w:val="24"/>
              </w:rPr>
            </w:pPr>
            <w:r w:rsidRPr="00BA4C89">
              <w:rPr>
                <w:i/>
                <w:iCs/>
                <w:sz w:val="24"/>
                <w:szCs w:val="24"/>
              </w:rPr>
              <w:t>(4</w:t>
            </w:r>
            <w:r w:rsidR="00A834DD">
              <w:rPr>
                <w:i/>
                <w:iCs/>
                <w:sz w:val="24"/>
                <w:szCs w:val="24"/>
              </w:rPr>
              <w:t>58</w:t>
            </w:r>
            <w:r w:rsidRPr="00BA4C89">
              <w:rPr>
                <w:i/>
                <w:iCs/>
                <w:sz w:val="24"/>
                <w:szCs w:val="24"/>
              </w:rPr>
              <w:t xml:space="preserve"> words)</w:t>
            </w: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2BC1C6C1" w14:textId="77777777" w:rsidR="00413D84" w:rsidRPr="00C120C8" w:rsidRDefault="00413D84" w:rsidP="00413D84">
            <w:pPr>
              <w:spacing w:line="276" w:lineRule="auto"/>
              <w:jc w:val="both"/>
              <w:rPr>
                <w:sz w:val="24"/>
                <w:szCs w:val="24"/>
              </w:rPr>
            </w:pPr>
          </w:p>
          <w:p w14:paraId="43F2B17B" w14:textId="77777777" w:rsidR="00413D84" w:rsidRPr="00C120C8" w:rsidRDefault="00413D84" w:rsidP="00413D84">
            <w:pPr>
              <w:spacing w:line="276" w:lineRule="auto"/>
              <w:jc w:val="both"/>
              <w:rPr>
                <w:sz w:val="24"/>
                <w:szCs w:val="24"/>
              </w:rPr>
            </w:pPr>
          </w:p>
          <w:p w14:paraId="508F8D94" w14:textId="7A81B6A8" w:rsidR="00413D84" w:rsidRPr="00C120C8" w:rsidRDefault="00413D84" w:rsidP="00413D84">
            <w:pPr>
              <w:spacing w:line="276" w:lineRule="auto"/>
              <w:jc w:val="both"/>
              <w:rPr>
                <w:sz w:val="24"/>
                <w:szCs w:val="24"/>
              </w:rPr>
            </w:pPr>
            <w:r w:rsidRPr="00C120C8">
              <w:rPr>
                <w:color w:val="000000" w:themeColor="text1"/>
                <w:sz w:val="24"/>
                <w:szCs w:val="24"/>
              </w:rPr>
              <w:t xml:space="preserve">Safeguarding duties and/or procedures for adults and children are underpinned by the Social Service and Wellbeing (Wales) Act (2014) and the Wales Safeguarding Procedures (2019). </w:t>
            </w:r>
            <w:r w:rsidRPr="00C120C8">
              <w:rPr>
                <w:sz w:val="24"/>
                <w:szCs w:val="24"/>
              </w:rPr>
              <w:t xml:space="preserve">Whilst the process of safeguarding both adults and children </w:t>
            </w:r>
            <w:r>
              <w:rPr>
                <w:sz w:val="24"/>
                <w:szCs w:val="24"/>
              </w:rPr>
              <w:t>requires</w:t>
            </w:r>
            <w:r w:rsidRPr="00C120C8">
              <w:rPr>
                <w:sz w:val="24"/>
                <w:szCs w:val="24"/>
              </w:rPr>
              <w:t xml:space="preserve"> professionals to work collaboratively for </w:t>
            </w:r>
            <w:r>
              <w:rPr>
                <w:sz w:val="24"/>
                <w:szCs w:val="24"/>
              </w:rPr>
              <w:t xml:space="preserve">the </w:t>
            </w:r>
            <w:r w:rsidRPr="00C120C8">
              <w:rPr>
                <w:sz w:val="24"/>
                <w:szCs w:val="24"/>
              </w:rPr>
              <w:t xml:space="preserve">purpose of ensuring a co-ordinated effort between agencies to assess risk(s), provide intervention and ensure that the welfare of adults and children are protected, there are some key differences </w:t>
            </w:r>
            <w:r w:rsidRPr="00C120C8">
              <w:rPr>
                <w:rStyle w:val="Cryf"/>
                <w:b w:val="0"/>
                <w:bCs w:val="0"/>
                <w:sz w:val="24"/>
                <w:szCs w:val="24"/>
              </w:rPr>
              <w:t xml:space="preserve">in how safeguarding practices are operationalised in social work practice. It is important that as a social worker, I demonstrate an ability to </w:t>
            </w:r>
            <w:r w:rsidRPr="00C120C8">
              <w:rPr>
                <w:sz w:val="24"/>
                <w:szCs w:val="24"/>
              </w:rPr>
              <w:t xml:space="preserve">navigate these differences while ensuring that safeguarding processes remain </w:t>
            </w:r>
            <w:r w:rsidRPr="00C120C8">
              <w:rPr>
                <w:rStyle w:val="Cryf"/>
                <w:b w:val="0"/>
                <w:bCs w:val="0"/>
                <w:sz w:val="24"/>
                <w:szCs w:val="24"/>
              </w:rPr>
              <w:t>ethical, lawful, and person-centred, per the Code of Professional Practice for Social Care (Social Care Wales, 2017) and the</w:t>
            </w:r>
            <w:r w:rsidRPr="00C120C8">
              <w:rPr>
                <w:rStyle w:val="Cryf"/>
                <w:sz w:val="24"/>
                <w:szCs w:val="24"/>
              </w:rPr>
              <w:t xml:space="preserve"> </w:t>
            </w:r>
            <w:r w:rsidRPr="00C120C8">
              <w:rPr>
                <w:color w:val="000000" w:themeColor="text1"/>
                <w:sz w:val="24"/>
                <w:szCs w:val="24"/>
              </w:rPr>
              <w:t xml:space="preserve">Social Service and Wellbeing (Wales) Act (2014). </w:t>
            </w:r>
          </w:p>
          <w:p w14:paraId="2E375510" w14:textId="77777777" w:rsidR="00413D84" w:rsidRPr="00C120C8" w:rsidRDefault="00413D84" w:rsidP="00413D84">
            <w:pPr>
              <w:spacing w:line="276" w:lineRule="auto"/>
              <w:jc w:val="both"/>
              <w:rPr>
                <w:sz w:val="24"/>
                <w:szCs w:val="24"/>
              </w:rPr>
            </w:pPr>
          </w:p>
          <w:p w14:paraId="1BC708AD" w14:textId="77777777" w:rsidR="00413D84" w:rsidRPr="00C120C8" w:rsidRDefault="00413D84" w:rsidP="00413D84">
            <w:pPr>
              <w:spacing w:line="276" w:lineRule="auto"/>
              <w:jc w:val="both"/>
              <w:rPr>
                <w:sz w:val="24"/>
                <w:szCs w:val="24"/>
              </w:rPr>
            </w:pPr>
          </w:p>
          <w:p w14:paraId="3DA4A1B9" w14:textId="0C8EC695" w:rsidR="00413D84" w:rsidRPr="00C120C8" w:rsidRDefault="00413D84" w:rsidP="00413D84">
            <w:pPr>
              <w:spacing w:line="276" w:lineRule="auto"/>
              <w:jc w:val="both"/>
              <w:rPr>
                <w:sz w:val="24"/>
                <w:szCs w:val="24"/>
              </w:rPr>
            </w:pPr>
            <w:r w:rsidRPr="00C120C8">
              <w:rPr>
                <w:sz w:val="24"/>
                <w:szCs w:val="24"/>
              </w:rPr>
              <w:t xml:space="preserve">One of the differences I have noticed is that the application of safety measures under safeguarding practice differs significantly based on autonomy, </w:t>
            </w:r>
            <w:r w:rsidRPr="00C120C8">
              <w:rPr>
                <w:sz w:val="24"/>
                <w:szCs w:val="24"/>
              </w:rPr>
              <w:t>capacity,</w:t>
            </w:r>
            <w:r w:rsidRPr="00C120C8">
              <w:rPr>
                <w:sz w:val="24"/>
                <w:szCs w:val="24"/>
              </w:rPr>
              <w:t xml:space="preserve"> and thresholds for intervention. Whilst child safeguarding processes tend to be proactive and focused on statutory intervention to protect a child’s welfare (Children Act, 1989), the Adult safeguarding process emphasizes a person-centred and strengths-based approach; ensuring that adults </w:t>
            </w:r>
            <w:r w:rsidRPr="00C120C8">
              <w:rPr>
                <w:rStyle w:val="Cryf"/>
                <w:b w:val="0"/>
                <w:bCs w:val="0"/>
                <w:sz w:val="24"/>
                <w:szCs w:val="24"/>
              </w:rPr>
              <w:t>retain autonomy</w:t>
            </w:r>
            <w:r w:rsidRPr="00C120C8">
              <w:rPr>
                <w:sz w:val="24"/>
                <w:szCs w:val="24"/>
              </w:rPr>
              <w:t xml:space="preserve"> over decisions affecting their safety unless they </w:t>
            </w:r>
            <w:r w:rsidRPr="00C120C8">
              <w:rPr>
                <w:rStyle w:val="Cryf"/>
                <w:b w:val="0"/>
                <w:bCs w:val="0"/>
                <w:sz w:val="24"/>
                <w:szCs w:val="24"/>
              </w:rPr>
              <w:t>lack capacity</w:t>
            </w:r>
            <w:r w:rsidRPr="00C120C8">
              <w:rPr>
                <w:sz w:val="24"/>
                <w:szCs w:val="24"/>
              </w:rPr>
              <w:t xml:space="preserve"> or are subject to </w:t>
            </w:r>
            <w:r w:rsidRPr="00C120C8">
              <w:rPr>
                <w:rStyle w:val="Cryf"/>
                <w:b w:val="0"/>
                <w:bCs w:val="0"/>
                <w:sz w:val="24"/>
                <w:szCs w:val="24"/>
              </w:rPr>
              <w:t>coercion</w:t>
            </w:r>
            <w:r w:rsidRPr="00C120C8">
              <w:rPr>
                <w:sz w:val="24"/>
                <w:szCs w:val="24"/>
              </w:rPr>
              <w:t xml:space="preserve"> (Mental Capacity Act, 2005). Thus, the local authority can act in the best interests of the child, in the absence of parental consent and/or agreement, if there is evidence to suggest that the child is at risk of significant harm (</w:t>
            </w:r>
            <w:r w:rsidRPr="00C120C8">
              <w:rPr>
                <w:rStyle w:val="Cryf"/>
                <w:b w:val="0"/>
                <w:bCs w:val="0"/>
                <w:sz w:val="24"/>
                <w:szCs w:val="24"/>
              </w:rPr>
              <w:t>Children Act 1989, Section 47</w:t>
            </w:r>
            <w:r w:rsidRPr="00C120C8">
              <w:rPr>
                <w:sz w:val="24"/>
                <w:szCs w:val="24"/>
              </w:rPr>
              <w:t xml:space="preserve">). </w:t>
            </w:r>
          </w:p>
          <w:p w14:paraId="6FDD1DFB" w14:textId="77777777" w:rsidR="00413D84" w:rsidRPr="00C120C8" w:rsidRDefault="00413D84" w:rsidP="00413D84">
            <w:pPr>
              <w:spacing w:line="276" w:lineRule="auto"/>
              <w:jc w:val="both"/>
              <w:rPr>
                <w:sz w:val="24"/>
                <w:szCs w:val="24"/>
              </w:rPr>
            </w:pPr>
          </w:p>
          <w:p w14:paraId="10D415FB" w14:textId="77777777" w:rsidR="00413D84" w:rsidRPr="00C120C8" w:rsidRDefault="00413D84" w:rsidP="00413D84">
            <w:pPr>
              <w:spacing w:line="276" w:lineRule="auto"/>
              <w:jc w:val="both"/>
              <w:rPr>
                <w:b/>
                <w:bCs/>
                <w:sz w:val="24"/>
                <w:szCs w:val="24"/>
              </w:rPr>
            </w:pPr>
            <w:r w:rsidRPr="00C120C8">
              <w:rPr>
                <w:sz w:val="24"/>
                <w:szCs w:val="24"/>
              </w:rPr>
              <w:t xml:space="preserve">However, adult </w:t>
            </w:r>
            <w:r w:rsidRPr="00C120C8">
              <w:rPr>
                <w:rStyle w:val="Cryf"/>
                <w:b w:val="0"/>
                <w:bCs w:val="0"/>
                <w:sz w:val="24"/>
                <w:szCs w:val="24"/>
              </w:rPr>
              <w:t>safeguarding</w:t>
            </w:r>
            <w:r w:rsidRPr="00C120C8">
              <w:rPr>
                <w:sz w:val="24"/>
                <w:szCs w:val="24"/>
              </w:rPr>
              <w:t xml:space="preserve"> is framed around </w:t>
            </w:r>
            <w:r w:rsidRPr="00C120C8">
              <w:rPr>
                <w:rStyle w:val="Cryf"/>
                <w:b w:val="0"/>
                <w:bCs w:val="0"/>
                <w:sz w:val="24"/>
                <w:szCs w:val="24"/>
              </w:rPr>
              <w:t>choice, consent, and empowerment</w:t>
            </w:r>
            <w:r w:rsidRPr="00C120C8">
              <w:rPr>
                <w:sz w:val="24"/>
                <w:szCs w:val="24"/>
              </w:rPr>
              <w:t xml:space="preserve"> unless the adult </w:t>
            </w:r>
            <w:r w:rsidRPr="00C120C8">
              <w:rPr>
                <w:rStyle w:val="Cryf"/>
                <w:b w:val="0"/>
                <w:bCs w:val="0"/>
                <w:sz w:val="24"/>
                <w:szCs w:val="24"/>
              </w:rPr>
              <w:t>lacks capacity</w:t>
            </w:r>
            <w:r w:rsidRPr="00C120C8">
              <w:rPr>
                <w:sz w:val="24"/>
                <w:szCs w:val="24"/>
              </w:rPr>
              <w:t xml:space="preserve"> and this is established following a comprehensive assessment under the guidance of the Mental Capacity Act (2005) (Preston-Shoot, 2020). Therefore, if an Adult has been deemed at risk per S126 of the Social Service and Wellbeing (Wales) Act (2014), the adult has a right to decline services and/or support, unless it has been established that their decision-making </w:t>
            </w:r>
            <w:r>
              <w:rPr>
                <w:sz w:val="24"/>
                <w:szCs w:val="24"/>
              </w:rPr>
              <w:t>concerning</w:t>
            </w:r>
            <w:r w:rsidRPr="00C120C8">
              <w:rPr>
                <w:sz w:val="24"/>
                <w:szCs w:val="24"/>
              </w:rPr>
              <w:t xml:space="preserve"> intervention is impaired per the Mental Capacity Act (2005). This limits safeguarding intervention unless a legal framework such as a </w:t>
            </w:r>
            <w:r w:rsidRPr="00C120C8">
              <w:rPr>
                <w:rStyle w:val="Cryf"/>
                <w:b w:val="0"/>
                <w:bCs w:val="0"/>
                <w:sz w:val="24"/>
                <w:szCs w:val="24"/>
              </w:rPr>
              <w:t>Deprivation of Liberty Safeguards (DoLS) order</w:t>
            </w:r>
            <w:r w:rsidRPr="00C120C8">
              <w:rPr>
                <w:sz w:val="24"/>
                <w:szCs w:val="24"/>
              </w:rPr>
              <w:t xml:space="preserve"> is applied (Mental Capacity Act, 2005). This distinction reflects the importance of the </w:t>
            </w:r>
            <w:r w:rsidRPr="00C120C8">
              <w:rPr>
                <w:rStyle w:val="Cryf"/>
                <w:b w:val="0"/>
                <w:bCs w:val="0"/>
                <w:sz w:val="24"/>
                <w:szCs w:val="24"/>
              </w:rPr>
              <w:t>human rights-based approach;</w:t>
            </w:r>
            <w:r w:rsidRPr="00C120C8">
              <w:rPr>
                <w:sz w:val="24"/>
                <w:szCs w:val="24"/>
              </w:rPr>
              <w:t xml:space="preserve"> outlined in the </w:t>
            </w:r>
            <w:r w:rsidRPr="00C120C8">
              <w:rPr>
                <w:rStyle w:val="Cryf"/>
                <w:b w:val="0"/>
                <w:bCs w:val="0"/>
                <w:sz w:val="24"/>
                <w:szCs w:val="24"/>
              </w:rPr>
              <w:t>United Nations Convention on the Rights of Persons with Disabilities (UNCRPD, 2006)</w:t>
            </w:r>
            <w:r w:rsidRPr="00C120C8">
              <w:rPr>
                <w:sz w:val="24"/>
                <w:szCs w:val="24"/>
              </w:rPr>
              <w:t>.</w:t>
            </w:r>
          </w:p>
          <w:p w14:paraId="335BF1F6" w14:textId="77777777" w:rsidR="00413D84" w:rsidRPr="00C120C8" w:rsidRDefault="00413D84" w:rsidP="00413D84">
            <w:pPr>
              <w:spacing w:line="276" w:lineRule="auto"/>
              <w:jc w:val="both"/>
              <w:rPr>
                <w:sz w:val="24"/>
                <w:szCs w:val="24"/>
              </w:rPr>
            </w:pPr>
          </w:p>
          <w:p w14:paraId="67E7ED72" w14:textId="18ACCBC0" w:rsidR="00FC0334" w:rsidRPr="00413D84" w:rsidRDefault="00413D84" w:rsidP="00FC0334">
            <w:pPr>
              <w:jc w:val="both"/>
              <w:rPr>
                <w:i/>
                <w:iCs/>
                <w:sz w:val="24"/>
                <w:szCs w:val="24"/>
              </w:rPr>
            </w:pPr>
            <w:r w:rsidRPr="00413D84">
              <w:rPr>
                <w:i/>
                <w:iCs/>
                <w:sz w:val="24"/>
                <w:szCs w:val="24"/>
              </w:rPr>
              <w:t>(3</w:t>
            </w:r>
            <w:r>
              <w:rPr>
                <w:i/>
                <w:iCs/>
                <w:sz w:val="24"/>
                <w:szCs w:val="24"/>
              </w:rPr>
              <w:t>80</w:t>
            </w:r>
            <w:r w:rsidRPr="00413D84">
              <w:rPr>
                <w:i/>
                <w:iCs/>
                <w:sz w:val="24"/>
                <w:szCs w:val="24"/>
              </w:rPr>
              <w:t xml:space="preserve"> words)</w:t>
            </w:r>
          </w:p>
          <w:p w14:paraId="478D2F84"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7DAE70" w14:textId="77777777" w:rsidR="00EE06C5" w:rsidRDefault="00EE06C5">
      <w:r>
        <w:separator/>
      </w:r>
    </w:p>
  </w:endnote>
  <w:endnote w:type="continuationSeparator" w:id="0">
    <w:p w14:paraId="27C07A94" w14:textId="77777777" w:rsidR="00EE06C5" w:rsidRDefault="00EE06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Troedyn"/>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Troedyn"/>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42F99" w14:textId="77777777" w:rsidR="00EE06C5" w:rsidRDefault="00EE06C5">
      <w:r>
        <w:separator/>
      </w:r>
    </w:p>
  </w:footnote>
  <w:footnote w:type="continuationSeparator" w:id="0">
    <w:p w14:paraId="6D9E13CF" w14:textId="77777777" w:rsidR="00EE06C5" w:rsidRDefault="00EE06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Pennyn"/>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057"/>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7FE"/>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13D84"/>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3F11"/>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C386A"/>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40F3"/>
    <w:rsid w:val="007C556F"/>
    <w:rsid w:val="007C5ABE"/>
    <w:rsid w:val="007C6A87"/>
    <w:rsid w:val="007D0A07"/>
    <w:rsid w:val="007D0F11"/>
    <w:rsid w:val="007D133D"/>
    <w:rsid w:val="007D3EB4"/>
    <w:rsid w:val="007D3F16"/>
    <w:rsid w:val="007E59AF"/>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47F3"/>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0744E"/>
    <w:rsid w:val="00A10D56"/>
    <w:rsid w:val="00A12AAE"/>
    <w:rsid w:val="00A12F22"/>
    <w:rsid w:val="00A16DD1"/>
    <w:rsid w:val="00A22441"/>
    <w:rsid w:val="00A23F3B"/>
    <w:rsid w:val="00A24406"/>
    <w:rsid w:val="00A25F64"/>
    <w:rsid w:val="00A2664E"/>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34DD"/>
    <w:rsid w:val="00A85039"/>
    <w:rsid w:val="00A8709F"/>
    <w:rsid w:val="00A906AA"/>
    <w:rsid w:val="00A94C5E"/>
    <w:rsid w:val="00A96665"/>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04D2"/>
    <w:rsid w:val="00B9256C"/>
    <w:rsid w:val="00B92BEF"/>
    <w:rsid w:val="00B94443"/>
    <w:rsid w:val="00B9689A"/>
    <w:rsid w:val="00B97056"/>
    <w:rsid w:val="00BA4C89"/>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095"/>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06C5"/>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4C9F"/>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Pennawd1">
    <w:name w:val="heading 1"/>
    <w:basedOn w:val="Normal"/>
    <w:next w:val="Normal"/>
    <w:qFormat/>
    <w:pPr>
      <w:keepNext/>
      <w:spacing w:before="240" w:after="60"/>
      <w:outlineLvl w:val="0"/>
    </w:pPr>
    <w:rPr>
      <w:b/>
      <w:kern w:val="28"/>
      <w:sz w:val="28"/>
    </w:rPr>
  </w:style>
  <w:style w:type="paragraph" w:styleId="Pennawd2">
    <w:name w:val="heading 2"/>
    <w:basedOn w:val="Normal"/>
    <w:next w:val="Normal"/>
    <w:link w:val="Pennawd2Nod"/>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semiHidden/>
    <w:pPr>
      <w:tabs>
        <w:tab w:val="center" w:pos="4320"/>
        <w:tab w:val="right" w:pos="8640"/>
      </w:tabs>
    </w:pPr>
  </w:style>
  <w:style w:type="paragraph" w:styleId="Troedyn">
    <w:name w:val="footer"/>
    <w:basedOn w:val="Normal"/>
    <w:link w:val="TroedynNod"/>
    <w:uiPriority w:val="99"/>
    <w:pPr>
      <w:tabs>
        <w:tab w:val="center" w:pos="4320"/>
        <w:tab w:val="right" w:pos="8640"/>
      </w:tabs>
    </w:pPr>
    <w:rPr>
      <w:rFonts w:cs="Times New Roman"/>
      <w:lang w:val="x-none" w:eastAsia="x-none"/>
    </w:rPr>
  </w:style>
  <w:style w:type="character" w:styleId="RhifTudalen">
    <w:name w:val="page number"/>
    <w:semiHidden/>
  </w:style>
  <w:style w:type="paragraph" w:styleId="CorffyTestun">
    <w:name w:val="Body Text"/>
    <w:basedOn w:val="Normal"/>
    <w:semiHidden/>
    <w:rPr>
      <w:b/>
      <w:sz w:val="24"/>
    </w:rPr>
  </w:style>
  <w:style w:type="table" w:styleId="GridTabl">
    <w:name w:val="Table Grid"/>
    <w:basedOn w:val="Tabl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unmewnSwigen">
    <w:name w:val="Balloon Text"/>
    <w:basedOn w:val="Normal"/>
    <w:semiHidden/>
    <w:rsid w:val="00C3278B"/>
    <w:rPr>
      <w:rFonts w:ascii="Tahoma" w:hAnsi="Tahoma" w:cs="Tahoma"/>
      <w:sz w:val="16"/>
      <w:szCs w:val="16"/>
    </w:rPr>
  </w:style>
  <w:style w:type="character" w:styleId="Hyperddolen">
    <w:name w:val="Hyperlink"/>
    <w:rsid w:val="00EA4D48"/>
    <w:rPr>
      <w:color w:val="0000FF"/>
      <w:u w:val="single"/>
    </w:rPr>
  </w:style>
  <w:style w:type="character" w:styleId="CyfeirnodSylw">
    <w:name w:val="annotation reference"/>
    <w:uiPriority w:val="99"/>
    <w:semiHidden/>
    <w:unhideWhenUsed/>
    <w:rsid w:val="0057780F"/>
    <w:rPr>
      <w:sz w:val="16"/>
      <w:szCs w:val="16"/>
    </w:rPr>
  </w:style>
  <w:style w:type="paragraph" w:styleId="TestunSylw">
    <w:name w:val="annotation text"/>
    <w:basedOn w:val="Normal"/>
    <w:link w:val="TestunSylwNod"/>
    <w:uiPriority w:val="99"/>
    <w:semiHidden/>
    <w:unhideWhenUsed/>
    <w:rsid w:val="0057780F"/>
    <w:rPr>
      <w:rFonts w:cs="Times New Roman"/>
      <w:lang w:val="x-none" w:eastAsia="x-none"/>
    </w:rPr>
  </w:style>
  <w:style w:type="character" w:customStyle="1" w:styleId="TestunSylwNod">
    <w:name w:val="Testun Sylw Nod"/>
    <w:link w:val="TestunSylw"/>
    <w:uiPriority w:val="99"/>
    <w:semiHidden/>
    <w:rsid w:val="0057780F"/>
    <w:rPr>
      <w:rFonts w:ascii="Arial" w:hAnsi="Arial" w:cs="Arial"/>
      <w:color w:val="000000"/>
    </w:rPr>
  </w:style>
  <w:style w:type="paragraph" w:styleId="PwncSylw">
    <w:name w:val="annotation subject"/>
    <w:basedOn w:val="TestunSylw"/>
    <w:next w:val="TestunSylw"/>
    <w:link w:val="PwncSylwNod"/>
    <w:uiPriority w:val="99"/>
    <w:semiHidden/>
    <w:unhideWhenUsed/>
    <w:rsid w:val="0057780F"/>
    <w:rPr>
      <w:b/>
      <w:bCs/>
    </w:rPr>
  </w:style>
  <w:style w:type="character" w:customStyle="1" w:styleId="PwncSylwNod">
    <w:name w:val="Pwnc Sylw Nod"/>
    <w:link w:val="PwncSylw"/>
    <w:uiPriority w:val="99"/>
    <w:semiHidden/>
    <w:rsid w:val="0057780F"/>
    <w:rPr>
      <w:rFonts w:ascii="Arial" w:hAnsi="Arial" w:cs="Arial"/>
      <w:b/>
      <w:bCs/>
      <w:color w:val="000000"/>
    </w:rPr>
  </w:style>
  <w:style w:type="character" w:customStyle="1" w:styleId="Pennawd2Nod">
    <w:name w:val="Pennawd 2 Nod"/>
    <w:link w:val="Pennawd2"/>
    <w:uiPriority w:val="9"/>
    <w:semiHidden/>
    <w:rsid w:val="00F927A1"/>
    <w:rPr>
      <w:rFonts w:ascii="Cambria" w:eastAsia="Times New Roman" w:hAnsi="Cambria" w:cs="Times New Roman"/>
      <w:b/>
      <w:bCs/>
      <w:i/>
      <w:iCs/>
      <w:color w:val="000000"/>
      <w:sz w:val="28"/>
      <w:szCs w:val="28"/>
    </w:rPr>
  </w:style>
  <w:style w:type="paragraph" w:styleId="CorffyTestun3">
    <w:name w:val="Body Text 3"/>
    <w:basedOn w:val="Normal"/>
    <w:link w:val="CorffyTestun3Nod"/>
    <w:uiPriority w:val="99"/>
    <w:semiHidden/>
    <w:unhideWhenUsed/>
    <w:rsid w:val="00F927A1"/>
    <w:pPr>
      <w:spacing w:after="120"/>
    </w:pPr>
    <w:rPr>
      <w:rFonts w:cs="Times New Roman"/>
      <w:sz w:val="16"/>
      <w:szCs w:val="16"/>
      <w:lang w:val="x-none" w:eastAsia="x-none"/>
    </w:rPr>
  </w:style>
  <w:style w:type="character" w:customStyle="1" w:styleId="CorffyTestun3Nod">
    <w:name w:val="Corff y Testun 3 Nod"/>
    <w:link w:val="CorffyTestun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TroedynNod">
    <w:name w:val="Troedyn Nod"/>
    <w:link w:val="Troedyn"/>
    <w:uiPriority w:val="99"/>
    <w:rsid w:val="00727C4C"/>
    <w:rPr>
      <w:rFonts w:ascii="Arial" w:hAnsi="Arial" w:cs="Arial"/>
      <w:color w:val="000000"/>
    </w:rPr>
  </w:style>
  <w:style w:type="paragraph" w:styleId="Testunl-nodyn">
    <w:name w:val="endnote text"/>
    <w:basedOn w:val="Normal"/>
    <w:link w:val="Testunl-nodynNod"/>
    <w:uiPriority w:val="99"/>
    <w:semiHidden/>
    <w:unhideWhenUsed/>
    <w:rsid w:val="00B2292C"/>
  </w:style>
  <w:style w:type="character" w:customStyle="1" w:styleId="Testunl-nodynNod">
    <w:name w:val="Testun Ôl-nodyn Nod"/>
    <w:link w:val="Testunl-nodyn"/>
    <w:uiPriority w:val="99"/>
    <w:semiHidden/>
    <w:rsid w:val="00B2292C"/>
    <w:rPr>
      <w:rFonts w:ascii="Arial" w:hAnsi="Arial" w:cs="Arial"/>
      <w:color w:val="000000"/>
    </w:rPr>
  </w:style>
  <w:style w:type="character" w:styleId="Cyfeirnodl-nodyn">
    <w:name w:val="endnote reference"/>
    <w:uiPriority w:val="99"/>
    <w:semiHidden/>
    <w:unhideWhenUsed/>
    <w:rsid w:val="00B2292C"/>
    <w:rPr>
      <w:vertAlign w:val="superscript"/>
    </w:rPr>
  </w:style>
  <w:style w:type="paragraph" w:styleId="Teitl">
    <w:name w:val="Title"/>
    <w:basedOn w:val="Normal"/>
    <w:link w:val="TeitlNod"/>
    <w:qFormat/>
    <w:rsid w:val="00986C0B"/>
    <w:pPr>
      <w:overflowPunct/>
      <w:autoSpaceDE/>
      <w:autoSpaceDN/>
      <w:adjustRightInd/>
      <w:jc w:val="center"/>
      <w:textAlignment w:val="auto"/>
    </w:pPr>
    <w:rPr>
      <w:rFonts w:cs="Times New Roman"/>
      <w:b/>
      <w:color w:val="auto"/>
      <w:sz w:val="24"/>
    </w:rPr>
  </w:style>
  <w:style w:type="character" w:customStyle="1" w:styleId="TeitlNod">
    <w:name w:val="Teitl Nod"/>
    <w:link w:val="Teitl"/>
    <w:rsid w:val="00986C0B"/>
    <w:rPr>
      <w:rFonts w:ascii="Arial" w:hAnsi="Arial"/>
      <w:b/>
      <w:sz w:val="24"/>
    </w:rPr>
  </w:style>
  <w:style w:type="paragraph" w:styleId="Adolygiad">
    <w:name w:val="Revision"/>
    <w:hidden/>
    <w:uiPriority w:val="99"/>
    <w:semiHidden/>
    <w:rsid w:val="008D2150"/>
    <w:rPr>
      <w:rFonts w:ascii="Arial" w:hAnsi="Arial" w:cs="Arial"/>
      <w:color w:val="000000"/>
    </w:rPr>
  </w:style>
  <w:style w:type="paragraph" w:styleId="NormalGwe">
    <w:name w:val="Normal (Web)"/>
    <w:basedOn w:val="Normal"/>
    <w:uiPriority w:val="99"/>
    <w:semiHidden/>
    <w:unhideWhenUsed/>
    <w:rsid w:val="002A27F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Cryf">
    <w:name w:val="Strong"/>
    <w:basedOn w:val="FfontParagraffDdiofyn"/>
    <w:uiPriority w:val="22"/>
    <w:qFormat/>
    <w:rsid w:val="002A27FE"/>
    <w:rPr>
      <w:b/>
      <w:bCs/>
    </w:rPr>
  </w:style>
  <w:style w:type="character" w:styleId="Pwyslais">
    <w:name w:val="Emphasis"/>
    <w:basedOn w:val="FfontParagraffDdiofyn"/>
    <w:uiPriority w:val="20"/>
    <w:qFormat/>
    <w:rsid w:val="00B904D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65019">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enyaldavies@icloud.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32%33%32%39%384%38@s%74%75%64%65nt%2euw%74%73d.%61%63.%75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5</Pages>
  <Words>1124</Words>
  <Characters>6513</Characters>
  <Application>Microsoft Office Word</Application>
  <DocSecurity>0</DocSecurity>
  <Lines>144</Lines>
  <Paragraphs>36</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NORTH AND WEST WALES PQ1 PROGRAMME</vt:lpstr>
      <vt:lpstr>NORTH AND WEST WALES PQ1 PROGRAMME</vt:lpstr>
    </vt:vector>
  </TitlesOfParts>
  <Company>Powys County Council</Company>
  <LinksUpToDate>false</LinksUpToDate>
  <CharactersWithSpaces>7601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Enya Louise Davies (OEDOLION)</cp:lastModifiedBy>
  <cp:revision>6</cp:revision>
  <cp:lastPrinted>2020-02-11T19:20:00Z</cp:lastPrinted>
  <dcterms:created xsi:type="dcterms:W3CDTF">2025-02-11T11:03:00Z</dcterms:created>
  <dcterms:modified xsi:type="dcterms:W3CDTF">2025-02-19T10:51:00Z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GrammarlyDocumentId">
    <vt:lpwstr>a37acfd5762808abe03c29e26a72e89694be49a9f8601eebdcc6282e28f0c11a</vt:lpwstr>
  </property>
</Properties>
</file>