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01E2D3" w14:textId="77777777" w:rsidR="009F013B" w:rsidRDefault="009F013B" w:rsidP="009F013B">
      <w:pPr>
        <w:spacing w:after="220"/>
        <w:ind w:right="1438"/>
        <w:jc w:val="right"/>
      </w:pPr>
      <w:r>
        <w:rPr>
          <w:noProof/>
        </w:rPr>
        <w:drawing>
          <wp:inline distT="0" distB="0" distL="0" distR="0" wp14:anchorId="31646B78" wp14:editId="747BAA51">
            <wp:extent cx="4648200" cy="1752600"/>
            <wp:effectExtent l="0" t="0" r="0" b="0"/>
            <wp:docPr id="47" name="Picture 47" descr="A logo with text on it&#10;&#10;AI-generated content may be incorrect."/>
            <wp:cNvGraphicFramePr/>
            <a:graphic xmlns:a="http://schemas.openxmlformats.org/drawingml/2006/main">
              <a:graphicData uri="http://schemas.openxmlformats.org/drawingml/2006/picture">
                <pic:pic xmlns:pic="http://schemas.openxmlformats.org/drawingml/2006/picture">
                  <pic:nvPicPr>
                    <pic:cNvPr id="47" name="Picture 47" descr="A logo with text on it&#10;&#10;AI-generated content may be incorrect."/>
                    <pic:cNvPicPr/>
                  </pic:nvPicPr>
                  <pic:blipFill>
                    <a:blip r:embed="rId7"/>
                    <a:stretch>
                      <a:fillRect/>
                    </a:stretch>
                  </pic:blipFill>
                  <pic:spPr>
                    <a:xfrm>
                      <a:off x="0" y="0"/>
                      <a:ext cx="4674497" cy="1762515"/>
                    </a:xfrm>
                    <a:prstGeom prst="rect">
                      <a:avLst/>
                    </a:prstGeom>
                  </pic:spPr>
                </pic:pic>
              </a:graphicData>
            </a:graphic>
          </wp:inline>
        </w:drawing>
      </w:r>
      <w:r>
        <w:rPr>
          <w:rFonts w:ascii="Times New Roman" w:eastAsia="Times New Roman" w:hAnsi="Times New Roman" w:cs="Times New Roman"/>
          <w:b/>
        </w:rPr>
        <w:t xml:space="preserve"> </w:t>
      </w:r>
    </w:p>
    <w:p w14:paraId="626781C8" w14:textId="77777777" w:rsidR="009F013B" w:rsidRDefault="009F013B" w:rsidP="009F013B">
      <w:pPr>
        <w:spacing w:after="273"/>
        <w:ind w:right="5"/>
        <w:jc w:val="center"/>
      </w:pPr>
      <w:r>
        <w:rPr>
          <w:rFonts w:ascii="Times New Roman" w:eastAsia="Times New Roman" w:hAnsi="Times New Roman" w:cs="Times New Roman"/>
          <w:b/>
        </w:rPr>
        <w:t xml:space="preserve"> </w:t>
      </w:r>
    </w:p>
    <w:p w14:paraId="37EABA49" w14:textId="77777777" w:rsidR="009F013B" w:rsidRDefault="009F013B" w:rsidP="009F013B">
      <w:pPr>
        <w:spacing w:after="274"/>
      </w:pPr>
      <w:r>
        <w:rPr>
          <w:rFonts w:ascii="Times New Roman" w:eastAsia="Times New Roman" w:hAnsi="Times New Roman" w:cs="Times New Roman"/>
          <w:b/>
        </w:rPr>
        <w:t xml:space="preserve"> </w:t>
      </w:r>
    </w:p>
    <w:p w14:paraId="42F95A30" w14:textId="77777777" w:rsidR="009F013B" w:rsidRDefault="009F013B" w:rsidP="009F013B">
      <w:pPr>
        <w:spacing w:after="276"/>
        <w:jc w:val="center"/>
      </w:pPr>
    </w:p>
    <w:p w14:paraId="7305AAD7" w14:textId="77777777" w:rsidR="009F013B" w:rsidRPr="006D3BC5" w:rsidRDefault="009F013B" w:rsidP="009F013B">
      <w:pPr>
        <w:spacing w:after="274"/>
        <w:ind w:left="2716" w:firstLine="93"/>
        <w:rPr>
          <w:sz w:val="24"/>
          <w:szCs w:val="24"/>
        </w:rPr>
      </w:pPr>
      <w:r w:rsidRPr="006D3BC5">
        <w:rPr>
          <w:rFonts w:ascii="Times New Roman" w:eastAsia="Times New Roman" w:hAnsi="Times New Roman" w:cs="Times New Roman"/>
          <w:b/>
          <w:sz w:val="24"/>
          <w:szCs w:val="24"/>
        </w:rPr>
        <w:t>Programme: Master of Business Administration</w:t>
      </w:r>
    </w:p>
    <w:p w14:paraId="3B77FE48" w14:textId="248D9937" w:rsidR="009F013B" w:rsidRPr="006D3BC5" w:rsidRDefault="009F013B" w:rsidP="009F013B">
      <w:pPr>
        <w:spacing w:after="274"/>
        <w:ind w:left="2809"/>
        <w:rPr>
          <w:sz w:val="24"/>
          <w:szCs w:val="24"/>
        </w:rPr>
      </w:pPr>
      <w:r w:rsidRPr="006D3BC5">
        <w:rPr>
          <w:rFonts w:ascii="Times New Roman" w:eastAsia="Times New Roman" w:hAnsi="Times New Roman" w:cs="Times New Roman"/>
          <w:b/>
          <w:sz w:val="24"/>
          <w:szCs w:val="24"/>
        </w:rPr>
        <w:t>Module: Marketing Management</w:t>
      </w:r>
    </w:p>
    <w:p w14:paraId="0562D385" w14:textId="5E641C7C" w:rsidR="009F013B" w:rsidRPr="006D3BC5" w:rsidRDefault="009F013B" w:rsidP="009F013B">
      <w:pPr>
        <w:spacing w:after="274"/>
        <w:ind w:left="2099" w:right="66" w:firstLine="710"/>
        <w:rPr>
          <w:sz w:val="24"/>
          <w:szCs w:val="24"/>
        </w:rPr>
      </w:pPr>
      <w:r w:rsidRPr="006D3BC5">
        <w:rPr>
          <w:rFonts w:ascii="Times New Roman" w:eastAsia="Times New Roman" w:hAnsi="Times New Roman" w:cs="Times New Roman"/>
          <w:b/>
          <w:sz w:val="24"/>
          <w:szCs w:val="24"/>
        </w:rPr>
        <w:t xml:space="preserve">Module code: </w:t>
      </w:r>
      <w:r w:rsidRPr="006D3BC5">
        <w:rPr>
          <w:rFonts w:ascii="Arial" w:hAnsi="Arial" w:cs="Arial"/>
          <w:b/>
          <w:bCs/>
          <w:sz w:val="24"/>
          <w:szCs w:val="24"/>
        </w:rPr>
        <w:t>LCMB7024</w:t>
      </w:r>
    </w:p>
    <w:p w14:paraId="3B59541B" w14:textId="0B4972B5" w:rsidR="009F013B" w:rsidRPr="006D3BC5" w:rsidRDefault="009F013B" w:rsidP="009F013B">
      <w:pPr>
        <w:spacing w:after="274"/>
        <w:ind w:left="2099" w:right="65" w:firstLine="710"/>
        <w:rPr>
          <w:sz w:val="24"/>
          <w:szCs w:val="24"/>
        </w:rPr>
      </w:pPr>
      <w:r w:rsidRPr="006D3BC5">
        <w:rPr>
          <w:rFonts w:ascii="Times New Roman" w:eastAsia="Times New Roman" w:hAnsi="Times New Roman" w:cs="Times New Roman"/>
          <w:b/>
          <w:sz w:val="24"/>
          <w:szCs w:val="24"/>
        </w:rPr>
        <w:t xml:space="preserve">Title: </w:t>
      </w:r>
      <w:r w:rsidRPr="006D3BC5">
        <w:rPr>
          <w:rFonts w:ascii="Times New Roman" w:eastAsia="Times New Roman" w:hAnsi="Times New Roman" w:cs="Times New Roman"/>
          <w:b/>
          <w:bCs/>
          <w:sz w:val="24"/>
          <w:szCs w:val="24"/>
          <w:lang w:val="en-GB"/>
        </w:rPr>
        <w:t>Marketing Environment Analysis</w:t>
      </w:r>
    </w:p>
    <w:p w14:paraId="6CFC71E3" w14:textId="28833BF9" w:rsidR="009F013B" w:rsidRPr="006D3BC5" w:rsidRDefault="009F013B" w:rsidP="009F013B">
      <w:pPr>
        <w:spacing w:after="274"/>
        <w:ind w:left="2099" w:right="62" w:firstLine="710"/>
        <w:rPr>
          <w:sz w:val="24"/>
          <w:szCs w:val="24"/>
        </w:rPr>
      </w:pPr>
      <w:r w:rsidRPr="006D3BC5">
        <w:rPr>
          <w:rFonts w:ascii="Times New Roman" w:eastAsia="Times New Roman" w:hAnsi="Times New Roman" w:cs="Times New Roman"/>
          <w:b/>
          <w:sz w:val="24"/>
          <w:szCs w:val="24"/>
        </w:rPr>
        <w:t>Word count: 2</w:t>
      </w:r>
      <w:r w:rsidR="00417E1A">
        <w:rPr>
          <w:rFonts w:ascii="Times New Roman" w:eastAsia="Times New Roman" w:hAnsi="Times New Roman" w:cs="Times New Roman"/>
          <w:b/>
          <w:sz w:val="24"/>
          <w:szCs w:val="24"/>
        </w:rPr>
        <w:t>358</w:t>
      </w:r>
      <w:r w:rsidRPr="006D3BC5">
        <w:rPr>
          <w:rFonts w:ascii="Times New Roman" w:eastAsia="Times New Roman" w:hAnsi="Times New Roman" w:cs="Times New Roman"/>
          <w:b/>
          <w:sz w:val="24"/>
          <w:szCs w:val="24"/>
        </w:rPr>
        <w:t xml:space="preserve"> </w:t>
      </w:r>
    </w:p>
    <w:p w14:paraId="2BAA08C1" w14:textId="2F627877" w:rsidR="009F013B" w:rsidRPr="006D3BC5" w:rsidRDefault="009F013B" w:rsidP="009F013B">
      <w:pPr>
        <w:spacing w:after="165" w:line="352" w:lineRule="auto"/>
        <w:ind w:left="2835" w:right="2836"/>
        <w:rPr>
          <w:rFonts w:ascii="Arial" w:eastAsia="Arial" w:hAnsi="Arial" w:cs="Arial"/>
          <w:b/>
          <w:sz w:val="24"/>
          <w:szCs w:val="24"/>
        </w:rPr>
      </w:pPr>
      <w:r w:rsidRPr="006D3BC5">
        <w:rPr>
          <w:rFonts w:ascii="Arial" w:eastAsia="Arial" w:hAnsi="Arial" w:cs="Arial"/>
          <w:b/>
          <w:sz w:val="24"/>
          <w:szCs w:val="24"/>
        </w:rPr>
        <w:t xml:space="preserve">Lecturer : </w:t>
      </w:r>
      <w:r w:rsidRPr="006D3BC5">
        <w:rPr>
          <w:rFonts w:ascii="Arial" w:hAnsi="Arial" w:cs="Arial"/>
          <w:b/>
          <w:sz w:val="24"/>
          <w:szCs w:val="24"/>
        </w:rPr>
        <w:t>Dian Mayasari (Birmingham)</w:t>
      </w:r>
    </w:p>
    <w:p w14:paraId="351E8E2F" w14:textId="77777777" w:rsidR="009F013B" w:rsidRPr="006D3BC5" w:rsidRDefault="009F013B" w:rsidP="009F013B">
      <w:pPr>
        <w:spacing w:after="165" w:line="352" w:lineRule="auto"/>
        <w:ind w:left="2835" w:right="2836"/>
        <w:rPr>
          <w:sz w:val="24"/>
          <w:szCs w:val="24"/>
        </w:rPr>
      </w:pPr>
      <w:r w:rsidRPr="006D3BC5">
        <w:rPr>
          <w:rFonts w:ascii="Times New Roman" w:eastAsia="Times New Roman" w:hAnsi="Times New Roman" w:cs="Times New Roman"/>
          <w:b/>
          <w:sz w:val="24"/>
          <w:szCs w:val="24"/>
        </w:rPr>
        <w:t>Student Name : Promi Das Gupta</w:t>
      </w:r>
    </w:p>
    <w:p w14:paraId="70417225" w14:textId="77777777" w:rsidR="009F013B" w:rsidRPr="006D3BC5" w:rsidRDefault="009F013B" w:rsidP="009F013B">
      <w:pPr>
        <w:spacing w:after="274"/>
        <w:ind w:left="2125" w:right="62" w:firstLine="710"/>
        <w:rPr>
          <w:sz w:val="24"/>
          <w:szCs w:val="24"/>
        </w:rPr>
      </w:pPr>
      <w:r w:rsidRPr="006D3BC5">
        <w:rPr>
          <w:rFonts w:ascii="Times New Roman" w:eastAsia="Times New Roman" w:hAnsi="Times New Roman" w:cs="Times New Roman"/>
          <w:b/>
          <w:sz w:val="24"/>
          <w:szCs w:val="24"/>
        </w:rPr>
        <w:t>Student ID: 2428537</w:t>
      </w:r>
    </w:p>
    <w:p w14:paraId="1F1667A5" w14:textId="094FBBC9" w:rsidR="009F013B" w:rsidRDefault="009F013B" w:rsidP="009F013B">
      <w:pPr>
        <w:ind w:left="2115" w:firstLine="720"/>
      </w:pPr>
      <w:r w:rsidRPr="006D3BC5">
        <w:rPr>
          <w:rFonts w:ascii="Times New Roman" w:eastAsia="Times New Roman" w:hAnsi="Times New Roman" w:cs="Times New Roman"/>
          <w:b/>
          <w:sz w:val="24"/>
          <w:szCs w:val="24"/>
        </w:rPr>
        <w:t xml:space="preserve">Submission Date- </w:t>
      </w:r>
      <w:r w:rsidR="006D3BC5">
        <w:rPr>
          <w:rFonts w:ascii="Times New Roman" w:eastAsia="Times New Roman" w:hAnsi="Times New Roman" w:cs="Times New Roman"/>
          <w:b/>
          <w:sz w:val="24"/>
          <w:szCs w:val="24"/>
        </w:rPr>
        <w:t>24</w:t>
      </w:r>
      <w:r w:rsidRPr="006D3BC5">
        <w:rPr>
          <w:rFonts w:ascii="Times New Roman" w:eastAsia="Times New Roman" w:hAnsi="Times New Roman" w:cs="Times New Roman"/>
          <w:b/>
          <w:sz w:val="24"/>
          <w:szCs w:val="24"/>
          <w:vertAlign w:val="superscript"/>
        </w:rPr>
        <w:t>th</w:t>
      </w:r>
      <w:r w:rsidRPr="006D3BC5">
        <w:rPr>
          <w:rFonts w:ascii="Times New Roman" w:eastAsia="Times New Roman" w:hAnsi="Times New Roman" w:cs="Times New Roman"/>
          <w:b/>
          <w:sz w:val="24"/>
          <w:szCs w:val="24"/>
        </w:rPr>
        <w:t xml:space="preserve"> October 2025</w:t>
      </w:r>
      <w:r>
        <w:br w:type="page"/>
      </w:r>
    </w:p>
    <w:p w14:paraId="0EE79E35" w14:textId="77777777" w:rsidR="00BC0EC7" w:rsidRPr="00BC0EC7" w:rsidRDefault="00BC0EC7" w:rsidP="00BC0EC7">
      <w:pPr>
        <w:jc w:val="center"/>
        <w:rPr>
          <w:rFonts w:ascii="Arial" w:hAnsi="Arial" w:cs="Arial"/>
          <w:sz w:val="24"/>
          <w:szCs w:val="24"/>
        </w:rPr>
      </w:pPr>
      <w:r w:rsidRPr="00BC0EC7">
        <w:rPr>
          <w:rFonts w:ascii="Arial" w:hAnsi="Arial" w:cs="Arial"/>
          <w:sz w:val="24"/>
          <w:szCs w:val="24"/>
        </w:rPr>
        <w:lastRenderedPageBreak/>
        <w:t>Table of Contents</w:t>
      </w:r>
    </w:p>
    <w:p w14:paraId="66AD0841" w14:textId="3F62B4F7" w:rsidR="00BC0EC7" w:rsidRPr="00BC0EC7" w:rsidRDefault="00BC0EC7" w:rsidP="00BC0EC7">
      <w:pPr>
        <w:rPr>
          <w:rFonts w:ascii="Arial" w:hAnsi="Arial" w:cs="Arial"/>
          <w:sz w:val="24"/>
          <w:szCs w:val="24"/>
        </w:rPr>
      </w:pPr>
      <w:r w:rsidRPr="00BC0EC7">
        <w:rPr>
          <w:rFonts w:ascii="Arial" w:hAnsi="Arial" w:cs="Arial"/>
          <w:sz w:val="24"/>
          <w:szCs w:val="24"/>
        </w:rPr>
        <w:t>1.0 Introduction</w:t>
      </w:r>
      <w:r>
        <w:rPr>
          <w:rFonts w:ascii="Arial" w:hAnsi="Arial" w:cs="Arial"/>
          <w:sz w:val="24"/>
          <w:szCs w:val="24"/>
        </w:rPr>
        <w:t>…………………………………………………………….. 3</w:t>
      </w:r>
    </w:p>
    <w:p w14:paraId="17229DE0" w14:textId="10D1F762" w:rsidR="00BC0EC7" w:rsidRPr="00BC0EC7" w:rsidRDefault="00BC0EC7" w:rsidP="00BC0EC7">
      <w:pPr>
        <w:rPr>
          <w:rFonts w:ascii="Arial" w:hAnsi="Arial" w:cs="Arial"/>
          <w:sz w:val="24"/>
          <w:szCs w:val="24"/>
        </w:rPr>
      </w:pPr>
      <w:r w:rsidRPr="00BC0EC7">
        <w:rPr>
          <w:rFonts w:ascii="Arial" w:hAnsi="Arial" w:cs="Arial"/>
          <w:sz w:val="24"/>
          <w:szCs w:val="24"/>
        </w:rPr>
        <w:t>2.0 Brief Company and Industry Background</w:t>
      </w:r>
      <w:r>
        <w:rPr>
          <w:rFonts w:ascii="Arial" w:hAnsi="Arial" w:cs="Arial"/>
          <w:sz w:val="24"/>
          <w:szCs w:val="24"/>
        </w:rPr>
        <w:t xml:space="preserve">…………………………... </w:t>
      </w:r>
      <w:r w:rsidR="001125DB">
        <w:rPr>
          <w:rFonts w:ascii="Arial" w:hAnsi="Arial" w:cs="Arial"/>
          <w:sz w:val="24"/>
          <w:szCs w:val="24"/>
        </w:rPr>
        <w:t>4</w:t>
      </w:r>
    </w:p>
    <w:p w14:paraId="750F8B30" w14:textId="669FD9A8" w:rsidR="00BC0EC7" w:rsidRPr="00BC0EC7" w:rsidRDefault="00BC0EC7" w:rsidP="00BC0EC7">
      <w:pPr>
        <w:rPr>
          <w:rFonts w:ascii="Arial" w:hAnsi="Arial" w:cs="Arial"/>
          <w:sz w:val="24"/>
          <w:szCs w:val="24"/>
        </w:rPr>
      </w:pPr>
      <w:r w:rsidRPr="00BC0EC7">
        <w:rPr>
          <w:rFonts w:ascii="Arial" w:hAnsi="Arial" w:cs="Arial"/>
          <w:sz w:val="24"/>
          <w:szCs w:val="24"/>
        </w:rPr>
        <w:t>3.0 Theoretical Lens and Frameworks</w:t>
      </w:r>
      <w:r>
        <w:rPr>
          <w:rFonts w:ascii="Arial" w:hAnsi="Arial" w:cs="Arial"/>
          <w:sz w:val="24"/>
          <w:szCs w:val="24"/>
        </w:rPr>
        <w:t xml:space="preserve">…………………………………... </w:t>
      </w:r>
      <w:r w:rsidR="001125DB">
        <w:rPr>
          <w:rFonts w:ascii="Arial" w:hAnsi="Arial" w:cs="Arial"/>
          <w:sz w:val="24"/>
          <w:szCs w:val="24"/>
        </w:rPr>
        <w:t>4-5</w:t>
      </w:r>
    </w:p>
    <w:p w14:paraId="2C1AF02F" w14:textId="6701008E" w:rsidR="00BC0EC7" w:rsidRPr="00BC0EC7" w:rsidRDefault="00BC0EC7" w:rsidP="00BC0EC7">
      <w:pPr>
        <w:rPr>
          <w:rFonts w:ascii="Arial" w:hAnsi="Arial" w:cs="Arial"/>
          <w:sz w:val="24"/>
          <w:szCs w:val="24"/>
        </w:rPr>
      </w:pPr>
      <w:r w:rsidRPr="00BC0EC7">
        <w:rPr>
          <w:rFonts w:ascii="Arial" w:hAnsi="Arial" w:cs="Arial"/>
          <w:sz w:val="24"/>
          <w:szCs w:val="24"/>
        </w:rPr>
        <w:t>4.0 Task 1: Critically Analyse Two Macro Marketing Actors</w:t>
      </w:r>
      <w:r>
        <w:rPr>
          <w:rFonts w:ascii="Arial" w:hAnsi="Arial" w:cs="Arial"/>
          <w:sz w:val="24"/>
          <w:szCs w:val="24"/>
        </w:rPr>
        <w:t>…………... 5-8</w:t>
      </w:r>
    </w:p>
    <w:p w14:paraId="2BA7388D" w14:textId="7FCCEA5C" w:rsidR="001125DB" w:rsidRPr="00BC0EC7" w:rsidRDefault="00BC0EC7" w:rsidP="00BC0EC7">
      <w:pPr>
        <w:rPr>
          <w:rFonts w:ascii="Arial" w:hAnsi="Arial" w:cs="Arial"/>
          <w:sz w:val="24"/>
          <w:szCs w:val="24"/>
        </w:rPr>
      </w:pPr>
      <w:r w:rsidRPr="00BC0EC7">
        <w:rPr>
          <w:rFonts w:ascii="Arial" w:hAnsi="Arial" w:cs="Arial"/>
          <w:sz w:val="24"/>
          <w:szCs w:val="24"/>
        </w:rPr>
        <w:t>5.0 Task 2: Strategic Behavior of Forerunners and Latecomers</w:t>
      </w:r>
      <w:r>
        <w:rPr>
          <w:rFonts w:ascii="Arial" w:hAnsi="Arial" w:cs="Arial"/>
          <w:sz w:val="24"/>
          <w:szCs w:val="24"/>
        </w:rPr>
        <w:t>……… 8-</w:t>
      </w:r>
      <w:r w:rsidR="001125DB">
        <w:rPr>
          <w:rFonts w:ascii="Arial" w:hAnsi="Arial" w:cs="Arial"/>
          <w:sz w:val="24"/>
          <w:szCs w:val="24"/>
        </w:rPr>
        <w:t>10</w:t>
      </w:r>
    </w:p>
    <w:p w14:paraId="4D63E859" w14:textId="0F279E19" w:rsidR="00BC0EC7" w:rsidRPr="00BC0EC7" w:rsidRDefault="00BC0EC7" w:rsidP="00BC0EC7">
      <w:pPr>
        <w:rPr>
          <w:rFonts w:ascii="Arial" w:hAnsi="Arial" w:cs="Arial"/>
          <w:sz w:val="24"/>
          <w:szCs w:val="24"/>
        </w:rPr>
      </w:pPr>
      <w:r w:rsidRPr="00BC0EC7">
        <w:rPr>
          <w:rFonts w:ascii="Arial" w:hAnsi="Arial" w:cs="Arial"/>
          <w:sz w:val="24"/>
          <w:szCs w:val="24"/>
        </w:rPr>
        <w:t>6.0 Competitive Strategy Synthesis</w:t>
      </w:r>
      <w:r>
        <w:rPr>
          <w:rFonts w:ascii="Arial" w:hAnsi="Arial" w:cs="Arial"/>
          <w:sz w:val="24"/>
          <w:szCs w:val="24"/>
        </w:rPr>
        <w:t xml:space="preserve">………………………………………. </w:t>
      </w:r>
      <w:r w:rsidR="00A0703F">
        <w:rPr>
          <w:rFonts w:ascii="Arial" w:hAnsi="Arial" w:cs="Arial"/>
          <w:sz w:val="24"/>
          <w:szCs w:val="24"/>
        </w:rPr>
        <w:t>10</w:t>
      </w:r>
      <w:r>
        <w:rPr>
          <w:rFonts w:ascii="Arial" w:hAnsi="Arial" w:cs="Arial"/>
          <w:sz w:val="24"/>
          <w:szCs w:val="24"/>
        </w:rPr>
        <w:t>-1</w:t>
      </w:r>
      <w:r w:rsidR="00A0703F">
        <w:rPr>
          <w:rFonts w:ascii="Arial" w:hAnsi="Arial" w:cs="Arial"/>
          <w:sz w:val="24"/>
          <w:szCs w:val="24"/>
        </w:rPr>
        <w:t>1</w:t>
      </w:r>
    </w:p>
    <w:p w14:paraId="06C56C80" w14:textId="69D9CB55" w:rsidR="00BC0EC7" w:rsidRPr="00BC0EC7" w:rsidRDefault="00C20D40" w:rsidP="00BC0EC7">
      <w:pPr>
        <w:rPr>
          <w:rFonts w:ascii="Arial" w:hAnsi="Arial" w:cs="Arial"/>
          <w:sz w:val="24"/>
          <w:szCs w:val="24"/>
        </w:rPr>
      </w:pPr>
      <w:r>
        <w:rPr>
          <w:rFonts w:ascii="Arial" w:hAnsi="Arial" w:cs="Arial"/>
          <w:sz w:val="24"/>
          <w:szCs w:val="24"/>
        </w:rPr>
        <w:t>7</w:t>
      </w:r>
      <w:r w:rsidR="00BC0EC7" w:rsidRPr="00BC0EC7">
        <w:rPr>
          <w:rFonts w:ascii="Arial" w:hAnsi="Arial" w:cs="Arial"/>
          <w:sz w:val="24"/>
          <w:szCs w:val="24"/>
        </w:rPr>
        <w:t>.0 Conclusion</w:t>
      </w:r>
      <w:r w:rsidR="00BC0EC7">
        <w:rPr>
          <w:rFonts w:ascii="Arial" w:hAnsi="Arial" w:cs="Arial"/>
          <w:sz w:val="24"/>
          <w:szCs w:val="24"/>
        </w:rPr>
        <w:t>……………………………………………………………… 1</w:t>
      </w:r>
      <w:r w:rsidR="00A0703F">
        <w:rPr>
          <w:rFonts w:ascii="Arial" w:hAnsi="Arial" w:cs="Arial"/>
          <w:sz w:val="24"/>
          <w:szCs w:val="24"/>
        </w:rPr>
        <w:t>2</w:t>
      </w:r>
    </w:p>
    <w:p w14:paraId="5EE03068" w14:textId="5A9580BC" w:rsidR="00BC0EC7" w:rsidRPr="00BC0EC7" w:rsidRDefault="00BC0EC7" w:rsidP="00BC0EC7">
      <w:pPr>
        <w:rPr>
          <w:rFonts w:ascii="Arial" w:hAnsi="Arial" w:cs="Arial"/>
          <w:sz w:val="24"/>
          <w:szCs w:val="24"/>
        </w:rPr>
      </w:pPr>
      <w:r w:rsidRPr="00BC0EC7">
        <w:rPr>
          <w:rFonts w:ascii="Arial" w:hAnsi="Arial" w:cs="Arial"/>
          <w:sz w:val="24"/>
          <w:szCs w:val="24"/>
        </w:rPr>
        <w:t>References</w:t>
      </w:r>
      <w:r>
        <w:rPr>
          <w:rFonts w:ascii="Arial" w:hAnsi="Arial" w:cs="Arial"/>
          <w:sz w:val="24"/>
          <w:szCs w:val="24"/>
        </w:rPr>
        <w:t>………………………………………………………………….. 1</w:t>
      </w:r>
      <w:r w:rsidR="00A0703F">
        <w:rPr>
          <w:rFonts w:ascii="Arial" w:hAnsi="Arial" w:cs="Arial"/>
          <w:sz w:val="24"/>
          <w:szCs w:val="24"/>
        </w:rPr>
        <w:t>2</w:t>
      </w:r>
      <w:r>
        <w:rPr>
          <w:rFonts w:ascii="Arial" w:hAnsi="Arial" w:cs="Arial"/>
          <w:sz w:val="24"/>
          <w:szCs w:val="24"/>
        </w:rPr>
        <w:t>-1</w:t>
      </w:r>
      <w:r w:rsidR="00A0703F">
        <w:rPr>
          <w:rFonts w:ascii="Arial" w:hAnsi="Arial" w:cs="Arial"/>
          <w:sz w:val="24"/>
          <w:szCs w:val="24"/>
        </w:rPr>
        <w:t>4</w:t>
      </w:r>
    </w:p>
    <w:p w14:paraId="5DF39627" w14:textId="64D4304E" w:rsidR="009F013B" w:rsidRDefault="009F013B">
      <w:r>
        <w:br w:type="page"/>
      </w:r>
    </w:p>
    <w:p w14:paraId="362A4AEB" w14:textId="3C086ECF" w:rsidR="00880B24" w:rsidRDefault="00755FB9" w:rsidP="00880B24">
      <w:pPr>
        <w:spacing w:line="360" w:lineRule="auto"/>
        <w:rPr>
          <w:rFonts w:ascii="Arial" w:hAnsi="Arial" w:cs="Arial"/>
          <w:sz w:val="24"/>
          <w:szCs w:val="24"/>
        </w:rPr>
      </w:pPr>
      <w:r w:rsidRPr="00755FB9">
        <w:rPr>
          <w:rFonts w:ascii="Arial" w:hAnsi="Arial" w:cs="Arial"/>
          <w:b/>
          <w:bCs/>
          <w:sz w:val="24"/>
          <w:szCs w:val="24"/>
        </w:rPr>
        <w:lastRenderedPageBreak/>
        <w:t>1.0 Introduction</w:t>
      </w:r>
    </w:p>
    <w:p w14:paraId="7C08DB66" w14:textId="77777777" w:rsidR="005B2115" w:rsidRDefault="00C20D40" w:rsidP="00880B24">
      <w:pPr>
        <w:spacing w:line="360" w:lineRule="auto"/>
        <w:rPr>
          <w:rFonts w:ascii="Arial" w:hAnsi="Arial" w:cs="Arial"/>
          <w:sz w:val="24"/>
          <w:szCs w:val="24"/>
        </w:rPr>
      </w:pPr>
      <w:r w:rsidRPr="00880B24">
        <w:rPr>
          <w:rFonts w:ascii="Arial" w:hAnsi="Arial" w:cs="Arial"/>
          <w:sz w:val="24"/>
          <w:szCs w:val="24"/>
        </w:rPr>
        <w:t xml:space="preserve">The consumer UK retail banking market- with more than £400bn in deposits - is seeing its most significant shake-up since deregulation in the 1980s. </w:t>
      </w:r>
    </w:p>
    <w:p w14:paraId="771B81A3" w14:textId="49B3D3D9" w:rsidR="005B2115" w:rsidRDefault="005B2115" w:rsidP="00880B24">
      <w:pPr>
        <w:spacing w:line="360" w:lineRule="auto"/>
        <w:rPr>
          <w:rFonts w:ascii="Arial" w:hAnsi="Arial" w:cs="Arial"/>
          <w:sz w:val="24"/>
          <w:szCs w:val="24"/>
        </w:rPr>
      </w:pPr>
      <w:r>
        <w:rPr>
          <w:rFonts w:ascii="Arial" w:hAnsi="Arial" w:cs="Arial"/>
          <w:noProof/>
          <w:sz w:val="24"/>
          <w:szCs w:val="24"/>
        </w:rPr>
        <w:drawing>
          <wp:inline distT="0" distB="0" distL="0" distR="0" wp14:anchorId="12D30347" wp14:editId="040A1AFB">
            <wp:extent cx="5486876" cy="3200677"/>
            <wp:effectExtent l="0" t="0" r="0" b="0"/>
            <wp:docPr id="1810028200" name="Picture 1" descr="A graph of a bar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028200" name="Picture 1" descr="A graph of a bar graph&#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486876" cy="3200677"/>
                    </a:xfrm>
                    <a:prstGeom prst="rect">
                      <a:avLst/>
                    </a:prstGeom>
                  </pic:spPr>
                </pic:pic>
              </a:graphicData>
            </a:graphic>
          </wp:inline>
        </w:drawing>
      </w:r>
    </w:p>
    <w:p w14:paraId="16150F81" w14:textId="53B0848C" w:rsidR="005B2115" w:rsidRDefault="005B2115" w:rsidP="00880B24">
      <w:pPr>
        <w:spacing w:line="360" w:lineRule="auto"/>
        <w:rPr>
          <w:rFonts w:ascii="Arial" w:hAnsi="Arial" w:cs="Arial"/>
          <w:sz w:val="24"/>
          <w:szCs w:val="24"/>
        </w:rPr>
      </w:pPr>
      <w:r>
        <w:rPr>
          <w:rFonts w:ascii="Arial" w:hAnsi="Arial" w:cs="Arial"/>
          <w:sz w:val="24"/>
          <w:szCs w:val="24"/>
        </w:rPr>
        <w:t xml:space="preserve">                                    Source: </w:t>
      </w:r>
      <w:r w:rsidRPr="005B2115">
        <w:rPr>
          <w:rFonts w:ascii="Arial" w:hAnsi="Arial" w:cs="Arial"/>
          <w:sz w:val="24"/>
          <w:szCs w:val="24"/>
        </w:rPr>
        <w:t>Mordor Intelligence (2025)</w:t>
      </w:r>
    </w:p>
    <w:p w14:paraId="6FE5493A" w14:textId="75493F7A" w:rsidR="005B2115" w:rsidRPr="005B2115" w:rsidRDefault="00C20D40" w:rsidP="00880B24">
      <w:pPr>
        <w:spacing w:line="360" w:lineRule="auto"/>
        <w:rPr>
          <w:rFonts w:ascii="Arial" w:hAnsi="Arial" w:cs="Arial"/>
          <w:sz w:val="24"/>
          <w:szCs w:val="24"/>
        </w:rPr>
      </w:pPr>
      <w:r w:rsidRPr="00880B24">
        <w:rPr>
          <w:rFonts w:ascii="Arial" w:hAnsi="Arial" w:cs="Arial"/>
          <w:sz w:val="24"/>
          <w:szCs w:val="24"/>
        </w:rPr>
        <w:t>These include: longer-term trust deficits post-crisis (Ennew &amp; Sekhon, 2007) that outweigh branch-network scale and legacy relationships; regulatory changes reducing barriers to entry via Open Banking/PSD2 (Financial Conduct Authority, 2021); and digital-native requirements for 'frictionless', transparent and personalised services (Mbama &amp; Ezepue, 2018). Figure 3 illustrates two extreme types of response strategy; Revolut, the digital-first challenger built for scale at a global level and Barclays, an incumbent who has been in existence as a bank for 330 years that is now conducting fast-follower digital transformation using brand and customer base as leverage (Skinner, 2018). This paper explores their placement through the lens of diffusion of innovations (Rogers, 2003), disruptive innovation (Christensen, 1997), dynamic capabilities (Teece, 2009), market orientation (Kotler &amp; Keller, 2016) and Porter's five forces (Porter, 2008) along with a resource-based theory of the firm perspective (Barney, 2014).</w:t>
      </w:r>
    </w:p>
    <w:p w14:paraId="6B376EF1" w14:textId="77777777" w:rsidR="00880B24" w:rsidRDefault="00880B24" w:rsidP="00880B24">
      <w:pPr>
        <w:spacing w:line="360" w:lineRule="auto"/>
        <w:rPr>
          <w:rFonts w:ascii="Arial" w:hAnsi="Arial" w:cs="Arial"/>
          <w:b/>
          <w:bCs/>
          <w:sz w:val="24"/>
          <w:szCs w:val="24"/>
        </w:rPr>
      </w:pPr>
    </w:p>
    <w:p w14:paraId="655273B7" w14:textId="2A8FD6FD" w:rsidR="00C20D40" w:rsidRPr="00880B24" w:rsidRDefault="00755FB9" w:rsidP="00880B24">
      <w:pPr>
        <w:spacing w:line="360" w:lineRule="auto"/>
        <w:rPr>
          <w:rFonts w:ascii="Arial" w:hAnsi="Arial" w:cs="Arial"/>
          <w:sz w:val="24"/>
          <w:szCs w:val="24"/>
        </w:rPr>
      </w:pPr>
      <w:r w:rsidRPr="00755FB9">
        <w:rPr>
          <w:rFonts w:ascii="Arial" w:hAnsi="Arial" w:cs="Arial"/>
          <w:b/>
          <w:bCs/>
          <w:sz w:val="24"/>
          <w:szCs w:val="24"/>
        </w:rPr>
        <w:lastRenderedPageBreak/>
        <w:t>2.0 Brief Company and Industry Background</w:t>
      </w:r>
      <w:r w:rsidRPr="00755FB9">
        <w:rPr>
          <w:rFonts w:ascii="Arial" w:hAnsi="Arial" w:cs="Arial"/>
          <w:b/>
          <w:bCs/>
          <w:sz w:val="24"/>
          <w:szCs w:val="24"/>
        </w:rPr>
        <w:br/>
      </w:r>
      <w:r w:rsidR="00C20D40" w:rsidRPr="00880B24">
        <w:rPr>
          <w:rFonts w:ascii="Arial" w:hAnsi="Arial" w:cs="Arial"/>
          <w:sz w:val="24"/>
          <w:szCs w:val="24"/>
        </w:rPr>
        <w:t>Revolut (The Frontier) Founded in 2015 by ex-investment bankers, Revolut has changed the game for current accounts; a product of checking-account like no other offering free international spending among many others and real time FX at interbank rates. Then it expanded to a “super app” — including not only crypto trading, but also stock investing, budgeting and insurance. Its disruptive edge is homegrown, cloud-native technology enabling rapid product innovation and global scaling free of legacy IT (Lee &amp; Shin, 2018). Over 180 million clients in 210 countries never get charged common foreign banking fees having an account; can make payments using Apple Pay upon opening or order the first bank card free.</w:t>
      </w:r>
    </w:p>
    <w:p w14:paraId="5BF37C26" w14:textId="77777777" w:rsidR="00C20D40" w:rsidRPr="00880B24" w:rsidRDefault="00C20D40" w:rsidP="00880B24">
      <w:pPr>
        <w:spacing w:line="360" w:lineRule="auto"/>
        <w:rPr>
          <w:rFonts w:ascii="Arial" w:hAnsi="Arial" w:cs="Arial"/>
          <w:sz w:val="24"/>
          <w:szCs w:val="24"/>
        </w:rPr>
      </w:pPr>
    </w:p>
    <w:p w14:paraId="2B505A33" w14:textId="77777777" w:rsidR="00C20D40" w:rsidRPr="00880B24" w:rsidRDefault="00C20D40" w:rsidP="00880B24">
      <w:pPr>
        <w:spacing w:line="360" w:lineRule="auto"/>
        <w:rPr>
          <w:rFonts w:ascii="Arial" w:hAnsi="Arial" w:cs="Arial"/>
          <w:sz w:val="24"/>
          <w:szCs w:val="24"/>
        </w:rPr>
      </w:pPr>
      <w:r w:rsidRPr="00880B24">
        <w:rPr>
          <w:rFonts w:ascii="Arial" w:hAnsi="Arial" w:cs="Arial"/>
          <w:sz w:val="24"/>
          <w:szCs w:val="24"/>
        </w:rPr>
        <w:t>Barclays PLC (The Follower) Founded 1690 is a ‘Top 10’ UK bank c.48m customers, &gt;1000 UK branches and offers full service retail, business, wealth and investment banking (Barclays PLC, 2023). The bank spent c.£2bn on technology, launched a mobile app and closed branches. Barclays offers a hybrid model of physical and digital presence: 2016 Laukkanen Branch for hard needs, Internet for easy services. Its playbook of fast followers features scale-able innovations (such as contactless, mobile check deposit, AI fraud detection). Strongest among older, wealthier trust and relationship banking users nationally now.</w:t>
      </w:r>
    </w:p>
    <w:p w14:paraId="7BC94E61" w14:textId="77777777" w:rsidR="00C20D40" w:rsidRPr="00880B24" w:rsidRDefault="00755FB9" w:rsidP="00880B24">
      <w:pPr>
        <w:spacing w:line="360" w:lineRule="auto"/>
        <w:rPr>
          <w:rFonts w:ascii="Arial" w:hAnsi="Arial" w:cs="Arial"/>
          <w:sz w:val="24"/>
          <w:szCs w:val="24"/>
        </w:rPr>
      </w:pPr>
      <w:r w:rsidRPr="00755FB9">
        <w:rPr>
          <w:rFonts w:ascii="Arial" w:hAnsi="Arial" w:cs="Arial"/>
          <w:b/>
          <w:bCs/>
          <w:sz w:val="24"/>
          <w:szCs w:val="24"/>
        </w:rPr>
        <w:t>3.0 Theoretical Lens and Frameworks</w:t>
      </w:r>
      <w:r w:rsidRPr="00755FB9">
        <w:rPr>
          <w:rFonts w:ascii="Arial" w:hAnsi="Arial" w:cs="Arial"/>
          <w:b/>
          <w:bCs/>
          <w:sz w:val="24"/>
          <w:szCs w:val="24"/>
        </w:rPr>
        <w:br/>
      </w:r>
      <w:r w:rsidR="00C20D40" w:rsidRPr="00880B24">
        <w:rPr>
          <w:rFonts w:ascii="Arial" w:hAnsi="Arial" w:cs="Arial"/>
          <w:sz w:val="24"/>
          <w:szCs w:val="24"/>
        </w:rPr>
        <w:t>The current study uses a co-related paradigm of theoretical constructs for full-spectrum strategic knowledge6:</w:t>
      </w:r>
    </w:p>
    <w:p w14:paraId="4E5F93BF" w14:textId="77777777" w:rsidR="00C20D40" w:rsidRPr="00880B24" w:rsidRDefault="00C20D40" w:rsidP="00880B24">
      <w:pPr>
        <w:spacing w:line="360" w:lineRule="auto"/>
        <w:rPr>
          <w:rFonts w:ascii="Arial" w:hAnsi="Arial" w:cs="Arial"/>
          <w:sz w:val="24"/>
          <w:szCs w:val="24"/>
        </w:rPr>
      </w:pPr>
      <w:r w:rsidRPr="00880B24">
        <w:rPr>
          <w:rFonts w:ascii="Arial" w:hAnsi="Arial" w:cs="Arial"/>
          <w:b/>
          <w:bCs/>
          <w:sz w:val="24"/>
          <w:szCs w:val="24"/>
        </w:rPr>
        <w:t>Diffusion of Innovations (Rogers, 2003):</w:t>
      </w:r>
      <w:r w:rsidRPr="00880B24">
        <w:rPr>
          <w:rFonts w:ascii="Arial" w:hAnsi="Arial" w:cs="Arial"/>
          <w:sz w:val="24"/>
          <w:szCs w:val="24"/>
        </w:rPr>
        <w:t xml:space="preserve"> Proposes heterogeneity in consumer adoption rates. Revolut appeals to the innovators and early adopters interested in novelty, technology appeal, as well disruptive pricing (Laukkanen, 2016). Barclays targets early and late majorities who know the brand, have low perceived risk agains switching from traditional bank instead of fintec.</w:t>
      </w:r>
    </w:p>
    <w:p w14:paraId="7C8D167F" w14:textId="77777777" w:rsidR="00C20D40" w:rsidRPr="00880B24" w:rsidRDefault="00C20D40" w:rsidP="00880B24">
      <w:pPr>
        <w:spacing w:line="360" w:lineRule="auto"/>
        <w:rPr>
          <w:rFonts w:ascii="Arial" w:hAnsi="Arial" w:cs="Arial"/>
          <w:sz w:val="24"/>
          <w:szCs w:val="24"/>
        </w:rPr>
      </w:pPr>
      <w:r w:rsidRPr="00880B24">
        <w:rPr>
          <w:rFonts w:ascii="Arial" w:hAnsi="Arial" w:cs="Arial"/>
          <w:b/>
          <w:bCs/>
          <w:sz w:val="24"/>
          <w:szCs w:val="24"/>
        </w:rPr>
        <w:t>Disruptive Innovation (Christensen, n.d.):</w:t>
      </w:r>
      <w:r w:rsidRPr="00880B24">
        <w:rPr>
          <w:rFonts w:ascii="Arial" w:hAnsi="Arial" w:cs="Arial"/>
          <w:sz w:val="24"/>
          <w:szCs w:val="24"/>
        </w:rPr>
        <w:t xml:space="preserve"> Revolut's business is #traditional disruption - serving an initially under-catered-for group of customers  The question becomes why they haven't become dominant rather than why they've succeeded so far'. This conceptual model describes how challenger banks gain market shares from incumbents in a strategic way (King, 2018).</w:t>
      </w:r>
    </w:p>
    <w:p w14:paraId="77DBDDDE" w14:textId="77777777" w:rsidR="00C20D40" w:rsidRPr="00880B24" w:rsidRDefault="00C20D40" w:rsidP="00880B24">
      <w:pPr>
        <w:spacing w:line="360" w:lineRule="auto"/>
        <w:rPr>
          <w:rFonts w:ascii="Arial" w:hAnsi="Arial" w:cs="Arial"/>
          <w:sz w:val="24"/>
          <w:szCs w:val="24"/>
        </w:rPr>
      </w:pPr>
      <w:r w:rsidRPr="00880B24">
        <w:rPr>
          <w:rFonts w:ascii="Arial" w:hAnsi="Arial" w:cs="Arial"/>
          <w:b/>
          <w:bCs/>
          <w:sz w:val="24"/>
          <w:szCs w:val="24"/>
        </w:rPr>
        <w:lastRenderedPageBreak/>
        <w:t>Dynamic Capabilities (Teece, 2009):</w:t>
      </w:r>
      <w:r w:rsidRPr="00880B24">
        <w:rPr>
          <w:rFonts w:ascii="Arial" w:hAnsi="Arial" w:cs="Arial"/>
          <w:sz w:val="24"/>
          <w:szCs w:val="24"/>
        </w:rPr>
        <w:t xml:space="preserve"> This encourages attention to a firm’s ability of sensing business environmental disruptions, seizing opportunities and then reconfiguring resources. Barclays does it with branch refurbishment and digital integration, while Revolut is forever re-configuring its platform for new markets and products.</w:t>
      </w:r>
    </w:p>
    <w:p w14:paraId="4238DED4" w14:textId="77777777" w:rsidR="00C20D40" w:rsidRPr="00880B24" w:rsidRDefault="00C20D40" w:rsidP="00880B24">
      <w:pPr>
        <w:spacing w:line="360" w:lineRule="auto"/>
        <w:rPr>
          <w:rFonts w:ascii="Arial" w:hAnsi="Arial" w:cs="Arial"/>
          <w:sz w:val="24"/>
          <w:szCs w:val="24"/>
        </w:rPr>
      </w:pPr>
      <w:r w:rsidRPr="00880B24">
        <w:rPr>
          <w:rFonts w:ascii="Arial" w:hAnsi="Arial" w:cs="Arial"/>
          <w:b/>
          <w:bCs/>
          <w:sz w:val="24"/>
          <w:szCs w:val="24"/>
        </w:rPr>
        <w:t>Market Orientation (Kotler &amp; Keller, 2016):</w:t>
      </w:r>
      <w:r w:rsidRPr="00880B24">
        <w:rPr>
          <w:rFonts w:ascii="Arial" w:hAnsi="Arial" w:cs="Arial"/>
          <w:sz w:val="24"/>
          <w:szCs w:val="24"/>
        </w:rPr>
        <w:t xml:space="preserve"> The competitive advantage is based on the generation and deployment of knowledge about buyers. Revolut displays real time behaviour and Barclays combines transaction history with relationship insight.</w:t>
      </w:r>
    </w:p>
    <w:p w14:paraId="5AA551B9" w14:textId="77777777" w:rsidR="00C20D40" w:rsidRPr="00880B24" w:rsidRDefault="00C20D40" w:rsidP="00880B24">
      <w:pPr>
        <w:spacing w:line="360" w:lineRule="auto"/>
        <w:rPr>
          <w:rFonts w:ascii="Arial" w:hAnsi="Arial" w:cs="Arial"/>
          <w:sz w:val="24"/>
          <w:szCs w:val="24"/>
        </w:rPr>
      </w:pPr>
      <w:r w:rsidRPr="00880B24">
        <w:rPr>
          <w:rFonts w:ascii="Arial" w:hAnsi="Arial" w:cs="Arial"/>
          <w:b/>
          <w:bCs/>
          <w:sz w:val="24"/>
          <w:szCs w:val="24"/>
        </w:rPr>
        <w:t>Porter's Five Forces (Porter, 2008):</w:t>
      </w:r>
      <w:r w:rsidRPr="00880B24">
        <w:rPr>
          <w:rFonts w:ascii="Arial" w:hAnsi="Arial" w:cs="Arial"/>
          <w:sz w:val="24"/>
          <w:szCs w:val="24"/>
        </w:rPr>
        <w:t xml:space="preserve"> Analysis of competitive intensity environment in the banking industry that is applied for strategy definition and business lines strategy grouped to define structural profitability.</w:t>
      </w:r>
    </w:p>
    <w:p w14:paraId="402FD461" w14:textId="0DD63877" w:rsidR="00755FB9" w:rsidRPr="00755FB9" w:rsidRDefault="00C20D40" w:rsidP="00880B24">
      <w:pPr>
        <w:spacing w:line="360" w:lineRule="auto"/>
        <w:rPr>
          <w:rFonts w:ascii="Arial" w:hAnsi="Arial" w:cs="Arial"/>
          <w:b/>
          <w:bCs/>
          <w:sz w:val="24"/>
          <w:szCs w:val="24"/>
        </w:rPr>
      </w:pPr>
      <w:r w:rsidRPr="00880B24">
        <w:rPr>
          <w:rFonts w:ascii="Arial" w:hAnsi="Arial" w:cs="Arial"/>
          <w:b/>
          <w:bCs/>
          <w:sz w:val="24"/>
          <w:szCs w:val="24"/>
        </w:rPr>
        <w:t>Resource-Based View (Barney, 2014):</w:t>
      </w:r>
      <w:r w:rsidRPr="00880B24">
        <w:rPr>
          <w:rFonts w:ascii="Arial" w:hAnsi="Arial" w:cs="Arial"/>
          <w:sz w:val="24"/>
          <w:szCs w:val="24"/>
        </w:rPr>
        <w:t xml:space="preserve"> Competitive advantage is achieved by resources which are valuable, rare, imitable and non-substitutable (VRIN Resources). Revolut's technology stack and trust in Barclays(R) &amp; regulatory capital could be VRIN resource.</w:t>
      </w:r>
    </w:p>
    <w:p w14:paraId="64323C5A" w14:textId="77777777" w:rsidR="0057363B" w:rsidRDefault="0057363B" w:rsidP="00880B24">
      <w:pPr>
        <w:spacing w:line="360" w:lineRule="auto"/>
        <w:rPr>
          <w:rFonts w:ascii="Arial" w:hAnsi="Arial" w:cs="Arial"/>
          <w:b/>
          <w:bCs/>
          <w:sz w:val="24"/>
          <w:szCs w:val="24"/>
        </w:rPr>
      </w:pPr>
    </w:p>
    <w:p w14:paraId="4B6F009D" w14:textId="15687A8D" w:rsidR="00C20D40" w:rsidRPr="00880B24" w:rsidRDefault="00755FB9" w:rsidP="00880B24">
      <w:pPr>
        <w:spacing w:line="360" w:lineRule="auto"/>
        <w:rPr>
          <w:rFonts w:ascii="Arial" w:hAnsi="Arial" w:cs="Arial"/>
          <w:b/>
          <w:bCs/>
          <w:sz w:val="24"/>
          <w:szCs w:val="24"/>
        </w:rPr>
      </w:pPr>
      <w:r w:rsidRPr="00755FB9">
        <w:rPr>
          <w:rFonts w:ascii="Arial" w:hAnsi="Arial" w:cs="Arial"/>
          <w:b/>
          <w:bCs/>
          <w:sz w:val="24"/>
          <w:szCs w:val="24"/>
        </w:rPr>
        <w:t>4.0 Task 1: Critically Analyse Two Macro Marketing Actors</w:t>
      </w:r>
    </w:p>
    <w:p w14:paraId="2DC5929E" w14:textId="14E325CE" w:rsidR="00C20D40" w:rsidRPr="00880B24" w:rsidRDefault="00C20D40" w:rsidP="00880B24">
      <w:pPr>
        <w:spacing w:line="360" w:lineRule="auto"/>
        <w:rPr>
          <w:rFonts w:ascii="Arial" w:hAnsi="Arial" w:cs="Arial"/>
          <w:b/>
          <w:bCs/>
          <w:sz w:val="24"/>
          <w:szCs w:val="24"/>
        </w:rPr>
      </w:pPr>
      <w:r w:rsidRPr="00880B24">
        <w:rPr>
          <w:rFonts w:ascii="Arial" w:hAnsi="Arial" w:cs="Arial"/>
          <w:b/>
          <w:bCs/>
          <w:sz w:val="24"/>
          <w:szCs w:val="24"/>
        </w:rPr>
        <w:t>4.1 Socio-cultural and Economic Environment</w:t>
      </w:r>
    </w:p>
    <w:p w14:paraId="1D3AAF40" w14:textId="75D559CE" w:rsidR="00C20D40" w:rsidRPr="00880B24" w:rsidRDefault="00C20D40" w:rsidP="00880B24">
      <w:pPr>
        <w:spacing w:line="360" w:lineRule="auto"/>
        <w:rPr>
          <w:rFonts w:ascii="Arial" w:hAnsi="Arial" w:cs="Arial"/>
          <w:sz w:val="24"/>
          <w:szCs w:val="24"/>
        </w:rPr>
      </w:pPr>
      <w:r w:rsidRPr="00880B24">
        <w:rPr>
          <w:rFonts w:ascii="Arial" w:hAnsi="Arial" w:cs="Arial"/>
          <w:sz w:val="24"/>
          <w:szCs w:val="24"/>
        </w:rPr>
        <w:t>UK banking operates in a low trust environment since the crisis (2008), PPI (payment protection insurance) scandals and cost-of-living pressures have generated demand for transparency, control tools and val usecases. Younger customers in particular are said to loathe opaque fees and see the incumbents as profit first. Cultural dynamics shape new normal of expectations: "In the world where digital natives are born, survival needs demand alerts and onboarding to be in real time (with) uber-like, netflix-kind interfaces" (Mbama &amp; Ezepue, 2018). Feature-value based switching is also evoked by financial education and comparison programmes. The push-pull between security and convenience occurs as more consumers worry about privacy. BBC, October 2018 The rise of the gig economy and trends towards cross-border mobility are fuelling a need for flexible, borderless finance that existing models support poorly.”</w:t>
      </w:r>
    </w:p>
    <w:p w14:paraId="1A3EA654" w14:textId="390E54BB" w:rsidR="00C20D40" w:rsidRPr="00880B24" w:rsidRDefault="00C20D40" w:rsidP="00880B24">
      <w:pPr>
        <w:spacing w:line="360" w:lineRule="auto"/>
        <w:rPr>
          <w:rFonts w:ascii="Arial" w:hAnsi="Arial" w:cs="Arial"/>
          <w:b/>
          <w:bCs/>
          <w:sz w:val="24"/>
          <w:szCs w:val="24"/>
        </w:rPr>
      </w:pPr>
      <w:r w:rsidRPr="00880B24">
        <w:rPr>
          <w:rFonts w:ascii="Arial" w:hAnsi="Arial" w:cs="Arial"/>
          <w:b/>
          <w:bCs/>
          <w:sz w:val="24"/>
          <w:szCs w:val="24"/>
        </w:rPr>
        <w:lastRenderedPageBreak/>
        <w:t>Pioneer's (Revolut) Opportunities and Threats</w:t>
      </w:r>
    </w:p>
    <w:p w14:paraId="6C861F75" w14:textId="20F6D9CD" w:rsidR="00C20D40" w:rsidRPr="00880B24" w:rsidRDefault="00C20D40" w:rsidP="00880B24">
      <w:pPr>
        <w:spacing w:line="360" w:lineRule="auto"/>
        <w:rPr>
          <w:rFonts w:ascii="Arial" w:hAnsi="Arial" w:cs="Arial"/>
          <w:b/>
          <w:bCs/>
          <w:sz w:val="24"/>
          <w:szCs w:val="24"/>
        </w:rPr>
      </w:pPr>
      <w:r w:rsidRPr="00880B24">
        <w:rPr>
          <w:rFonts w:ascii="Arial" w:hAnsi="Arial" w:cs="Arial"/>
          <w:b/>
          <w:bCs/>
          <w:sz w:val="24"/>
          <w:szCs w:val="24"/>
        </w:rPr>
        <w:t xml:space="preserve">Opportunities: </w:t>
      </w:r>
      <w:r w:rsidRPr="00880B24">
        <w:rPr>
          <w:rFonts w:ascii="Arial" w:hAnsi="Arial" w:cs="Arial"/>
          <w:sz w:val="24"/>
          <w:szCs w:val="24"/>
        </w:rPr>
        <w:t>A free to use and no fee, transparent model fits in with the consumers need of being able to trust and get value. Sleek app experience is in the line with millennials’ expectations. The epitome of lifestyle services and endless product proliferation (crypto, equities, budgeting analytics) packaged from within a single ‘super app’ reveals lives that are only increasing in financialisation (Gomber et al., 2017). Cross-border power plays speaks to mobile, international users in a way that supply-chain dependant incumbents cannot.</w:t>
      </w:r>
    </w:p>
    <w:p w14:paraId="55C0D19B" w14:textId="4C5982AC" w:rsidR="00C20D40" w:rsidRPr="00880B24" w:rsidRDefault="00C20D40" w:rsidP="00880B24">
      <w:pPr>
        <w:spacing w:line="360" w:lineRule="auto"/>
        <w:rPr>
          <w:rFonts w:ascii="Arial" w:hAnsi="Arial" w:cs="Arial"/>
          <w:sz w:val="24"/>
          <w:szCs w:val="24"/>
        </w:rPr>
      </w:pPr>
      <w:r w:rsidRPr="00880B24">
        <w:rPr>
          <w:rFonts w:ascii="Arial" w:hAnsi="Arial" w:cs="Arial"/>
          <w:sz w:val="24"/>
          <w:szCs w:val="24"/>
        </w:rPr>
        <w:t>Challenges As a new brand, Revolut has relatively little trust reserves for mature markets (Ennew;Sekhon;2007). The credibility is at stake with increased scrutiny (e.g., no timely disclosure and AML issues). A digital only model may not be usable by less confident users, and exclude the possibility of many outages related problems being solved without human intervention (Laukkanen, 2016). Decrease in travel/FX volumes bringing ‘transaction based’ income risks (Vives, 2017).</w:t>
      </w:r>
    </w:p>
    <w:p w14:paraId="73B3B3FC" w14:textId="51087411" w:rsidR="00C20D40" w:rsidRPr="00880B24" w:rsidRDefault="00C20D40" w:rsidP="00880B24">
      <w:pPr>
        <w:spacing w:line="360" w:lineRule="auto"/>
        <w:rPr>
          <w:rFonts w:ascii="Arial" w:hAnsi="Arial" w:cs="Arial"/>
          <w:sz w:val="24"/>
          <w:szCs w:val="24"/>
        </w:rPr>
      </w:pPr>
      <w:r w:rsidRPr="00880B24">
        <w:rPr>
          <w:rFonts w:ascii="Arial" w:hAnsi="Arial" w:cs="Arial"/>
          <w:sz w:val="24"/>
          <w:szCs w:val="24"/>
        </w:rPr>
        <w:t>Opportunities and Threats for a Follower (Barclays) Significant opportunities have been identified in the banking industry.</w:t>
      </w:r>
    </w:p>
    <w:p w14:paraId="15FEB72C" w14:textId="3BB605C7" w:rsidR="00C20D40" w:rsidRPr="00880B24" w:rsidRDefault="00C20D40" w:rsidP="00880B24">
      <w:pPr>
        <w:spacing w:line="360" w:lineRule="auto"/>
        <w:rPr>
          <w:rFonts w:ascii="Arial" w:hAnsi="Arial" w:cs="Arial"/>
          <w:b/>
          <w:bCs/>
          <w:sz w:val="24"/>
          <w:szCs w:val="24"/>
        </w:rPr>
      </w:pPr>
      <w:r w:rsidRPr="00880B24">
        <w:rPr>
          <w:rFonts w:ascii="Arial" w:hAnsi="Arial" w:cs="Arial"/>
          <w:b/>
          <w:bCs/>
          <w:sz w:val="24"/>
          <w:szCs w:val="24"/>
        </w:rPr>
        <w:t xml:space="preserve">Opportunities: </w:t>
      </w:r>
      <w:r w:rsidRPr="00880B24">
        <w:rPr>
          <w:rFonts w:ascii="Arial" w:hAnsi="Arial" w:cs="Arial"/>
          <w:sz w:val="24"/>
          <w:szCs w:val="24"/>
        </w:rPr>
        <w:t>330 years of combined experience, psychological safety amid change. We have a big branch footprint for customers who are uncomfortable with banking digitally and where more complex face to face can be done (Mortgages, SME lending) (Laukkanen, 2016). Sound regulation and deposit insurance reassure risk averse customers. Diversification of income (Between retail, corporate and investment banking) reduces retail margin pressure (Barclays PLC, 2023).</w:t>
      </w:r>
    </w:p>
    <w:p w14:paraId="52F48A4B" w14:textId="77777777" w:rsidR="00C20D40" w:rsidRPr="00880B24" w:rsidRDefault="00C20D40" w:rsidP="00880B24">
      <w:pPr>
        <w:spacing w:line="360" w:lineRule="auto"/>
        <w:rPr>
          <w:rFonts w:ascii="Arial" w:hAnsi="Arial" w:cs="Arial"/>
          <w:sz w:val="24"/>
          <w:szCs w:val="24"/>
        </w:rPr>
      </w:pPr>
      <w:r w:rsidRPr="00880B24">
        <w:rPr>
          <w:rFonts w:ascii="Arial" w:hAnsi="Arial" w:cs="Arial"/>
          <w:b/>
          <w:bCs/>
          <w:sz w:val="24"/>
          <w:szCs w:val="24"/>
        </w:rPr>
        <w:t xml:space="preserve">Porter’s Five Forces Threats: </w:t>
      </w:r>
      <w:r w:rsidRPr="00880B24">
        <w:rPr>
          <w:rFonts w:ascii="Arial" w:hAnsi="Arial" w:cs="Arial"/>
          <w:sz w:val="24"/>
          <w:szCs w:val="24"/>
        </w:rPr>
        <w:t>Branch and heritage IT cause fixed costs to become high, limiting the capacity to compete on price with flat competitors (Vives, 2017; Skinner, 2018). A younger audience is also likely to describe the brand as being 10-20 years old, despite digital add-ons. “I see echoes of the short-term, sales-driven mindset that has defined previous generations of falling prey to transparency let into the challengers. Closing branches may only alienate more-traditional customers without attracting digital natives who want super app capabilities.</w:t>
      </w:r>
    </w:p>
    <w:p w14:paraId="276A9AAF" w14:textId="77777777" w:rsidR="00C20D40" w:rsidRPr="00880B24" w:rsidRDefault="00C20D40" w:rsidP="00880B24">
      <w:pPr>
        <w:spacing w:line="360" w:lineRule="auto"/>
        <w:rPr>
          <w:rFonts w:ascii="Arial" w:hAnsi="Arial" w:cs="Arial"/>
          <w:b/>
          <w:bCs/>
          <w:sz w:val="24"/>
          <w:szCs w:val="24"/>
        </w:rPr>
      </w:pPr>
    </w:p>
    <w:p w14:paraId="3CF9B641" w14:textId="14CDF17D" w:rsidR="00C20D40" w:rsidRPr="00880B24" w:rsidRDefault="00C20D40" w:rsidP="00880B24">
      <w:pPr>
        <w:spacing w:line="360" w:lineRule="auto"/>
        <w:rPr>
          <w:rFonts w:ascii="Arial" w:hAnsi="Arial" w:cs="Arial"/>
          <w:b/>
          <w:bCs/>
          <w:sz w:val="24"/>
          <w:szCs w:val="24"/>
        </w:rPr>
      </w:pPr>
      <w:r w:rsidRPr="00880B24">
        <w:rPr>
          <w:rFonts w:ascii="Arial" w:hAnsi="Arial" w:cs="Arial"/>
          <w:b/>
          <w:bCs/>
          <w:sz w:val="24"/>
          <w:szCs w:val="24"/>
        </w:rPr>
        <w:t>4.2 Technological Environment</w:t>
      </w:r>
    </w:p>
    <w:p w14:paraId="52D1BBBF" w14:textId="77777777" w:rsidR="00C20D40" w:rsidRDefault="00C20D40" w:rsidP="00880B24">
      <w:pPr>
        <w:spacing w:line="360" w:lineRule="auto"/>
        <w:rPr>
          <w:rFonts w:ascii="Arial" w:hAnsi="Arial" w:cs="Arial"/>
          <w:sz w:val="24"/>
          <w:szCs w:val="24"/>
        </w:rPr>
      </w:pPr>
      <w:r w:rsidRPr="00880B24">
        <w:rPr>
          <w:rFonts w:ascii="Arial" w:hAnsi="Arial" w:cs="Arial"/>
          <w:sz w:val="24"/>
          <w:szCs w:val="24"/>
        </w:rPr>
        <w:lastRenderedPageBreak/>
        <w:t>Technology is rewriting banking economics and expectations. Open Banking/PSD2 regulations enable portability and allow third parties to offer value added products/services next to incumbent services (Financial Conduct Authority, 2021). AI can enhance fraud detection, credit risk and personalized scaling. Blockchain provides cheaper and quicker international payments, while the crypto refers to value stores (Gomber et al., 2017). Cloud-based computing minimizes hardware barriers and increases scalability in education (Vives, 2017). Biometrics enhance security and usability. However, cyber risk is growing and companies need to continue to invest in their ability to rapidly lose -a-few-years-worth of data and still be alright.</w:t>
      </w:r>
    </w:p>
    <w:p w14:paraId="3DC06A84" w14:textId="7A0EFB5E" w:rsidR="00D76BF6" w:rsidRDefault="00D76BF6" w:rsidP="00880B24">
      <w:pPr>
        <w:spacing w:line="360" w:lineRule="auto"/>
        <w:rPr>
          <w:rFonts w:ascii="Arial" w:hAnsi="Arial" w:cs="Arial"/>
          <w:sz w:val="24"/>
          <w:szCs w:val="24"/>
        </w:rPr>
      </w:pPr>
    </w:p>
    <w:p w14:paraId="6EE1ED2C" w14:textId="2BCE2C7A" w:rsidR="00D76BF6" w:rsidRDefault="00D76BF6" w:rsidP="00880B24">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58240" behindDoc="1" locked="0" layoutInCell="1" allowOverlap="1" wp14:anchorId="778A39CF" wp14:editId="1F8D0A61">
            <wp:simplePos x="0" y="0"/>
            <wp:positionH relativeFrom="margin">
              <wp:align>left</wp:align>
            </wp:positionH>
            <wp:positionV relativeFrom="paragraph">
              <wp:posOffset>237490</wp:posOffset>
            </wp:positionV>
            <wp:extent cx="5890260" cy="2720340"/>
            <wp:effectExtent l="0" t="0" r="0" b="3810"/>
            <wp:wrapTight wrapText="bothSides">
              <wp:wrapPolygon edited="0">
                <wp:start x="0" y="0"/>
                <wp:lineTo x="0" y="21479"/>
                <wp:lineTo x="21516" y="21479"/>
                <wp:lineTo x="21516" y="0"/>
                <wp:lineTo x="0" y="0"/>
              </wp:wrapPolygon>
            </wp:wrapTight>
            <wp:docPr id="3201506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150621"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5890260" cy="2720340"/>
                    </a:xfrm>
                    <a:prstGeom prst="rect">
                      <a:avLst/>
                    </a:prstGeom>
                  </pic:spPr>
                </pic:pic>
              </a:graphicData>
            </a:graphic>
            <wp14:sizeRelH relativeFrom="margin">
              <wp14:pctWidth>0</wp14:pctWidth>
            </wp14:sizeRelH>
            <wp14:sizeRelV relativeFrom="margin">
              <wp14:pctHeight>0</wp14:pctHeight>
            </wp14:sizeRelV>
          </wp:anchor>
        </w:drawing>
      </w:r>
    </w:p>
    <w:p w14:paraId="07F61200" w14:textId="75AFF64B" w:rsidR="00D76BF6" w:rsidRPr="00880B24" w:rsidRDefault="00D76BF6" w:rsidP="00D76BF6">
      <w:pPr>
        <w:spacing w:line="360" w:lineRule="auto"/>
        <w:ind w:firstLine="720"/>
        <w:rPr>
          <w:rFonts w:ascii="Arial" w:hAnsi="Arial" w:cs="Arial"/>
          <w:sz w:val="24"/>
          <w:szCs w:val="24"/>
        </w:rPr>
      </w:pPr>
      <w:r>
        <w:rPr>
          <w:rFonts w:ascii="Arial" w:hAnsi="Arial" w:cs="Arial"/>
          <w:sz w:val="24"/>
          <w:szCs w:val="24"/>
        </w:rPr>
        <w:t xml:space="preserve">Source: </w:t>
      </w:r>
      <w:r w:rsidRPr="00D76BF6">
        <w:rPr>
          <w:rFonts w:ascii="Arial" w:hAnsi="Arial" w:cs="Arial"/>
          <w:sz w:val="24"/>
          <w:szCs w:val="24"/>
        </w:rPr>
        <w:t>Share of UK Adults Using Mobile Banking (2015–2024)</w:t>
      </w:r>
    </w:p>
    <w:p w14:paraId="531C69F3" w14:textId="77777777" w:rsidR="00C20D40" w:rsidRPr="00880B24" w:rsidRDefault="00C20D40" w:rsidP="00880B24">
      <w:pPr>
        <w:spacing w:line="360" w:lineRule="auto"/>
        <w:rPr>
          <w:rFonts w:ascii="Arial" w:hAnsi="Arial" w:cs="Arial"/>
          <w:b/>
          <w:bCs/>
          <w:sz w:val="24"/>
          <w:szCs w:val="24"/>
        </w:rPr>
      </w:pPr>
    </w:p>
    <w:p w14:paraId="5DAEB7E6" w14:textId="758BF1F3" w:rsidR="00C20D40" w:rsidRPr="00880B24" w:rsidRDefault="00C20D40" w:rsidP="00880B24">
      <w:pPr>
        <w:spacing w:line="360" w:lineRule="auto"/>
        <w:rPr>
          <w:rFonts w:ascii="Arial" w:hAnsi="Arial" w:cs="Arial"/>
          <w:b/>
          <w:bCs/>
          <w:sz w:val="24"/>
          <w:szCs w:val="24"/>
        </w:rPr>
      </w:pPr>
      <w:r w:rsidRPr="00880B24">
        <w:rPr>
          <w:rFonts w:ascii="Arial" w:hAnsi="Arial" w:cs="Arial"/>
          <w:b/>
          <w:bCs/>
          <w:sz w:val="24"/>
          <w:szCs w:val="24"/>
        </w:rPr>
        <w:t>Opportunities and Threats to the First-Mover (Revolut)</w:t>
      </w:r>
    </w:p>
    <w:p w14:paraId="1528158A" w14:textId="67B067D3" w:rsidR="00C20D40" w:rsidRPr="00880B24" w:rsidRDefault="00C20D40" w:rsidP="00880B24">
      <w:pPr>
        <w:spacing w:line="360" w:lineRule="auto"/>
        <w:rPr>
          <w:rFonts w:ascii="Arial" w:hAnsi="Arial" w:cs="Arial"/>
          <w:sz w:val="24"/>
          <w:szCs w:val="24"/>
        </w:rPr>
      </w:pPr>
      <w:r w:rsidRPr="00880B24">
        <w:rPr>
          <w:rFonts w:ascii="Arial" w:hAnsi="Arial" w:cs="Arial"/>
          <w:sz w:val="24"/>
          <w:szCs w:val="24"/>
        </w:rPr>
        <w:t>Opportunities Cloud is the native architecture, which also support fast capital light scaling over market (Lee &amp; Shin, 2018). Real time data powers instant notifications and spending insights, big speed nudges not achievable in legacy stack. Open Banking aggregation to make Revolut into a financial hub with third party accounts added. Crypto related services attract the digital savvy customers and project innovation leadership (Gomber et al., 2017).</w:t>
      </w:r>
    </w:p>
    <w:p w14:paraId="4B479976" w14:textId="67C4CD94" w:rsidR="00C20D40" w:rsidRPr="00880B24" w:rsidRDefault="00C20D40" w:rsidP="00880B24">
      <w:pPr>
        <w:spacing w:line="360" w:lineRule="auto"/>
        <w:rPr>
          <w:rFonts w:ascii="Arial" w:hAnsi="Arial" w:cs="Arial"/>
          <w:b/>
          <w:bCs/>
          <w:sz w:val="24"/>
          <w:szCs w:val="24"/>
        </w:rPr>
      </w:pPr>
      <w:r w:rsidRPr="00880B24">
        <w:rPr>
          <w:rFonts w:ascii="Arial" w:hAnsi="Arial" w:cs="Arial"/>
          <w:b/>
          <w:bCs/>
          <w:sz w:val="24"/>
          <w:szCs w:val="24"/>
        </w:rPr>
        <w:lastRenderedPageBreak/>
        <w:t xml:space="preserve">Failure from Threat Platforms: </w:t>
      </w:r>
      <w:r w:rsidRPr="00880B24">
        <w:rPr>
          <w:rFonts w:ascii="Arial" w:hAnsi="Arial" w:cs="Arial"/>
          <w:sz w:val="24"/>
          <w:szCs w:val="24"/>
        </w:rPr>
        <w:t>any failure or crash in the platform will increase mistrust and bring intervention of regulators. CONTINUED INVENTION INCLUDES SPENDING WITHOUT NECESSARY CLEAR PAYOFFS (King, 2018). Competitors might also buy fin\tech style things” as a commodity. Regulatory doubt around cryp-to and cross border service provision adds a pinch of strategic risk to the cocktail (Financial Conduct Authority, 2021).</w:t>
      </w:r>
    </w:p>
    <w:p w14:paraId="1D5BE641" w14:textId="040FA819" w:rsidR="00C20D40" w:rsidRPr="00880B24" w:rsidRDefault="00C20D40" w:rsidP="00880B24">
      <w:pPr>
        <w:spacing w:line="360" w:lineRule="auto"/>
        <w:rPr>
          <w:rFonts w:ascii="Arial" w:hAnsi="Arial" w:cs="Arial"/>
          <w:sz w:val="24"/>
          <w:szCs w:val="24"/>
        </w:rPr>
      </w:pPr>
      <w:r w:rsidRPr="00880B24">
        <w:rPr>
          <w:rFonts w:ascii="Arial" w:hAnsi="Arial" w:cs="Arial"/>
          <w:sz w:val="24"/>
          <w:szCs w:val="24"/>
        </w:rPr>
        <w:t>Barclays Issues as a Follower To be such investor must learn and know the pros and cons there are, they are opportunities then they are there are threats in this matter of investment.</w:t>
      </w:r>
    </w:p>
    <w:p w14:paraId="484617C4" w14:textId="15C5FE98" w:rsidR="00C20D40" w:rsidRPr="00880B24" w:rsidRDefault="00C20D40" w:rsidP="00880B24">
      <w:pPr>
        <w:spacing w:line="360" w:lineRule="auto"/>
        <w:rPr>
          <w:rFonts w:ascii="Arial" w:hAnsi="Arial" w:cs="Arial"/>
          <w:b/>
          <w:bCs/>
          <w:sz w:val="24"/>
          <w:szCs w:val="24"/>
        </w:rPr>
      </w:pPr>
      <w:r w:rsidRPr="00880B24">
        <w:rPr>
          <w:rFonts w:ascii="Arial" w:hAnsi="Arial" w:cs="Arial"/>
          <w:b/>
          <w:bCs/>
          <w:sz w:val="24"/>
          <w:szCs w:val="24"/>
        </w:rPr>
        <w:t xml:space="preserve">Chances are: </w:t>
      </w:r>
      <w:r w:rsidRPr="00880B24">
        <w:rPr>
          <w:rFonts w:ascii="Arial" w:hAnsi="Arial" w:cs="Arial"/>
          <w:sz w:val="24"/>
          <w:szCs w:val="24"/>
        </w:rPr>
        <w:t>It helps reduce the risk of innovation with proven technology on a larger scale. In such scenarios, high tech budgets produce end to end transformation (Barclays PLC 2023). It is the brick and mortar framework that allows the hybrid mode of digital path with in-branch consultation (Laukkanen, 2016). We have rich longitudinal data that can be fed into AI-based personalization or risk models.</w:t>
      </w:r>
    </w:p>
    <w:p w14:paraId="588F6377" w14:textId="440AA008" w:rsidR="00755FB9" w:rsidRPr="00755FB9" w:rsidRDefault="00C20D40" w:rsidP="00880B24">
      <w:pPr>
        <w:spacing w:line="360" w:lineRule="auto"/>
        <w:rPr>
          <w:rFonts w:ascii="Arial" w:hAnsi="Arial" w:cs="Arial"/>
          <w:b/>
          <w:bCs/>
          <w:sz w:val="24"/>
          <w:szCs w:val="24"/>
        </w:rPr>
      </w:pPr>
      <w:r w:rsidRPr="00880B24">
        <w:rPr>
          <w:rFonts w:ascii="Arial" w:hAnsi="Arial" w:cs="Arial"/>
          <w:b/>
          <w:bCs/>
          <w:sz w:val="24"/>
          <w:szCs w:val="24"/>
        </w:rPr>
        <w:t xml:space="preserve">Challenges: </w:t>
      </w:r>
      <w:r w:rsidRPr="00880B24">
        <w:rPr>
          <w:rFonts w:ascii="Arial" w:hAnsi="Arial" w:cs="Arial"/>
          <w:sz w:val="24"/>
          <w:szCs w:val="24"/>
        </w:rPr>
        <w:t>“We have that thing” IT, built up over time and slow, costly change (Skinner, 2018; Vives, 2017). Cultural heritage can be a barrier to the acceptance and transformation of technology. The failure to offer digital channels in customers’ quest for services may prevent the organisation from keeping up-to-date with continuously increasing customer needs (Mbama &amp; Ezepue, 2018). Under-utilisation of data assets would be to squander advantage and let those challengers get their nose in front on personalisation.</w:t>
      </w:r>
    </w:p>
    <w:p w14:paraId="3C9DD1BE" w14:textId="77777777" w:rsidR="00880B24" w:rsidRPr="00880B24" w:rsidRDefault="00880B24" w:rsidP="00880B24">
      <w:pPr>
        <w:spacing w:line="360" w:lineRule="auto"/>
        <w:rPr>
          <w:rFonts w:ascii="Arial" w:hAnsi="Arial" w:cs="Arial"/>
          <w:b/>
          <w:bCs/>
          <w:sz w:val="24"/>
          <w:szCs w:val="24"/>
        </w:rPr>
      </w:pPr>
    </w:p>
    <w:p w14:paraId="00387F4F" w14:textId="1E5320C0" w:rsidR="00880B24" w:rsidRPr="00880B24" w:rsidRDefault="00755FB9" w:rsidP="001125DB">
      <w:pPr>
        <w:rPr>
          <w:rFonts w:ascii="Arial" w:hAnsi="Arial" w:cs="Arial"/>
          <w:b/>
          <w:bCs/>
          <w:sz w:val="24"/>
          <w:szCs w:val="24"/>
        </w:rPr>
      </w:pPr>
      <w:r w:rsidRPr="00755FB9">
        <w:rPr>
          <w:rFonts w:ascii="Arial" w:hAnsi="Arial" w:cs="Arial"/>
          <w:b/>
          <w:bCs/>
          <w:sz w:val="24"/>
          <w:szCs w:val="24"/>
        </w:rPr>
        <w:t>5.0 Task 2: Strategic Behavior of Forerunners and Latecomers</w:t>
      </w:r>
      <w:r w:rsidRPr="00755FB9">
        <w:rPr>
          <w:rFonts w:ascii="Arial" w:hAnsi="Arial" w:cs="Arial"/>
          <w:b/>
          <w:bCs/>
          <w:sz w:val="24"/>
          <w:szCs w:val="24"/>
        </w:rPr>
        <w:br/>
      </w:r>
    </w:p>
    <w:p w14:paraId="07532848" w14:textId="6F3931CD" w:rsidR="00880B24" w:rsidRPr="00880B24" w:rsidRDefault="00880B24" w:rsidP="00880B24">
      <w:pPr>
        <w:spacing w:line="360" w:lineRule="auto"/>
        <w:rPr>
          <w:rFonts w:ascii="Arial" w:hAnsi="Arial" w:cs="Arial"/>
          <w:b/>
          <w:bCs/>
          <w:sz w:val="24"/>
          <w:szCs w:val="24"/>
        </w:rPr>
      </w:pPr>
      <w:r w:rsidRPr="00880B24">
        <w:rPr>
          <w:rFonts w:ascii="Arial" w:hAnsi="Arial" w:cs="Arial"/>
          <w:b/>
          <w:bCs/>
          <w:sz w:val="24"/>
          <w:szCs w:val="24"/>
        </w:rPr>
        <w:t>5.1. Strategically coping with socio-cultural and economic pressures</w:t>
      </w:r>
    </w:p>
    <w:p w14:paraId="69A3FC52" w14:textId="36020AD3" w:rsidR="00880B24" w:rsidRPr="00880B24" w:rsidRDefault="00880B24" w:rsidP="00880B24">
      <w:pPr>
        <w:spacing w:line="360" w:lineRule="auto"/>
        <w:rPr>
          <w:rFonts w:ascii="Arial" w:hAnsi="Arial" w:cs="Arial"/>
          <w:sz w:val="24"/>
          <w:szCs w:val="24"/>
        </w:rPr>
      </w:pPr>
      <w:r w:rsidRPr="00880B24">
        <w:rPr>
          <w:rFonts w:ascii="Arial" w:hAnsi="Arial" w:cs="Arial"/>
          <w:sz w:val="24"/>
          <w:szCs w:val="24"/>
        </w:rPr>
        <w:t xml:space="preserve">Revolut's answer to socio-economic forces are radical transparency and product democratisation: using no hidden fees, instant categorisation of spending as it happens and wholesale access to investing, or crypto or insurance through a freemium ladder. It is aimed at digitally native, globally mobile 18–40 year-olds “looking for clarity and control,” an ‘ex-banker’ in its own right as a command center that renews the prospect of all the others. The result is a multi-product system, which </w:t>
      </w:r>
      <w:r w:rsidRPr="00880B24">
        <w:rPr>
          <w:rFonts w:ascii="Arial" w:hAnsi="Arial" w:cs="Arial"/>
          <w:sz w:val="24"/>
          <w:szCs w:val="24"/>
        </w:rPr>
        <w:lastRenderedPageBreak/>
        <w:t>adapts based on user feedback (Gomber et al., 2017). Pricing is freemium — basic accounts are free, but you’ll pay for tiered subscriptions. Marketing is digital-led (social, influencer, referral) to achieve transparency and agility (Lee &amp; Shin, 2018).</w:t>
      </w:r>
    </w:p>
    <w:p w14:paraId="5313C0E6" w14:textId="77777777" w:rsidR="00880B24" w:rsidRDefault="00880B24" w:rsidP="00880B24">
      <w:pPr>
        <w:spacing w:line="360" w:lineRule="auto"/>
        <w:rPr>
          <w:rFonts w:ascii="Arial" w:hAnsi="Arial" w:cs="Arial"/>
          <w:sz w:val="24"/>
          <w:szCs w:val="24"/>
        </w:rPr>
      </w:pPr>
      <w:r w:rsidRPr="00880B24">
        <w:rPr>
          <w:rFonts w:ascii="Arial" w:hAnsi="Arial" w:cs="Arial"/>
          <w:sz w:val="24"/>
          <w:szCs w:val="24"/>
        </w:rPr>
        <w:t>Barclays exhibits a mixed "multi-segment game" — one of adding the scale and heritage to maintain trust while modernizing (Porter, 2008). Product amalgamation is driven by Blue Rewards; branches give comfort to consumer risk averse. It's targeting pretty broad demographics — my guess would be 35+ professionals, families and SMEs — with its advertising featuring the slogan "trusted banking, modern convenience. Provide full services – share of wallet, pricing competitive in day to day banking, also mortgage and wealth with cash back to deepen relationship (Barclays PLC, 2020). Location is omnichannel: 1000+ branches for complexity and an app that has reached maturity for day-to-day transactions (Laukkanen, 2016).</w:t>
      </w:r>
    </w:p>
    <w:p w14:paraId="30086FAE" w14:textId="77777777" w:rsidR="00B97DC3" w:rsidRDefault="00B97DC3" w:rsidP="00880B24">
      <w:pPr>
        <w:spacing w:line="360" w:lineRule="auto"/>
        <w:rPr>
          <w:rFonts w:ascii="Arial" w:hAnsi="Arial" w:cs="Arial"/>
          <w:sz w:val="24"/>
          <w:szCs w:val="24"/>
        </w:rPr>
      </w:pPr>
    </w:p>
    <w:p w14:paraId="7E41236E" w14:textId="28D97344" w:rsidR="00B97DC3" w:rsidRPr="00880B24" w:rsidRDefault="00B97DC3" w:rsidP="00880B24">
      <w:pPr>
        <w:spacing w:line="360" w:lineRule="auto"/>
        <w:rPr>
          <w:rFonts w:ascii="Arial" w:hAnsi="Arial" w:cs="Arial"/>
          <w:sz w:val="24"/>
          <w:szCs w:val="24"/>
        </w:rPr>
      </w:pPr>
      <w:r>
        <w:rPr>
          <w:rFonts w:ascii="Arial" w:hAnsi="Arial" w:cs="Arial"/>
          <w:noProof/>
          <w:sz w:val="24"/>
          <w:szCs w:val="24"/>
        </w:rPr>
        <w:drawing>
          <wp:inline distT="0" distB="0" distL="0" distR="0" wp14:anchorId="3927CBA0" wp14:editId="465F13FD">
            <wp:extent cx="5731510" cy="4083685"/>
            <wp:effectExtent l="0" t="0" r="2540" b="0"/>
            <wp:docPr id="441412422" name="Picture 3" descr="A graph of the biggest culprits of the ban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412422" name="Picture 3" descr="A graph of the biggest culprits of the bank&#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4083685"/>
                    </a:xfrm>
                    <a:prstGeom prst="rect">
                      <a:avLst/>
                    </a:prstGeom>
                  </pic:spPr>
                </pic:pic>
              </a:graphicData>
            </a:graphic>
          </wp:inline>
        </w:drawing>
      </w:r>
    </w:p>
    <w:p w14:paraId="37DC1750" w14:textId="0B8EBB22" w:rsidR="00880B24" w:rsidRPr="00B97DC3" w:rsidRDefault="00B97DC3" w:rsidP="00880B24">
      <w:pPr>
        <w:spacing w:line="360" w:lineRule="auto"/>
        <w:rPr>
          <w:rFonts w:ascii="Arial" w:hAnsi="Arial" w:cs="Arial"/>
          <w:sz w:val="24"/>
          <w:szCs w:val="24"/>
        </w:rPr>
      </w:pPr>
      <w:r>
        <w:rPr>
          <w:rFonts w:ascii="Arial" w:hAnsi="Arial" w:cs="Arial"/>
          <w:b/>
          <w:bCs/>
          <w:sz w:val="24"/>
          <w:szCs w:val="24"/>
        </w:rPr>
        <w:tab/>
      </w:r>
      <w:r>
        <w:rPr>
          <w:rFonts w:ascii="Arial" w:hAnsi="Arial" w:cs="Arial"/>
          <w:b/>
          <w:bCs/>
          <w:sz w:val="24"/>
          <w:szCs w:val="24"/>
        </w:rPr>
        <w:tab/>
      </w:r>
      <w:r w:rsidRPr="00B97DC3">
        <w:rPr>
          <w:rFonts w:ascii="Arial" w:hAnsi="Arial" w:cs="Arial"/>
          <w:sz w:val="24"/>
          <w:szCs w:val="24"/>
        </w:rPr>
        <w:t xml:space="preserve">Source: </w:t>
      </w:r>
      <w:r w:rsidRPr="00B97DC3">
        <w:rPr>
          <w:rFonts w:ascii="Arial" w:hAnsi="Arial" w:cs="Arial"/>
          <w:sz w:val="24"/>
          <w:szCs w:val="24"/>
        </w:rPr>
        <w:t>Number of UK Bank Branches 2012–2024</w:t>
      </w:r>
    </w:p>
    <w:p w14:paraId="30DDC246" w14:textId="77777777" w:rsidR="001125DB" w:rsidRDefault="001125DB">
      <w:pPr>
        <w:rPr>
          <w:rFonts w:ascii="Arial" w:hAnsi="Arial" w:cs="Arial"/>
          <w:b/>
          <w:bCs/>
          <w:sz w:val="24"/>
          <w:szCs w:val="24"/>
        </w:rPr>
      </w:pPr>
      <w:r>
        <w:rPr>
          <w:rFonts w:ascii="Arial" w:hAnsi="Arial" w:cs="Arial"/>
          <w:b/>
          <w:bCs/>
          <w:sz w:val="24"/>
          <w:szCs w:val="24"/>
        </w:rPr>
        <w:br w:type="page"/>
      </w:r>
    </w:p>
    <w:p w14:paraId="258B738A" w14:textId="761C25A9" w:rsidR="00880B24" w:rsidRPr="00880B24" w:rsidRDefault="00880B24" w:rsidP="00880B24">
      <w:pPr>
        <w:spacing w:line="360" w:lineRule="auto"/>
        <w:rPr>
          <w:rFonts w:ascii="Arial" w:hAnsi="Arial" w:cs="Arial"/>
          <w:b/>
          <w:bCs/>
          <w:sz w:val="24"/>
          <w:szCs w:val="24"/>
        </w:rPr>
      </w:pPr>
      <w:r w:rsidRPr="00880B24">
        <w:rPr>
          <w:rFonts w:ascii="Arial" w:hAnsi="Arial" w:cs="Arial"/>
          <w:b/>
          <w:bCs/>
          <w:sz w:val="24"/>
          <w:szCs w:val="24"/>
        </w:rPr>
        <w:lastRenderedPageBreak/>
        <w:t>5.2 Strategic Responses to Technology</w:t>
      </w:r>
    </w:p>
    <w:p w14:paraId="28C09B4F" w14:textId="065CAB92" w:rsidR="00880B24" w:rsidRPr="00880B24" w:rsidRDefault="00880B24" w:rsidP="00880B24">
      <w:pPr>
        <w:spacing w:line="360" w:lineRule="auto"/>
        <w:rPr>
          <w:rFonts w:ascii="Arial" w:hAnsi="Arial" w:cs="Arial"/>
          <w:sz w:val="24"/>
          <w:szCs w:val="24"/>
        </w:rPr>
      </w:pPr>
      <w:r w:rsidRPr="00880B24">
        <w:rPr>
          <w:rFonts w:ascii="Arial" w:hAnsi="Arial" w:cs="Arial"/>
          <w:sz w:val="24"/>
          <w:szCs w:val="24"/>
        </w:rPr>
        <w:t>Technologically, Revolut commoditises it's cloud native stack for businesses  (via Revolut Business) thus optimising go-to-market and feature velocity. Actions are centred around swift onboarding, immediate alerts and tailor-made analytics (Mbama &amp; Ezepue, 2018). UX cues: virtual/physical card, cool design, transparent fees—vouch for the credibility.</w:t>
      </w:r>
    </w:p>
    <w:p w14:paraId="6F58D70D" w14:textId="151732BC" w:rsidR="00880B24" w:rsidRPr="00880B24" w:rsidRDefault="00880B24" w:rsidP="00880B24">
      <w:pPr>
        <w:spacing w:line="360" w:lineRule="auto"/>
        <w:rPr>
          <w:rFonts w:ascii="Arial" w:hAnsi="Arial" w:cs="Arial"/>
          <w:sz w:val="24"/>
          <w:szCs w:val="24"/>
        </w:rPr>
      </w:pPr>
      <w:r w:rsidRPr="00880B24">
        <w:rPr>
          <w:rFonts w:ascii="Arial" w:hAnsi="Arial" w:cs="Arial"/>
          <w:sz w:val="24"/>
          <w:szCs w:val="24"/>
        </w:rPr>
        <w:t>Barclays adopted a mixed tech approach it's rap and replace, not slapping front ends on to muscle cores (Skinner, 2018). Open Banking is in effect allowing Barclays to aggregate external accounts into its own app for stickiness. Advertising Capitalizes on AI tailored offers, financial health scores and saving nudges. Frontline use tablets and single profiles to deliver joined up advice (Laukkanen, 2016). The full end to end journey is omnichannel by design - mobile for convenience, branches for complexity and thereby less friction and churn.</w:t>
      </w:r>
    </w:p>
    <w:p w14:paraId="07219BA0" w14:textId="77777777" w:rsidR="00880B24" w:rsidRPr="00880B24" w:rsidRDefault="00880B24" w:rsidP="00880B24">
      <w:pPr>
        <w:spacing w:line="360" w:lineRule="auto"/>
        <w:rPr>
          <w:rFonts w:ascii="Arial" w:hAnsi="Arial" w:cs="Arial"/>
          <w:sz w:val="24"/>
          <w:szCs w:val="24"/>
        </w:rPr>
      </w:pPr>
      <w:r w:rsidRPr="00880B24">
        <w:rPr>
          <w:rFonts w:ascii="Arial" w:hAnsi="Arial" w:cs="Arial"/>
          <w:sz w:val="24"/>
          <w:szCs w:val="24"/>
        </w:rPr>
        <w:t>Together, these all represent prototypical pioneer–follower logics: focused differentiation and network effects from a platform model for Revolut — engagement turning into subscription ARPU; cost play based on scale while adding brand-based assurance and stickiness for Barclays — now achieving personalisation at scale (Porter, 2008; Barney, 2014).</w:t>
      </w:r>
    </w:p>
    <w:p w14:paraId="3BDC88C6" w14:textId="77777777" w:rsidR="00A0703F" w:rsidRDefault="00880B24" w:rsidP="00880B24">
      <w:pPr>
        <w:spacing w:line="360" w:lineRule="auto"/>
        <w:rPr>
          <w:rFonts w:ascii="Arial" w:hAnsi="Arial" w:cs="Arial"/>
          <w:b/>
          <w:bCs/>
          <w:sz w:val="24"/>
          <w:szCs w:val="24"/>
        </w:rPr>
      </w:pPr>
      <w:r w:rsidRPr="00880B24">
        <w:rPr>
          <w:rFonts w:ascii="Arial" w:hAnsi="Arial" w:cs="Arial"/>
          <w:b/>
          <w:bCs/>
          <w:sz w:val="24"/>
          <w:szCs w:val="24"/>
        </w:rPr>
        <w:t>6.0 Competitive Strategy Synthesis</w:t>
      </w:r>
    </w:p>
    <w:p w14:paraId="6986B279" w14:textId="0C7EDAC9" w:rsidR="00880B24" w:rsidRPr="00A0703F" w:rsidRDefault="00880B24" w:rsidP="00880B24">
      <w:pPr>
        <w:spacing w:line="360" w:lineRule="auto"/>
        <w:rPr>
          <w:rFonts w:ascii="Arial" w:hAnsi="Arial" w:cs="Arial"/>
          <w:b/>
          <w:bCs/>
          <w:sz w:val="24"/>
          <w:szCs w:val="24"/>
        </w:rPr>
      </w:pPr>
      <w:r w:rsidRPr="00880B24">
        <w:rPr>
          <w:rFonts w:ascii="Arial" w:hAnsi="Arial" w:cs="Arial"/>
          <w:sz w:val="24"/>
          <w:szCs w:val="24"/>
        </w:rPr>
        <w:t>Competition Is now “really healthy” rivalry is on the up as competitors in challengers split market share (King, 2018) and buyer power increases with Open Banking capability and switching, substitute threats become a reality from peer to peer lending and cryptocurrency (Gomber et al., 2017) while vendor barriers (   Orwellian goldstein beliefs are today’s regulatory stall guards to complete new players barrier, technology is reducing thin barriers indeed (Vives, 2017) suppliers also have a larger part of say overall matter s(Financial Conduct Authority,2021).</w:t>
      </w:r>
    </w:p>
    <w:p w14:paraId="7FAC07BA" w14:textId="799C02B2" w:rsidR="00A0703F" w:rsidRDefault="00A0703F" w:rsidP="00880B24">
      <w:pPr>
        <w:spacing w:line="360"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659264" behindDoc="1" locked="0" layoutInCell="1" allowOverlap="1" wp14:anchorId="24D1A10B" wp14:editId="712050E9">
            <wp:simplePos x="0" y="0"/>
            <wp:positionH relativeFrom="margin">
              <wp:align>right</wp:align>
            </wp:positionH>
            <wp:positionV relativeFrom="paragraph">
              <wp:posOffset>283210</wp:posOffset>
            </wp:positionV>
            <wp:extent cx="5928360" cy="3794760"/>
            <wp:effectExtent l="0" t="0" r="0" b="0"/>
            <wp:wrapTight wrapText="bothSides">
              <wp:wrapPolygon edited="0">
                <wp:start x="0" y="0"/>
                <wp:lineTo x="0" y="21470"/>
                <wp:lineTo x="21517" y="21470"/>
                <wp:lineTo x="21517" y="0"/>
                <wp:lineTo x="0" y="0"/>
              </wp:wrapPolygon>
            </wp:wrapTight>
            <wp:docPr id="436369815" name="Picture 4" descr="A graph of a number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369815" name="Picture 4" descr="A graph of a number of different colored bars&#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928360" cy="3794760"/>
                    </a:xfrm>
                    <a:prstGeom prst="rect">
                      <a:avLst/>
                    </a:prstGeom>
                  </pic:spPr>
                </pic:pic>
              </a:graphicData>
            </a:graphic>
            <wp14:sizeRelH relativeFrom="margin">
              <wp14:pctWidth>0</wp14:pctWidth>
            </wp14:sizeRelH>
            <wp14:sizeRelV relativeFrom="margin">
              <wp14:pctHeight>0</wp14:pctHeight>
            </wp14:sizeRelV>
          </wp:anchor>
        </w:drawing>
      </w:r>
      <w:r w:rsidR="00B97DC3">
        <w:rPr>
          <w:rFonts w:ascii="Arial" w:hAnsi="Arial" w:cs="Arial"/>
          <w:sz w:val="24"/>
          <w:szCs w:val="24"/>
        </w:rPr>
        <w:tab/>
      </w:r>
      <w:r w:rsidR="00B97DC3">
        <w:rPr>
          <w:rFonts w:ascii="Arial" w:hAnsi="Arial" w:cs="Arial"/>
          <w:sz w:val="24"/>
          <w:szCs w:val="24"/>
        </w:rPr>
        <w:tab/>
      </w:r>
      <w:r w:rsidR="00B97DC3">
        <w:rPr>
          <w:rFonts w:ascii="Arial" w:hAnsi="Arial" w:cs="Arial"/>
          <w:sz w:val="24"/>
          <w:szCs w:val="24"/>
        </w:rPr>
        <w:tab/>
      </w:r>
    </w:p>
    <w:p w14:paraId="00E725ED" w14:textId="671AB155" w:rsidR="00B97DC3" w:rsidRDefault="00B97DC3" w:rsidP="00A0703F">
      <w:pPr>
        <w:spacing w:line="360" w:lineRule="auto"/>
        <w:ind w:left="1440" w:firstLine="720"/>
        <w:rPr>
          <w:rFonts w:ascii="Arial" w:hAnsi="Arial" w:cs="Arial"/>
          <w:sz w:val="24"/>
          <w:szCs w:val="24"/>
        </w:rPr>
      </w:pPr>
      <w:r>
        <w:rPr>
          <w:rFonts w:ascii="Arial" w:hAnsi="Arial" w:cs="Arial"/>
          <w:sz w:val="24"/>
          <w:szCs w:val="24"/>
        </w:rPr>
        <w:t xml:space="preserve">Source: </w:t>
      </w:r>
      <w:r w:rsidRPr="00B97DC3">
        <w:rPr>
          <w:rFonts w:ascii="Arial" w:hAnsi="Arial" w:cs="Arial"/>
          <w:sz w:val="24"/>
          <w:szCs w:val="24"/>
        </w:rPr>
        <w:t>Brunel University of London (2024)</w:t>
      </w:r>
    </w:p>
    <w:p w14:paraId="17B282B4" w14:textId="77777777" w:rsidR="00B97DC3" w:rsidRPr="00880B24" w:rsidRDefault="00B97DC3" w:rsidP="00880B24">
      <w:pPr>
        <w:spacing w:line="360" w:lineRule="auto"/>
        <w:rPr>
          <w:rFonts w:ascii="Arial" w:hAnsi="Arial" w:cs="Arial"/>
          <w:sz w:val="24"/>
          <w:szCs w:val="24"/>
        </w:rPr>
      </w:pPr>
    </w:p>
    <w:p w14:paraId="2E7D53DC" w14:textId="3612EF3E" w:rsidR="00880B24" w:rsidRPr="00880B24" w:rsidRDefault="00880B24" w:rsidP="00880B24">
      <w:pPr>
        <w:spacing w:line="360" w:lineRule="auto"/>
        <w:rPr>
          <w:rFonts w:ascii="Arial" w:hAnsi="Arial" w:cs="Arial"/>
          <w:b/>
          <w:bCs/>
          <w:sz w:val="24"/>
          <w:szCs w:val="24"/>
        </w:rPr>
      </w:pPr>
      <w:r w:rsidRPr="00880B24">
        <w:rPr>
          <w:rFonts w:ascii="Arial" w:hAnsi="Arial" w:cs="Arial"/>
          <w:b/>
          <w:bCs/>
          <w:sz w:val="24"/>
          <w:szCs w:val="24"/>
        </w:rPr>
        <w:t>Within this environment:</w:t>
      </w:r>
    </w:p>
    <w:p w14:paraId="3BDE1E60" w14:textId="342CCF21" w:rsidR="00880B24" w:rsidRPr="00880B24" w:rsidRDefault="00880B24" w:rsidP="00880B24">
      <w:pPr>
        <w:spacing w:line="360" w:lineRule="auto"/>
        <w:rPr>
          <w:rFonts w:ascii="Arial" w:hAnsi="Arial" w:cs="Arial"/>
          <w:b/>
          <w:bCs/>
          <w:sz w:val="24"/>
          <w:szCs w:val="24"/>
        </w:rPr>
      </w:pPr>
      <w:r w:rsidRPr="00880B24">
        <w:rPr>
          <w:rFonts w:ascii="Arial" w:hAnsi="Arial" w:cs="Arial"/>
          <w:sz w:val="24"/>
          <w:szCs w:val="24"/>
        </w:rPr>
        <w:t>Revolut follows Focused Differentiation Strategy. its unique technology and network of associated products which can be VRIN resources (Barney, 2014). Sustainable solutions involve the pace of innovation, making a profit and overcoming regulation in a multi-jurisdiction environment (King 2018). Its task would be to grow up, not out; its population and governance, to mature</w:t>
      </w:r>
      <w:r w:rsidRPr="00880B24">
        <w:rPr>
          <w:rFonts w:ascii="Arial" w:hAnsi="Arial" w:cs="Arial"/>
          <w:b/>
          <w:bCs/>
          <w:sz w:val="24"/>
          <w:szCs w:val="24"/>
        </w:rPr>
        <w:t>.</w:t>
      </w:r>
    </w:p>
    <w:p w14:paraId="7316C6B4" w14:textId="77777777" w:rsidR="00880B24" w:rsidRPr="00880B24" w:rsidRDefault="00880B24" w:rsidP="00880B24">
      <w:pPr>
        <w:spacing w:line="360" w:lineRule="auto"/>
        <w:rPr>
          <w:rFonts w:ascii="Arial" w:hAnsi="Arial" w:cs="Arial"/>
          <w:sz w:val="24"/>
          <w:szCs w:val="24"/>
        </w:rPr>
      </w:pPr>
      <w:r w:rsidRPr="00880B24">
        <w:rPr>
          <w:rFonts w:ascii="Arial" w:hAnsi="Arial" w:cs="Arial"/>
          <w:sz w:val="24"/>
          <w:szCs w:val="24"/>
        </w:rPr>
        <w:t>They are seeking to place themselves as a low price leader and a differentiator simultaneously (Porter, 2008). Scale economies of lending and deposits are the ways to compete, trust of brand for differentiation and omni-channel access and fullness of service as well. But its strategic League minimum is repurposing legacy assets – branches, data and regulators – to be strategic as opposed to shackles while shifting an enterprise’s culture toward digital agility.</w:t>
      </w:r>
    </w:p>
    <w:p w14:paraId="6CFD33C3" w14:textId="77777777" w:rsidR="0057363B" w:rsidRDefault="0057363B">
      <w:pPr>
        <w:rPr>
          <w:rFonts w:ascii="Arial" w:hAnsi="Arial" w:cs="Arial"/>
          <w:b/>
          <w:bCs/>
          <w:sz w:val="24"/>
          <w:szCs w:val="24"/>
        </w:rPr>
      </w:pPr>
      <w:r>
        <w:rPr>
          <w:rFonts w:ascii="Arial" w:hAnsi="Arial" w:cs="Arial"/>
          <w:b/>
          <w:bCs/>
          <w:sz w:val="24"/>
          <w:szCs w:val="24"/>
        </w:rPr>
        <w:br w:type="page"/>
      </w:r>
    </w:p>
    <w:p w14:paraId="1F035587" w14:textId="5047C92A" w:rsidR="00880B24" w:rsidRPr="00880B24" w:rsidRDefault="00E32A51" w:rsidP="00880B24">
      <w:pPr>
        <w:spacing w:line="360" w:lineRule="auto"/>
        <w:rPr>
          <w:rFonts w:ascii="Arial" w:hAnsi="Arial" w:cs="Arial"/>
          <w:sz w:val="24"/>
          <w:szCs w:val="24"/>
        </w:rPr>
      </w:pPr>
      <w:r w:rsidRPr="00880B24">
        <w:rPr>
          <w:rFonts w:ascii="Arial" w:hAnsi="Arial" w:cs="Arial"/>
          <w:b/>
          <w:bCs/>
          <w:sz w:val="24"/>
          <w:szCs w:val="24"/>
        </w:rPr>
        <w:lastRenderedPageBreak/>
        <w:t>7</w:t>
      </w:r>
      <w:r w:rsidR="00755FB9" w:rsidRPr="00755FB9">
        <w:rPr>
          <w:rFonts w:ascii="Arial" w:hAnsi="Arial" w:cs="Arial"/>
          <w:b/>
          <w:bCs/>
          <w:sz w:val="24"/>
          <w:szCs w:val="24"/>
        </w:rPr>
        <w:t>.0 Conclusion</w:t>
      </w:r>
      <w:r w:rsidR="00755FB9" w:rsidRPr="00755FB9">
        <w:rPr>
          <w:rFonts w:ascii="Arial" w:hAnsi="Arial" w:cs="Arial"/>
          <w:b/>
          <w:bCs/>
          <w:sz w:val="24"/>
          <w:szCs w:val="24"/>
        </w:rPr>
        <w:br/>
      </w:r>
      <w:r w:rsidR="00880B24" w:rsidRPr="00880B24">
        <w:rPr>
          <w:rFonts w:ascii="Arial" w:hAnsi="Arial" w:cs="Arial"/>
          <w:sz w:val="24"/>
          <w:szCs w:val="24"/>
        </w:rPr>
        <w:t>Example of Contrasting Digital Strategies: Tech-Led Disruption (Revolut) vs Adaptive Incumbency (Barclays) From The UK's Financial Sector There is the example of rival digital strategies in UK’s fintech industry, where an established bank such as Barclays opts for adaptive incumbency – vs tech-led disruption we see with challenger banks like Revolut, Vives 2017; Skinner, 2018. Revolut is built on cloud native technology and integrated ecosystem to be global scale, not just transitional from a growth company to a profitable one but also in having governance modelled maturity of operations before regulators and rivals begin casting an eagle eye – literally along with contiguous straight line connections into anything other than transactions as well (Lee &amp; Shin, 2018; King, 2018). The case at Barclays serves as an example of a vehicle facilitating the change; via going back and forth between modernization on one hand, let’s call branches it’s ‘reassurance gallery’), performance scene for complex service (Teece, 2009; Laukkanen, 2016) and empower cultural change fast! Points of competitive advantage will be based on trust, personalisation and financial success influenced by disruption and strategic choices (Christensen, 1997; Porter, 2008; Ennew &amp; Sekhon, 2007).</w:t>
      </w:r>
    </w:p>
    <w:p w14:paraId="3616C918" w14:textId="77777777" w:rsidR="00880B24" w:rsidRDefault="00880B24" w:rsidP="00880B24">
      <w:pPr>
        <w:spacing w:line="360" w:lineRule="auto"/>
        <w:rPr>
          <w:rFonts w:ascii="Arial" w:hAnsi="Arial" w:cs="Arial"/>
          <w:b/>
          <w:bCs/>
          <w:sz w:val="24"/>
          <w:szCs w:val="24"/>
        </w:rPr>
      </w:pPr>
    </w:p>
    <w:p w14:paraId="66F462B0" w14:textId="65C79E75" w:rsidR="00755FB9" w:rsidRPr="00755FB9" w:rsidRDefault="00755FB9" w:rsidP="00880B24">
      <w:pPr>
        <w:spacing w:line="360" w:lineRule="auto"/>
        <w:rPr>
          <w:rFonts w:ascii="Arial" w:hAnsi="Arial" w:cs="Arial"/>
          <w:b/>
          <w:bCs/>
          <w:sz w:val="24"/>
          <w:szCs w:val="24"/>
        </w:rPr>
      </w:pPr>
      <w:r w:rsidRPr="00755FB9">
        <w:rPr>
          <w:rFonts w:ascii="Arial" w:hAnsi="Arial" w:cs="Arial"/>
          <w:b/>
          <w:bCs/>
          <w:sz w:val="24"/>
          <w:szCs w:val="24"/>
        </w:rPr>
        <w:t>References</w:t>
      </w:r>
    </w:p>
    <w:p w14:paraId="487AF618" w14:textId="77777777" w:rsidR="00755FB9" w:rsidRPr="00755FB9" w:rsidRDefault="00755FB9" w:rsidP="00880B24">
      <w:pPr>
        <w:spacing w:line="360" w:lineRule="auto"/>
        <w:rPr>
          <w:rFonts w:ascii="Arial" w:hAnsi="Arial" w:cs="Arial"/>
          <w:sz w:val="24"/>
          <w:szCs w:val="24"/>
        </w:rPr>
      </w:pPr>
      <w:r w:rsidRPr="00755FB9">
        <w:rPr>
          <w:rFonts w:ascii="Arial" w:hAnsi="Arial" w:cs="Arial"/>
          <w:sz w:val="24"/>
          <w:szCs w:val="24"/>
        </w:rPr>
        <w:t>Barclays PLC (2023) Annual Report 2023. Available at: </w:t>
      </w:r>
      <w:hyperlink r:id="rId12" w:history="1">
        <w:r w:rsidRPr="00755FB9">
          <w:rPr>
            <w:rStyle w:val="Hyperlink"/>
            <w:rFonts w:ascii="Arial" w:hAnsi="Arial" w:cs="Arial"/>
            <w:sz w:val="24"/>
            <w:szCs w:val="24"/>
          </w:rPr>
          <w:t>https://home.barclays/investor-relations/reports-and-events/annual-reports/</w:t>
        </w:r>
      </w:hyperlink>
      <w:r w:rsidRPr="00755FB9">
        <w:rPr>
          <w:rFonts w:ascii="Arial" w:hAnsi="Arial" w:cs="Arial"/>
          <w:sz w:val="24"/>
          <w:szCs w:val="24"/>
        </w:rPr>
        <w:t> (Accessed: 19 October 2025).</w:t>
      </w:r>
    </w:p>
    <w:p w14:paraId="303FCFBC" w14:textId="77777777" w:rsidR="00755FB9" w:rsidRPr="00755FB9" w:rsidRDefault="00755FB9" w:rsidP="00880B24">
      <w:pPr>
        <w:spacing w:line="360" w:lineRule="auto"/>
        <w:rPr>
          <w:rFonts w:ascii="Arial" w:hAnsi="Arial" w:cs="Arial"/>
          <w:sz w:val="24"/>
          <w:szCs w:val="24"/>
        </w:rPr>
      </w:pPr>
      <w:r w:rsidRPr="00755FB9">
        <w:rPr>
          <w:rFonts w:ascii="Arial" w:hAnsi="Arial" w:cs="Arial"/>
          <w:sz w:val="24"/>
          <w:szCs w:val="24"/>
        </w:rPr>
        <w:t>Barney, J.B. (2014) Gaining and Sustaining Competitive Advantage. 4th edn. Harlow: Pearson.</w:t>
      </w:r>
    </w:p>
    <w:p w14:paraId="1B11310C" w14:textId="77777777" w:rsidR="00755FB9" w:rsidRPr="00755FB9" w:rsidRDefault="00755FB9" w:rsidP="00880B24">
      <w:pPr>
        <w:spacing w:line="360" w:lineRule="auto"/>
        <w:rPr>
          <w:rFonts w:ascii="Arial" w:hAnsi="Arial" w:cs="Arial"/>
          <w:sz w:val="24"/>
          <w:szCs w:val="24"/>
        </w:rPr>
      </w:pPr>
      <w:r w:rsidRPr="00755FB9">
        <w:rPr>
          <w:rFonts w:ascii="Arial" w:hAnsi="Arial" w:cs="Arial"/>
          <w:sz w:val="24"/>
          <w:szCs w:val="24"/>
        </w:rPr>
        <w:t>Christensen, C.M. (1997) The Innovator's Dilemma: When New Technologies Cause Great Firms to Fail. Boston, MA: Harvard Business School Press.</w:t>
      </w:r>
    </w:p>
    <w:p w14:paraId="7D93535A" w14:textId="77777777" w:rsidR="00755FB9" w:rsidRPr="00755FB9" w:rsidRDefault="00755FB9" w:rsidP="00880B24">
      <w:pPr>
        <w:spacing w:line="360" w:lineRule="auto"/>
        <w:rPr>
          <w:rFonts w:ascii="Arial" w:hAnsi="Arial" w:cs="Arial"/>
          <w:sz w:val="24"/>
          <w:szCs w:val="24"/>
        </w:rPr>
      </w:pPr>
      <w:r w:rsidRPr="00755FB9">
        <w:rPr>
          <w:rFonts w:ascii="Arial" w:hAnsi="Arial" w:cs="Arial"/>
          <w:sz w:val="24"/>
          <w:szCs w:val="24"/>
        </w:rPr>
        <w:t>Ennew, C. and Sekhon, H. (2007) 'Measuring trust in financial services: The Trust Index', Consumer Policy Review, 17(2), pp. 62-68.</w:t>
      </w:r>
    </w:p>
    <w:p w14:paraId="17F1942A" w14:textId="77777777" w:rsidR="00755FB9" w:rsidRPr="00755FB9" w:rsidRDefault="00755FB9" w:rsidP="00880B24">
      <w:pPr>
        <w:spacing w:line="360" w:lineRule="auto"/>
        <w:rPr>
          <w:rFonts w:ascii="Arial" w:hAnsi="Arial" w:cs="Arial"/>
          <w:sz w:val="24"/>
          <w:szCs w:val="24"/>
        </w:rPr>
      </w:pPr>
      <w:r w:rsidRPr="00755FB9">
        <w:rPr>
          <w:rFonts w:ascii="Arial" w:hAnsi="Arial" w:cs="Arial"/>
          <w:sz w:val="24"/>
          <w:szCs w:val="24"/>
        </w:rPr>
        <w:t>Financial Conduct Authority (2021) Open Banking: Competition Review. Available at: </w:t>
      </w:r>
      <w:hyperlink r:id="rId13" w:history="1">
        <w:r w:rsidRPr="00755FB9">
          <w:rPr>
            <w:rStyle w:val="Hyperlink"/>
            <w:rFonts w:ascii="Arial" w:hAnsi="Arial" w:cs="Arial"/>
            <w:sz w:val="24"/>
            <w:szCs w:val="24"/>
          </w:rPr>
          <w:t>https://www.fca.org.uk/publication/corporate/open-banking-report.pdf</w:t>
        </w:r>
      </w:hyperlink>
      <w:r w:rsidRPr="00755FB9">
        <w:rPr>
          <w:rFonts w:ascii="Arial" w:hAnsi="Arial" w:cs="Arial"/>
          <w:sz w:val="24"/>
          <w:szCs w:val="24"/>
        </w:rPr>
        <w:t> (Accessed: 19 October 2025).</w:t>
      </w:r>
    </w:p>
    <w:p w14:paraId="29CDDB76" w14:textId="77777777" w:rsidR="00755FB9" w:rsidRPr="00755FB9" w:rsidRDefault="00755FB9" w:rsidP="00880B24">
      <w:pPr>
        <w:spacing w:line="360" w:lineRule="auto"/>
        <w:rPr>
          <w:rFonts w:ascii="Arial" w:hAnsi="Arial" w:cs="Arial"/>
          <w:sz w:val="24"/>
          <w:szCs w:val="24"/>
        </w:rPr>
      </w:pPr>
      <w:r w:rsidRPr="00755FB9">
        <w:rPr>
          <w:rFonts w:ascii="Arial" w:hAnsi="Arial" w:cs="Arial"/>
          <w:sz w:val="24"/>
          <w:szCs w:val="24"/>
        </w:rPr>
        <w:lastRenderedPageBreak/>
        <w:t>Gomber, P., Koch, J.A. and Siering, M. (2017) 'Digital Finance and FinTech: current research and future research directions', Journal of Business Economics, 87(5), pp. 537-580.</w:t>
      </w:r>
    </w:p>
    <w:p w14:paraId="59690D4A" w14:textId="77777777" w:rsidR="00755FB9" w:rsidRPr="00755FB9" w:rsidRDefault="00755FB9" w:rsidP="00880B24">
      <w:pPr>
        <w:spacing w:line="360" w:lineRule="auto"/>
        <w:rPr>
          <w:rFonts w:ascii="Arial" w:hAnsi="Arial" w:cs="Arial"/>
          <w:sz w:val="24"/>
          <w:szCs w:val="24"/>
        </w:rPr>
      </w:pPr>
      <w:r w:rsidRPr="00755FB9">
        <w:rPr>
          <w:rFonts w:ascii="Arial" w:hAnsi="Arial" w:cs="Arial"/>
          <w:sz w:val="24"/>
          <w:szCs w:val="24"/>
        </w:rPr>
        <w:t>King, B. (2018) Bank 4.0: Banking Everywhere, Never at a Bank. Singapore: Marshall Cavendish International.</w:t>
      </w:r>
    </w:p>
    <w:p w14:paraId="2E2FBE67" w14:textId="77777777" w:rsidR="00755FB9" w:rsidRPr="00755FB9" w:rsidRDefault="00755FB9" w:rsidP="00880B24">
      <w:pPr>
        <w:spacing w:line="360" w:lineRule="auto"/>
        <w:rPr>
          <w:rFonts w:ascii="Arial" w:hAnsi="Arial" w:cs="Arial"/>
          <w:sz w:val="24"/>
          <w:szCs w:val="24"/>
        </w:rPr>
      </w:pPr>
      <w:r w:rsidRPr="00755FB9">
        <w:rPr>
          <w:rFonts w:ascii="Arial" w:hAnsi="Arial" w:cs="Arial"/>
          <w:sz w:val="24"/>
          <w:szCs w:val="24"/>
        </w:rPr>
        <w:t>Kotler, P. and Keller, K.L. (2016) Marketing Management. 15th edn. Harlow: Pearson.</w:t>
      </w:r>
    </w:p>
    <w:p w14:paraId="78A84C2F" w14:textId="77777777" w:rsidR="00755FB9" w:rsidRPr="00755FB9" w:rsidRDefault="00755FB9" w:rsidP="00880B24">
      <w:pPr>
        <w:spacing w:line="360" w:lineRule="auto"/>
        <w:rPr>
          <w:rFonts w:ascii="Arial" w:hAnsi="Arial" w:cs="Arial"/>
          <w:sz w:val="24"/>
          <w:szCs w:val="24"/>
        </w:rPr>
      </w:pPr>
      <w:r w:rsidRPr="00755FB9">
        <w:rPr>
          <w:rFonts w:ascii="Arial" w:hAnsi="Arial" w:cs="Arial"/>
          <w:sz w:val="24"/>
          <w:szCs w:val="24"/>
        </w:rPr>
        <w:t>Laukkanen, T. (2016) 'Consumer adoption versus rejection decisions in seemingly similar service innovations: The case of the Internet and mobile banking', Journal of Business Research, 69(7), pp. 2432-2439.</w:t>
      </w:r>
    </w:p>
    <w:p w14:paraId="6B7F8DF3" w14:textId="77777777" w:rsidR="00755FB9" w:rsidRPr="00755FB9" w:rsidRDefault="00755FB9" w:rsidP="00880B24">
      <w:pPr>
        <w:spacing w:line="360" w:lineRule="auto"/>
        <w:rPr>
          <w:rFonts w:ascii="Arial" w:hAnsi="Arial" w:cs="Arial"/>
          <w:sz w:val="24"/>
          <w:szCs w:val="24"/>
        </w:rPr>
      </w:pPr>
      <w:r w:rsidRPr="00755FB9">
        <w:rPr>
          <w:rFonts w:ascii="Arial" w:hAnsi="Arial" w:cs="Arial"/>
          <w:sz w:val="24"/>
          <w:szCs w:val="24"/>
        </w:rPr>
        <w:t>Lee, I. and Shin, Y.J. (2018) 'Fintech: Ecosystem, business models, investment decisions, and challenges', Business Horizons, 61(1), pp. 35-46.</w:t>
      </w:r>
    </w:p>
    <w:p w14:paraId="17758C41" w14:textId="77777777" w:rsidR="00755FB9" w:rsidRPr="00755FB9" w:rsidRDefault="00755FB9" w:rsidP="00880B24">
      <w:pPr>
        <w:spacing w:line="360" w:lineRule="auto"/>
        <w:rPr>
          <w:rFonts w:ascii="Arial" w:hAnsi="Arial" w:cs="Arial"/>
          <w:sz w:val="24"/>
          <w:szCs w:val="24"/>
        </w:rPr>
      </w:pPr>
      <w:r w:rsidRPr="00755FB9">
        <w:rPr>
          <w:rFonts w:ascii="Arial" w:hAnsi="Arial" w:cs="Arial"/>
          <w:sz w:val="24"/>
          <w:szCs w:val="24"/>
        </w:rPr>
        <w:t>Mbama, C.I. and Ezepue, P.O. (2018) 'Digital banking, customer experience and bank financial performance: UK customers' perceptions', International Journal of Bank Marketing, 36(2), pp. 230-255.</w:t>
      </w:r>
    </w:p>
    <w:p w14:paraId="13925F86" w14:textId="77777777" w:rsidR="00755FB9" w:rsidRPr="00755FB9" w:rsidRDefault="00755FB9" w:rsidP="00880B24">
      <w:pPr>
        <w:spacing w:line="360" w:lineRule="auto"/>
        <w:rPr>
          <w:rFonts w:ascii="Arial" w:hAnsi="Arial" w:cs="Arial"/>
          <w:sz w:val="24"/>
          <w:szCs w:val="24"/>
        </w:rPr>
      </w:pPr>
      <w:r w:rsidRPr="00755FB9">
        <w:rPr>
          <w:rFonts w:ascii="Arial" w:hAnsi="Arial" w:cs="Arial"/>
          <w:sz w:val="24"/>
          <w:szCs w:val="24"/>
        </w:rPr>
        <w:t>Porter, M.E. (2008) On Competition. Updated and expanded edn. Boston, MA: Harvard Business Press.</w:t>
      </w:r>
    </w:p>
    <w:p w14:paraId="71675D36" w14:textId="77777777" w:rsidR="00755FB9" w:rsidRPr="00755FB9" w:rsidRDefault="00755FB9" w:rsidP="00880B24">
      <w:pPr>
        <w:spacing w:line="360" w:lineRule="auto"/>
        <w:rPr>
          <w:rFonts w:ascii="Arial" w:hAnsi="Arial" w:cs="Arial"/>
          <w:sz w:val="24"/>
          <w:szCs w:val="24"/>
        </w:rPr>
      </w:pPr>
      <w:r w:rsidRPr="00755FB9">
        <w:rPr>
          <w:rFonts w:ascii="Arial" w:hAnsi="Arial" w:cs="Arial"/>
          <w:sz w:val="24"/>
          <w:szCs w:val="24"/>
        </w:rPr>
        <w:t>Rogers, E.M. (2003) Diffusion of Innovations. 5th edn. New York: Free Press.</w:t>
      </w:r>
    </w:p>
    <w:p w14:paraId="256FD00A" w14:textId="77777777" w:rsidR="00755FB9" w:rsidRPr="00755FB9" w:rsidRDefault="00755FB9" w:rsidP="00880B24">
      <w:pPr>
        <w:spacing w:line="360" w:lineRule="auto"/>
        <w:rPr>
          <w:rFonts w:ascii="Arial" w:hAnsi="Arial" w:cs="Arial"/>
          <w:sz w:val="24"/>
          <w:szCs w:val="24"/>
        </w:rPr>
      </w:pPr>
      <w:r w:rsidRPr="00755FB9">
        <w:rPr>
          <w:rFonts w:ascii="Arial" w:hAnsi="Arial" w:cs="Arial"/>
          <w:sz w:val="24"/>
          <w:szCs w:val="24"/>
        </w:rPr>
        <w:t>Skinner, C. (2018) Digital Bank: Strategies for Launching or Becoming a Digital Bank. Singapore: Marshall Cavendish International.</w:t>
      </w:r>
    </w:p>
    <w:p w14:paraId="4D8CC701" w14:textId="77777777" w:rsidR="00755FB9" w:rsidRPr="00755FB9" w:rsidRDefault="00755FB9" w:rsidP="00880B24">
      <w:pPr>
        <w:spacing w:line="360" w:lineRule="auto"/>
        <w:rPr>
          <w:rFonts w:ascii="Arial" w:hAnsi="Arial" w:cs="Arial"/>
          <w:sz w:val="24"/>
          <w:szCs w:val="24"/>
        </w:rPr>
      </w:pPr>
      <w:r w:rsidRPr="00755FB9">
        <w:rPr>
          <w:rFonts w:ascii="Arial" w:hAnsi="Arial" w:cs="Arial"/>
          <w:sz w:val="24"/>
          <w:szCs w:val="24"/>
        </w:rPr>
        <w:t>Teece, D.J. (2009) Dynamic Capabilities and Strategic Management: Organizing for Innovation and Growth. Oxford: Oxford University Press.</w:t>
      </w:r>
    </w:p>
    <w:p w14:paraId="2CBB541F" w14:textId="77777777" w:rsidR="00755FB9" w:rsidRDefault="00755FB9" w:rsidP="00880B24">
      <w:pPr>
        <w:spacing w:line="360" w:lineRule="auto"/>
        <w:rPr>
          <w:rFonts w:ascii="Arial" w:hAnsi="Arial" w:cs="Arial"/>
          <w:sz w:val="24"/>
          <w:szCs w:val="24"/>
        </w:rPr>
      </w:pPr>
      <w:r w:rsidRPr="00755FB9">
        <w:rPr>
          <w:rFonts w:ascii="Arial" w:hAnsi="Arial" w:cs="Arial"/>
          <w:sz w:val="24"/>
          <w:szCs w:val="24"/>
        </w:rPr>
        <w:t>Vives, X. (2017) 'The impact of FinTech on banking', European Economy, 2, pp. 97-105.</w:t>
      </w:r>
    </w:p>
    <w:p w14:paraId="5743CE7D" w14:textId="2C3BAB26" w:rsidR="005B2115" w:rsidRDefault="005B2115" w:rsidP="00880B24">
      <w:pPr>
        <w:spacing w:line="360" w:lineRule="auto"/>
        <w:rPr>
          <w:rFonts w:ascii="Arial" w:hAnsi="Arial" w:cs="Arial"/>
          <w:sz w:val="24"/>
          <w:szCs w:val="24"/>
        </w:rPr>
      </w:pPr>
      <w:r w:rsidRPr="005B2115">
        <w:rPr>
          <w:rFonts w:ascii="Arial" w:hAnsi="Arial" w:cs="Arial"/>
          <w:sz w:val="24"/>
          <w:szCs w:val="24"/>
        </w:rPr>
        <w:t xml:space="preserve">Mordor Intelligence (2025) </w:t>
      </w:r>
      <w:r w:rsidRPr="005B2115">
        <w:rPr>
          <w:rFonts w:ascii="Arial" w:hAnsi="Arial" w:cs="Arial"/>
          <w:i/>
          <w:iCs/>
          <w:sz w:val="24"/>
          <w:szCs w:val="24"/>
        </w:rPr>
        <w:t>United Kingdom Retail Banking Market Size, Trends &amp; Growth Report 2030</w:t>
      </w:r>
      <w:r w:rsidRPr="005B2115">
        <w:rPr>
          <w:rFonts w:ascii="Arial" w:hAnsi="Arial" w:cs="Arial"/>
          <w:sz w:val="24"/>
          <w:szCs w:val="24"/>
        </w:rPr>
        <w:t xml:space="preserve">. Available at: </w:t>
      </w:r>
      <w:hyperlink r:id="rId14" w:tgtFrame="_new" w:history="1">
        <w:r w:rsidRPr="005B2115">
          <w:rPr>
            <w:rStyle w:val="Hyperlink"/>
            <w:rFonts w:ascii="Arial" w:hAnsi="Arial" w:cs="Arial"/>
            <w:sz w:val="24"/>
            <w:szCs w:val="24"/>
          </w:rPr>
          <w:t>https://www.mordorintelligence.com/industry-reports/uk-retail-banking-market</w:t>
        </w:r>
      </w:hyperlink>
      <w:r w:rsidRPr="005B2115">
        <w:rPr>
          <w:rFonts w:ascii="Arial" w:hAnsi="Arial" w:cs="Arial"/>
          <w:sz w:val="24"/>
          <w:szCs w:val="24"/>
        </w:rPr>
        <w:t xml:space="preserve"> (Accessed: 23 October 2025).</w:t>
      </w:r>
    </w:p>
    <w:p w14:paraId="434D2D21" w14:textId="3A07C985" w:rsidR="00D76BF6" w:rsidRDefault="00D76BF6" w:rsidP="00880B24">
      <w:pPr>
        <w:spacing w:line="360" w:lineRule="auto"/>
        <w:rPr>
          <w:rFonts w:ascii="Arial" w:hAnsi="Arial" w:cs="Arial"/>
          <w:sz w:val="24"/>
          <w:szCs w:val="24"/>
        </w:rPr>
      </w:pPr>
      <w:r w:rsidRPr="00D76BF6">
        <w:rPr>
          <w:rFonts w:ascii="Arial" w:hAnsi="Arial" w:cs="Arial"/>
          <w:sz w:val="24"/>
          <w:szCs w:val="24"/>
        </w:rPr>
        <w:lastRenderedPageBreak/>
        <w:t xml:space="preserve">Statista (2024) </w:t>
      </w:r>
      <w:r w:rsidRPr="00D76BF6">
        <w:rPr>
          <w:rFonts w:ascii="Arial" w:hAnsi="Arial" w:cs="Arial"/>
          <w:i/>
          <w:iCs/>
          <w:sz w:val="24"/>
          <w:szCs w:val="24"/>
        </w:rPr>
        <w:t>Share of Adults Who Use Mobile Banking in the United Kingdom from 2015 to 2024.</w:t>
      </w:r>
      <w:r w:rsidRPr="00D76BF6">
        <w:rPr>
          <w:rFonts w:ascii="Arial" w:hAnsi="Arial" w:cs="Arial"/>
          <w:sz w:val="24"/>
          <w:szCs w:val="24"/>
        </w:rPr>
        <w:t xml:space="preserve"> Available at: https://www.statista.com/statistics/318596/uk-mobile-banking-frequency/ (Accessed: 23 October 2025).</w:t>
      </w:r>
    </w:p>
    <w:p w14:paraId="1C2200AD" w14:textId="77777777" w:rsidR="00B97DC3" w:rsidRDefault="00B97DC3" w:rsidP="00B97DC3">
      <w:pPr>
        <w:spacing w:line="360" w:lineRule="auto"/>
        <w:rPr>
          <w:rFonts w:ascii="Arial" w:hAnsi="Arial" w:cs="Arial"/>
          <w:sz w:val="24"/>
          <w:szCs w:val="24"/>
        </w:rPr>
      </w:pPr>
      <w:r w:rsidRPr="00B97DC3">
        <w:rPr>
          <w:rFonts w:ascii="Arial" w:hAnsi="Arial" w:cs="Arial"/>
          <w:sz w:val="24"/>
          <w:szCs w:val="24"/>
        </w:rPr>
        <w:t xml:space="preserve">Statista (2024) </w:t>
      </w:r>
      <w:r w:rsidRPr="00B97DC3">
        <w:rPr>
          <w:rFonts w:ascii="Arial" w:hAnsi="Arial" w:cs="Arial"/>
          <w:i/>
          <w:iCs/>
          <w:sz w:val="24"/>
          <w:szCs w:val="24"/>
        </w:rPr>
        <w:t>Number of Bank Branches in the United Kingdom from 2012 to 2024.</w:t>
      </w:r>
      <w:r w:rsidRPr="00B97DC3">
        <w:rPr>
          <w:rFonts w:ascii="Arial" w:hAnsi="Arial" w:cs="Arial"/>
          <w:sz w:val="24"/>
          <w:szCs w:val="24"/>
        </w:rPr>
        <w:t xml:space="preserve"> Available at: https://www.statista.com/chart/19447/bank-branches-uk/ (Accessed: 23 October 2025).</w:t>
      </w:r>
    </w:p>
    <w:p w14:paraId="5F6D2258" w14:textId="77777777" w:rsidR="00B97DC3" w:rsidRPr="00B97DC3" w:rsidRDefault="00B97DC3" w:rsidP="00B97DC3">
      <w:pPr>
        <w:spacing w:line="360" w:lineRule="auto"/>
        <w:rPr>
          <w:rFonts w:ascii="Arial" w:hAnsi="Arial" w:cs="Arial"/>
          <w:sz w:val="24"/>
          <w:szCs w:val="24"/>
        </w:rPr>
      </w:pPr>
      <w:r w:rsidRPr="00B97DC3">
        <w:rPr>
          <w:rFonts w:ascii="Arial" w:hAnsi="Arial" w:cs="Arial"/>
          <w:sz w:val="24"/>
          <w:szCs w:val="24"/>
        </w:rPr>
        <w:t>Brunel University of London (2024) ‘UK banks are reporting huge profits – but there are many reasons why this may not last’, 26 February. Available at: https://www.brunel.ac.uk/news-and-events/news/articles/uk-banks-are-reporting-huge-profits-%E2%80%93-but-there-are-many-reasons-why-this-may-not-last (Accessed: 23 October 2025).</w:t>
      </w:r>
    </w:p>
    <w:p w14:paraId="059F9DA4" w14:textId="77777777" w:rsidR="00B97DC3" w:rsidRPr="00B97DC3" w:rsidRDefault="00B97DC3" w:rsidP="00B97DC3">
      <w:pPr>
        <w:spacing w:line="360" w:lineRule="auto"/>
        <w:rPr>
          <w:rFonts w:ascii="Arial" w:hAnsi="Arial" w:cs="Arial"/>
          <w:sz w:val="24"/>
          <w:szCs w:val="24"/>
        </w:rPr>
      </w:pPr>
    </w:p>
    <w:p w14:paraId="286B8BAA" w14:textId="77777777" w:rsidR="00B97DC3" w:rsidRPr="00755FB9" w:rsidRDefault="00B97DC3" w:rsidP="00880B24">
      <w:pPr>
        <w:spacing w:line="360" w:lineRule="auto"/>
        <w:rPr>
          <w:rFonts w:ascii="Arial" w:hAnsi="Arial" w:cs="Arial"/>
          <w:sz w:val="24"/>
          <w:szCs w:val="24"/>
        </w:rPr>
      </w:pPr>
    </w:p>
    <w:p w14:paraId="3B4E0DE2" w14:textId="77777777" w:rsidR="002A5174" w:rsidRDefault="002A5174"/>
    <w:sectPr w:rsidR="002A5174" w:rsidSect="00954CC6">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F35A94" w14:textId="77777777" w:rsidR="00593C40" w:rsidRDefault="00593C40" w:rsidP="00BC0EC7">
      <w:pPr>
        <w:spacing w:after="0" w:line="240" w:lineRule="auto"/>
      </w:pPr>
      <w:r>
        <w:separator/>
      </w:r>
    </w:p>
  </w:endnote>
  <w:endnote w:type="continuationSeparator" w:id="0">
    <w:p w14:paraId="32D8D316" w14:textId="77777777" w:rsidR="00593C40" w:rsidRDefault="00593C40" w:rsidP="00BC0E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538557"/>
      <w:docPartObj>
        <w:docPartGallery w:val="Page Numbers (Bottom of Page)"/>
        <w:docPartUnique/>
      </w:docPartObj>
    </w:sdtPr>
    <w:sdtEndPr>
      <w:rPr>
        <w:noProof/>
      </w:rPr>
    </w:sdtEndPr>
    <w:sdtContent>
      <w:p w14:paraId="2FE4F885" w14:textId="49C4A31E" w:rsidR="00BC0EC7" w:rsidRDefault="00BC0EC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E5FE88" w14:textId="77777777" w:rsidR="00BC0EC7" w:rsidRDefault="00BC0E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51C485" w14:textId="77777777" w:rsidR="00593C40" w:rsidRDefault="00593C40" w:rsidP="00BC0EC7">
      <w:pPr>
        <w:spacing w:after="0" w:line="240" w:lineRule="auto"/>
      </w:pPr>
      <w:r>
        <w:separator/>
      </w:r>
    </w:p>
  </w:footnote>
  <w:footnote w:type="continuationSeparator" w:id="0">
    <w:p w14:paraId="01EBCF38" w14:textId="77777777" w:rsidR="00593C40" w:rsidRDefault="00593C40" w:rsidP="00BC0E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A55BE4"/>
    <w:multiLevelType w:val="multilevel"/>
    <w:tmpl w:val="FB021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9807C09"/>
    <w:multiLevelType w:val="multilevel"/>
    <w:tmpl w:val="64023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4B9131F"/>
    <w:multiLevelType w:val="multilevel"/>
    <w:tmpl w:val="8924B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49E4723"/>
    <w:multiLevelType w:val="multilevel"/>
    <w:tmpl w:val="9B22F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A333905"/>
    <w:multiLevelType w:val="multilevel"/>
    <w:tmpl w:val="720EF78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1B26F20"/>
    <w:multiLevelType w:val="multilevel"/>
    <w:tmpl w:val="C354F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7C906E3"/>
    <w:multiLevelType w:val="multilevel"/>
    <w:tmpl w:val="DC96E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BD76FD4"/>
    <w:multiLevelType w:val="multilevel"/>
    <w:tmpl w:val="A930336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8FF17C2"/>
    <w:multiLevelType w:val="multilevel"/>
    <w:tmpl w:val="30BE3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71618141">
    <w:abstractNumId w:val="8"/>
  </w:num>
  <w:num w:numId="2" w16cid:durableId="465776619">
    <w:abstractNumId w:val="5"/>
  </w:num>
  <w:num w:numId="3" w16cid:durableId="618025266">
    <w:abstractNumId w:val="0"/>
  </w:num>
  <w:num w:numId="4" w16cid:durableId="1321226156">
    <w:abstractNumId w:val="3"/>
  </w:num>
  <w:num w:numId="5" w16cid:durableId="1165319719">
    <w:abstractNumId w:val="2"/>
  </w:num>
  <w:num w:numId="6" w16cid:durableId="994338401">
    <w:abstractNumId w:val="6"/>
  </w:num>
  <w:num w:numId="7" w16cid:durableId="1447120212">
    <w:abstractNumId w:val="7"/>
  </w:num>
  <w:num w:numId="8" w16cid:durableId="1615943035">
    <w:abstractNumId w:val="4"/>
  </w:num>
  <w:num w:numId="9" w16cid:durableId="11906098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4F1"/>
    <w:rsid w:val="001125DB"/>
    <w:rsid w:val="00160A28"/>
    <w:rsid w:val="00274BD4"/>
    <w:rsid w:val="002A5174"/>
    <w:rsid w:val="002F537C"/>
    <w:rsid w:val="003C79E9"/>
    <w:rsid w:val="004163EE"/>
    <w:rsid w:val="00417E1A"/>
    <w:rsid w:val="0057363B"/>
    <w:rsid w:val="00593C40"/>
    <w:rsid w:val="005A133E"/>
    <w:rsid w:val="005B2115"/>
    <w:rsid w:val="006D3BC5"/>
    <w:rsid w:val="00755FB9"/>
    <w:rsid w:val="007B2F9E"/>
    <w:rsid w:val="00871B2E"/>
    <w:rsid w:val="00880B24"/>
    <w:rsid w:val="009254F1"/>
    <w:rsid w:val="00954CC6"/>
    <w:rsid w:val="009F013B"/>
    <w:rsid w:val="00A0703F"/>
    <w:rsid w:val="00A72A50"/>
    <w:rsid w:val="00B21218"/>
    <w:rsid w:val="00B97DC3"/>
    <w:rsid w:val="00BC0EC7"/>
    <w:rsid w:val="00C20D40"/>
    <w:rsid w:val="00C57EC4"/>
    <w:rsid w:val="00D76BF6"/>
    <w:rsid w:val="00E32A51"/>
    <w:rsid w:val="00EE5FDA"/>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7718F"/>
  <w15:chartTrackingRefBased/>
  <w15:docId w15:val="{BF556C2D-BCFD-4FE0-B1F0-31C8D5E5E7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US"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9254F1"/>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unhideWhenUsed/>
    <w:qFormat/>
    <w:rsid w:val="009254F1"/>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unhideWhenUsed/>
    <w:qFormat/>
    <w:rsid w:val="009254F1"/>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9254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54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54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54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54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54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54F1"/>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rsid w:val="009254F1"/>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rsid w:val="009254F1"/>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9254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54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54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54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54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54F1"/>
    <w:rPr>
      <w:rFonts w:eastAsiaTheme="majorEastAsia" w:cstheme="majorBidi"/>
      <w:color w:val="272727" w:themeColor="text1" w:themeTint="D8"/>
    </w:rPr>
  </w:style>
  <w:style w:type="paragraph" w:styleId="Title">
    <w:name w:val="Title"/>
    <w:basedOn w:val="Normal"/>
    <w:next w:val="Normal"/>
    <w:link w:val="TitleChar"/>
    <w:uiPriority w:val="10"/>
    <w:qFormat/>
    <w:rsid w:val="009254F1"/>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9254F1"/>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9254F1"/>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9254F1"/>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9254F1"/>
    <w:pPr>
      <w:spacing w:before="160"/>
      <w:jc w:val="center"/>
    </w:pPr>
    <w:rPr>
      <w:i/>
      <w:iCs/>
      <w:color w:val="404040" w:themeColor="text1" w:themeTint="BF"/>
    </w:rPr>
  </w:style>
  <w:style w:type="character" w:customStyle="1" w:styleId="QuoteChar">
    <w:name w:val="Quote Char"/>
    <w:basedOn w:val="DefaultParagraphFont"/>
    <w:link w:val="Quote"/>
    <w:uiPriority w:val="29"/>
    <w:rsid w:val="009254F1"/>
    <w:rPr>
      <w:rFonts w:cs="Vrinda"/>
      <w:i/>
      <w:iCs/>
      <w:color w:val="404040" w:themeColor="text1" w:themeTint="BF"/>
    </w:rPr>
  </w:style>
  <w:style w:type="paragraph" w:styleId="ListParagraph">
    <w:name w:val="List Paragraph"/>
    <w:basedOn w:val="Normal"/>
    <w:uiPriority w:val="34"/>
    <w:qFormat/>
    <w:rsid w:val="009254F1"/>
    <w:pPr>
      <w:ind w:left="720"/>
      <w:contextualSpacing/>
    </w:pPr>
  </w:style>
  <w:style w:type="character" w:styleId="IntenseEmphasis">
    <w:name w:val="Intense Emphasis"/>
    <w:basedOn w:val="DefaultParagraphFont"/>
    <w:uiPriority w:val="21"/>
    <w:qFormat/>
    <w:rsid w:val="009254F1"/>
    <w:rPr>
      <w:i/>
      <w:iCs/>
      <w:color w:val="0F4761" w:themeColor="accent1" w:themeShade="BF"/>
    </w:rPr>
  </w:style>
  <w:style w:type="paragraph" w:styleId="IntenseQuote">
    <w:name w:val="Intense Quote"/>
    <w:basedOn w:val="Normal"/>
    <w:next w:val="Normal"/>
    <w:link w:val="IntenseQuoteChar"/>
    <w:uiPriority w:val="30"/>
    <w:qFormat/>
    <w:rsid w:val="009254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54F1"/>
    <w:rPr>
      <w:rFonts w:cs="Vrinda"/>
      <w:i/>
      <w:iCs/>
      <w:color w:val="0F4761" w:themeColor="accent1" w:themeShade="BF"/>
    </w:rPr>
  </w:style>
  <w:style w:type="character" w:styleId="IntenseReference">
    <w:name w:val="Intense Reference"/>
    <w:basedOn w:val="DefaultParagraphFont"/>
    <w:uiPriority w:val="32"/>
    <w:qFormat/>
    <w:rsid w:val="009254F1"/>
    <w:rPr>
      <w:b/>
      <w:bCs/>
      <w:smallCaps/>
      <w:color w:val="0F4761" w:themeColor="accent1" w:themeShade="BF"/>
      <w:spacing w:val="5"/>
    </w:rPr>
  </w:style>
  <w:style w:type="character" w:styleId="Hyperlink">
    <w:name w:val="Hyperlink"/>
    <w:basedOn w:val="DefaultParagraphFont"/>
    <w:uiPriority w:val="99"/>
    <w:unhideWhenUsed/>
    <w:rsid w:val="009F013B"/>
    <w:rPr>
      <w:color w:val="467886" w:themeColor="hyperlink"/>
      <w:u w:val="single"/>
    </w:rPr>
  </w:style>
  <w:style w:type="character" w:styleId="UnresolvedMention">
    <w:name w:val="Unresolved Mention"/>
    <w:basedOn w:val="DefaultParagraphFont"/>
    <w:uiPriority w:val="99"/>
    <w:semiHidden/>
    <w:unhideWhenUsed/>
    <w:rsid w:val="009F013B"/>
    <w:rPr>
      <w:color w:val="605E5C"/>
      <w:shd w:val="clear" w:color="auto" w:fill="E1DFDD"/>
    </w:rPr>
  </w:style>
  <w:style w:type="paragraph" w:styleId="Header">
    <w:name w:val="header"/>
    <w:basedOn w:val="Normal"/>
    <w:link w:val="HeaderChar"/>
    <w:uiPriority w:val="99"/>
    <w:unhideWhenUsed/>
    <w:rsid w:val="00BC0EC7"/>
    <w:pPr>
      <w:tabs>
        <w:tab w:val="center" w:pos="4680"/>
        <w:tab w:val="right" w:pos="9360"/>
      </w:tabs>
      <w:spacing w:after="0" w:line="240" w:lineRule="auto"/>
    </w:pPr>
  </w:style>
  <w:style w:type="character" w:customStyle="1" w:styleId="HeaderChar">
    <w:name w:val="Header Char"/>
    <w:basedOn w:val="DefaultParagraphFont"/>
    <w:link w:val="Header"/>
    <w:uiPriority w:val="99"/>
    <w:rsid w:val="00BC0EC7"/>
    <w:rPr>
      <w:rFonts w:cs="Vrinda"/>
    </w:rPr>
  </w:style>
  <w:style w:type="paragraph" w:styleId="Footer">
    <w:name w:val="footer"/>
    <w:basedOn w:val="Normal"/>
    <w:link w:val="FooterChar"/>
    <w:uiPriority w:val="99"/>
    <w:unhideWhenUsed/>
    <w:rsid w:val="00BC0E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0EC7"/>
    <w:rPr>
      <w:rFonts w:cs="Vrind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fca.org.uk/publication/corporate/open-banking-report.pdf"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home.barclays/investor-relations/reports-and-events/annual-report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s://www.mordorintelligence.com/industry-reports/uk-retail-banking-market?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153</TotalTime>
  <Pages>14</Pages>
  <Words>3076</Words>
  <Characters>17536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Sykat Sen</dc:creator>
  <cp:keywords/>
  <dc:description/>
  <cp:lastModifiedBy>Sykat Sen</cp:lastModifiedBy>
  <cp:revision>9</cp:revision>
  <dcterms:created xsi:type="dcterms:W3CDTF">2025-10-20T23:30:00Z</dcterms:created>
  <dcterms:modified xsi:type="dcterms:W3CDTF">2025-10-23T23:32:00Z</dcterms:modified>
</cp:coreProperties>
</file>