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4989A" w14:textId="712EA991" w:rsidR="001B6905" w:rsidRPr="00F46101" w:rsidRDefault="00945CA7" w:rsidP="00D32587">
      <w:pPr>
        <w:spacing w:line="360" w:lineRule="auto"/>
        <w:jc w:val="center"/>
        <w:rPr>
          <w:rFonts w:ascii="Arial" w:hAnsi="Arial" w:cs="Arial"/>
          <w:sz w:val="48"/>
          <w:szCs w:val="48"/>
        </w:rPr>
      </w:pPr>
      <w:r w:rsidRPr="00F46101">
        <w:rPr>
          <w:rFonts w:ascii="Arial" w:hAnsi="Arial" w:cs="Arial"/>
          <w:sz w:val="48"/>
          <w:szCs w:val="48"/>
        </w:rPr>
        <w:t xml:space="preserve">Hilton </w:t>
      </w:r>
      <w:r w:rsidR="0053599F" w:rsidRPr="00F46101">
        <w:rPr>
          <w:rFonts w:ascii="Arial" w:hAnsi="Arial" w:cs="Arial"/>
          <w:sz w:val="48"/>
          <w:szCs w:val="48"/>
        </w:rPr>
        <w:t xml:space="preserve">Hotel </w:t>
      </w:r>
      <w:r w:rsidR="00282361">
        <w:rPr>
          <w:rFonts w:ascii="Arial" w:hAnsi="Arial" w:cs="Arial"/>
          <w:sz w:val="48"/>
          <w:szCs w:val="48"/>
        </w:rPr>
        <w:t>Essay</w:t>
      </w:r>
    </w:p>
    <w:p w14:paraId="5B87E58E" w14:textId="42B8B1B9" w:rsidR="00F46101" w:rsidRPr="00F46101" w:rsidRDefault="00F46101" w:rsidP="00D32587">
      <w:pPr>
        <w:spacing w:line="360" w:lineRule="auto"/>
        <w:jc w:val="center"/>
        <w:rPr>
          <w:rFonts w:ascii="Arial" w:hAnsi="Arial" w:cs="Arial"/>
          <w:sz w:val="48"/>
          <w:szCs w:val="48"/>
        </w:rPr>
      </w:pPr>
      <w:r w:rsidRPr="00F46101">
        <w:rPr>
          <w:rFonts w:ascii="Arial" w:hAnsi="Arial" w:cs="Arial"/>
          <w:sz w:val="48"/>
          <w:szCs w:val="48"/>
        </w:rPr>
        <w:t>A vision of change: Sustainability in the hotel industry</w:t>
      </w:r>
    </w:p>
    <w:p w14:paraId="3FBCCDB5" w14:textId="77777777" w:rsidR="00D46FD2" w:rsidRPr="00F46101" w:rsidRDefault="00D46FD2" w:rsidP="00F46101">
      <w:pPr>
        <w:spacing w:line="360" w:lineRule="auto"/>
        <w:rPr>
          <w:rFonts w:ascii="Arial" w:hAnsi="Arial" w:cs="Arial"/>
          <w:sz w:val="48"/>
          <w:szCs w:val="48"/>
        </w:rPr>
      </w:pPr>
    </w:p>
    <w:p w14:paraId="4B53F8F8" w14:textId="77777777" w:rsidR="001B6905" w:rsidRPr="00F46101" w:rsidRDefault="001B6905" w:rsidP="00D32587">
      <w:pPr>
        <w:spacing w:line="360" w:lineRule="auto"/>
        <w:jc w:val="center"/>
        <w:rPr>
          <w:rFonts w:ascii="Arial" w:hAnsi="Arial" w:cs="Arial"/>
          <w:sz w:val="48"/>
          <w:szCs w:val="48"/>
        </w:rPr>
      </w:pPr>
      <w:r w:rsidRPr="00F46101">
        <w:rPr>
          <w:rFonts w:ascii="Arial" w:hAnsi="Arial" w:cs="Arial"/>
          <w:sz w:val="48"/>
          <w:szCs w:val="48"/>
        </w:rPr>
        <w:t>Mohammed Muddasar</w:t>
      </w:r>
    </w:p>
    <w:p w14:paraId="6F832885" w14:textId="77777777" w:rsidR="001B6905" w:rsidRPr="00F46101" w:rsidRDefault="001B6905" w:rsidP="00D32587">
      <w:pPr>
        <w:spacing w:line="360" w:lineRule="auto"/>
        <w:jc w:val="center"/>
        <w:rPr>
          <w:rFonts w:ascii="Arial" w:hAnsi="Arial" w:cs="Arial"/>
          <w:sz w:val="48"/>
          <w:szCs w:val="48"/>
        </w:rPr>
      </w:pPr>
    </w:p>
    <w:p w14:paraId="15B65BC6" w14:textId="77777777" w:rsidR="001B6905" w:rsidRPr="00F46101" w:rsidRDefault="001B6905" w:rsidP="00D32587">
      <w:pPr>
        <w:spacing w:line="360" w:lineRule="auto"/>
        <w:jc w:val="center"/>
        <w:rPr>
          <w:rFonts w:ascii="Arial" w:hAnsi="Arial" w:cs="Arial"/>
          <w:sz w:val="48"/>
          <w:szCs w:val="48"/>
        </w:rPr>
      </w:pPr>
      <w:r w:rsidRPr="00F46101">
        <w:rPr>
          <w:rFonts w:ascii="Arial" w:hAnsi="Arial" w:cs="Arial"/>
          <w:sz w:val="48"/>
          <w:szCs w:val="48"/>
        </w:rPr>
        <w:t>Student id:2121682</w:t>
      </w:r>
    </w:p>
    <w:p w14:paraId="7ABB4BE4" w14:textId="77777777" w:rsidR="00800D67" w:rsidRPr="00F46101" w:rsidRDefault="00800D67" w:rsidP="00D32587">
      <w:pPr>
        <w:spacing w:line="360" w:lineRule="auto"/>
        <w:jc w:val="center"/>
        <w:rPr>
          <w:rFonts w:ascii="Arial" w:hAnsi="Arial" w:cs="Arial"/>
          <w:sz w:val="48"/>
          <w:szCs w:val="48"/>
        </w:rPr>
      </w:pPr>
    </w:p>
    <w:p w14:paraId="2CD62727" w14:textId="77777777" w:rsidR="00F46101" w:rsidRPr="00F46101" w:rsidRDefault="00F46101" w:rsidP="00F46101">
      <w:pPr>
        <w:spacing w:line="360" w:lineRule="auto"/>
        <w:jc w:val="center"/>
        <w:rPr>
          <w:rFonts w:ascii="Arial" w:hAnsi="Arial" w:cs="Arial"/>
          <w:color w:val="000000" w:themeColor="text1"/>
          <w:sz w:val="48"/>
          <w:szCs w:val="48"/>
        </w:rPr>
      </w:pPr>
      <w:r w:rsidRPr="00F46101">
        <w:rPr>
          <w:rFonts w:ascii="Arial" w:hAnsi="Arial" w:cs="Arial"/>
          <w:color w:val="000000" w:themeColor="text1"/>
          <w:sz w:val="48"/>
          <w:szCs w:val="48"/>
        </w:rPr>
        <w:t>Sustainable Hospitality &amp; Tourism Management</w:t>
      </w:r>
    </w:p>
    <w:p w14:paraId="2AED6352" w14:textId="77777777" w:rsidR="001B6905" w:rsidRPr="00F46101" w:rsidRDefault="001B6905" w:rsidP="00D32587">
      <w:pPr>
        <w:spacing w:line="360" w:lineRule="auto"/>
        <w:jc w:val="center"/>
        <w:rPr>
          <w:rFonts w:ascii="Arial" w:hAnsi="Arial" w:cs="Arial"/>
          <w:color w:val="000000" w:themeColor="text1"/>
          <w:sz w:val="48"/>
          <w:szCs w:val="48"/>
        </w:rPr>
      </w:pPr>
    </w:p>
    <w:p w14:paraId="605DBB45" w14:textId="74B23031" w:rsidR="001B6905" w:rsidRPr="00F46101" w:rsidRDefault="0053599F" w:rsidP="00D32587">
      <w:pPr>
        <w:spacing w:line="360" w:lineRule="auto"/>
        <w:jc w:val="center"/>
        <w:rPr>
          <w:rFonts w:ascii="Arial" w:hAnsi="Arial" w:cs="Arial"/>
          <w:color w:val="000000" w:themeColor="text1"/>
          <w:sz w:val="48"/>
          <w:szCs w:val="48"/>
        </w:rPr>
      </w:pPr>
      <w:r w:rsidRPr="00F46101">
        <w:rPr>
          <w:rFonts w:ascii="Arial" w:hAnsi="Arial" w:cs="Arial"/>
          <w:color w:val="000000" w:themeColor="text1"/>
          <w:sz w:val="48"/>
          <w:szCs w:val="48"/>
        </w:rPr>
        <w:t>(</w:t>
      </w:r>
      <w:r w:rsidR="001B6905" w:rsidRPr="00F46101">
        <w:rPr>
          <w:rFonts w:ascii="Arial" w:hAnsi="Arial" w:cs="Arial"/>
          <w:color w:val="000000" w:themeColor="text1"/>
          <w:sz w:val="48"/>
          <w:szCs w:val="48"/>
        </w:rPr>
        <w:t>BMIH50</w:t>
      </w:r>
      <w:r w:rsidR="002E0488" w:rsidRPr="00F46101">
        <w:rPr>
          <w:rFonts w:ascii="Arial" w:hAnsi="Arial" w:cs="Arial"/>
          <w:color w:val="000000" w:themeColor="text1"/>
          <w:sz w:val="48"/>
          <w:szCs w:val="48"/>
        </w:rPr>
        <w:t>06</w:t>
      </w:r>
      <w:r w:rsidRPr="00F46101">
        <w:rPr>
          <w:rFonts w:ascii="Arial" w:hAnsi="Arial" w:cs="Arial"/>
          <w:color w:val="000000" w:themeColor="text1"/>
          <w:sz w:val="48"/>
          <w:szCs w:val="48"/>
        </w:rPr>
        <w:t>)</w:t>
      </w:r>
    </w:p>
    <w:p w14:paraId="50361EBE" w14:textId="77777777" w:rsidR="00800D67" w:rsidRPr="00F46101" w:rsidRDefault="00800D67" w:rsidP="00D32587">
      <w:pPr>
        <w:spacing w:line="360" w:lineRule="auto"/>
        <w:jc w:val="both"/>
        <w:rPr>
          <w:rFonts w:ascii="Arial" w:hAnsi="Arial" w:cs="Arial"/>
          <w:color w:val="000000" w:themeColor="text1"/>
          <w:sz w:val="48"/>
          <w:szCs w:val="48"/>
        </w:rPr>
      </w:pPr>
    </w:p>
    <w:p w14:paraId="731118A9" w14:textId="1D43236A" w:rsidR="00800D67" w:rsidRPr="00F46101" w:rsidRDefault="002E0488" w:rsidP="00D32587">
      <w:pPr>
        <w:spacing w:line="360" w:lineRule="auto"/>
        <w:jc w:val="center"/>
        <w:rPr>
          <w:rFonts w:ascii="Arial" w:hAnsi="Arial" w:cs="Arial"/>
          <w:sz w:val="48"/>
          <w:szCs w:val="48"/>
        </w:rPr>
      </w:pPr>
      <w:r w:rsidRPr="00F46101">
        <w:rPr>
          <w:rFonts w:ascii="Arial" w:hAnsi="Arial" w:cs="Arial"/>
          <w:sz w:val="48"/>
          <w:szCs w:val="48"/>
        </w:rPr>
        <w:t xml:space="preserve">Ruth Taylor </w:t>
      </w:r>
      <w:r w:rsidR="00945CA7" w:rsidRPr="00F46101">
        <w:rPr>
          <w:rFonts w:ascii="Arial" w:hAnsi="Arial" w:cs="Arial"/>
          <w:sz w:val="48"/>
          <w:szCs w:val="48"/>
        </w:rPr>
        <w:t>–</w:t>
      </w:r>
      <w:r w:rsidRPr="00F46101">
        <w:rPr>
          <w:rFonts w:ascii="Arial" w:hAnsi="Arial" w:cs="Arial"/>
          <w:sz w:val="48"/>
          <w:szCs w:val="48"/>
        </w:rPr>
        <w:t xml:space="preserve"> Davies</w:t>
      </w:r>
    </w:p>
    <w:p w14:paraId="4B6B496A" w14:textId="77777777" w:rsidR="00D46FD2" w:rsidRDefault="00D46FD2" w:rsidP="00D32587">
      <w:pPr>
        <w:spacing w:line="360" w:lineRule="auto"/>
        <w:jc w:val="both"/>
        <w:rPr>
          <w:rFonts w:ascii="Arial" w:hAnsi="Arial" w:cs="Arial"/>
          <w:b/>
          <w:bCs/>
          <w:kern w:val="2"/>
          <w:sz w:val="24"/>
          <w:szCs w:val="24"/>
          <w14:ligatures w14:val="standardContextual"/>
        </w:rPr>
      </w:pPr>
    </w:p>
    <w:p w14:paraId="6599C8D6" w14:textId="492C815B" w:rsidR="00800D67" w:rsidRDefault="00800D67" w:rsidP="00D46FD2">
      <w:pPr>
        <w:spacing w:line="360" w:lineRule="auto"/>
        <w:jc w:val="center"/>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lastRenderedPageBreak/>
        <w:t>Introduction</w:t>
      </w:r>
    </w:p>
    <w:p w14:paraId="54CC90FF" w14:textId="4D64C75D"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The hospitality sector, a vital component of the global economy, is increasingly under scrutiny due to its environmental impact. This essay provides an in-depth analysis of Hilton Hotel Group's sustainable initiatives, exploring their organizational culture, strategic vision, and the profound theoretical frameworks shaping their approach. With a focus on environmental conservation, community empowerment, and economic sustainability, Hilton's journey serves as a model for sustainable leadership in the 21st century.</w:t>
      </w:r>
      <w:r w:rsidR="00800D67">
        <w:rPr>
          <w:rFonts w:ascii="Arial" w:hAnsi="Arial" w:cs="Arial"/>
          <w:kern w:val="2"/>
          <w:sz w:val="24"/>
          <w:szCs w:val="24"/>
          <w14:ligatures w14:val="standardContextual"/>
        </w:rPr>
        <w:t xml:space="preserve"> </w:t>
      </w:r>
      <w:r w:rsidRPr="000E0EAE">
        <w:rPr>
          <w:rFonts w:ascii="Arial" w:hAnsi="Arial" w:cs="Arial"/>
          <w:kern w:val="2"/>
          <w:sz w:val="24"/>
          <w:szCs w:val="24"/>
          <w14:ligatures w14:val="standardContextual"/>
        </w:rPr>
        <w:t>The hospitality industry, often criticized for its environmental footprint, faces unprecedented challenges in the era of global sustainability. Hilton Hotel Group, a prominent player in this sector, has emerged as a leader in sustainable practices. This essay delves into the depth of Hilton's sustainable strategies, examining their cultural ethos, organizational structure, and the intricate web of theoretical frameworks guiding their initiatives.</w:t>
      </w:r>
    </w:p>
    <w:p w14:paraId="46E36220" w14:textId="585260DE"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t>Hilton's Cultural Ethos: A Foundation of Sustainability</w:t>
      </w:r>
    </w:p>
    <w:p w14:paraId="1C383726" w14:textId="77777777" w:rsidR="000E0EAE" w:rsidRPr="00800D67"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At the heart of Hilton’s sustainability journey lies its unique organizational culture. Inspired by Schein’s model of organizational culture, Hilton has fostered a deep commitment to eco-consciousness among its employees. Through comprehensive training programs and awareness campaigns, Hilton has successfully integrated sustainability into its organizational DNA (Johnson, 2019). This cultural transformation permeates every level of the organization, ensuring that sustainability is not just a policy but a way of life for Hilton's workforce.</w:t>
      </w:r>
    </w:p>
    <w:p w14:paraId="3E5CC33F" w14:textId="77777777" w:rsidR="00C31CDD" w:rsidRPr="00800D67" w:rsidRDefault="00C31CDD" w:rsidP="00D32587">
      <w:pPr>
        <w:spacing w:line="360" w:lineRule="auto"/>
        <w:jc w:val="both"/>
        <w:rPr>
          <w:rFonts w:ascii="Arial" w:hAnsi="Arial" w:cs="Arial"/>
          <w:kern w:val="2"/>
          <w:sz w:val="24"/>
          <w:szCs w:val="24"/>
          <w14:ligatures w14:val="standardContextual"/>
        </w:rPr>
      </w:pPr>
    </w:p>
    <w:p w14:paraId="458BAFCE" w14:textId="1C65A4ED"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b/>
          <w:bCs/>
          <w:kern w:val="2"/>
          <w:sz w:val="24"/>
          <w:szCs w:val="24"/>
          <w14:ligatures w14:val="standardContextual"/>
        </w:rPr>
        <w:t>Circular Economy: A Paradigm Shift in Sustainability</w:t>
      </w:r>
    </w:p>
    <w:p w14:paraId="1AE44FF3" w14:textId="77777777"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kern w:val="2"/>
          <w:sz w:val="24"/>
          <w:szCs w:val="24"/>
          <w14:ligatures w14:val="standardContextual"/>
        </w:rPr>
        <w:t>The circular economy represents a departure from the linear “take-make-dispose” model, advocating for regenerative systems where waste is minimized, resources are optimized, and products are designed for longevity and recyclability (Kirchherr et al., 2017). Hilton’s commitment to recycling, reusing linens, and reducing single-use plastics exemplifies circular economy principles, showcasing a move towards a sustainable, closed-loop system (Hilton Corporate Responsibility Report).</w:t>
      </w:r>
    </w:p>
    <w:p w14:paraId="1A93F084" w14:textId="77777777" w:rsidR="00D46FD2" w:rsidRDefault="00D46FD2" w:rsidP="00D32587">
      <w:pPr>
        <w:spacing w:line="360" w:lineRule="auto"/>
        <w:jc w:val="both"/>
        <w:rPr>
          <w:rFonts w:ascii="Arial" w:hAnsi="Arial" w:cs="Arial"/>
          <w:b/>
          <w:bCs/>
          <w:kern w:val="2"/>
          <w:sz w:val="24"/>
          <w:szCs w:val="24"/>
          <w14:ligatures w14:val="standardContextual"/>
        </w:rPr>
      </w:pPr>
    </w:p>
    <w:p w14:paraId="43DBD626" w14:textId="6DEC3AAD"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b/>
          <w:bCs/>
          <w:kern w:val="2"/>
          <w:sz w:val="24"/>
          <w:szCs w:val="24"/>
          <w14:ligatures w14:val="standardContextual"/>
        </w:rPr>
        <w:lastRenderedPageBreak/>
        <w:t>Triple Bottom Line (TBL): Balancing Profits, People, and the Planet</w:t>
      </w:r>
    </w:p>
    <w:p w14:paraId="63B34479" w14:textId="77777777"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kern w:val="2"/>
          <w:sz w:val="24"/>
          <w:szCs w:val="24"/>
          <w14:ligatures w14:val="standardContextual"/>
        </w:rPr>
        <w:t>The TBL framework evaluates an organization's impact on three dimensions: economic, social, and environmental (Elkington, 1998). Hilton’s TBL approach is evident in its economic contributions to local communities, social initiatives supporting education and healthcare, and eco-friendly practices that reduce their environmental footprint (Hilton Corporate Responsibility Report). The circular economy aligns with the TBL by reducing waste, minimizing resource consumption, and fostering economic resilience.</w:t>
      </w:r>
    </w:p>
    <w:p w14:paraId="6F56B989" w14:textId="517F1C26"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b/>
          <w:bCs/>
          <w:kern w:val="2"/>
          <w:sz w:val="24"/>
          <w:szCs w:val="24"/>
          <w14:ligatures w14:val="standardContextual"/>
        </w:rPr>
        <w:t>Pillars of Sustainability: Integrating Environmental, Social, and Economic Aspects</w:t>
      </w:r>
    </w:p>
    <w:p w14:paraId="6D18A5F7" w14:textId="77777777" w:rsid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kern w:val="2"/>
          <w:sz w:val="24"/>
          <w:szCs w:val="24"/>
          <w14:ligatures w14:val="standardContextual"/>
        </w:rPr>
        <w:t>Sustainability is often conceptualized through three pillars: environmental, social, and economic (Sachs, 2015). Hilton’s initiatives contribute to the environmental pillar by conserving energy, reducing water consumption, and promoting biodiversity. Social initiatives support local communities and empower employees, addressing the social pillar. Additionally, economic contributions and responsible business practices align with the economic pillar, ensuring long-term viability (Hilton Corporate Responsibility Report).</w:t>
      </w:r>
    </w:p>
    <w:p w14:paraId="1EDFE2F1" w14:textId="77777777" w:rsidR="00400D8B" w:rsidRPr="00400D8B" w:rsidRDefault="00400D8B" w:rsidP="00D32587">
      <w:pPr>
        <w:spacing w:line="360" w:lineRule="auto"/>
        <w:jc w:val="both"/>
        <w:rPr>
          <w:rFonts w:ascii="Arial" w:hAnsi="Arial" w:cs="Arial"/>
          <w:kern w:val="2"/>
          <w:sz w:val="24"/>
          <w:szCs w:val="24"/>
          <w14:ligatures w14:val="standardContextual"/>
        </w:rPr>
      </w:pPr>
      <w:r w:rsidRPr="00400D8B">
        <w:rPr>
          <w:rFonts w:ascii="Arial" w:hAnsi="Arial" w:cs="Arial"/>
          <w:b/>
          <w:bCs/>
          <w:kern w:val="2"/>
          <w:sz w:val="24"/>
          <w:szCs w:val="24"/>
          <w14:ligatures w14:val="standardContextual"/>
        </w:rPr>
        <w:t>Environmental Sustainability:</w:t>
      </w:r>
      <w:r w:rsidRPr="00400D8B">
        <w:rPr>
          <w:rFonts w:ascii="Arial" w:hAnsi="Arial" w:cs="Arial"/>
          <w:kern w:val="2"/>
          <w:sz w:val="24"/>
          <w:szCs w:val="24"/>
          <w14:ligatures w14:val="standardContextual"/>
        </w:rPr>
        <w:t xml:space="preserve"> This pillar focuses on preserving natural resources, reducing ecological footprints, and mitigating climate change. For Hilton, this translates to initiatives like energy conservation, waste reduction, and biodiversity protection. By embracing renewable energy sources and minimizing waste generation, Hilton contributes significantly to environmental preservation.</w:t>
      </w:r>
    </w:p>
    <w:p w14:paraId="0E120927" w14:textId="77777777" w:rsidR="00400D8B" w:rsidRPr="00400D8B" w:rsidRDefault="00400D8B" w:rsidP="00D32587">
      <w:pPr>
        <w:spacing w:line="360" w:lineRule="auto"/>
        <w:jc w:val="both"/>
        <w:rPr>
          <w:rFonts w:ascii="Arial" w:hAnsi="Arial" w:cs="Arial"/>
          <w:kern w:val="2"/>
          <w:sz w:val="24"/>
          <w:szCs w:val="24"/>
          <w14:ligatures w14:val="standardContextual"/>
        </w:rPr>
      </w:pPr>
      <w:r w:rsidRPr="00400D8B">
        <w:rPr>
          <w:rFonts w:ascii="Arial" w:hAnsi="Arial" w:cs="Arial"/>
          <w:b/>
          <w:bCs/>
          <w:kern w:val="2"/>
          <w:sz w:val="24"/>
          <w:szCs w:val="24"/>
          <w14:ligatures w14:val="standardContextual"/>
        </w:rPr>
        <w:t>Social Sustainability:</w:t>
      </w:r>
      <w:r w:rsidRPr="00400D8B">
        <w:rPr>
          <w:rFonts w:ascii="Arial" w:hAnsi="Arial" w:cs="Arial"/>
          <w:kern w:val="2"/>
          <w:sz w:val="24"/>
          <w:szCs w:val="24"/>
          <w14:ligatures w14:val="standardContextual"/>
        </w:rPr>
        <w:t xml:space="preserve"> Social sustainability emphasizes fostering inclusive communities, promoting human rights, and ensuring social equity. Hilton achieves this through community engagement, supporting education and healthcare, and empowering its employees. By investing in local communities and promoting diversity and inclusion, Hilton strengthens the social fabric, ensuring that their operations positively impact the communities where they operate.</w:t>
      </w:r>
    </w:p>
    <w:p w14:paraId="71AE0829" w14:textId="77777777" w:rsidR="00D46FD2" w:rsidRDefault="00D46FD2" w:rsidP="00D32587">
      <w:pPr>
        <w:spacing w:line="360" w:lineRule="auto"/>
        <w:jc w:val="both"/>
        <w:rPr>
          <w:rFonts w:ascii="Arial" w:hAnsi="Arial" w:cs="Arial"/>
          <w:b/>
          <w:bCs/>
          <w:kern w:val="2"/>
          <w:sz w:val="24"/>
          <w:szCs w:val="24"/>
          <w14:ligatures w14:val="standardContextual"/>
        </w:rPr>
      </w:pPr>
    </w:p>
    <w:p w14:paraId="7C4EDE00" w14:textId="77777777" w:rsidR="00D46FD2" w:rsidRDefault="00D46FD2" w:rsidP="00D32587">
      <w:pPr>
        <w:spacing w:line="360" w:lineRule="auto"/>
        <w:jc w:val="both"/>
        <w:rPr>
          <w:rFonts w:ascii="Arial" w:hAnsi="Arial" w:cs="Arial"/>
          <w:b/>
          <w:bCs/>
          <w:kern w:val="2"/>
          <w:sz w:val="24"/>
          <w:szCs w:val="24"/>
          <w14:ligatures w14:val="standardContextual"/>
        </w:rPr>
      </w:pPr>
    </w:p>
    <w:p w14:paraId="32A7F309" w14:textId="3C7C0169" w:rsidR="00400D8B" w:rsidRPr="00C31CDD" w:rsidRDefault="00400D8B" w:rsidP="00D32587">
      <w:pPr>
        <w:spacing w:line="360" w:lineRule="auto"/>
        <w:jc w:val="both"/>
        <w:rPr>
          <w:rFonts w:ascii="Arial" w:hAnsi="Arial" w:cs="Arial"/>
          <w:kern w:val="2"/>
          <w:sz w:val="24"/>
          <w:szCs w:val="24"/>
          <w14:ligatures w14:val="standardContextual"/>
        </w:rPr>
      </w:pPr>
      <w:r w:rsidRPr="00400D8B">
        <w:rPr>
          <w:rFonts w:ascii="Arial" w:hAnsi="Arial" w:cs="Arial"/>
          <w:b/>
          <w:bCs/>
          <w:kern w:val="2"/>
          <w:sz w:val="24"/>
          <w:szCs w:val="24"/>
          <w14:ligatures w14:val="standardContextual"/>
        </w:rPr>
        <w:lastRenderedPageBreak/>
        <w:t>Economic Sustainability:</w:t>
      </w:r>
      <w:r w:rsidRPr="00400D8B">
        <w:rPr>
          <w:rFonts w:ascii="Arial" w:hAnsi="Arial" w:cs="Arial"/>
          <w:kern w:val="2"/>
          <w:sz w:val="24"/>
          <w:szCs w:val="24"/>
          <w14:ligatures w14:val="standardContextual"/>
        </w:rPr>
        <w:t xml:space="preserve"> Economic sustainability involves responsible business practices that ensure long-term viability. Hilton's economic initiatives focus on responsible sourcing, ethical financial practices, and economic contributions to local communities. By supporting local businesses, Hilton contributes to economic growth, creating a positive economic ripple effect that benefits both the company and the communities they serve. This pillar underscores the importance of financial stability and ethical business conduct in the pursuit of sustainability.</w:t>
      </w:r>
      <w:r w:rsidRPr="00400D8B">
        <w:rPr>
          <w:rFonts w:ascii="Arial" w:hAnsi="Arial" w:cs="Arial"/>
          <w:vanish/>
          <w:kern w:val="2"/>
          <w:sz w:val="24"/>
          <w:szCs w:val="24"/>
          <w14:ligatures w14:val="standardContextual"/>
        </w:rPr>
        <w:t>Top of Form</w:t>
      </w:r>
    </w:p>
    <w:p w14:paraId="65A3F5D4" w14:textId="4A5AB84D"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b/>
          <w:bCs/>
          <w:kern w:val="2"/>
          <w:sz w:val="24"/>
          <w:szCs w:val="24"/>
          <w14:ligatures w14:val="standardContextual"/>
        </w:rPr>
        <w:t>Synergies and Intersections: Hilton's Circular Economy Endeavours</w:t>
      </w:r>
    </w:p>
    <w:p w14:paraId="5E1AC504" w14:textId="330BFCB6"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i/>
          <w:iCs/>
          <w:kern w:val="2"/>
          <w:sz w:val="24"/>
          <w:szCs w:val="24"/>
          <w14:ligatures w14:val="standardContextual"/>
        </w:rPr>
        <w:t>Waste Reduction and Recycling:</w:t>
      </w:r>
      <w:r w:rsidRPr="00C31CDD">
        <w:rPr>
          <w:rFonts w:ascii="Arial" w:hAnsi="Arial" w:cs="Arial"/>
          <w:kern w:val="2"/>
          <w:sz w:val="24"/>
          <w:szCs w:val="24"/>
          <w14:ligatures w14:val="standardContextual"/>
        </w:rPr>
        <w:t xml:space="preserve"> Hilton’s circular economy practices, like waste reduction and recycling, directly contribute to the environmental pillar (</w:t>
      </w:r>
      <w:proofErr w:type="spellStart"/>
      <w:r w:rsidRPr="00C31CDD">
        <w:rPr>
          <w:rFonts w:ascii="Arial" w:hAnsi="Arial" w:cs="Arial"/>
          <w:kern w:val="2"/>
          <w:sz w:val="24"/>
          <w:szCs w:val="24"/>
          <w14:ligatures w14:val="standardContextual"/>
        </w:rPr>
        <w:t>Schaltegger</w:t>
      </w:r>
      <w:proofErr w:type="spellEnd"/>
      <w:r w:rsidRPr="00C31CDD">
        <w:rPr>
          <w:rFonts w:ascii="Arial" w:hAnsi="Arial" w:cs="Arial"/>
          <w:kern w:val="2"/>
          <w:sz w:val="24"/>
          <w:szCs w:val="24"/>
          <w14:ligatures w14:val="standardContextual"/>
        </w:rPr>
        <w:t xml:space="preserve"> &amp; Burritt, 2018). By reducing landfill waste, Hilton minimizes its negative impact on ecosystems and natural resources (Hilton Corporate Responsibility Report).</w:t>
      </w:r>
    </w:p>
    <w:p w14:paraId="44052616" w14:textId="6F178D76"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i/>
          <w:iCs/>
          <w:kern w:val="2"/>
          <w:sz w:val="24"/>
          <w:szCs w:val="24"/>
          <w14:ligatures w14:val="standardContextual"/>
        </w:rPr>
        <w:t>Community Engagement and Social Empowerment:</w:t>
      </w:r>
      <w:r w:rsidRPr="00C31CDD">
        <w:rPr>
          <w:rFonts w:ascii="Arial" w:hAnsi="Arial" w:cs="Arial"/>
          <w:kern w:val="2"/>
          <w:sz w:val="24"/>
          <w:szCs w:val="24"/>
          <w14:ligatures w14:val="standardContextual"/>
        </w:rPr>
        <w:t xml:space="preserve"> Circular economy initiatives often involve community engagement (Kirchherr et al., 2017). Hilton’s efforts to engage local communities, providing skills development and supporting local businesses, not only align with circular economy principles but also strengthen the social pillar of sustainability (Hilton Corporate Responsibility Report).</w:t>
      </w:r>
    </w:p>
    <w:p w14:paraId="1492E898" w14:textId="0664D034" w:rsidR="00C31CDD" w:rsidRPr="00C31CDD" w:rsidRDefault="00C31CDD" w:rsidP="00D32587">
      <w:pPr>
        <w:spacing w:line="360" w:lineRule="auto"/>
        <w:jc w:val="both"/>
        <w:rPr>
          <w:rFonts w:ascii="Arial" w:hAnsi="Arial" w:cs="Arial"/>
          <w:kern w:val="2"/>
          <w:sz w:val="24"/>
          <w:szCs w:val="24"/>
          <w14:ligatures w14:val="standardContextual"/>
        </w:rPr>
      </w:pPr>
      <w:r w:rsidRPr="00C31CDD">
        <w:rPr>
          <w:rFonts w:ascii="Arial" w:hAnsi="Arial" w:cs="Arial"/>
          <w:i/>
          <w:iCs/>
          <w:kern w:val="2"/>
          <w:sz w:val="24"/>
          <w:szCs w:val="24"/>
          <w14:ligatures w14:val="standardContextual"/>
        </w:rPr>
        <w:t>Economic Viability and Responsible Consumption:</w:t>
      </w:r>
      <w:r w:rsidRPr="00C31CDD">
        <w:rPr>
          <w:rFonts w:ascii="Arial" w:hAnsi="Arial" w:cs="Arial"/>
          <w:kern w:val="2"/>
          <w:sz w:val="24"/>
          <w:szCs w:val="24"/>
          <w14:ligatures w14:val="standardContextual"/>
        </w:rPr>
        <w:t xml:space="preserve"> Hilton’s circular economy practices, such as responsible sourcing and energy conservation, enhance the economic pillar by ensuring long-term resource availability and business sustainability (</w:t>
      </w:r>
      <w:proofErr w:type="spellStart"/>
      <w:r w:rsidRPr="00C31CDD">
        <w:rPr>
          <w:rFonts w:ascii="Arial" w:hAnsi="Arial" w:cs="Arial"/>
          <w:kern w:val="2"/>
          <w:sz w:val="24"/>
          <w:szCs w:val="24"/>
          <w14:ligatures w14:val="standardContextual"/>
        </w:rPr>
        <w:t>Schaltegger</w:t>
      </w:r>
      <w:proofErr w:type="spellEnd"/>
      <w:r w:rsidRPr="00C31CDD">
        <w:rPr>
          <w:rFonts w:ascii="Arial" w:hAnsi="Arial" w:cs="Arial"/>
          <w:kern w:val="2"/>
          <w:sz w:val="24"/>
          <w:szCs w:val="24"/>
          <w14:ligatures w14:val="standardContextual"/>
        </w:rPr>
        <w:t xml:space="preserve"> &amp; Burritt, 2018). Additionally, by promoting responsible consumption among guests, Hilton furthers the economic viability of local economies while contributing to the social and environmental pillars (Hilton Corporate Responsibility Report).</w:t>
      </w:r>
    </w:p>
    <w:p w14:paraId="33A87842" w14:textId="3FDC5CAF"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t>Strategic Vision: Sustainability as a Competitive Advantage</w:t>
      </w:r>
    </w:p>
    <w:p w14:paraId="611A5271"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Hilton's sustainability initiatives are not merely reactive measures but proactive, forward-thinking strategies. Drawing on the insights from the VRIO framework (Barney, 1991), Hilton has strategically invested in green innovations, making sustainable design and green technologies integral parts of their operations (Adams &amp; White, 2022). This strategic foresight not only reduces their environmental impact but also positions Hilton as a leader in the eco-friendly hospitality market.</w:t>
      </w:r>
    </w:p>
    <w:p w14:paraId="49D9AA6B" w14:textId="51D68676"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lastRenderedPageBreak/>
        <w:t>Theoretical Foundations: Guiding Hilton's Sustainable Odyssey</w:t>
      </w:r>
    </w:p>
    <w:p w14:paraId="3E6B9DE4"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Hilton's sustainability journey is underpinned by a myriad of theoretical frameworks. Mintzberg's </w:t>
      </w:r>
      <w:proofErr w:type="spellStart"/>
      <w:r w:rsidRPr="000E0EAE">
        <w:rPr>
          <w:rFonts w:ascii="Arial" w:hAnsi="Arial" w:cs="Arial"/>
          <w:kern w:val="2"/>
          <w:sz w:val="24"/>
          <w:szCs w:val="24"/>
          <w14:ligatures w14:val="standardContextual"/>
        </w:rPr>
        <w:t>Organigraph</w:t>
      </w:r>
      <w:proofErr w:type="spellEnd"/>
      <w:r w:rsidRPr="000E0EAE">
        <w:rPr>
          <w:rFonts w:ascii="Arial" w:hAnsi="Arial" w:cs="Arial"/>
          <w:kern w:val="2"/>
          <w:sz w:val="24"/>
          <w:szCs w:val="24"/>
          <w14:ligatures w14:val="standardContextual"/>
        </w:rPr>
        <w:t xml:space="preserve"> (Mintzberg, 1981) provides a visual representation of the complex hierarchical structure within Hilton, showcasing the smooth flow of sustainability directives. Additionally, Lewin’s Change Management Model (Lewin, 1947) has been instrumental in facilitating Hilton’s organizational shift towards sustainability, emphasizing the 'unfreezing' stage where awareness and acknowledgment of sustainability issues are crucial (Jones et al., 2021).</w:t>
      </w:r>
    </w:p>
    <w:p w14:paraId="4195178F" w14:textId="39AA67BF"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t>Community Engagement and Responsible Tourism: Hilton's Social Impact</w:t>
      </w:r>
    </w:p>
    <w:p w14:paraId="0FB599BA"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Beyond internal transformations, Hilton actively engages with local communities, embodying the principles of stakeholder theory (Freeman, 1984). Their partnerships with local conservation organizations, as exemplified by the Destination Lifecycle Model (Morgan &amp; Reed, 2020), showcase Hilton's commitment to responsible tourism. These partnerships not only preserve local cultures and ecosystems but also create socio-economic opportunities, aligning with the United Nations’ Sustainable Development Goals (United Nations, 2023).</w:t>
      </w:r>
    </w:p>
    <w:p w14:paraId="44D720B4" w14:textId="0DBD401F"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t>Economic Impacts and Ethical Business Practices</w:t>
      </w:r>
    </w:p>
    <w:p w14:paraId="0C0E72B5" w14:textId="76CBD843" w:rsidR="000E0EAE" w:rsidRPr="00800D67"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Hilton’s economic footprint, </w:t>
      </w:r>
      <w:r w:rsidRPr="00800D67">
        <w:rPr>
          <w:rFonts w:ascii="Arial" w:hAnsi="Arial" w:cs="Arial"/>
          <w:kern w:val="2"/>
          <w:sz w:val="24"/>
          <w:szCs w:val="24"/>
          <w14:ligatures w14:val="standardContextual"/>
        </w:rPr>
        <w:t>analysed</w:t>
      </w:r>
      <w:r w:rsidRPr="000E0EAE">
        <w:rPr>
          <w:rFonts w:ascii="Arial" w:hAnsi="Arial" w:cs="Arial"/>
          <w:kern w:val="2"/>
          <w:sz w:val="24"/>
          <w:szCs w:val="24"/>
          <w14:ligatures w14:val="standardContextual"/>
        </w:rPr>
        <w:t xml:space="preserve"> through the Economic Impact Assessment framework (Weisbrod et al., 2000), highlights the profound influence of their operations on employment generation and GDP growth. Furthermore, Hilton's commitment to ethical sourcing, anti-corruption measures, and transparency in financial reporting underpins their responsible business practices, contributing to a sustainable global supply chain (Smith &amp; Andersen, 2018).</w:t>
      </w:r>
    </w:p>
    <w:p w14:paraId="14EC8770" w14:textId="5A8ABF6A"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b/>
          <w:bCs/>
          <w:kern w:val="2"/>
          <w:sz w:val="24"/>
          <w:szCs w:val="24"/>
          <w14:ligatures w14:val="standardContextual"/>
        </w:rPr>
        <w:t>Setting the Stage for Sustainable Excellence</w:t>
      </w:r>
    </w:p>
    <w:p w14:paraId="51148E81" w14:textId="77777777"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kern w:val="2"/>
          <w:sz w:val="24"/>
          <w:szCs w:val="24"/>
          <w14:ligatures w14:val="standardContextual"/>
        </w:rPr>
        <w:t>In the competitive landscape of hospitality, Hilton Hotel Group stands out as a beacon of sustainability. While many organizations implement green practices, Hilton's commitment goes beyond the ordinary. Their initiatives are not merely environmentally conscious but deeply rooted in a holistic understanding of sustainability, encompassing social, economic, and environmental dimensions.</w:t>
      </w:r>
    </w:p>
    <w:p w14:paraId="52358F7F" w14:textId="77777777" w:rsidR="00D46FD2" w:rsidRDefault="00D46FD2" w:rsidP="00D32587">
      <w:pPr>
        <w:spacing w:line="360" w:lineRule="auto"/>
        <w:jc w:val="both"/>
        <w:rPr>
          <w:rFonts w:ascii="Arial" w:hAnsi="Arial" w:cs="Arial"/>
          <w:b/>
          <w:bCs/>
          <w:kern w:val="2"/>
          <w:sz w:val="24"/>
          <w:szCs w:val="24"/>
          <w14:ligatures w14:val="standardContextual"/>
        </w:rPr>
      </w:pPr>
    </w:p>
    <w:p w14:paraId="1CABDB42" w14:textId="78A7A36D"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b/>
          <w:bCs/>
          <w:kern w:val="2"/>
          <w:sz w:val="24"/>
          <w:szCs w:val="24"/>
          <w14:ligatures w14:val="standardContextual"/>
        </w:rPr>
        <w:lastRenderedPageBreak/>
        <w:t>Hilton’s Differentiating Sustainability Strategies</w:t>
      </w:r>
    </w:p>
    <w:p w14:paraId="08073824" w14:textId="24018BA1"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i/>
          <w:iCs/>
          <w:kern w:val="2"/>
          <w:sz w:val="24"/>
          <w:szCs w:val="24"/>
          <w14:ligatures w14:val="standardContextual"/>
        </w:rPr>
        <w:t>Innovative Green Technologies:</w:t>
      </w:r>
      <w:r w:rsidRPr="00800D67">
        <w:rPr>
          <w:rFonts w:ascii="Arial" w:hAnsi="Arial" w:cs="Arial"/>
          <w:kern w:val="2"/>
          <w:sz w:val="24"/>
          <w:szCs w:val="24"/>
          <w14:ligatures w14:val="standardContextual"/>
        </w:rPr>
        <w:t xml:space="preserve"> Hilton leads the industry in adopting innovative green technologies such as energy-efficient HVAC systems and smart lighting solutions (Hilton Corporate Responsibility Report). This forward-thinking approach sets Hilton apart by significantly reducing their energy consumption and carbon footprint.</w:t>
      </w:r>
    </w:p>
    <w:p w14:paraId="1801634B" w14:textId="2964EB35"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i/>
          <w:iCs/>
          <w:kern w:val="2"/>
          <w:sz w:val="24"/>
          <w:szCs w:val="24"/>
          <w14:ligatures w14:val="standardContextual"/>
        </w:rPr>
        <w:t>Comprehensive Waste Management:</w:t>
      </w:r>
      <w:r w:rsidRPr="00800D67">
        <w:rPr>
          <w:rFonts w:ascii="Arial" w:hAnsi="Arial" w:cs="Arial"/>
          <w:kern w:val="2"/>
          <w:sz w:val="24"/>
          <w:szCs w:val="24"/>
          <w14:ligatures w14:val="standardContextual"/>
        </w:rPr>
        <w:t xml:space="preserve"> Hilton implements comprehensive waste management programs, ensuring that a significant portion of their waste is recycled or repurposed (Hilton Corporate Responsibility Report). This commitment to waste reduction is unparalleled in the industry and showcases Hilton’s dedication to environmental conservation.</w:t>
      </w:r>
    </w:p>
    <w:p w14:paraId="084B0027" w14:textId="283B7C6E"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i/>
          <w:iCs/>
          <w:kern w:val="2"/>
          <w:sz w:val="24"/>
          <w:szCs w:val="24"/>
          <w14:ligatures w14:val="standardContextual"/>
        </w:rPr>
        <w:t>Employee Empowerment and Training:</w:t>
      </w:r>
      <w:r w:rsidRPr="00800D67">
        <w:rPr>
          <w:rFonts w:ascii="Arial" w:hAnsi="Arial" w:cs="Arial"/>
          <w:kern w:val="2"/>
          <w:sz w:val="24"/>
          <w:szCs w:val="24"/>
          <w14:ligatures w14:val="standardContextual"/>
        </w:rPr>
        <w:t xml:space="preserve"> Unlike many competitors, Hilton invests significantly in employee training programs focused on sustainability. Through workshops and certifications, Hilton empowers its staff to actively contribute to the company’s sustainability goals (Hilton Corporate Responsibility Report). This emphasis on education fosters a culture of sustainability throughout the organization.</w:t>
      </w:r>
    </w:p>
    <w:p w14:paraId="40518BB8" w14:textId="064A4025"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b/>
          <w:bCs/>
          <w:kern w:val="2"/>
          <w:sz w:val="24"/>
          <w:szCs w:val="24"/>
          <w14:ligatures w14:val="standardContextual"/>
        </w:rPr>
        <w:t>Comparing Hilton's Practices with Industry Standards</w:t>
      </w:r>
    </w:p>
    <w:p w14:paraId="1369EA7D" w14:textId="2DB42011"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i/>
          <w:iCs/>
          <w:kern w:val="2"/>
          <w:sz w:val="24"/>
          <w:szCs w:val="24"/>
          <w14:ligatures w14:val="standardContextual"/>
        </w:rPr>
        <w:t>Industry-Wide Sustainability Benchmarks:</w:t>
      </w:r>
      <w:r w:rsidRPr="00800D67">
        <w:rPr>
          <w:rFonts w:ascii="Arial" w:hAnsi="Arial" w:cs="Arial"/>
          <w:kern w:val="2"/>
          <w:sz w:val="24"/>
          <w:szCs w:val="24"/>
          <w14:ligatures w14:val="standardContextual"/>
        </w:rPr>
        <w:t xml:space="preserve"> Hilton's sustainability practices surpass industry benchmarks, as evidenced by their recognition in leading sustainability indices such as the Dow Jones Sustainability Indices (DJSI) (Hilton Corporate Responsibility Report). This recognition underlines Hilton’s position as a trailblazer in sustainable hospitality.</w:t>
      </w:r>
    </w:p>
    <w:p w14:paraId="61556C50" w14:textId="25C02A24" w:rsidR="00800D67" w:rsidRPr="00800D67" w:rsidRDefault="00800D67" w:rsidP="00D32587">
      <w:pPr>
        <w:spacing w:line="360" w:lineRule="auto"/>
        <w:jc w:val="both"/>
        <w:rPr>
          <w:rFonts w:ascii="Arial" w:hAnsi="Arial" w:cs="Arial"/>
          <w:kern w:val="2"/>
          <w:sz w:val="24"/>
          <w:szCs w:val="24"/>
          <w14:ligatures w14:val="standardContextual"/>
        </w:rPr>
      </w:pPr>
      <w:r w:rsidRPr="00800D67">
        <w:rPr>
          <w:rFonts w:ascii="Arial" w:hAnsi="Arial" w:cs="Arial"/>
          <w:i/>
          <w:iCs/>
          <w:kern w:val="2"/>
          <w:sz w:val="24"/>
          <w:szCs w:val="24"/>
          <w14:ligatures w14:val="standardContextual"/>
        </w:rPr>
        <w:t>Competition Analysis:</w:t>
      </w:r>
      <w:r w:rsidRPr="00800D67">
        <w:rPr>
          <w:rFonts w:ascii="Arial" w:hAnsi="Arial" w:cs="Arial"/>
          <w:kern w:val="2"/>
          <w:sz w:val="24"/>
          <w:szCs w:val="24"/>
          <w14:ligatures w14:val="standardContextual"/>
        </w:rPr>
        <w:t xml:space="preserve"> Compared to competitors, Hilton's initiatives outshine others in areas such as community engagement and ethical sourcing. While some competitors may have isolated green initiatives, Hilton's holistic approach integrates sustainability into every aspect of their operations, creating a lasting impact on both local communities and the environment (Hilton Corporate Responsibility Report).</w:t>
      </w:r>
    </w:p>
    <w:p w14:paraId="149E1FF6" w14:textId="77777777" w:rsidR="00800D67" w:rsidRDefault="00800D67" w:rsidP="00D32587">
      <w:pPr>
        <w:spacing w:line="360" w:lineRule="auto"/>
        <w:jc w:val="both"/>
        <w:rPr>
          <w:rFonts w:ascii="Arial" w:hAnsi="Arial" w:cs="Arial"/>
          <w:kern w:val="2"/>
          <w:sz w:val="24"/>
          <w:szCs w:val="24"/>
          <w14:ligatures w14:val="standardContextual"/>
        </w:rPr>
      </w:pPr>
    </w:p>
    <w:p w14:paraId="40EBF3D9" w14:textId="77777777" w:rsidR="00800D67" w:rsidRDefault="00800D67" w:rsidP="00D32587">
      <w:pPr>
        <w:spacing w:line="360" w:lineRule="auto"/>
        <w:jc w:val="both"/>
        <w:rPr>
          <w:rFonts w:ascii="Arial" w:hAnsi="Arial" w:cs="Arial"/>
          <w:kern w:val="2"/>
          <w:sz w:val="24"/>
          <w:szCs w:val="24"/>
          <w14:ligatures w14:val="standardContextual"/>
        </w:rPr>
      </w:pPr>
    </w:p>
    <w:p w14:paraId="2F8F0589" w14:textId="77777777" w:rsidR="00800D67" w:rsidRDefault="00800D67" w:rsidP="00D32587">
      <w:pPr>
        <w:spacing w:line="360" w:lineRule="auto"/>
        <w:jc w:val="both"/>
        <w:rPr>
          <w:rFonts w:ascii="Arial" w:hAnsi="Arial" w:cs="Arial"/>
          <w:kern w:val="2"/>
          <w:sz w:val="24"/>
          <w:szCs w:val="24"/>
          <w14:ligatures w14:val="standardContextual"/>
        </w:rPr>
      </w:pPr>
    </w:p>
    <w:p w14:paraId="4EC6D062" w14:textId="77777777" w:rsidR="00800D67" w:rsidRPr="000E0EAE" w:rsidRDefault="00800D67" w:rsidP="00D32587">
      <w:pPr>
        <w:spacing w:line="360" w:lineRule="auto"/>
        <w:jc w:val="both"/>
        <w:rPr>
          <w:rFonts w:ascii="Arial" w:hAnsi="Arial" w:cs="Arial"/>
          <w:kern w:val="2"/>
          <w:sz w:val="24"/>
          <w:szCs w:val="24"/>
          <w14:ligatures w14:val="standardContextual"/>
        </w:rPr>
      </w:pPr>
    </w:p>
    <w:p w14:paraId="21535103" w14:textId="1827328D" w:rsidR="000E0EAE" w:rsidRPr="000E0EAE" w:rsidRDefault="00C31CDD" w:rsidP="00D46FD2">
      <w:pPr>
        <w:spacing w:line="360" w:lineRule="auto"/>
        <w:jc w:val="center"/>
        <w:rPr>
          <w:rFonts w:ascii="Arial" w:hAnsi="Arial" w:cs="Arial"/>
          <w:kern w:val="2"/>
          <w:sz w:val="24"/>
          <w:szCs w:val="24"/>
          <w14:ligatures w14:val="standardContextual"/>
        </w:rPr>
      </w:pPr>
      <w:r w:rsidRPr="00800D67">
        <w:rPr>
          <w:rFonts w:ascii="Arial" w:hAnsi="Arial" w:cs="Arial"/>
          <w:b/>
          <w:bCs/>
          <w:kern w:val="2"/>
          <w:sz w:val="24"/>
          <w:szCs w:val="24"/>
          <w14:ligatures w14:val="standardContextual"/>
        </w:rPr>
        <w:lastRenderedPageBreak/>
        <w:t>C</w:t>
      </w:r>
      <w:r w:rsidR="00400D8B">
        <w:rPr>
          <w:rFonts w:ascii="Arial" w:hAnsi="Arial" w:cs="Arial"/>
          <w:b/>
          <w:bCs/>
          <w:kern w:val="2"/>
          <w:sz w:val="24"/>
          <w:szCs w:val="24"/>
          <w14:ligatures w14:val="standardContextual"/>
        </w:rPr>
        <w:t>onclusion</w:t>
      </w:r>
    </w:p>
    <w:p w14:paraId="1457AFF7" w14:textId="14A5838D" w:rsid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Hilton Hotel Group's sustainable initiatives serve as a paradigm for the global hospitality industry. Their deeply ingrained cultural ethos, strategic vision, and adherence to theoretical frameworks have transformed them into pioneers of sustainable leadership. With a focus on community engagement, ethical business practices, and environmental conservation, Hilton has showcased the potential for harmonious coexistence between the hospitality industry and the environment. As the industry navigates the challenges of the 21st century, Hilton's sustainable odyssey stands as a testament to the transformative power of sustainable practices, urging others to follow suit in the pursuit of a greener and more responsible future.</w:t>
      </w:r>
      <w:r w:rsidR="00C31CDD" w:rsidRPr="00800D67">
        <w:rPr>
          <w:rFonts w:ascii="Arial" w:hAnsi="Arial" w:cs="Arial"/>
          <w:sz w:val="24"/>
          <w:szCs w:val="24"/>
        </w:rPr>
        <w:t xml:space="preserve"> </w:t>
      </w:r>
      <w:r w:rsidR="00C31CDD" w:rsidRPr="00C31CDD">
        <w:rPr>
          <w:rFonts w:ascii="Arial" w:hAnsi="Arial" w:cs="Arial"/>
          <w:kern w:val="2"/>
          <w:sz w:val="24"/>
          <w:szCs w:val="24"/>
          <w14:ligatures w14:val="standardContextual"/>
        </w:rPr>
        <w:t>Hilton Hotel Group’s circular economy initiatives form a nexus where the Triple Bottom Line and the Pillars of Sustainability converge. By integrating circular economy principles, Hilton not only reduces its environmental impact but also strengthens social bonds and ensures economic resilience. This holistic approach exemplifies the transformative power of circular economy practices, showcasing how they harmonize with the TBL and the Pillars of Sustainability. Hilton’s journey illustrates that circular economy isn't merely a concept but a practical pathway towards a sustainable future, where profits, people, and the planet coexist in a delicate balance.</w:t>
      </w:r>
      <w:r w:rsidR="00800D67">
        <w:rPr>
          <w:rFonts w:ascii="Arial" w:hAnsi="Arial" w:cs="Arial"/>
          <w:kern w:val="2"/>
          <w:sz w:val="24"/>
          <w:szCs w:val="24"/>
          <w14:ligatures w14:val="standardContextual"/>
        </w:rPr>
        <w:t xml:space="preserve"> </w:t>
      </w:r>
      <w:r w:rsidR="00800D67" w:rsidRPr="00C31CDD">
        <w:rPr>
          <w:rFonts w:ascii="Arial" w:hAnsi="Arial" w:cs="Arial"/>
          <w:kern w:val="2"/>
          <w:sz w:val="24"/>
          <w:szCs w:val="24"/>
          <w14:ligatures w14:val="standardContextual"/>
        </w:rPr>
        <w:t>Hilton Hotel Group’s circular economy initiatives form a nexus where the Triple Bottom Line and the Pillars of Sustainability converge. By integrating circular economy principles, Hilton not only reduces its environmental impact but also strengthens social bonds and ensures economic resilience. This holistic approach exemplifies the transformative power of circular economy practices, showcasing how they harmonize with the TBL and the Pillars of Sustainability. Hilton’s journey illustrates that circular economy isn't merely a concept but a practical pathway towards a sustainable future, where profits, people, and the planet coexist in a delicate balance</w:t>
      </w:r>
      <w:r w:rsidR="00800D67">
        <w:rPr>
          <w:rFonts w:ascii="Arial" w:hAnsi="Arial" w:cs="Arial"/>
          <w:kern w:val="2"/>
          <w:sz w:val="24"/>
          <w:szCs w:val="24"/>
          <w14:ligatures w14:val="standardContextual"/>
        </w:rPr>
        <w:t>.</w:t>
      </w:r>
    </w:p>
    <w:p w14:paraId="5B407FAE" w14:textId="77777777" w:rsidR="00800D67" w:rsidRDefault="00800D67" w:rsidP="00D32587">
      <w:pPr>
        <w:spacing w:line="360" w:lineRule="auto"/>
        <w:jc w:val="both"/>
        <w:rPr>
          <w:rFonts w:ascii="Arial" w:hAnsi="Arial" w:cs="Arial"/>
          <w:kern w:val="2"/>
          <w:sz w:val="24"/>
          <w:szCs w:val="24"/>
          <w14:ligatures w14:val="standardContextual"/>
        </w:rPr>
      </w:pPr>
    </w:p>
    <w:p w14:paraId="4545E332" w14:textId="77777777" w:rsidR="00800D67" w:rsidRDefault="00800D67" w:rsidP="00D32587">
      <w:pPr>
        <w:spacing w:line="360" w:lineRule="auto"/>
        <w:jc w:val="both"/>
        <w:rPr>
          <w:rFonts w:ascii="Arial" w:hAnsi="Arial" w:cs="Arial"/>
          <w:kern w:val="2"/>
          <w:sz w:val="24"/>
          <w:szCs w:val="24"/>
          <w14:ligatures w14:val="standardContextual"/>
        </w:rPr>
      </w:pPr>
    </w:p>
    <w:p w14:paraId="4E3F5ED2" w14:textId="77777777" w:rsidR="00800D67" w:rsidRDefault="00800D67" w:rsidP="00D32587">
      <w:pPr>
        <w:spacing w:line="360" w:lineRule="auto"/>
        <w:jc w:val="both"/>
        <w:rPr>
          <w:rFonts w:ascii="Arial" w:hAnsi="Arial" w:cs="Arial"/>
          <w:kern w:val="2"/>
          <w:sz w:val="24"/>
          <w:szCs w:val="24"/>
          <w14:ligatures w14:val="standardContextual"/>
        </w:rPr>
      </w:pPr>
    </w:p>
    <w:p w14:paraId="6AEE1F98" w14:textId="77777777" w:rsidR="00800D67" w:rsidRDefault="00800D67" w:rsidP="00D32587">
      <w:pPr>
        <w:spacing w:line="360" w:lineRule="auto"/>
        <w:jc w:val="both"/>
        <w:rPr>
          <w:rFonts w:ascii="Arial" w:hAnsi="Arial" w:cs="Arial"/>
          <w:kern w:val="2"/>
          <w:sz w:val="24"/>
          <w:szCs w:val="24"/>
          <w14:ligatures w14:val="standardContextual"/>
        </w:rPr>
      </w:pPr>
    </w:p>
    <w:p w14:paraId="1E160C8F" w14:textId="77777777" w:rsidR="00800D67" w:rsidRPr="000E0EAE" w:rsidRDefault="00800D67" w:rsidP="00D32587">
      <w:pPr>
        <w:spacing w:line="360" w:lineRule="auto"/>
        <w:jc w:val="both"/>
        <w:rPr>
          <w:rFonts w:ascii="Arial" w:hAnsi="Arial" w:cs="Arial"/>
          <w:kern w:val="2"/>
          <w:sz w:val="24"/>
          <w:szCs w:val="24"/>
          <w14:ligatures w14:val="standardContextual"/>
        </w:rPr>
      </w:pPr>
    </w:p>
    <w:p w14:paraId="26F73B49" w14:textId="6BCEE190" w:rsidR="000E0EAE" w:rsidRPr="000E0EAE" w:rsidRDefault="000E0EAE" w:rsidP="00D46FD2">
      <w:pPr>
        <w:spacing w:line="360" w:lineRule="auto"/>
        <w:jc w:val="center"/>
        <w:rPr>
          <w:rFonts w:ascii="Arial" w:hAnsi="Arial" w:cs="Arial"/>
          <w:kern w:val="2"/>
          <w:sz w:val="24"/>
          <w:szCs w:val="24"/>
          <w14:ligatures w14:val="standardContextual"/>
        </w:rPr>
      </w:pPr>
      <w:r w:rsidRPr="000E0EAE">
        <w:rPr>
          <w:rFonts w:ascii="Arial" w:hAnsi="Arial" w:cs="Arial"/>
          <w:b/>
          <w:bCs/>
          <w:kern w:val="2"/>
          <w:sz w:val="24"/>
          <w:szCs w:val="24"/>
          <w14:ligatures w14:val="standardContextual"/>
        </w:rPr>
        <w:lastRenderedPageBreak/>
        <w:t>References</w:t>
      </w:r>
    </w:p>
    <w:p w14:paraId="75AA2248"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Barney, J. (1991). Firm resources and sustained competitive advantage. Journal of Management, 17(1), 99-120.</w:t>
      </w:r>
    </w:p>
    <w:p w14:paraId="1AF20EEF"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Adams, R., &amp; White, A. (2022). Green Innovations in Hospitality: A Strategic Perspective. Journal of Sustainable Tourism, 30(5), 632-650.</w:t>
      </w:r>
    </w:p>
    <w:p w14:paraId="53339428"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Freeman, R. E. (1984). Strategic Management: A Stakeholder Approach. Boston: Pitman.</w:t>
      </w:r>
    </w:p>
    <w:p w14:paraId="7CC7983F"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Mintzberg, H. (1981). Organization design: fashion or fit? Harvard Business Review, 59(1), 103-116.</w:t>
      </w:r>
    </w:p>
    <w:p w14:paraId="1028A14D"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Lewin, K. (1947). Frontiers in Group Dynamics. Human Relations, 1(1), 5-41.</w:t>
      </w:r>
    </w:p>
    <w:p w14:paraId="01C0B68E"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Morgan, M., &amp; Reed, M. (2020). Destination Lifecycle Model: A Tool for Destination Management. Tourism Management, 81, 104142.</w:t>
      </w:r>
    </w:p>
    <w:p w14:paraId="5928262C"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United Nations. (2023). Transforming our world: the 2030 Agenda for Sustainable Development. New York: United Nations.</w:t>
      </w:r>
    </w:p>
    <w:p w14:paraId="744D55DA"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Smith, J., &amp; Andersen, K. (2018). Ethical Business Practices in Global Supply Chains. Journal of Business Ethics, 147(2), 321-332.</w:t>
      </w:r>
    </w:p>
    <w:p w14:paraId="4AF354C7"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Hilton Corporate Responsibility Report. Hilton. (n.d.). Corporate Responsibility. Retrieved from </w:t>
      </w:r>
      <w:hyperlink r:id="rId5" w:tgtFrame="_new" w:history="1">
        <w:r w:rsidRPr="000E0EAE">
          <w:rPr>
            <w:rStyle w:val="Hyperlink"/>
            <w:rFonts w:ascii="Arial" w:hAnsi="Arial" w:cs="Arial"/>
            <w:kern w:val="2"/>
            <w:sz w:val="24"/>
            <w:szCs w:val="24"/>
            <w14:ligatures w14:val="standardContextual"/>
          </w:rPr>
          <w:t>https://cr.hilton.com/</w:t>
        </w:r>
      </w:hyperlink>
    </w:p>
    <w:p w14:paraId="6F53707E" w14:textId="63F106AD" w:rsidR="00C31CDD"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United Nations Sustainable Development Goals. United Nations. (n.d.). Sustainable Development Goals. Retrieved from </w:t>
      </w:r>
      <w:hyperlink r:id="rId6" w:tgtFrame="_new" w:history="1">
        <w:r w:rsidRPr="000E0EAE">
          <w:rPr>
            <w:rStyle w:val="Hyperlink"/>
            <w:rFonts w:ascii="Arial" w:hAnsi="Arial" w:cs="Arial"/>
            <w:kern w:val="2"/>
            <w:sz w:val="24"/>
            <w:szCs w:val="24"/>
            <w14:ligatures w14:val="standardContextual"/>
          </w:rPr>
          <w:t>https://sdgs.un.org/goals</w:t>
        </w:r>
      </w:hyperlink>
    </w:p>
    <w:p w14:paraId="7AB2486F"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Tourism and Hospitality Sustainability Initiatives. World Tourism Organization. (n.d.). Tourism and Hospitality Sustainability. Retrieved from </w:t>
      </w:r>
      <w:hyperlink r:id="rId7" w:tgtFrame="_new" w:history="1">
        <w:r w:rsidRPr="000E0EAE">
          <w:rPr>
            <w:rStyle w:val="Hyperlink"/>
            <w:rFonts w:ascii="Arial" w:hAnsi="Arial" w:cs="Arial"/>
            <w:kern w:val="2"/>
            <w:sz w:val="24"/>
            <w:szCs w:val="24"/>
            <w14:ligatures w14:val="standardContextual"/>
          </w:rPr>
          <w:t>https://www.unwto.org/sustainable-development</w:t>
        </w:r>
      </w:hyperlink>
    </w:p>
    <w:p w14:paraId="2491B2DA" w14:textId="77777777" w:rsidR="000E0EAE" w:rsidRPr="000E0EAE"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Sustainable Tourism Best Practices. The International Ecotourism Society. (n.d.). Best Practices in Sustainable Tourism. Retrieved from </w:t>
      </w:r>
      <w:hyperlink r:id="rId8" w:tgtFrame="_new" w:history="1">
        <w:r w:rsidRPr="000E0EAE">
          <w:rPr>
            <w:rStyle w:val="Hyperlink"/>
            <w:rFonts w:ascii="Arial" w:hAnsi="Arial" w:cs="Arial"/>
            <w:kern w:val="2"/>
            <w:sz w:val="24"/>
            <w:szCs w:val="24"/>
            <w14:ligatures w14:val="standardContextual"/>
          </w:rPr>
          <w:t>https://www.ecotourism.org/what-is-ecotourism/best-practices</w:t>
        </w:r>
      </w:hyperlink>
    </w:p>
    <w:p w14:paraId="048717A9" w14:textId="77777777" w:rsidR="000E0EAE" w:rsidRPr="00800D67" w:rsidRDefault="000E0EAE" w:rsidP="00D32587">
      <w:pPr>
        <w:spacing w:line="360" w:lineRule="auto"/>
        <w:jc w:val="both"/>
        <w:rPr>
          <w:rFonts w:ascii="Arial" w:hAnsi="Arial" w:cs="Arial"/>
          <w:kern w:val="2"/>
          <w:sz w:val="24"/>
          <w:szCs w:val="24"/>
          <w14:ligatures w14:val="standardContextual"/>
        </w:rPr>
      </w:pPr>
      <w:r w:rsidRPr="000E0EAE">
        <w:rPr>
          <w:rFonts w:ascii="Arial" w:hAnsi="Arial" w:cs="Arial"/>
          <w:kern w:val="2"/>
          <w:sz w:val="24"/>
          <w:szCs w:val="24"/>
          <w14:ligatures w14:val="standardContextual"/>
        </w:rPr>
        <w:t xml:space="preserve">CSR Initiatives and Impact. CSR Europe. (n.d.). Corporate Social Responsibility Impact. Retrieved from </w:t>
      </w:r>
      <w:hyperlink r:id="rId9" w:tgtFrame="_new" w:history="1">
        <w:r w:rsidRPr="000E0EAE">
          <w:rPr>
            <w:rStyle w:val="Hyperlink"/>
            <w:rFonts w:ascii="Arial" w:hAnsi="Arial" w:cs="Arial"/>
            <w:kern w:val="2"/>
            <w:sz w:val="24"/>
            <w:szCs w:val="24"/>
            <w14:ligatures w14:val="standardContextual"/>
          </w:rPr>
          <w:t>https://www.csreurope.org/</w:t>
        </w:r>
      </w:hyperlink>
    </w:p>
    <w:p w14:paraId="52E85179" w14:textId="77777777" w:rsidR="00C31CDD" w:rsidRPr="00C31CDD" w:rsidRDefault="00C31CDD" w:rsidP="00D32587">
      <w:pPr>
        <w:spacing w:line="360" w:lineRule="auto"/>
        <w:jc w:val="both"/>
        <w:rPr>
          <w:rFonts w:ascii="Arial" w:hAnsi="Arial" w:cs="Arial"/>
          <w:sz w:val="24"/>
          <w:szCs w:val="24"/>
        </w:rPr>
      </w:pPr>
      <w:r w:rsidRPr="00C31CDD">
        <w:rPr>
          <w:rFonts w:ascii="Arial" w:hAnsi="Arial" w:cs="Arial"/>
          <w:sz w:val="24"/>
          <w:szCs w:val="24"/>
        </w:rPr>
        <w:lastRenderedPageBreak/>
        <w:t>Elkington, J. (1998). Cannibals with Forks: The Triple Bottom Line of 21st Century Business. New Society Publishers.</w:t>
      </w:r>
    </w:p>
    <w:p w14:paraId="358A6CA8" w14:textId="77777777" w:rsidR="00C31CDD" w:rsidRPr="00C31CDD" w:rsidRDefault="00C31CDD" w:rsidP="00D32587">
      <w:pPr>
        <w:spacing w:line="360" w:lineRule="auto"/>
        <w:jc w:val="both"/>
        <w:rPr>
          <w:rFonts w:ascii="Arial" w:hAnsi="Arial" w:cs="Arial"/>
          <w:sz w:val="24"/>
          <w:szCs w:val="24"/>
        </w:rPr>
      </w:pPr>
      <w:r w:rsidRPr="00C31CDD">
        <w:rPr>
          <w:rFonts w:ascii="Arial" w:hAnsi="Arial" w:cs="Arial"/>
          <w:sz w:val="24"/>
          <w:szCs w:val="24"/>
        </w:rPr>
        <w:t>Sachs, I. (2015). The Age of Sustainable Development. Columbia University Press.</w:t>
      </w:r>
    </w:p>
    <w:p w14:paraId="1A773529" w14:textId="77777777" w:rsidR="00C31CDD" w:rsidRPr="00C31CDD" w:rsidRDefault="00C31CDD" w:rsidP="00D32587">
      <w:pPr>
        <w:spacing w:line="360" w:lineRule="auto"/>
        <w:jc w:val="both"/>
        <w:rPr>
          <w:rFonts w:ascii="Arial" w:hAnsi="Arial" w:cs="Arial"/>
          <w:sz w:val="24"/>
          <w:szCs w:val="24"/>
        </w:rPr>
      </w:pPr>
      <w:r w:rsidRPr="00C31CDD">
        <w:rPr>
          <w:rFonts w:ascii="Arial" w:hAnsi="Arial" w:cs="Arial"/>
          <w:sz w:val="24"/>
          <w:szCs w:val="24"/>
        </w:rPr>
        <w:t xml:space="preserve">Kirchherr, J., </w:t>
      </w:r>
      <w:proofErr w:type="spellStart"/>
      <w:r w:rsidRPr="00C31CDD">
        <w:rPr>
          <w:rFonts w:ascii="Arial" w:hAnsi="Arial" w:cs="Arial"/>
          <w:sz w:val="24"/>
          <w:szCs w:val="24"/>
        </w:rPr>
        <w:t>Reike</w:t>
      </w:r>
      <w:proofErr w:type="spellEnd"/>
      <w:r w:rsidRPr="00C31CDD">
        <w:rPr>
          <w:rFonts w:ascii="Arial" w:hAnsi="Arial" w:cs="Arial"/>
          <w:sz w:val="24"/>
          <w:szCs w:val="24"/>
        </w:rPr>
        <w:t xml:space="preserve">, D., &amp; Hekkert, M. (2017). Conceptualizing the circular economy: An analysis of 114 definitions. </w:t>
      </w:r>
      <w:r w:rsidRPr="00C31CDD">
        <w:rPr>
          <w:rFonts w:ascii="Arial" w:hAnsi="Arial" w:cs="Arial"/>
          <w:i/>
          <w:iCs/>
          <w:sz w:val="24"/>
          <w:szCs w:val="24"/>
        </w:rPr>
        <w:t>Resources, Conservation and Recycling</w:t>
      </w:r>
      <w:r w:rsidRPr="00C31CDD">
        <w:rPr>
          <w:rFonts w:ascii="Arial" w:hAnsi="Arial" w:cs="Arial"/>
          <w:sz w:val="24"/>
          <w:szCs w:val="24"/>
        </w:rPr>
        <w:t>, 127, 221-232.</w:t>
      </w:r>
    </w:p>
    <w:p w14:paraId="6A3F2E59" w14:textId="77777777" w:rsidR="00C31CDD" w:rsidRPr="00800D67" w:rsidRDefault="00C31CDD" w:rsidP="00D32587">
      <w:pPr>
        <w:spacing w:line="360" w:lineRule="auto"/>
        <w:jc w:val="both"/>
        <w:rPr>
          <w:rFonts w:ascii="Arial" w:hAnsi="Arial" w:cs="Arial"/>
          <w:sz w:val="24"/>
          <w:szCs w:val="24"/>
        </w:rPr>
      </w:pPr>
      <w:proofErr w:type="spellStart"/>
      <w:r w:rsidRPr="00C31CDD">
        <w:rPr>
          <w:rFonts w:ascii="Arial" w:hAnsi="Arial" w:cs="Arial"/>
          <w:sz w:val="24"/>
          <w:szCs w:val="24"/>
        </w:rPr>
        <w:t>Schaltegger</w:t>
      </w:r>
      <w:proofErr w:type="spellEnd"/>
      <w:r w:rsidRPr="00C31CDD">
        <w:rPr>
          <w:rFonts w:ascii="Arial" w:hAnsi="Arial" w:cs="Arial"/>
          <w:sz w:val="24"/>
          <w:szCs w:val="24"/>
        </w:rPr>
        <w:t xml:space="preserve">, S., &amp; Burritt, R. (2018). Contemporary Environmental Accounting: Issues, Concepts and Practice. </w:t>
      </w:r>
      <w:r w:rsidRPr="00C31CDD">
        <w:rPr>
          <w:rFonts w:ascii="Arial" w:hAnsi="Arial" w:cs="Arial"/>
          <w:i/>
          <w:iCs/>
          <w:sz w:val="24"/>
          <w:szCs w:val="24"/>
        </w:rPr>
        <w:t>Sustainability Accounting, Management and Policy Journal</w:t>
      </w:r>
      <w:r w:rsidRPr="00C31CDD">
        <w:rPr>
          <w:rFonts w:ascii="Arial" w:hAnsi="Arial" w:cs="Arial"/>
          <w:sz w:val="24"/>
          <w:szCs w:val="24"/>
        </w:rPr>
        <w:t xml:space="preserve">, 9(4), </w:t>
      </w:r>
    </w:p>
    <w:p w14:paraId="7557C88D" w14:textId="77777777" w:rsidR="00800D67" w:rsidRPr="00C31CDD" w:rsidRDefault="00800D67" w:rsidP="00D32587">
      <w:pPr>
        <w:spacing w:line="360" w:lineRule="auto"/>
        <w:jc w:val="both"/>
        <w:rPr>
          <w:rFonts w:ascii="Arial" w:hAnsi="Arial" w:cs="Arial"/>
          <w:sz w:val="24"/>
          <w:szCs w:val="24"/>
        </w:rPr>
      </w:pPr>
      <w:r w:rsidRPr="00C31CDD">
        <w:rPr>
          <w:rFonts w:ascii="Arial" w:hAnsi="Arial" w:cs="Arial"/>
          <w:sz w:val="24"/>
          <w:szCs w:val="24"/>
        </w:rPr>
        <w:t xml:space="preserve">Hilton Corporate Responsibility Report. (n.d.). Retrieved from </w:t>
      </w:r>
      <w:hyperlink r:id="rId10" w:tgtFrame="_new" w:history="1">
        <w:r w:rsidRPr="00C31CDD">
          <w:rPr>
            <w:rStyle w:val="Hyperlink"/>
            <w:rFonts w:ascii="Arial" w:hAnsi="Arial" w:cs="Arial"/>
            <w:sz w:val="24"/>
            <w:szCs w:val="24"/>
          </w:rPr>
          <w:t>https://cr.hilton.com/</w:t>
        </w:r>
      </w:hyperlink>
    </w:p>
    <w:p w14:paraId="43B5CAB3" w14:textId="77777777" w:rsidR="00800D67" w:rsidRPr="00C31CDD" w:rsidRDefault="00800D67" w:rsidP="00D32587">
      <w:pPr>
        <w:spacing w:line="360" w:lineRule="auto"/>
        <w:jc w:val="both"/>
        <w:rPr>
          <w:rFonts w:ascii="Arial" w:hAnsi="Arial" w:cs="Arial"/>
          <w:sz w:val="24"/>
          <w:szCs w:val="24"/>
        </w:rPr>
      </w:pPr>
      <w:r w:rsidRPr="00C31CDD">
        <w:rPr>
          <w:rFonts w:ascii="Arial" w:hAnsi="Arial" w:cs="Arial"/>
          <w:sz w:val="24"/>
          <w:szCs w:val="24"/>
        </w:rPr>
        <w:t xml:space="preserve">Dow Jones Sustainability Indices. (n.d.). Retrieved from </w:t>
      </w:r>
      <w:hyperlink r:id="rId11" w:tgtFrame="_new" w:history="1">
        <w:r w:rsidRPr="00C31CDD">
          <w:rPr>
            <w:rStyle w:val="Hyperlink"/>
            <w:rFonts w:ascii="Arial" w:hAnsi="Arial" w:cs="Arial"/>
            <w:sz w:val="24"/>
            <w:szCs w:val="24"/>
          </w:rPr>
          <w:t>https://www.spglobal.com/esg/csa/indices/djsi-index-family</w:t>
        </w:r>
      </w:hyperlink>
    </w:p>
    <w:p w14:paraId="302E0A12" w14:textId="77777777" w:rsidR="00800D67" w:rsidRPr="00C31CDD" w:rsidRDefault="00800D67" w:rsidP="00D32587">
      <w:pPr>
        <w:spacing w:line="360" w:lineRule="auto"/>
        <w:jc w:val="both"/>
        <w:rPr>
          <w:rFonts w:ascii="Arial" w:hAnsi="Arial" w:cs="Arial"/>
          <w:sz w:val="24"/>
          <w:szCs w:val="24"/>
        </w:rPr>
      </w:pPr>
      <w:r w:rsidRPr="00C31CDD">
        <w:rPr>
          <w:rFonts w:ascii="Arial" w:hAnsi="Arial" w:cs="Arial"/>
          <w:sz w:val="24"/>
          <w:szCs w:val="24"/>
        </w:rPr>
        <w:t>King, D. (2016). Corporate Social Responsibility and Sustainable Development: Social Capital and Corporate Governance in the Developing World. Edward Elgar Publishing.</w:t>
      </w:r>
    </w:p>
    <w:p w14:paraId="71453498" w14:textId="77777777" w:rsidR="00800D67" w:rsidRPr="00C31CDD" w:rsidRDefault="00800D67" w:rsidP="00D32587">
      <w:pPr>
        <w:spacing w:line="360" w:lineRule="auto"/>
        <w:jc w:val="both"/>
        <w:rPr>
          <w:rFonts w:ascii="Arial" w:hAnsi="Arial" w:cs="Arial"/>
          <w:sz w:val="24"/>
          <w:szCs w:val="24"/>
        </w:rPr>
      </w:pPr>
      <w:r w:rsidRPr="00C31CDD">
        <w:rPr>
          <w:rFonts w:ascii="Arial" w:hAnsi="Arial" w:cs="Arial"/>
          <w:sz w:val="24"/>
          <w:szCs w:val="24"/>
        </w:rPr>
        <w:t>Weaver, D. B. (2014). Sustainable Tourism: Theory and Practice. Routledge.</w:t>
      </w:r>
    </w:p>
    <w:p w14:paraId="535DF467" w14:textId="2CFAB1B4" w:rsidR="00C31CDD" w:rsidRPr="00C31CDD" w:rsidRDefault="00800D67" w:rsidP="00D32587">
      <w:pPr>
        <w:spacing w:line="360" w:lineRule="auto"/>
        <w:jc w:val="both"/>
        <w:rPr>
          <w:rFonts w:ascii="Arial" w:hAnsi="Arial" w:cs="Arial"/>
          <w:sz w:val="24"/>
          <w:szCs w:val="24"/>
        </w:rPr>
      </w:pPr>
      <w:r w:rsidRPr="00C31CDD">
        <w:rPr>
          <w:rFonts w:ascii="Arial" w:hAnsi="Arial" w:cs="Arial"/>
          <w:sz w:val="24"/>
          <w:szCs w:val="24"/>
        </w:rPr>
        <w:t>Bramwell, B., &amp; Lane, B. (Eds.). (2011). Tourism and Sustainable Community Development. Routledge.</w:t>
      </w:r>
    </w:p>
    <w:p w14:paraId="07E92DCA" w14:textId="1D7D1DE8" w:rsidR="00C31CDD" w:rsidRPr="00800D67" w:rsidRDefault="00C31CDD" w:rsidP="00D32587">
      <w:pPr>
        <w:spacing w:line="360" w:lineRule="auto"/>
        <w:jc w:val="both"/>
        <w:rPr>
          <w:rFonts w:ascii="Arial" w:hAnsi="Arial" w:cs="Arial"/>
          <w:sz w:val="24"/>
          <w:szCs w:val="24"/>
        </w:rPr>
      </w:pPr>
      <w:bookmarkStart w:id="0" w:name="_Hlk148398273"/>
      <w:r w:rsidRPr="00C31CDD">
        <w:rPr>
          <w:rFonts w:ascii="Arial" w:hAnsi="Arial" w:cs="Arial"/>
          <w:sz w:val="24"/>
          <w:szCs w:val="24"/>
        </w:rPr>
        <w:t xml:space="preserve">Hilton Corporate Responsibility Report. (n.d.). Retrieved from </w:t>
      </w:r>
      <w:hyperlink r:id="rId12" w:tgtFrame="_new" w:history="1">
        <w:r w:rsidRPr="00C31CDD">
          <w:rPr>
            <w:rStyle w:val="Hyperlink"/>
            <w:rFonts w:ascii="Arial" w:hAnsi="Arial" w:cs="Arial"/>
            <w:sz w:val="24"/>
            <w:szCs w:val="24"/>
          </w:rPr>
          <w:t>https://cr.hilton.com/</w:t>
        </w:r>
      </w:hyperlink>
      <w:bookmarkEnd w:id="0"/>
    </w:p>
    <w:sectPr w:rsidR="00C31CDD" w:rsidRPr="00800D67" w:rsidSect="001B6905">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F5819"/>
    <w:multiLevelType w:val="multilevel"/>
    <w:tmpl w:val="07F802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416CD4"/>
    <w:multiLevelType w:val="multilevel"/>
    <w:tmpl w:val="7C762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BA5742"/>
    <w:multiLevelType w:val="multilevel"/>
    <w:tmpl w:val="86EA35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2879FC"/>
    <w:multiLevelType w:val="multilevel"/>
    <w:tmpl w:val="FBA6A3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A66498"/>
    <w:multiLevelType w:val="multilevel"/>
    <w:tmpl w:val="ED28A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B509C9"/>
    <w:multiLevelType w:val="multilevel"/>
    <w:tmpl w:val="2ABA9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4546504">
    <w:abstractNumId w:val="3"/>
  </w:num>
  <w:num w:numId="2" w16cid:durableId="1912079641">
    <w:abstractNumId w:val="0"/>
  </w:num>
  <w:num w:numId="3" w16cid:durableId="80027409">
    <w:abstractNumId w:val="4"/>
  </w:num>
  <w:num w:numId="4" w16cid:durableId="1065571151">
    <w:abstractNumId w:val="5"/>
  </w:num>
  <w:num w:numId="5" w16cid:durableId="1786660103">
    <w:abstractNumId w:val="2"/>
  </w:num>
  <w:num w:numId="6" w16cid:durableId="744717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905"/>
    <w:rsid w:val="000835BC"/>
    <w:rsid w:val="000E0EAE"/>
    <w:rsid w:val="001B6905"/>
    <w:rsid w:val="001D242D"/>
    <w:rsid w:val="00240B52"/>
    <w:rsid w:val="00282361"/>
    <w:rsid w:val="002E0488"/>
    <w:rsid w:val="00312BC3"/>
    <w:rsid w:val="00400D8B"/>
    <w:rsid w:val="0053599F"/>
    <w:rsid w:val="00581E74"/>
    <w:rsid w:val="007E35E9"/>
    <w:rsid w:val="00800D67"/>
    <w:rsid w:val="00821D05"/>
    <w:rsid w:val="00945CA7"/>
    <w:rsid w:val="00AF0A66"/>
    <w:rsid w:val="00B02CD8"/>
    <w:rsid w:val="00C31CDD"/>
    <w:rsid w:val="00D32587"/>
    <w:rsid w:val="00D46FD2"/>
    <w:rsid w:val="00F46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A00E0"/>
  <w15:chartTrackingRefBased/>
  <w15:docId w15:val="{5C3A504C-B67B-415B-81F6-0F2D6B872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905"/>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6905"/>
    <w:rPr>
      <w:color w:val="0563C1" w:themeColor="hyperlink"/>
      <w:u w:val="single"/>
    </w:rPr>
  </w:style>
  <w:style w:type="character" w:styleId="UnresolvedMention">
    <w:name w:val="Unresolved Mention"/>
    <w:basedOn w:val="DefaultParagraphFont"/>
    <w:uiPriority w:val="99"/>
    <w:semiHidden/>
    <w:unhideWhenUsed/>
    <w:rsid w:val="001B6905"/>
    <w:rPr>
      <w:color w:val="605E5C"/>
      <w:shd w:val="clear" w:color="auto" w:fill="E1DFDD"/>
    </w:rPr>
  </w:style>
  <w:style w:type="character" w:styleId="FollowedHyperlink">
    <w:name w:val="FollowedHyperlink"/>
    <w:basedOn w:val="DefaultParagraphFont"/>
    <w:uiPriority w:val="99"/>
    <w:semiHidden/>
    <w:unhideWhenUsed/>
    <w:rsid w:val="001B69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160189">
      <w:bodyDiv w:val="1"/>
      <w:marLeft w:val="0"/>
      <w:marRight w:val="0"/>
      <w:marTop w:val="0"/>
      <w:marBottom w:val="0"/>
      <w:divBdr>
        <w:top w:val="none" w:sz="0" w:space="0" w:color="auto"/>
        <w:left w:val="none" w:sz="0" w:space="0" w:color="auto"/>
        <w:bottom w:val="none" w:sz="0" w:space="0" w:color="auto"/>
        <w:right w:val="none" w:sz="0" w:space="0" w:color="auto"/>
      </w:divBdr>
      <w:divsChild>
        <w:div w:id="938097149">
          <w:marLeft w:val="0"/>
          <w:marRight w:val="0"/>
          <w:marTop w:val="0"/>
          <w:marBottom w:val="0"/>
          <w:divBdr>
            <w:top w:val="single" w:sz="2" w:space="0" w:color="auto"/>
            <w:left w:val="single" w:sz="2" w:space="0" w:color="auto"/>
            <w:bottom w:val="single" w:sz="6" w:space="0" w:color="auto"/>
            <w:right w:val="single" w:sz="2" w:space="0" w:color="auto"/>
          </w:divBdr>
          <w:divsChild>
            <w:div w:id="902715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083380218">
                  <w:marLeft w:val="0"/>
                  <w:marRight w:val="0"/>
                  <w:marTop w:val="0"/>
                  <w:marBottom w:val="0"/>
                  <w:divBdr>
                    <w:top w:val="single" w:sz="2" w:space="0" w:color="D9D9E3"/>
                    <w:left w:val="single" w:sz="2" w:space="0" w:color="D9D9E3"/>
                    <w:bottom w:val="single" w:sz="2" w:space="0" w:color="D9D9E3"/>
                    <w:right w:val="single" w:sz="2" w:space="0" w:color="D9D9E3"/>
                  </w:divBdr>
                  <w:divsChild>
                    <w:div w:id="20086054">
                      <w:marLeft w:val="0"/>
                      <w:marRight w:val="0"/>
                      <w:marTop w:val="0"/>
                      <w:marBottom w:val="0"/>
                      <w:divBdr>
                        <w:top w:val="single" w:sz="2" w:space="0" w:color="D9D9E3"/>
                        <w:left w:val="single" w:sz="2" w:space="0" w:color="D9D9E3"/>
                        <w:bottom w:val="single" w:sz="2" w:space="0" w:color="D9D9E3"/>
                        <w:right w:val="single" w:sz="2" w:space="0" w:color="D9D9E3"/>
                      </w:divBdr>
                      <w:divsChild>
                        <w:div w:id="1631126655">
                          <w:marLeft w:val="0"/>
                          <w:marRight w:val="0"/>
                          <w:marTop w:val="0"/>
                          <w:marBottom w:val="0"/>
                          <w:divBdr>
                            <w:top w:val="single" w:sz="2" w:space="0" w:color="D9D9E3"/>
                            <w:left w:val="single" w:sz="2" w:space="0" w:color="D9D9E3"/>
                            <w:bottom w:val="single" w:sz="2" w:space="0" w:color="D9D9E3"/>
                            <w:right w:val="single" w:sz="2" w:space="0" w:color="D9D9E3"/>
                          </w:divBdr>
                          <w:divsChild>
                            <w:div w:id="391469822">
                              <w:marLeft w:val="0"/>
                              <w:marRight w:val="0"/>
                              <w:marTop w:val="0"/>
                              <w:marBottom w:val="0"/>
                              <w:divBdr>
                                <w:top w:val="single" w:sz="2" w:space="0" w:color="D9D9E3"/>
                                <w:left w:val="single" w:sz="2" w:space="0" w:color="D9D9E3"/>
                                <w:bottom w:val="single" w:sz="2" w:space="0" w:color="D9D9E3"/>
                                <w:right w:val="single" w:sz="2" w:space="0" w:color="D9D9E3"/>
                              </w:divBdr>
                              <w:divsChild>
                                <w:div w:id="615647156">
                                  <w:marLeft w:val="0"/>
                                  <w:marRight w:val="0"/>
                                  <w:marTop w:val="0"/>
                                  <w:marBottom w:val="0"/>
                                  <w:divBdr>
                                    <w:top w:val="single" w:sz="2" w:space="0" w:color="D9D9E3"/>
                                    <w:left w:val="single" w:sz="2" w:space="0" w:color="D9D9E3"/>
                                    <w:bottom w:val="single" w:sz="2" w:space="0" w:color="D9D9E3"/>
                                    <w:right w:val="single" w:sz="2" w:space="0" w:color="D9D9E3"/>
                                  </w:divBdr>
                                  <w:divsChild>
                                    <w:div w:id="2061594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08758667">
          <w:marLeft w:val="0"/>
          <w:marRight w:val="0"/>
          <w:marTop w:val="0"/>
          <w:marBottom w:val="0"/>
          <w:divBdr>
            <w:top w:val="single" w:sz="2" w:space="0" w:color="auto"/>
            <w:left w:val="single" w:sz="2" w:space="0" w:color="auto"/>
            <w:bottom w:val="single" w:sz="6" w:space="0" w:color="auto"/>
            <w:right w:val="single" w:sz="2" w:space="0" w:color="auto"/>
          </w:divBdr>
          <w:divsChild>
            <w:div w:id="1886716367">
              <w:marLeft w:val="0"/>
              <w:marRight w:val="0"/>
              <w:marTop w:val="100"/>
              <w:marBottom w:val="100"/>
              <w:divBdr>
                <w:top w:val="single" w:sz="2" w:space="0" w:color="D9D9E3"/>
                <w:left w:val="single" w:sz="2" w:space="0" w:color="D9D9E3"/>
                <w:bottom w:val="single" w:sz="2" w:space="0" w:color="D9D9E3"/>
                <w:right w:val="single" w:sz="2" w:space="0" w:color="D9D9E3"/>
              </w:divBdr>
              <w:divsChild>
                <w:div w:id="1266841184">
                  <w:marLeft w:val="0"/>
                  <w:marRight w:val="0"/>
                  <w:marTop w:val="0"/>
                  <w:marBottom w:val="0"/>
                  <w:divBdr>
                    <w:top w:val="single" w:sz="2" w:space="0" w:color="D9D9E3"/>
                    <w:left w:val="single" w:sz="2" w:space="0" w:color="D9D9E3"/>
                    <w:bottom w:val="single" w:sz="2" w:space="0" w:color="D9D9E3"/>
                    <w:right w:val="single" w:sz="2" w:space="0" w:color="D9D9E3"/>
                  </w:divBdr>
                  <w:divsChild>
                    <w:div w:id="196159347">
                      <w:marLeft w:val="0"/>
                      <w:marRight w:val="0"/>
                      <w:marTop w:val="0"/>
                      <w:marBottom w:val="0"/>
                      <w:divBdr>
                        <w:top w:val="single" w:sz="2" w:space="0" w:color="D9D9E3"/>
                        <w:left w:val="single" w:sz="2" w:space="0" w:color="D9D9E3"/>
                        <w:bottom w:val="single" w:sz="2" w:space="0" w:color="D9D9E3"/>
                        <w:right w:val="single" w:sz="2" w:space="0" w:color="D9D9E3"/>
                      </w:divBdr>
                      <w:divsChild>
                        <w:div w:id="1706249662">
                          <w:marLeft w:val="0"/>
                          <w:marRight w:val="0"/>
                          <w:marTop w:val="0"/>
                          <w:marBottom w:val="0"/>
                          <w:divBdr>
                            <w:top w:val="single" w:sz="2" w:space="0" w:color="D9D9E3"/>
                            <w:left w:val="single" w:sz="2" w:space="0" w:color="D9D9E3"/>
                            <w:bottom w:val="single" w:sz="2" w:space="0" w:color="D9D9E3"/>
                            <w:right w:val="single" w:sz="2" w:space="0" w:color="D9D9E3"/>
                          </w:divBdr>
                          <w:divsChild>
                            <w:div w:id="9194892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8707911">
                      <w:marLeft w:val="0"/>
                      <w:marRight w:val="0"/>
                      <w:marTop w:val="0"/>
                      <w:marBottom w:val="0"/>
                      <w:divBdr>
                        <w:top w:val="single" w:sz="2" w:space="0" w:color="D9D9E3"/>
                        <w:left w:val="single" w:sz="2" w:space="0" w:color="D9D9E3"/>
                        <w:bottom w:val="single" w:sz="2" w:space="0" w:color="D9D9E3"/>
                        <w:right w:val="single" w:sz="2" w:space="0" w:color="D9D9E3"/>
                      </w:divBdr>
                      <w:divsChild>
                        <w:div w:id="421149253">
                          <w:marLeft w:val="0"/>
                          <w:marRight w:val="0"/>
                          <w:marTop w:val="0"/>
                          <w:marBottom w:val="0"/>
                          <w:divBdr>
                            <w:top w:val="single" w:sz="2" w:space="0" w:color="D9D9E3"/>
                            <w:left w:val="single" w:sz="2" w:space="0" w:color="D9D9E3"/>
                            <w:bottom w:val="single" w:sz="2" w:space="0" w:color="D9D9E3"/>
                            <w:right w:val="single" w:sz="2" w:space="0" w:color="D9D9E3"/>
                          </w:divBdr>
                          <w:divsChild>
                            <w:div w:id="2001350149">
                              <w:marLeft w:val="0"/>
                              <w:marRight w:val="0"/>
                              <w:marTop w:val="0"/>
                              <w:marBottom w:val="0"/>
                              <w:divBdr>
                                <w:top w:val="single" w:sz="2" w:space="0" w:color="D9D9E3"/>
                                <w:left w:val="single" w:sz="2" w:space="0" w:color="D9D9E3"/>
                                <w:bottom w:val="single" w:sz="2" w:space="0" w:color="D9D9E3"/>
                                <w:right w:val="single" w:sz="2" w:space="0" w:color="D9D9E3"/>
                              </w:divBdr>
                              <w:divsChild>
                                <w:div w:id="1249003351">
                                  <w:marLeft w:val="0"/>
                                  <w:marRight w:val="0"/>
                                  <w:marTop w:val="0"/>
                                  <w:marBottom w:val="0"/>
                                  <w:divBdr>
                                    <w:top w:val="single" w:sz="2" w:space="0" w:color="D9D9E3"/>
                                    <w:left w:val="single" w:sz="2" w:space="0" w:color="D9D9E3"/>
                                    <w:bottom w:val="single" w:sz="2" w:space="0" w:color="D9D9E3"/>
                                    <w:right w:val="single" w:sz="2" w:space="0" w:color="D9D9E3"/>
                                  </w:divBdr>
                                  <w:divsChild>
                                    <w:div w:id="140655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44364405">
          <w:marLeft w:val="0"/>
          <w:marRight w:val="0"/>
          <w:marTop w:val="0"/>
          <w:marBottom w:val="0"/>
          <w:divBdr>
            <w:top w:val="single" w:sz="2" w:space="0" w:color="auto"/>
            <w:left w:val="single" w:sz="2" w:space="0" w:color="auto"/>
            <w:bottom w:val="single" w:sz="6" w:space="0" w:color="auto"/>
            <w:right w:val="single" w:sz="2" w:space="0" w:color="auto"/>
          </w:divBdr>
          <w:divsChild>
            <w:div w:id="1755589521">
              <w:marLeft w:val="0"/>
              <w:marRight w:val="0"/>
              <w:marTop w:val="100"/>
              <w:marBottom w:val="100"/>
              <w:divBdr>
                <w:top w:val="single" w:sz="2" w:space="0" w:color="D9D9E3"/>
                <w:left w:val="single" w:sz="2" w:space="0" w:color="D9D9E3"/>
                <w:bottom w:val="single" w:sz="2" w:space="0" w:color="D9D9E3"/>
                <w:right w:val="single" w:sz="2" w:space="0" w:color="D9D9E3"/>
              </w:divBdr>
              <w:divsChild>
                <w:div w:id="825315877">
                  <w:marLeft w:val="0"/>
                  <w:marRight w:val="0"/>
                  <w:marTop w:val="0"/>
                  <w:marBottom w:val="0"/>
                  <w:divBdr>
                    <w:top w:val="single" w:sz="2" w:space="0" w:color="D9D9E3"/>
                    <w:left w:val="single" w:sz="2" w:space="0" w:color="D9D9E3"/>
                    <w:bottom w:val="single" w:sz="2" w:space="0" w:color="D9D9E3"/>
                    <w:right w:val="single" w:sz="2" w:space="0" w:color="D9D9E3"/>
                  </w:divBdr>
                  <w:divsChild>
                    <w:div w:id="2083403702">
                      <w:marLeft w:val="0"/>
                      <w:marRight w:val="0"/>
                      <w:marTop w:val="0"/>
                      <w:marBottom w:val="0"/>
                      <w:divBdr>
                        <w:top w:val="single" w:sz="2" w:space="0" w:color="D9D9E3"/>
                        <w:left w:val="single" w:sz="2" w:space="0" w:color="D9D9E3"/>
                        <w:bottom w:val="single" w:sz="2" w:space="0" w:color="D9D9E3"/>
                        <w:right w:val="single" w:sz="2" w:space="0" w:color="D9D9E3"/>
                      </w:divBdr>
                      <w:divsChild>
                        <w:div w:id="750201332">
                          <w:marLeft w:val="0"/>
                          <w:marRight w:val="0"/>
                          <w:marTop w:val="0"/>
                          <w:marBottom w:val="0"/>
                          <w:divBdr>
                            <w:top w:val="single" w:sz="2" w:space="0" w:color="D9D9E3"/>
                            <w:left w:val="single" w:sz="2" w:space="0" w:color="D9D9E3"/>
                            <w:bottom w:val="single" w:sz="2" w:space="0" w:color="D9D9E3"/>
                            <w:right w:val="single" w:sz="2" w:space="0" w:color="D9D9E3"/>
                          </w:divBdr>
                          <w:divsChild>
                            <w:div w:id="1982884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2603809">
                      <w:marLeft w:val="0"/>
                      <w:marRight w:val="0"/>
                      <w:marTop w:val="0"/>
                      <w:marBottom w:val="0"/>
                      <w:divBdr>
                        <w:top w:val="single" w:sz="2" w:space="0" w:color="D9D9E3"/>
                        <w:left w:val="single" w:sz="2" w:space="0" w:color="D9D9E3"/>
                        <w:bottom w:val="single" w:sz="2" w:space="0" w:color="D9D9E3"/>
                        <w:right w:val="single" w:sz="2" w:space="0" w:color="D9D9E3"/>
                      </w:divBdr>
                      <w:divsChild>
                        <w:div w:id="1898347484">
                          <w:marLeft w:val="0"/>
                          <w:marRight w:val="0"/>
                          <w:marTop w:val="0"/>
                          <w:marBottom w:val="0"/>
                          <w:divBdr>
                            <w:top w:val="single" w:sz="2" w:space="0" w:color="D9D9E3"/>
                            <w:left w:val="single" w:sz="2" w:space="0" w:color="D9D9E3"/>
                            <w:bottom w:val="single" w:sz="2" w:space="0" w:color="D9D9E3"/>
                            <w:right w:val="single" w:sz="2" w:space="0" w:color="D9D9E3"/>
                          </w:divBdr>
                          <w:divsChild>
                            <w:div w:id="1320159502">
                              <w:marLeft w:val="0"/>
                              <w:marRight w:val="0"/>
                              <w:marTop w:val="0"/>
                              <w:marBottom w:val="0"/>
                              <w:divBdr>
                                <w:top w:val="single" w:sz="2" w:space="0" w:color="D9D9E3"/>
                                <w:left w:val="single" w:sz="2" w:space="0" w:color="D9D9E3"/>
                                <w:bottom w:val="single" w:sz="2" w:space="0" w:color="D9D9E3"/>
                                <w:right w:val="single" w:sz="2" w:space="0" w:color="D9D9E3"/>
                              </w:divBdr>
                              <w:divsChild>
                                <w:div w:id="369764423">
                                  <w:marLeft w:val="0"/>
                                  <w:marRight w:val="0"/>
                                  <w:marTop w:val="0"/>
                                  <w:marBottom w:val="0"/>
                                  <w:divBdr>
                                    <w:top w:val="single" w:sz="2" w:space="0" w:color="D9D9E3"/>
                                    <w:left w:val="single" w:sz="2" w:space="0" w:color="D9D9E3"/>
                                    <w:bottom w:val="single" w:sz="2" w:space="0" w:color="D9D9E3"/>
                                    <w:right w:val="single" w:sz="2" w:space="0" w:color="D9D9E3"/>
                                  </w:divBdr>
                                  <w:divsChild>
                                    <w:div w:id="9198011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7192564">
      <w:bodyDiv w:val="1"/>
      <w:marLeft w:val="0"/>
      <w:marRight w:val="0"/>
      <w:marTop w:val="0"/>
      <w:marBottom w:val="0"/>
      <w:divBdr>
        <w:top w:val="none" w:sz="0" w:space="0" w:color="auto"/>
        <w:left w:val="none" w:sz="0" w:space="0" w:color="auto"/>
        <w:bottom w:val="none" w:sz="0" w:space="0" w:color="auto"/>
        <w:right w:val="none" w:sz="0" w:space="0" w:color="auto"/>
      </w:divBdr>
      <w:divsChild>
        <w:div w:id="569922275">
          <w:marLeft w:val="0"/>
          <w:marRight w:val="0"/>
          <w:marTop w:val="0"/>
          <w:marBottom w:val="0"/>
          <w:divBdr>
            <w:top w:val="single" w:sz="2" w:space="0" w:color="D9D9E3"/>
            <w:left w:val="single" w:sz="2" w:space="0" w:color="D9D9E3"/>
            <w:bottom w:val="single" w:sz="2" w:space="0" w:color="D9D9E3"/>
            <w:right w:val="single" w:sz="2" w:space="0" w:color="D9D9E3"/>
          </w:divBdr>
          <w:divsChild>
            <w:div w:id="1992785002">
              <w:marLeft w:val="0"/>
              <w:marRight w:val="0"/>
              <w:marTop w:val="0"/>
              <w:marBottom w:val="0"/>
              <w:divBdr>
                <w:top w:val="single" w:sz="2" w:space="0" w:color="D9D9E3"/>
                <w:left w:val="single" w:sz="2" w:space="0" w:color="D9D9E3"/>
                <w:bottom w:val="single" w:sz="2" w:space="0" w:color="D9D9E3"/>
                <w:right w:val="single" w:sz="2" w:space="0" w:color="D9D9E3"/>
              </w:divBdr>
              <w:divsChild>
                <w:div w:id="1203906249">
                  <w:marLeft w:val="0"/>
                  <w:marRight w:val="0"/>
                  <w:marTop w:val="0"/>
                  <w:marBottom w:val="0"/>
                  <w:divBdr>
                    <w:top w:val="single" w:sz="2" w:space="0" w:color="D9D9E3"/>
                    <w:left w:val="single" w:sz="2" w:space="0" w:color="D9D9E3"/>
                    <w:bottom w:val="single" w:sz="2" w:space="0" w:color="D9D9E3"/>
                    <w:right w:val="single" w:sz="2" w:space="0" w:color="D9D9E3"/>
                  </w:divBdr>
                  <w:divsChild>
                    <w:div w:id="1386566447">
                      <w:marLeft w:val="0"/>
                      <w:marRight w:val="0"/>
                      <w:marTop w:val="0"/>
                      <w:marBottom w:val="0"/>
                      <w:divBdr>
                        <w:top w:val="single" w:sz="2" w:space="0" w:color="D9D9E3"/>
                        <w:left w:val="single" w:sz="2" w:space="0" w:color="D9D9E3"/>
                        <w:bottom w:val="single" w:sz="2" w:space="0" w:color="D9D9E3"/>
                        <w:right w:val="single" w:sz="2" w:space="0" w:color="D9D9E3"/>
                      </w:divBdr>
                      <w:divsChild>
                        <w:div w:id="52193072">
                          <w:marLeft w:val="0"/>
                          <w:marRight w:val="0"/>
                          <w:marTop w:val="0"/>
                          <w:marBottom w:val="0"/>
                          <w:divBdr>
                            <w:top w:val="single" w:sz="2" w:space="0" w:color="auto"/>
                            <w:left w:val="single" w:sz="2" w:space="0" w:color="auto"/>
                            <w:bottom w:val="single" w:sz="6" w:space="0" w:color="auto"/>
                            <w:right w:val="single" w:sz="2" w:space="0" w:color="auto"/>
                          </w:divBdr>
                          <w:divsChild>
                            <w:div w:id="1032997566">
                              <w:marLeft w:val="0"/>
                              <w:marRight w:val="0"/>
                              <w:marTop w:val="100"/>
                              <w:marBottom w:val="100"/>
                              <w:divBdr>
                                <w:top w:val="single" w:sz="2" w:space="0" w:color="D9D9E3"/>
                                <w:left w:val="single" w:sz="2" w:space="0" w:color="D9D9E3"/>
                                <w:bottom w:val="single" w:sz="2" w:space="0" w:color="D9D9E3"/>
                                <w:right w:val="single" w:sz="2" w:space="0" w:color="D9D9E3"/>
                              </w:divBdr>
                              <w:divsChild>
                                <w:div w:id="1040712005">
                                  <w:marLeft w:val="0"/>
                                  <w:marRight w:val="0"/>
                                  <w:marTop w:val="0"/>
                                  <w:marBottom w:val="0"/>
                                  <w:divBdr>
                                    <w:top w:val="single" w:sz="2" w:space="0" w:color="D9D9E3"/>
                                    <w:left w:val="single" w:sz="2" w:space="0" w:color="D9D9E3"/>
                                    <w:bottom w:val="single" w:sz="2" w:space="0" w:color="D9D9E3"/>
                                    <w:right w:val="single" w:sz="2" w:space="0" w:color="D9D9E3"/>
                                  </w:divBdr>
                                  <w:divsChild>
                                    <w:div w:id="2121220819">
                                      <w:marLeft w:val="0"/>
                                      <w:marRight w:val="0"/>
                                      <w:marTop w:val="0"/>
                                      <w:marBottom w:val="0"/>
                                      <w:divBdr>
                                        <w:top w:val="single" w:sz="2" w:space="0" w:color="D9D9E3"/>
                                        <w:left w:val="single" w:sz="2" w:space="0" w:color="D9D9E3"/>
                                        <w:bottom w:val="single" w:sz="2" w:space="0" w:color="D9D9E3"/>
                                        <w:right w:val="single" w:sz="2" w:space="0" w:color="D9D9E3"/>
                                      </w:divBdr>
                                      <w:divsChild>
                                        <w:div w:id="2027948760">
                                          <w:marLeft w:val="0"/>
                                          <w:marRight w:val="0"/>
                                          <w:marTop w:val="0"/>
                                          <w:marBottom w:val="0"/>
                                          <w:divBdr>
                                            <w:top w:val="single" w:sz="2" w:space="0" w:color="D9D9E3"/>
                                            <w:left w:val="single" w:sz="2" w:space="0" w:color="D9D9E3"/>
                                            <w:bottom w:val="single" w:sz="2" w:space="0" w:color="D9D9E3"/>
                                            <w:right w:val="single" w:sz="2" w:space="0" w:color="D9D9E3"/>
                                          </w:divBdr>
                                          <w:divsChild>
                                            <w:div w:id="489297121">
                                              <w:marLeft w:val="0"/>
                                              <w:marRight w:val="0"/>
                                              <w:marTop w:val="0"/>
                                              <w:marBottom w:val="0"/>
                                              <w:divBdr>
                                                <w:top w:val="single" w:sz="2" w:space="0" w:color="D9D9E3"/>
                                                <w:left w:val="single" w:sz="2" w:space="0" w:color="D9D9E3"/>
                                                <w:bottom w:val="single" w:sz="2" w:space="0" w:color="D9D9E3"/>
                                                <w:right w:val="single" w:sz="2" w:space="0" w:color="D9D9E3"/>
                                              </w:divBdr>
                                              <w:divsChild>
                                                <w:div w:id="1212225899">
                                                  <w:marLeft w:val="0"/>
                                                  <w:marRight w:val="0"/>
                                                  <w:marTop w:val="0"/>
                                                  <w:marBottom w:val="0"/>
                                                  <w:divBdr>
                                                    <w:top w:val="single" w:sz="2" w:space="0" w:color="D9D9E3"/>
                                                    <w:left w:val="single" w:sz="2" w:space="0" w:color="D9D9E3"/>
                                                    <w:bottom w:val="single" w:sz="2" w:space="0" w:color="D9D9E3"/>
                                                    <w:right w:val="single" w:sz="2" w:space="0" w:color="D9D9E3"/>
                                                  </w:divBdr>
                                                  <w:divsChild>
                                                    <w:div w:id="1451439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94609394">
          <w:marLeft w:val="0"/>
          <w:marRight w:val="0"/>
          <w:marTop w:val="0"/>
          <w:marBottom w:val="0"/>
          <w:divBdr>
            <w:top w:val="none" w:sz="0" w:space="0" w:color="auto"/>
            <w:left w:val="none" w:sz="0" w:space="0" w:color="auto"/>
            <w:bottom w:val="none" w:sz="0" w:space="0" w:color="auto"/>
            <w:right w:val="none" w:sz="0" w:space="0" w:color="auto"/>
          </w:divBdr>
        </w:div>
      </w:divsChild>
    </w:div>
    <w:div w:id="682247552">
      <w:bodyDiv w:val="1"/>
      <w:marLeft w:val="0"/>
      <w:marRight w:val="0"/>
      <w:marTop w:val="0"/>
      <w:marBottom w:val="0"/>
      <w:divBdr>
        <w:top w:val="none" w:sz="0" w:space="0" w:color="auto"/>
        <w:left w:val="none" w:sz="0" w:space="0" w:color="auto"/>
        <w:bottom w:val="none" w:sz="0" w:space="0" w:color="auto"/>
        <w:right w:val="none" w:sz="0" w:space="0" w:color="auto"/>
      </w:divBdr>
    </w:div>
    <w:div w:id="1109354660">
      <w:bodyDiv w:val="1"/>
      <w:marLeft w:val="0"/>
      <w:marRight w:val="0"/>
      <w:marTop w:val="0"/>
      <w:marBottom w:val="0"/>
      <w:divBdr>
        <w:top w:val="none" w:sz="0" w:space="0" w:color="auto"/>
        <w:left w:val="none" w:sz="0" w:space="0" w:color="auto"/>
        <w:bottom w:val="none" w:sz="0" w:space="0" w:color="auto"/>
        <w:right w:val="none" w:sz="0" w:space="0" w:color="auto"/>
      </w:divBdr>
    </w:div>
    <w:div w:id="1307011886">
      <w:bodyDiv w:val="1"/>
      <w:marLeft w:val="0"/>
      <w:marRight w:val="0"/>
      <w:marTop w:val="0"/>
      <w:marBottom w:val="0"/>
      <w:divBdr>
        <w:top w:val="none" w:sz="0" w:space="0" w:color="auto"/>
        <w:left w:val="none" w:sz="0" w:space="0" w:color="auto"/>
        <w:bottom w:val="none" w:sz="0" w:space="0" w:color="auto"/>
        <w:right w:val="none" w:sz="0" w:space="0" w:color="auto"/>
      </w:divBdr>
    </w:div>
    <w:div w:id="1392000117">
      <w:bodyDiv w:val="1"/>
      <w:marLeft w:val="0"/>
      <w:marRight w:val="0"/>
      <w:marTop w:val="0"/>
      <w:marBottom w:val="0"/>
      <w:divBdr>
        <w:top w:val="none" w:sz="0" w:space="0" w:color="auto"/>
        <w:left w:val="none" w:sz="0" w:space="0" w:color="auto"/>
        <w:bottom w:val="none" w:sz="0" w:space="0" w:color="auto"/>
        <w:right w:val="none" w:sz="0" w:space="0" w:color="auto"/>
      </w:divBdr>
      <w:divsChild>
        <w:div w:id="1904412933">
          <w:marLeft w:val="0"/>
          <w:marRight w:val="0"/>
          <w:marTop w:val="0"/>
          <w:marBottom w:val="0"/>
          <w:divBdr>
            <w:top w:val="single" w:sz="2" w:space="0" w:color="D9D9E3"/>
            <w:left w:val="single" w:sz="2" w:space="0" w:color="D9D9E3"/>
            <w:bottom w:val="single" w:sz="2" w:space="0" w:color="D9D9E3"/>
            <w:right w:val="single" w:sz="2" w:space="0" w:color="D9D9E3"/>
          </w:divBdr>
          <w:divsChild>
            <w:div w:id="862282822">
              <w:marLeft w:val="0"/>
              <w:marRight w:val="0"/>
              <w:marTop w:val="0"/>
              <w:marBottom w:val="0"/>
              <w:divBdr>
                <w:top w:val="single" w:sz="2" w:space="0" w:color="D9D9E3"/>
                <w:left w:val="single" w:sz="2" w:space="0" w:color="D9D9E3"/>
                <w:bottom w:val="single" w:sz="2" w:space="0" w:color="D9D9E3"/>
                <w:right w:val="single" w:sz="2" w:space="0" w:color="D9D9E3"/>
              </w:divBdr>
              <w:divsChild>
                <w:div w:id="1020620826">
                  <w:marLeft w:val="0"/>
                  <w:marRight w:val="0"/>
                  <w:marTop w:val="0"/>
                  <w:marBottom w:val="0"/>
                  <w:divBdr>
                    <w:top w:val="single" w:sz="2" w:space="0" w:color="D9D9E3"/>
                    <w:left w:val="single" w:sz="2" w:space="0" w:color="D9D9E3"/>
                    <w:bottom w:val="single" w:sz="2" w:space="0" w:color="D9D9E3"/>
                    <w:right w:val="single" w:sz="2" w:space="0" w:color="D9D9E3"/>
                  </w:divBdr>
                  <w:divsChild>
                    <w:div w:id="1795714824">
                      <w:marLeft w:val="0"/>
                      <w:marRight w:val="0"/>
                      <w:marTop w:val="0"/>
                      <w:marBottom w:val="0"/>
                      <w:divBdr>
                        <w:top w:val="single" w:sz="2" w:space="0" w:color="D9D9E3"/>
                        <w:left w:val="single" w:sz="2" w:space="0" w:color="D9D9E3"/>
                        <w:bottom w:val="single" w:sz="2" w:space="0" w:color="D9D9E3"/>
                        <w:right w:val="single" w:sz="2" w:space="0" w:color="D9D9E3"/>
                      </w:divBdr>
                      <w:divsChild>
                        <w:div w:id="1491873951">
                          <w:marLeft w:val="0"/>
                          <w:marRight w:val="0"/>
                          <w:marTop w:val="0"/>
                          <w:marBottom w:val="0"/>
                          <w:divBdr>
                            <w:top w:val="single" w:sz="2" w:space="0" w:color="auto"/>
                            <w:left w:val="single" w:sz="2" w:space="0" w:color="auto"/>
                            <w:bottom w:val="single" w:sz="6" w:space="0" w:color="auto"/>
                            <w:right w:val="single" w:sz="2" w:space="0" w:color="auto"/>
                          </w:divBdr>
                          <w:divsChild>
                            <w:div w:id="1306354787">
                              <w:marLeft w:val="0"/>
                              <w:marRight w:val="0"/>
                              <w:marTop w:val="100"/>
                              <w:marBottom w:val="100"/>
                              <w:divBdr>
                                <w:top w:val="single" w:sz="2" w:space="0" w:color="D9D9E3"/>
                                <w:left w:val="single" w:sz="2" w:space="0" w:color="D9D9E3"/>
                                <w:bottom w:val="single" w:sz="2" w:space="0" w:color="D9D9E3"/>
                                <w:right w:val="single" w:sz="2" w:space="0" w:color="D9D9E3"/>
                              </w:divBdr>
                              <w:divsChild>
                                <w:div w:id="495728275">
                                  <w:marLeft w:val="0"/>
                                  <w:marRight w:val="0"/>
                                  <w:marTop w:val="0"/>
                                  <w:marBottom w:val="0"/>
                                  <w:divBdr>
                                    <w:top w:val="single" w:sz="2" w:space="0" w:color="D9D9E3"/>
                                    <w:left w:val="single" w:sz="2" w:space="0" w:color="D9D9E3"/>
                                    <w:bottom w:val="single" w:sz="2" w:space="0" w:color="D9D9E3"/>
                                    <w:right w:val="single" w:sz="2" w:space="0" w:color="D9D9E3"/>
                                  </w:divBdr>
                                  <w:divsChild>
                                    <w:div w:id="582225004">
                                      <w:marLeft w:val="0"/>
                                      <w:marRight w:val="0"/>
                                      <w:marTop w:val="0"/>
                                      <w:marBottom w:val="0"/>
                                      <w:divBdr>
                                        <w:top w:val="single" w:sz="2" w:space="0" w:color="D9D9E3"/>
                                        <w:left w:val="single" w:sz="2" w:space="0" w:color="D9D9E3"/>
                                        <w:bottom w:val="single" w:sz="2" w:space="0" w:color="D9D9E3"/>
                                        <w:right w:val="single" w:sz="2" w:space="0" w:color="D9D9E3"/>
                                      </w:divBdr>
                                      <w:divsChild>
                                        <w:div w:id="2072536859">
                                          <w:marLeft w:val="0"/>
                                          <w:marRight w:val="0"/>
                                          <w:marTop w:val="0"/>
                                          <w:marBottom w:val="0"/>
                                          <w:divBdr>
                                            <w:top w:val="single" w:sz="2" w:space="0" w:color="D9D9E3"/>
                                            <w:left w:val="single" w:sz="2" w:space="0" w:color="D9D9E3"/>
                                            <w:bottom w:val="single" w:sz="2" w:space="0" w:color="D9D9E3"/>
                                            <w:right w:val="single" w:sz="2" w:space="0" w:color="D9D9E3"/>
                                          </w:divBdr>
                                          <w:divsChild>
                                            <w:div w:id="762070668">
                                              <w:marLeft w:val="0"/>
                                              <w:marRight w:val="0"/>
                                              <w:marTop w:val="0"/>
                                              <w:marBottom w:val="0"/>
                                              <w:divBdr>
                                                <w:top w:val="single" w:sz="2" w:space="0" w:color="D9D9E3"/>
                                                <w:left w:val="single" w:sz="2" w:space="0" w:color="D9D9E3"/>
                                                <w:bottom w:val="single" w:sz="2" w:space="0" w:color="D9D9E3"/>
                                                <w:right w:val="single" w:sz="2" w:space="0" w:color="D9D9E3"/>
                                              </w:divBdr>
                                              <w:divsChild>
                                                <w:div w:id="1907448119">
                                                  <w:marLeft w:val="0"/>
                                                  <w:marRight w:val="0"/>
                                                  <w:marTop w:val="0"/>
                                                  <w:marBottom w:val="0"/>
                                                  <w:divBdr>
                                                    <w:top w:val="single" w:sz="2" w:space="0" w:color="D9D9E3"/>
                                                    <w:left w:val="single" w:sz="2" w:space="0" w:color="D9D9E3"/>
                                                    <w:bottom w:val="single" w:sz="2" w:space="0" w:color="D9D9E3"/>
                                                    <w:right w:val="single" w:sz="2" w:space="0" w:color="D9D9E3"/>
                                                  </w:divBdr>
                                                  <w:divsChild>
                                                    <w:div w:id="2036418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5345228">
          <w:marLeft w:val="0"/>
          <w:marRight w:val="0"/>
          <w:marTop w:val="0"/>
          <w:marBottom w:val="0"/>
          <w:divBdr>
            <w:top w:val="none" w:sz="0" w:space="0" w:color="auto"/>
            <w:left w:val="none" w:sz="0" w:space="0" w:color="auto"/>
            <w:bottom w:val="none" w:sz="0" w:space="0" w:color="auto"/>
            <w:right w:val="none" w:sz="0" w:space="0" w:color="auto"/>
          </w:divBdr>
        </w:div>
      </w:divsChild>
    </w:div>
    <w:div w:id="1544177529">
      <w:bodyDiv w:val="1"/>
      <w:marLeft w:val="0"/>
      <w:marRight w:val="0"/>
      <w:marTop w:val="0"/>
      <w:marBottom w:val="0"/>
      <w:divBdr>
        <w:top w:val="none" w:sz="0" w:space="0" w:color="auto"/>
        <w:left w:val="none" w:sz="0" w:space="0" w:color="auto"/>
        <w:bottom w:val="none" w:sz="0" w:space="0" w:color="auto"/>
        <w:right w:val="none" w:sz="0" w:space="0" w:color="auto"/>
      </w:divBdr>
    </w:div>
    <w:div w:id="1557231238">
      <w:bodyDiv w:val="1"/>
      <w:marLeft w:val="0"/>
      <w:marRight w:val="0"/>
      <w:marTop w:val="0"/>
      <w:marBottom w:val="0"/>
      <w:divBdr>
        <w:top w:val="none" w:sz="0" w:space="0" w:color="auto"/>
        <w:left w:val="none" w:sz="0" w:space="0" w:color="auto"/>
        <w:bottom w:val="none" w:sz="0" w:space="0" w:color="auto"/>
        <w:right w:val="none" w:sz="0" w:space="0" w:color="auto"/>
      </w:divBdr>
    </w:div>
    <w:div w:id="1840001546">
      <w:bodyDiv w:val="1"/>
      <w:marLeft w:val="0"/>
      <w:marRight w:val="0"/>
      <w:marTop w:val="0"/>
      <w:marBottom w:val="0"/>
      <w:divBdr>
        <w:top w:val="none" w:sz="0" w:space="0" w:color="auto"/>
        <w:left w:val="none" w:sz="0" w:space="0" w:color="auto"/>
        <w:bottom w:val="none" w:sz="0" w:space="0" w:color="auto"/>
        <w:right w:val="none" w:sz="0" w:space="0" w:color="auto"/>
      </w:divBdr>
      <w:divsChild>
        <w:div w:id="1189954080">
          <w:marLeft w:val="300"/>
          <w:marRight w:val="0"/>
          <w:marTop w:val="0"/>
          <w:marBottom w:val="300"/>
          <w:divBdr>
            <w:top w:val="none" w:sz="0" w:space="0" w:color="auto"/>
            <w:left w:val="none" w:sz="0" w:space="0" w:color="auto"/>
            <w:bottom w:val="none" w:sz="0" w:space="0" w:color="auto"/>
            <w:right w:val="none" w:sz="0" w:space="0" w:color="auto"/>
          </w:divBdr>
        </w:div>
      </w:divsChild>
    </w:div>
    <w:div w:id="1960069259">
      <w:bodyDiv w:val="1"/>
      <w:marLeft w:val="0"/>
      <w:marRight w:val="0"/>
      <w:marTop w:val="0"/>
      <w:marBottom w:val="0"/>
      <w:divBdr>
        <w:top w:val="none" w:sz="0" w:space="0" w:color="auto"/>
        <w:left w:val="none" w:sz="0" w:space="0" w:color="auto"/>
        <w:bottom w:val="none" w:sz="0" w:space="0" w:color="auto"/>
        <w:right w:val="none" w:sz="0" w:space="0" w:color="auto"/>
      </w:divBdr>
    </w:div>
    <w:div w:id="196896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otourism.org/what-is-ecotourism/best-practic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nwto.org/sustainable-development" TargetMode="External"/><Relationship Id="rId12" Type="http://schemas.openxmlformats.org/officeDocument/2006/relationships/hyperlink" Target="https://cr.hilt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dgs.un.org/goals" TargetMode="External"/><Relationship Id="rId11" Type="http://schemas.openxmlformats.org/officeDocument/2006/relationships/hyperlink" Target="https://www.spglobal.com/esg/csa/indices/djsi-index-family" TargetMode="External"/><Relationship Id="rId5" Type="http://schemas.openxmlformats.org/officeDocument/2006/relationships/hyperlink" Target="https://cr.hilton.com/" TargetMode="External"/><Relationship Id="rId10" Type="http://schemas.openxmlformats.org/officeDocument/2006/relationships/hyperlink" Target="https://cr.hilton.com/" TargetMode="External"/><Relationship Id="rId4" Type="http://schemas.openxmlformats.org/officeDocument/2006/relationships/webSettings" Target="webSettings.xml"/><Relationship Id="rId9" Type="http://schemas.openxmlformats.org/officeDocument/2006/relationships/hyperlink" Target="https://www.csreurope.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9</Pages>
  <Words>2426</Words>
  <Characters>13831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16</cp:revision>
  <dcterms:created xsi:type="dcterms:W3CDTF">2023-10-02T08:20:00Z</dcterms:created>
  <dcterms:modified xsi:type="dcterms:W3CDTF">2023-10-18T08:08:00Z</dcterms:modified>
</cp:coreProperties>
</file>