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3F3A" w:rsidRPr="00D26683" w:rsidRDefault="00D26683" w:rsidP="00D26683">
      <w:pPr>
        <w:pStyle w:val="NoSpacing"/>
        <w:jc w:val="center"/>
        <w:rPr>
          <w:u w:val="single"/>
        </w:rPr>
      </w:pPr>
      <w:r w:rsidRPr="00D26683">
        <w:rPr>
          <w:u w:val="single"/>
        </w:rPr>
        <w:t>Paraphrased extract from</w:t>
      </w:r>
    </w:p>
    <w:p w:rsidR="00D26683" w:rsidRPr="00D26683" w:rsidRDefault="00D26683" w:rsidP="00D26683">
      <w:pPr>
        <w:pStyle w:val="NoSpacing"/>
        <w:jc w:val="center"/>
        <w:rPr>
          <w:i/>
          <w:u w:val="single"/>
        </w:rPr>
      </w:pPr>
      <w:r w:rsidRPr="00D26683">
        <w:rPr>
          <w:i/>
          <w:u w:val="single"/>
        </w:rPr>
        <w:t>‘’Psychology: The Science of Mind and Behaviour’’</w:t>
      </w:r>
    </w:p>
    <w:p w:rsidR="00D26683" w:rsidRDefault="00D26683" w:rsidP="00D26683">
      <w:pPr>
        <w:pStyle w:val="NoSpacing"/>
        <w:jc w:val="center"/>
        <w:rPr>
          <w:u w:val="single"/>
        </w:rPr>
      </w:pPr>
      <w:r w:rsidRPr="00D26683">
        <w:rPr>
          <w:u w:val="single"/>
        </w:rPr>
        <w:t>Chapter 37, Adolescence</w:t>
      </w:r>
      <w:r w:rsidR="0067545F">
        <w:rPr>
          <w:u w:val="single"/>
        </w:rPr>
        <w:t>; Puberty and Body Image</w:t>
      </w:r>
      <w:r w:rsidR="007C7FA1">
        <w:rPr>
          <w:u w:val="single"/>
        </w:rPr>
        <w:t>, pp 623-625.</w:t>
      </w:r>
    </w:p>
    <w:p w:rsidR="0067545F" w:rsidRDefault="0067545F" w:rsidP="00D26683">
      <w:pPr>
        <w:pStyle w:val="NoSpacing"/>
        <w:jc w:val="center"/>
        <w:rPr>
          <w:u w:val="single"/>
        </w:rPr>
      </w:pPr>
    </w:p>
    <w:p w:rsidR="0067545F" w:rsidRDefault="0067545F" w:rsidP="00D26683">
      <w:pPr>
        <w:pStyle w:val="NoSpacing"/>
        <w:jc w:val="center"/>
        <w:rPr>
          <w:u w:val="single"/>
        </w:rPr>
      </w:pPr>
    </w:p>
    <w:p w:rsidR="0067545F" w:rsidRDefault="0067545F" w:rsidP="0067545F">
      <w:pPr>
        <w:pStyle w:val="NoSpacing"/>
        <w:jc w:val="both"/>
      </w:pPr>
      <w:r>
        <w:t>Puberty is a biological process that happens to all adolescents and is a phenomenal adjustment made by both sexes (Coleman</w:t>
      </w:r>
      <w:r w:rsidR="00415F84">
        <w:t xml:space="preserve"> </w:t>
      </w:r>
      <w:r w:rsidR="00425BA4">
        <w:t>&amp;</w:t>
      </w:r>
      <w:r>
        <w:t xml:space="preserve"> Hendry, 1990</w:t>
      </w:r>
      <w:r w:rsidR="005A4816">
        <w:t xml:space="preserve"> cited in Gross, 2010, pp 623.</w:t>
      </w:r>
      <w:r>
        <w:t>).</w:t>
      </w:r>
    </w:p>
    <w:p w:rsidR="0067545F" w:rsidRDefault="0067545F" w:rsidP="0067545F">
      <w:pPr>
        <w:pStyle w:val="NoSpacing"/>
        <w:jc w:val="both"/>
      </w:pPr>
      <w:r>
        <w:t xml:space="preserve">      The pattern puberty follows is different for male and female, but the gender specific pattern is usual but not definitive (</w:t>
      </w:r>
      <w:r w:rsidRPr="0067545F">
        <w:rPr>
          <w:i/>
        </w:rPr>
        <w:t>intraindividual asynchronies</w:t>
      </w:r>
      <w:r>
        <w:t xml:space="preserve">; </w:t>
      </w:r>
      <w:proofErr w:type="spellStart"/>
      <w:r>
        <w:t>Alsaker</w:t>
      </w:r>
      <w:proofErr w:type="spellEnd"/>
      <w:r>
        <w:t>, 1996</w:t>
      </w:r>
      <w:r w:rsidR="005A4816">
        <w:t xml:space="preserve"> cited in Gross, 2010, pp 623.</w:t>
      </w:r>
      <w:r>
        <w:t>). This means that, for females, pubic hair and breast bud growth should occur before the onset of menstruation, but this may not always be the case.</w:t>
      </w:r>
    </w:p>
    <w:p w:rsidR="00E065F2" w:rsidRDefault="00E065F2" w:rsidP="0067545F">
      <w:pPr>
        <w:pStyle w:val="NoSpacing"/>
        <w:jc w:val="both"/>
      </w:pPr>
    </w:p>
    <w:p w:rsidR="00E065F2" w:rsidRDefault="00E065F2" w:rsidP="0067545F">
      <w:pPr>
        <w:pStyle w:val="NoSpacing"/>
        <w:jc w:val="both"/>
      </w:pPr>
      <w:r>
        <w:t xml:space="preserve">     Typically, the onset of puberty brings about physical changes, such as enlargement of the prostate gland and seminal </w:t>
      </w:r>
      <w:proofErr w:type="spellStart"/>
      <w:r>
        <w:t>vesciles</w:t>
      </w:r>
      <w:proofErr w:type="spellEnd"/>
      <w:r>
        <w:t xml:space="preserve"> for males. For females experiencing the physical changes of puberty, this is the enlargement of the ovaries.</w:t>
      </w:r>
      <w:r w:rsidR="005D6192">
        <w:t xml:space="preserve"> The phenomena known as the ‘</w:t>
      </w:r>
      <w:r w:rsidR="005D6192" w:rsidRPr="005D6192">
        <w:rPr>
          <w:i/>
        </w:rPr>
        <w:t>’adolescent growth spurt</w:t>
      </w:r>
      <w:r w:rsidR="005D6192">
        <w:t>’’ is affirmative to both sexes.</w:t>
      </w:r>
    </w:p>
    <w:p w:rsidR="005D6192" w:rsidRDefault="005D6192" w:rsidP="0067545F">
      <w:pPr>
        <w:pStyle w:val="NoSpacing"/>
        <w:jc w:val="both"/>
      </w:pPr>
      <w:r>
        <w:t xml:space="preserve">    An increase in volume of the breast, the growth of pubic hair and begin</w:t>
      </w:r>
      <w:r w:rsidR="00FF4973">
        <w:t>ning to menstruate are the secondary sex characteristics of a female. These characteristics are presented in the male through production of sperm and the growth of pubic, chest and facial hair.</w:t>
      </w:r>
    </w:p>
    <w:p w:rsidR="00FF4973" w:rsidRDefault="00FF4973" w:rsidP="0067545F">
      <w:pPr>
        <w:pStyle w:val="NoSpacing"/>
        <w:jc w:val="both"/>
      </w:pPr>
    </w:p>
    <w:p w:rsidR="00FF4973" w:rsidRDefault="00FF4973" w:rsidP="0067545F">
      <w:pPr>
        <w:pStyle w:val="NoSpacing"/>
        <w:jc w:val="both"/>
      </w:pPr>
      <w:r>
        <w:t xml:space="preserve">     Research has shown that both male and females can become negatively concerned with the physical changes associated with puberty (Davies</w:t>
      </w:r>
      <w:r w:rsidR="00DA2076">
        <w:t xml:space="preserve"> &amp; </w:t>
      </w:r>
      <w:r>
        <w:t>Furnham, 1986</w:t>
      </w:r>
      <w:r w:rsidR="005A4816">
        <w:t xml:space="preserve"> cited in Gross, 2010, pp 623</w:t>
      </w:r>
      <w:r>
        <w:t>); The theory being that the now self- aware individual has not only to deal with the associated biological changes but to do so while being exposed to societal as well as cultural standards of perfection. This could be in the form of social media, peers or even family members.</w:t>
      </w:r>
    </w:p>
    <w:p w:rsidR="00FF4973" w:rsidRDefault="00FF4973" w:rsidP="0067545F">
      <w:pPr>
        <w:pStyle w:val="NoSpacing"/>
        <w:jc w:val="both"/>
      </w:pPr>
      <w:r>
        <w:t xml:space="preserve">      In accordance to Hendry</w:t>
      </w:r>
      <w:r w:rsidR="009D1083">
        <w:t xml:space="preserve"> &amp; </w:t>
      </w:r>
      <w:proofErr w:type="spellStart"/>
      <w:r>
        <w:t>Kloep</w:t>
      </w:r>
      <w:proofErr w:type="spellEnd"/>
      <w:r>
        <w:t xml:space="preserve"> (1999</w:t>
      </w:r>
      <w:r w:rsidR="005A4816">
        <w:t xml:space="preserve"> cited in Gross, 2010, pp 624.</w:t>
      </w:r>
      <w:r>
        <w:t>) this could account for a non-normative shift and induce eating disorders through unnecessary dieting. This in turn could expose the individual to bullying, producing a possible secondary non-normative shift.</w:t>
      </w:r>
    </w:p>
    <w:p w:rsidR="00FF4973" w:rsidRDefault="00FF4973" w:rsidP="0067545F">
      <w:pPr>
        <w:pStyle w:val="NoSpacing"/>
        <w:jc w:val="both"/>
      </w:pPr>
    </w:p>
    <w:p w:rsidR="00FF4973" w:rsidRDefault="00FF4973" w:rsidP="0067545F">
      <w:pPr>
        <w:pStyle w:val="NoSpacing"/>
        <w:jc w:val="both"/>
      </w:pPr>
      <w:r>
        <w:t xml:space="preserve">      Normative shifts are those that follow a ‘normal’ progression or pattern. Puberty can be regarded as a normative shift.</w:t>
      </w:r>
    </w:p>
    <w:p w:rsidR="00FF4973" w:rsidRDefault="00FF4973" w:rsidP="0067545F">
      <w:pPr>
        <w:pStyle w:val="NoSpacing"/>
        <w:jc w:val="both"/>
      </w:pPr>
      <w:r>
        <w:t xml:space="preserve">      It is thought that, although normative, males may cope better with the transition than females. This is due to a hypothesis known as </w:t>
      </w:r>
      <w:r w:rsidRPr="00FF4973">
        <w:rPr>
          <w:i/>
        </w:rPr>
        <w:t>cultural ideal</w:t>
      </w:r>
      <w:r>
        <w:rPr>
          <w:i/>
        </w:rPr>
        <w:t xml:space="preserve"> </w:t>
      </w:r>
      <w:r w:rsidRPr="00FF4973">
        <w:t>(CIH, Simmonds</w:t>
      </w:r>
      <w:r w:rsidR="009D1083">
        <w:t xml:space="preserve"> &amp; </w:t>
      </w:r>
      <w:r w:rsidRPr="00FF4973">
        <w:t>Blyth, 1987</w:t>
      </w:r>
      <w:r w:rsidR="005A4816">
        <w:t xml:space="preserve"> cited in Gross, 2010, pp 625</w:t>
      </w:r>
      <w:r w:rsidRPr="00FF4973">
        <w:t>).</w:t>
      </w:r>
      <w:r>
        <w:t xml:space="preserve"> CIH suggests that the onset of puberty brings females further away from the</w:t>
      </w:r>
      <w:r w:rsidR="00001D00">
        <w:t>ir physical ideal. This is explained by the fact that the cultural ideal of being waif-like or hourglass shaped, is compromised and possibly unobtainable during female puberty. This is due to the increase in body fat and weight gain associated with female transition. Further to this, female transitioning begins around two years before that of a male.</w:t>
      </w:r>
    </w:p>
    <w:p w:rsidR="00001D00" w:rsidRDefault="00001D00" w:rsidP="0067545F">
      <w:pPr>
        <w:pStyle w:val="NoSpacing"/>
        <w:jc w:val="both"/>
      </w:pPr>
      <w:r>
        <w:t xml:space="preserve">      The opposite theory is applied to males. CIH proposes that males move closer to their physical ideal during puberty. The increase of muscle tone and distribution, coupled with and increase in strength and stamina due to an increase in lung capacity, pushes a male towards the associated cultural ideal.</w:t>
      </w:r>
    </w:p>
    <w:p w:rsidR="00001D00" w:rsidRDefault="00001D00" w:rsidP="0067545F">
      <w:pPr>
        <w:pStyle w:val="NoSpacing"/>
        <w:jc w:val="both"/>
      </w:pPr>
    </w:p>
    <w:p w:rsidR="00001D00" w:rsidRDefault="00001D00" w:rsidP="0067545F">
      <w:pPr>
        <w:pStyle w:val="NoSpacing"/>
        <w:jc w:val="both"/>
      </w:pPr>
      <w:r>
        <w:t xml:space="preserve">    To conclude the theory of CIH, it would suggest that males entering puberty early are at an advantage to those who follow the text book pattern an at an extreme advantage t</w:t>
      </w:r>
      <w:r w:rsidR="00AB0D35">
        <w:t>o</w:t>
      </w:r>
      <w:r>
        <w:t xml:space="preserve"> those males who enter puberty late.</w:t>
      </w:r>
    </w:p>
    <w:p w:rsidR="00001D00" w:rsidRDefault="00001D00" w:rsidP="0067545F">
      <w:pPr>
        <w:pStyle w:val="NoSpacing"/>
        <w:jc w:val="both"/>
      </w:pPr>
      <w:r>
        <w:t xml:space="preserve">   As a contrast, females that begin puberty early, or even in accordance with normal parameters, will be at a disadvantage and moving further away from their physical ideal.</w:t>
      </w:r>
    </w:p>
    <w:p w:rsidR="005473DC" w:rsidRDefault="005473DC" w:rsidP="0067545F">
      <w:pPr>
        <w:pStyle w:val="NoSpacing"/>
        <w:jc w:val="both"/>
      </w:pPr>
      <w:r>
        <w:t>(Gross, 2010.)</w:t>
      </w:r>
    </w:p>
    <w:p w:rsidR="00001D00" w:rsidRPr="0067545F" w:rsidRDefault="00001D00" w:rsidP="0067545F">
      <w:pPr>
        <w:pStyle w:val="NoSpacing"/>
        <w:jc w:val="both"/>
      </w:pPr>
      <w:r>
        <w:t xml:space="preserve">      </w:t>
      </w:r>
    </w:p>
    <w:p w:rsidR="0067545F" w:rsidRDefault="0067545F" w:rsidP="0067545F">
      <w:pPr>
        <w:pStyle w:val="NoSpacing"/>
        <w:rPr>
          <w:u w:val="single"/>
        </w:rPr>
      </w:pPr>
    </w:p>
    <w:p w:rsidR="00D26683" w:rsidRDefault="00D26683" w:rsidP="00D26683">
      <w:pPr>
        <w:pStyle w:val="NoSpacing"/>
        <w:jc w:val="center"/>
        <w:rPr>
          <w:u w:val="single"/>
        </w:rPr>
      </w:pPr>
    </w:p>
    <w:p w:rsidR="00D26683" w:rsidRDefault="005A4816" w:rsidP="00D26683">
      <w:pPr>
        <w:pStyle w:val="NoSpacing"/>
        <w:jc w:val="center"/>
        <w:rPr>
          <w:u w:val="single"/>
        </w:rPr>
      </w:pPr>
      <w:r>
        <w:rPr>
          <w:u w:val="single"/>
        </w:rPr>
        <w:t>Reference List.</w:t>
      </w:r>
    </w:p>
    <w:p w:rsidR="005A4816" w:rsidRDefault="005A4816" w:rsidP="005A4816">
      <w:pPr>
        <w:pStyle w:val="NoSpacing"/>
        <w:rPr>
          <w:u w:val="single"/>
        </w:rPr>
      </w:pPr>
    </w:p>
    <w:p w:rsidR="005A4816" w:rsidRPr="005A4816" w:rsidRDefault="005A4816" w:rsidP="005A4816">
      <w:pPr>
        <w:pStyle w:val="NoSpacing"/>
      </w:pPr>
      <w:r>
        <w:t xml:space="preserve">Gross, R. (2010). </w:t>
      </w:r>
      <w:r w:rsidRPr="005A4816">
        <w:rPr>
          <w:i/>
        </w:rPr>
        <w:t>Psychology, the science of mind and behaviour.</w:t>
      </w:r>
      <w:r>
        <w:t xml:space="preserve"> (6</w:t>
      </w:r>
      <w:r w:rsidRPr="005A4816">
        <w:rPr>
          <w:vertAlign w:val="superscript"/>
        </w:rPr>
        <w:t>th</w:t>
      </w:r>
      <w:r>
        <w:t xml:space="preserve"> Ed). London</w:t>
      </w:r>
      <w:r w:rsidR="006B186E">
        <w:t>:</w:t>
      </w:r>
      <w:r>
        <w:t xml:space="preserve"> Hodd</w:t>
      </w:r>
      <w:r w:rsidR="006665A6">
        <w:t>e</w:t>
      </w:r>
      <w:r>
        <w:t>r Education.</w:t>
      </w:r>
    </w:p>
    <w:p w:rsidR="00D26683" w:rsidRDefault="00D26683"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EE632D">
      <w:pPr>
        <w:jc w:val="center"/>
        <w:rPr>
          <w:u w:val="single"/>
        </w:rPr>
      </w:pPr>
      <w:r w:rsidRPr="005D5005">
        <w:rPr>
          <w:u w:val="single"/>
        </w:rPr>
        <w:lastRenderedPageBreak/>
        <w:t>Abstract writing.</w:t>
      </w:r>
    </w:p>
    <w:p w:rsidR="00EE632D" w:rsidRDefault="00EE632D" w:rsidP="00EE632D">
      <w:pPr>
        <w:jc w:val="center"/>
        <w:rPr>
          <w:u w:val="single"/>
        </w:rPr>
      </w:pPr>
    </w:p>
    <w:p w:rsidR="00EE632D" w:rsidRPr="00606A79" w:rsidRDefault="00EE632D" w:rsidP="00EE632D">
      <w:r w:rsidRPr="00606A79">
        <w:t>1.</w:t>
      </w:r>
    </w:p>
    <w:p w:rsidR="00EE632D" w:rsidRDefault="00EE632D" w:rsidP="00EE632D">
      <w:pPr>
        <w:pStyle w:val="NoSpacing"/>
      </w:pPr>
      <w:r>
        <w:t>Knowing where to begin when writing an abstract can be exceedingly difficult. It can be just as confusing when deciding what to include and what to omit.</w:t>
      </w:r>
    </w:p>
    <w:p w:rsidR="00EE632D" w:rsidRDefault="00EE632D" w:rsidP="00EE632D">
      <w:pPr>
        <w:pStyle w:val="NoSpacing"/>
      </w:pPr>
      <w:r>
        <w:t xml:space="preserve">  This paper has broken down the process of abstract writing in to five clear headings, background, method, result, conclusion and miscellaneous observations. It goes on to further dissect how to write abstracts in relation to each section, thus ensuring the reader fully understands what is and what is not useful.</w:t>
      </w:r>
    </w:p>
    <w:p w:rsidR="00EE632D" w:rsidRDefault="00EE632D" w:rsidP="00EE632D">
      <w:pPr>
        <w:pStyle w:val="NoSpacing"/>
      </w:pPr>
      <w:r>
        <w:t xml:space="preserve">   The paper, in its entirety, is useful to any level of author wishing to produce an abstract but is directly aimed at those beginning their research journey. </w:t>
      </w:r>
    </w:p>
    <w:p w:rsidR="00EE632D" w:rsidRDefault="00EE632D" w:rsidP="00EE632D">
      <w:pPr>
        <w:pStyle w:val="NoSpacing"/>
      </w:pPr>
      <w:r>
        <w:t>(Andrade, 2011).</w:t>
      </w:r>
    </w:p>
    <w:p w:rsidR="00EE632D" w:rsidRDefault="00EE632D" w:rsidP="00EE632D">
      <w:pPr>
        <w:pStyle w:val="NoSpacing"/>
      </w:pPr>
    </w:p>
    <w:p w:rsidR="00EE632D" w:rsidRDefault="00EE632D" w:rsidP="00EE632D">
      <w:pPr>
        <w:pStyle w:val="NoSpacing"/>
      </w:pPr>
      <w:r>
        <w:t>2.</w:t>
      </w:r>
    </w:p>
    <w:p w:rsidR="00EE632D" w:rsidRDefault="00EE632D" w:rsidP="00EE632D">
      <w:pPr>
        <w:pStyle w:val="NoSpacing"/>
      </w:pPr>
    </w:p>
    <w:p w:rsidR="00EE632D" w:rsidRDefault="00EE632D" w:rsidP="00EE632D">
      <w:pPr>
        <w:pStyle w:val="NoSpacing"/>
      </w:pPr>
      <w:r>
        <w:t xml:space="preserve">Narcissism has a link to and complex relationship with both health-protective behaviour (e.g. Zuckerman &amp; O’Loughlin, 2009 cited by Hill, 2015.) and health-risk behaviour (e.g. </w:t>
      </w:r>
      <w:proofErr w:type="spellStart"/>
      <w:r>
        <w:t>Buelow</w:t>
      </w:r>
      <w:proofErr w:type="spellEnd"/>
      <w:r>
        <w:t xml:space="preserve"> and </w:t>
      </w:r>
      <w:proofErr w:type="spellStart"/>
      <w:r>
        <w:t>Brunell</w:t>
      </w:r>
      <w:proofErr w:type="spellEnd"/>
      <w:r>
        <w:t xml:space="preserve">, 2014, cited by Hill, 2015.) </w:t>
      </w:r>
    </w:p>
    <w:p w:rsidR="00EE632D" w:rsidRDefault="00EE632D" w:rsidP="00EE632D">
      <w:pPr>
        <w:pStyle w:val="NoSpacing"/>
      </w:pPr>
      <w:r>
        <w:t xml:space="preserve">  A sample size of 365 participants with an approximate 1:2 male to female ratio, with an age range of 18-43, were tested using the NPI (Narcissistic Personality Inventory; </w:t>
      </w:r>
      <w:proofErr w:type="spellStart"/>
      <w:r>
        <w:t>Raskin</w:t>
      </w:r>
      <w:proofErr w:type="spellEnd"/>
      <w:r>
        <w:t xml:space="preserve"> &amp; Terry, 1988, cited by Hill, 2015.) in conjunction with questions regarding health risk and health protective behaviours.</w:t>
      </w:r>
    </w:p>
    <w:p w:rsidR="00EE632D" w:rsidRDefault="00EE632D" w:rsidP="00EE632D">
      <w:pPr>
        <w:pStyle w:val="NoSpacing"/>
      </w:pPr>
      <w:r>
        <w:t xml:space="preserve">  Results found male participants scored higher than females in relation to the NPI. It also found that Narcissism was found to correlate to weekday and weekend alcohol use, the use of marijuana and participating in risky driving behaviour. In contrast to this, narcissism was also connected to consistent healthy eating and physical exercise.</w:t>
      </w:r>
    </w:p>
    <w:p w:rsidR="00EE632D" w:rsidRDefault="00EE632D" w:rsidP="00EE632D">
      <w:pPr>
        <w:pStyle w:val="NoSpacing"/>
      </w:pPr>
      <w:r>
        <w:t xml:space="preserve">   The research concluded that, although, narcissism was found to be present for behaviours that are a health-risk, it is also present in behaviours considered health-protective.</w:t>
      </w:r>
    </w:p>
    <w:p w:rsidR="00EE632D" w:rsidRDefault="00EE632D" w:rsidP="00EE632D">
      <w:pPr>
        <w:pStyle w:val="NoSpacing"/>
      </w:pPr>
      <w:r>
        <w:t xml:space="preserve">  Demographic data was also collected for this sample, which was a subsection of a much larger study on ‘’individual differences in altruism and wellbeing’’.</w:t>
      </w:r>
    </w:p>
    <w:p w:rsidR="00EE632D" w:rsidRDefault="00EE632D" w:rsidP="00EE632D">
      <w:pPr>
        <w:pStyle w:val="NoSpacing"/>
      </w:pPr>
      <w:r>
        <w:t>(Hill, 2015.)</w:t>
      </w:r>
    </w:p>
    <w:p w:rsidR="00EE632D" w:rsidRDefault="00EE632D" w:rsidP="00EE632D">
      <w:pPr>
        <w:pStyle w:val="NoSpacing"/>
      </w:pPr>
    </w:p>
    <w:p w:rsidR="00EE632D" w:rsidRDefault="00EE632D" w:rsidP="00EE632D">
      <w:pPr>
        <w:pStyle w:val="NoSpacing"/>
      </w:pPr>
      <w:r>
        <w:t>3.</w:t>
      </w:r>
    </w:p>
    <w:p w:rsidR="00EE632D" w:rsidRDefault="00EE632D" w:rsidP="00EE632D">
      <w:pPr>
        <w:pStyle w:val="NoSpacing"/>
      </w:pPr>
    </w:p>
    <w:p w:rsidR="00EE632D" w:rsidRDefault="00EE632D" w:rsidP="00EE632D">
      <w:pPr>
        <w:pStyle w:val="NoSpacing"/>
      </w:pPr>
      <w:r>
        <w:t xml:space="preserve"> Gambling can be a destructive and addictive behaviour. The purpose of this study is to use the theory of planned behaviour model (TPB; </w:t>
      </w:r>
      <w:proofErr w:type="spellStart"/>
      <w:r>
        <w:t>Azjen</w:t>
      </w:r>
      <w:proofErr w:type="spellEnd"/>
      <w:r>
        <w:t>, 1985) to try and predict gambling behaviour in relation to past year gambling.</w:t>
      </w:r>
    </w:p>
    <w:p w:rsidR="00EE632D" w:rsidRDefault="00EE632D" w:rsidP="00EE632D">
      <w:pPr>
        <w:pStyle w:val="NoSpacing"/>
      </w:pPr>
      <w:r>
        <w:t xml:space="preserve">    A Caucasian, female dominant sample size of 785 participants, with an age range of 17-49, was used in this study. Participants took part in a classroom-based survey aimed at gambling frequency </w:t>
      </w:r>
      <w:proofErr w:type="gramStart"/>
      <w:r>
        <w:t>in order to</w:t>
      </w:r>
      <w:proofErr w:type="gramEnd"/>
      <w:r>
        <w:t xml:space="preserve"> prove a hypothesis of positive and negative correlation in relation to attitudes towards gambling, perceptions of family, friends and peers’ perceptions and behaviour control concerning gambling.</w:t>
      </w:r>
    </w:p>
    <w:p w:rsidR="00EE632D" w:rsidRDefault="00EE632D" w:rsidP="00EE632D">
      <w:pPr>
        <w:pStyle w:val="NoSpacing"/>
      </w:pPr>
      <w:r>
        <w:t xml:space="preserve">     Scoring for this study was measured using GAINS (</w:t>
      </w:r>
      <w:proofErr w:type="spellStart"/>
      <w:r>
        <w:t>Neighbors</w:t>
      </w:r>
      <w:proofErr w:type="spellEnd"/>
      <w:r>
        <w:t xml:space="preserve"> et al., 2007, cited by Martin et al., 2009.), GSEQ (May et al, 2003, cited by Martin et al., 2009.), GIS and GINS (Moore &amp; </w:t>
      </w:r>
      <w:proofErr w:type="spellStart"/>
      <w:r>
        <w:t>Ohtsuka</w:t>
      </w:r>
      <w:proofErr w:type="spellEnd"/>
      <w:r>
        <w:t>, 1997, cited by Martin et al., 2009.) The results of the analysis using each of these methods are available in the full paper.</w:t>
      </w:r>
    </w:p>
    <w:p w:rsidR="00EE632D" w:rsidRDefault="00EE632D" w:rsidP="00EE632D">
      <w:pPr>
        <w:pStyle w:val="NoSpacing"/>
      </w:pPr>
      <w:r>
        <w:t xml:space="preserve">   Results of this study proved TPB better at predicting gambling frequency than past year gambling predictions.</w:t>
      </w:r>
    </w:p>
    <w:p w:rsidR="00EE632D" w:rsidRDefault="00EE632D" w:rsidP="00EE632D">
      <w:pPr>
        <w:pStyle w:val="NoSpacing"/>
      </w:pPr>
      <w:r>
        <w:t>(Martin et al., 2009.)</w:t>
      </w: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pPr>
    </w:p>
    <w:p w:rsidR="00EE632D" w:rsidRDefault="00EE632D" w:rsidP="00EE632D">
      <w:pPr>
        <w:pStyle w:val="NoSpacing"/>
        <w:jc w:val="center"/>
        <w:rPr>
          <w:u w:val="single"/>
        </w:rPr>
      </w:pPr>
      <w:r>
        <w:rPr>
          <w:u w:val="single"/>
        </w:rPr>
        <w:t>Reference list.</w:t>
      </w:r>
    </w:p>
    <w:p w:rsidR="00EE632D" w:rsidRDefault="00EE632D" w:rsidP="00EE632D">
      <w:pPr>
        <w:pStyle w:val="NoSpacing"/>
        <w:jc w:val="center"/>
        <w:rPr>
          <w:u w:val="single"/>
        </w:rPr>
      </w:pPr>
    </w:p>
    <w:p w:rsidR="00EE632D" w:rsidRDefault="00EE632D" w:rsidP="00EE632D">
      <w:pPr>
        <w:pStyle w:val="NoSpacing"/>
      </w:pPr>
      <w:r>
        <w:t>Andrade, C. (2011). How to write a good abstract for a scientific paper or conference presentation,</w:t>
      </w:r>
    </w:p>
    <w:p w:rsidR="00EE632D" w:rsidRDefault="00EE632D" w:rsidP="00EE632D">
      <w:pPr>
        <w:pStyle w:val="NoSpacing"/>
      </w:pPr>
      <w:r w:rsidRPr="00DD3CA3">
        <w:rPr>
          <w:i/>
        </w:rPr>
        <w:t xml:space="preserve">           Indian Journal of Psychiatry</w:t>
      </w:r>
      <w:r>
        <w:t>, 53, (2), pp 172-175. DOI: 10.4103/0019-5545.82558</w:t>
      </w:r>
    </w:p>
    <w:p w:rsidR="00EE632D" w:rsidRDefault="00EE632D" w:rsidP="00EE632D">
      <w:pPr>
        <w:pStyle w:val="NoSpacing"/>
      </w:pPr>
    </w:p>
    <w:p w:rsidR="00EE632D" w:rsidRDefault="00EE632D" w:rsidP="00EE632D">
      <w:pPr>
        <w:pStyle w:val="NoSpacing"/>
        <w:rPr>
          <w:i/>
        </w:rPr>
      </w:pPr>
      <w:r>
        <w:t xml:space="preserve">Hill, E.M. (2015). The role of narcissism in health-risk and health-protective behaviours, </w:t>
      </w:r>
      <w:r w:rsidRPr="006226E3">
        <w:rPr>
          <w:i/>
        </w:rPr>
        <w:t>Journal of</w:t>
      </w:r>
    </w:p>
    <w:p w:rsidR="00EE632D" w:rsidRDefault="00EE632D" w:rsidP="00EE632D">
      <w:pPr>
        <w:pStyle w:val="NoSpacing"/>
      </w:pPr>
      <w:r>
        <w:rPr>
          <w:i/>
        </w:rPr>
        <w:t xml:space="preserve">         </w:t>
      </w:r>
      <w:r w:rsidRPr="006226E3">
        <w:rPr>
          <w:i/>
        </w:rPr>
        <w:t xml:space="preserve"> Health Psychology,</w:t>
      </w:r>
      <w:r>
        <w:t xml:space="preserve"> 21, (9). DOI: 10.117/135910539305315569858</w:t>
      </w:r>
    </w:p>
    <w:p w:rsidR="00EE632D" w:rsidRDefault="00EE632D" w:rsidP="00EE632D">
      <w:pPr>
        <w:pStyle w:val="NoSpacing"/>
        <w:rPr>
          <w:i/>
        </w:rPr>
      </w:pPr>
    </w:p>
    <w:p w:rsidR="00EE632D" w:rsidRDefault="00EE632D" w:rsidP="00EE632D">
      <w:pPr>
        <w:pStyle w:val="NoSpacing"/>
      </w:pPr>
      <w:r>
        <w:t xml:space="preserve">Martin, R., Nelson, S., La Plante, D., Shaffer, H., </w:t>
      </w:r>
      <w:proofErr w:type="spellStart"/>
      <w:r>
        <w:t>Usdan</w:t>
      </w:r>
      <w:proofErr w:type="spellEnd"/>
      <w:r>
        <w:t xml:space="preserve">, S., </w:t>
      </w:r>
      <w:proofErr w:type="spellStart"/>
      <w:r>
        <w:t>Umstattd</w:t>
      </w:r>
      <w:proofErr w:type="spellEnd"/>
      <w:r>
        <w:t xml:space="preserve">, M.R. &amp; </w:t>
      </w:r>
      <w:proofErr w:type="spellStart"/>
      <w:r>
        <w:t>Perko</w:t>
      </w:r>
      <w:proofErr w:type="spellEnd"/>
      <w:r>
        <w:t xml:space="preserve">, M. (2009). Using </w:t>
      </w:r>
    </w:p>
    <w:p w:rsidR="00EE632D" w:rsidRDefault="00EE632D" w:rsidP="00EE632D">
      <w:pPr>
        <w:pStyle w:val="NoSpacing"/>
        <w:rPr>
          <w:i/>
        </w:rPr>
      </w:pPr>
      <w:r>
        <w:t xml:space="preserve">          the theory of planned behaviour to predict gambling behaviour, </w:t>
      </w:r>
      <w:r w:rsidRPr="005D648D">
        <w:rPr>
          <w:i/>
        </w:rPr>
        <w:t>Psycholog</w:t>
      </w:r>
      <w:r>
        <w:rPr>
          <w:i/>
        </w:rPr>
        <w:t>y</w:t>
      </w:r>
      <w:r w:rsidRPr="005D648D">
        <w:rPr>
          <w:i/>
        </w:rPr>
        <w:t xml:space="preserve"> of Addictive</w:t>
      </w:r>
    </w:p>
    <w:p w:rsidR="00EE632D" w:rsidRPr="00055D0A" w:rsidRDefault="00EE632D" w:rsidP="00EE632D">
      <w:pPr>
        <w:pStyle w:val="NoSpacing"/>
        <w:rPr>
          <w:i/>
        </w:rPr>
      </w:pPr>
      <w:r>
        <w:rPr>
          <w:i/>
        </w:rPr>
        <w:t xml:space="preserve">       </w:t>
      </w:r>
      <w:r w:rsidRPr="005D648D">
        <w:rPr>
          <w:i/>
        </w:rPr>
        <w:t xml:space="preserve"> </w:t>
      </w:r>
      <w:r>
        <w:rPr>
          <w:i/>
        </w:rPr>
        <w:t xml:space="preserve">  </w:t>
      </w:r>
      <w:r w:rsidRPr="005D648D">
        <w:rPr>
          <w:i/>
        </w:rPr>
        <w:t>Behaviours</w:t>
      </w:r>
      <w:r>
        <w:t>, 24, (1), pp 98-97. American Psychological Association. DOI:</w:t>
      </w:r>
    </w:p>
    <w:p w:rsidR="00EE632D" w:rsidRPr="00A63B1F" w:rsidRDefault="00EE632D" w:rsidP="00EE632D">
      <w:pPr>
        <w:pStyle w:val="NoSpacing"/>
      </w:pPr>
      <w:r>
        <w:t xml:space="preserve">          10.1037/a0018452</w:t>
      </w:r>
    </w:p>
    <w:p w:rsidR="00EE632D" w:rsidRDefault="00EE632D" w:rsidP="00EE632D">
      <w:pPr>
        <w:pStyle w:val="NoSpacing"/>
        <w:rPr>
          <w:i/>
        </w:rPr>
      </w:pPr>
    </w:p>
    <w:p w:rsidR="00EE632D" w:rsidRDefault="00EE632D" w:rsidP="00EE632D">
      <w:pPr>
        <w:pStyle w:val="NoSpacing"/>
      </w:pPr>
      <w:r>
        <w:t>Theory of Planned Behaviour. (n.d.). In Wikipedia. Retrieved October 17, 2018, from</w:t>
      </w:r>
    </w:p>
    <w:p w:rsidR="00EE632D" w:rsidRPr="00C17454" w:rsidRDefault="00EE632D" w:rsidP="00EE632D">
      <w:pPr>
        <w:pStyle w:val="NoSpacing"/>
      </w:pPr>
      <w:r>
        <w:t xml:space="preserve">          https://en.wikipedia,org/wiki/Theory_of_planned_behaviour</w:t>
      </w: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Pr="005D7D6A" w:rsidRDefault="00EE632D" w:rsidP="00EE632D">
      <w:pPr>
        <w:pStyle w:val="NoSpacing"/>
        <w:jc w:val="center"/>
        <w:rPr>
          <w:rFonts w:cstheme="minorHAnsi"/>
          <w:u w:val="single"/>
        </w:rPr>
      </w:pPr>
      <w:r w:rsidRPr="005D7D6A">
        <w:rPr>
          <w:rFonts w:cstheme="minorHAnsi"/>
          <w:u w:val="single"/>
        </w:rPr>
        <w:lastRenderedPageBreak/>
        <w:t>Academic Study Skills for Students: ECGE4001R Jumbled Reference List</w:t>
      </w:r>
      <w:r>
        <w:rPr>
          <w:rFonts w:cstheme="minorHAnsi"/>
          <w:u w:val="single"/>
        </w:rPr>
        <w:t>.</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Bennett, P. (2011). Abnormal and clinical psychology: an introductory textbook. (3</w:t>
      </w:r>
      <w:r w:rsidRPr="0012198B">
        <w:rPr>
          <w:rFonts w:cstheme="minorHAnsi"/>
          <w:vertAlign w:val="superscript"/>
        </w:rPr>
        <w:t>rd</w:t>
      </w:r>
      <w:r w:rsidRPr="0012198B">
        <w:rPr>
          <w:rFonts w:cstheme="minorHAnsi"/>
        </w:rPr>
        <w:t xml:space="preserve"> ed) </w:t>
      </w:r>
    </w:p>
    <w:p w:rsidR="00EE632D" w:rsidRPr="0012198B" w:rsidRDefault="00EE632D" w:rsidP="00EE632D">
      <w:pPr>
        <w:pStyle w:val="NoSpacing"/>
        <w:rPr>
          <w:rFonts w:cstheme="minorHAnsi"/>
        </w:rPr>
      </w:pPr>
      <w:r w:rsidRPr="0012198B">
        <w:rPr>
          <w:rFonts w:cstheme="minorHAnsi"/>
        </w:rPr>
        <w:t xml:space="preserve">      Berkshire: Open university press.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 Davey, G. (2014). Psychopathology: Research, Assessment, and Treatment in Clinical Psychology. </w:t>
      </w:r>
    </w:p>
    <w:p w:rsidR="00EE632D" w:rsidRPr="0012198B" w:rsidRDefault="00EE632D" w:rsidP="00EE632D">
      <w:pPr>
        <w:pStyle w:val="NoSpacing"/>
        <w:rPr>
          <w:rFonts w:cstheme="minorHAnsi"/>
        </w:rPr>
      </w:pPr>
      <w:r w:rsidRPr="0012198B">
        <w:rPr>
          <w:rFonts w:cstheme="minorHAnsi"/>
        </w:rPr>
        <w:t xml:space="preserve">      (2nd ed) Oxford: Blackwell.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Day, S. (2015, September 9-11). Families experience of Poverty Stigma in Education, in British </w:t>
      </w:r>
    </w:p>
    <w:p w:rsidR="00EE632D" w:rsidRPr="0012198B" w:rsidRDefault="00EE632D" w:rsidP="00EE632D">
      <w:pPr>
        <w:pStyle w:val="NoSpacing"/>
        <w:rPr>
          <w:rFonts w:cstheme="minorHAnsi"/>
        </w:rPr>
      </w:pPr>
      <w:r w:rsidRPr="0012198B">
        <w:rPr>
          <w:rFonts w:cstheme="minorHAnsi"/>
        </w:rPr>
        <w:t xml:space="preserve">       Psychological Society (Eds) </w:t>
      </w:r>
      <w:r w:rsidRPr="0012198B">
        <w:rPr>
          <w:rFonts w:cstheme="minorHAnsi"/>
          <w:i/>
        </w:rPr>
        <w:t>Developmental Psychology Section</w:t>
      </w:r>
      <w:r w:rsidRPr="0012198B">
        <w:rPr>
          <w:rFonts w:cstheme="minorHAnsi"/>
        </w:rPr>
        <w:t>, Psychology ,46, (6), (2016)</w:t>
      </w:r>
    </w:p>
    <w:p w:rsidR="00EE632D" w:rsidRPr="0012198B" w:rsidRDefault="00EE632D" w:rsidP="00EE632D">
      <w:pPr>
        <w:pStyle w:val="NoSpacing"/>
        <w:rPr>
          <w:rFonts w:cstheme="minorHAnsi"/>
        </w:rPr>
      </w:pPr>
      <w:r w:rsidRPr="0012198B">
        <w:rPr>
          <w:rFonts w:cstheme="minorHAnsi"/>
        </w:rPr>
        <w:t xml:space="preserve">       pp 369-375.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Evans, L., Mitchell, I.D. &amp; Jones, S. (2006). Psychological Response to Sport Injury, In </w:t>
      </w:r>
      <w:proofErr w:type="spellStart"/>
      <w:r w:rsidRPr="0012198B">
        <w:rPr>
          <w:rFonts w:cstheme="minorHAnsi"/>
        </w:rPr>
        <w:t>Hanton</w:t>
      </w:r>
      <w:proofErr w:type="spellEnd"/>
      <w:r w:rsidRPr="0012198B">
        <w:rPr>
          <w:rFonts w:cstheme="minorHAnsi"/>
        </w:rPr>
        <w:t xml:space="preserve">, S. &amp; </w:t>
      </w:r>
    </w:p>
    <w:p w:rsidR="00EE632D" w:rsidRPr="0012198B" w:rsidRDefault="00EE632D" w:rsidP="00EE632D">
      <w:pPr>
        <w:pStyle w:val="NoSpacing"/>
        <w:rPr>
          <w:rFonts w:cstheme="minorHAnsi"/>
        </w:rPr>
      </w:pPr>
      <w:r w:rsidRPr="0012198B">
        <w:rPr>
          <w:rFonts w:cstheme="minorHAnsi"/>
        </w:rPr>
        <w:t xml:space="preserve">       </w:t>
      </w:r>
      <w:proofErr w:type="spellStart"/>
      <w:r w:rsidRPr="0012198B">
        <w:rPr>
          <w:rFonts w:cstheme="minorHAnsi"/>
        </w:rPr>
        <w:t>Mellalieu</w:t>
      </w:r>
      <w:proofErr w:type="spellEnd"/>
      <w:r w:rsidRPr="0012198B">
        <w:rPr>
          <w:rFonts w:cstheme="minorHAnsi"/>
        </w:rPr>
        <w:t xml:space="preserve">, S.D. </w:t>
      </w:r>
      <w:r w:rsidRPr="0012198B">
        <w:rPr>
          <w:rFonts w:cstheme="minorHAnsi"/>
          <w:i/>
        </w:rPr>
        <w:t xml:space="preserve">Literature reviews in Sport Psychology, </w:t>
      </w:r>
      <w:r w:rsidRPr="0012198B">
        <w:rPr>
          <w:rFonts w:cstheme="minorHAnsi"/>
        </w:rPr>
        <w:t xml:space="preserve">pp 289-319. </w:t>
      </w:r>
      <w:proofErr w:type="spellStart"/>
      <w:r w:rsidRPr="0012198B">
        <w:rPr>
          <w:rFonts w:cstheme="minorHAnsi"/>
        </w:rPr>
        <w:t>Hauppage</w:t>
      </w:r>
      <w:proofErr w:type="spellEnd"/>
      <w:r w:rsidRPr="0012198B">
        <w:rPr>
          <w:rFonts w:cstheme="minorHAnsi"/>
        </w:rPr>
        <w:t>, NY: Nova Science</w:t>
      </w:r>
    </w:p>
    <w:p w:rsidR="00EE632D" w:rsidRPr="0012198B" w:rsidRDefault="00EE632D" w:rsidP="00EE632D">
      <w:pPr>
        <w:pStyle w:val="NoSpacing"/>
        <w:rPr>
          <w:rFonts w:cstheme="minorHAnsi"/>
        </w:rPr>
      </w:pPr>
      <w:r w:rsidRPr="0012198B">
        <w:rPr>
          <w:rFonts w:cstheme="minorHAnsi"/>
        </w:rPr>
        <w:t xml:space="preserve">       Publications.</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r w:rsidRPr="0012198B">
        <w:rPr>
          <w:rFonts w:cstheme="minorHAnsi"/>
        </w:rPr>
        <w:t>Geekie</w:t>
      </w:r>
      <w:proofErr w:type="spellEnd"/>
      <w:r w:rsidRPr="0012198B">
        <w:rPr>
          <w:rFonts w:cstheme="minorHAnsi"/>
        </w:rPr>
        <w:t xml:space="preserve">, J., &amp; Read, J. (2009). Making sense of madness: Contesting the meaning of schizophrenia. </w:t>
      </w:r>
    </w:p>
    <w:p w:rsidR="00EE632D" w:rsidRPr="0012198B" w:rsidRDefault="00EE632D" w:rsidP="00EE632D">
      <w:pPr>
        <w:pStyle w:val="NoSpacing"/>
        <w:rPr>
          <w:rFonts w:cstheme="minorHAnsi"/>
        </w:rPr>
      </w:pPr>
      <w:r w:rsidRPr="0012198B">
        <w:rPr>
          <w:rFonts w:cstheme="minorHAnsi"/>
        </w:rPr>
        <w:t xml:space="preserve">        London: Routledge Taylor &amp; Francis. [E-book].</w:t>
      </w:r>
    </w:p>
    <w:p w:rsidR="00EE632D" w:rsidRPr="0012198B" w:rsidRDefault="00EE632D" w:rsidP="00EE632D">
      <w:pPr>
        <w:pStyle w:val="NoSpacing"/>
        <w:rPr>
          <w:rFonts w:cstheme="minorHAnsi"/>
        </w:rPr>
      </w:pPr>
      <w:r w:rsidRPr="0012198B">
        <w:rPr>
          <w:rFonts w:cstheme="minorHAnsi"/>
        </w:rPr>
        <w:t xml:space="preserve">        </w:t>
      </w:r>
      <w:hyperlink r:id="rId6" w:history="1">
        <w:r w:rsidRPr="0012198B">
          <w:rPr>
            <w:rStyle w:val="Hyperlink"/>
            <w:rFonts w:cstheme="minorHAnsi"/>
          </w:rPr>
          <w:t>http://www.tandfebooks.com/doi/view/10.4324/9780203878422</w:t>
        </w:r>
      </w:hyperlink>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r w:rsidRPr="0012198B">
        <w:rPr>
          <w:rFonts w:cstheme="minorHAnsi"/>
        </w:rPr>
        <w:t>Hefferon</w:t>
      </w:r>
      <w:proofErr w:type="spellEnd"/>
      <w:r w:rsidRPr="0012198B">
        <w:rPr>
          <w:rFonts w:cstheme="minorHAnsi"/>
        </w:rPr>
        <w:t xml:space="preserve">, K. &amp; </w:t>
      </w:r>
      <w:proofErr w:type="spellStart"/>
      <w:r w:rsidRPr="0012198B">
        <w:rPr>
          <w:rFonts w:cstheme="minorHAnsi"/>
        </w:rPr>
        <w:t>Boniwell</w:t>
      </w:r>
      <w:proofErr w:type="spellEnd"/>
      <w:r w:rsidRPr="0012198B">
        <w:rPr>
          <w:rFonts w:cstheme="minorHAnsi"/>
        </w:rPr>
        <w:t xml:space="preserve">, I. (2011). Positive psychology: theory, research and applications. </w:t>
      </w:r>
    </w:p>
    <w:p w:rsidR="00EE632D" w:rsidRPr="0012198B" w:rsidRDefault="00EE632D" w:rsidP="00EE632D">
      <w:pPr>
        <w:pStyle w:val="NoSpacing"/>
        <w:rPr>
          <w:rFonts w:cstheme="minorHAnsi"/>
        </w:rPr>
      </w:pPr>
      <w:r w:rsidRPr="0012198B">
        <w:rPr>
          <w:rFonts w:cstheme="minorHAnsi"/>
        </w:rPr>
        <w:t xml:space="preserve">       New York, New York: Open University Press.</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i/>
        </w:rPr>
      </w:pPr>
      <w:r w:rsidRPr="0012198B">
        <w:rPr>
          <w:rFonts w:cstheme="minorHAnsi"/>
        </w:rPr>
        <w:t xml:space="preserve">Hill, E.M. (2015). The role of narcissism in health-risk and health-protective </w:t>
      </w:r>
      <w:proofErr w:type="spellStart"/>
      <w:r w:rsidRPr="0012198B">
        <w:rPr>
          <w:rFonts w:cstheme="minorHAnsi"/>
        </w:rPr>
        <w:t>behaviors</w:t>
      </w:r>
      <w:proofErr w:type="spellEnd"/>
      <w:r w:rsidRPr="0012198B">
        <w:rPr>
          <w:rFonts w:cstheme="minorHAnsi"/>
          <w:i/>
        </w:rPr>
        <w:t>. Journal of</w:t>
      </w:r>
    </w:p>
    <w:p w:rsidR="00EE632D" w:rsidRPr="0012198B" w:rsidRDefault="00EE632D" w:rsidP="00EE632D">
      <w:pPr>
        <w:pStyle w:val="NoSpacing"/>
        <w:rPr>
          <w:rFonts w:cstheme="minorHAnsi"/>
        </w:rPr>
      </w:pPr>
      <w:r w:rsidRPr="0012198B">
        <w:rPr>
          <w:rFonts w:cstheme="minorHAnsi"/>
          <w:i/>
        </w:rPr>
        <w:t xml:space="preserve">       health psychology,</w:t>
      </w:r>
      <w:r w:rsidRPr="0012198B">
        <w:rPr>
          <w:rFonts w:cstheme="minorHAnsi"/>
        </w:rPr>
        <w:t xml:space="preserve"> pp 1-12. DOI: 10.1177/1359105315569858</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proofErr w:type="gramStart"/>
      <w:r w:rsidRPr="0012198B">
        <w:rPr>
          <w:rFonts w:cstheme="minorHAnsi"/>
        </w:rPr>
        <w:t>Mazetti,G</w:t>
      </w:r>
      <w:proofErr w:type="spellEnd"/>
      <w:r w:rsidRPr="0012198B">
        <w:rPr>
          <w:rFonts w:cstheme="minorHAnsi"/>
        </w:rPr>
        <w:t>.</w:t>
      </w:r>
      <w:proofErr w:type="gramEnd"/>
      <w:r w:rsidRPr="0012198B">
        <w:rPr>
          <w:rFonts w:cstheme="minorHAnsi"/>
        </w:rPr>
        <w:t xml:space="preserve">, </w:t>
      </w:r>
      <w:proofErr w:type="spellStart"/>
      <w:r w:rsidRPr="0012198B">
        <w:rPr>
          <w:rFonts w:cstheme="minorHAnsi"/>
        </w:rPr>
        <w:t>Scaufeli</w:t>
      </w:r>
      <w:proofErr w:type="spellEnd"/>
      <w:r w:rsidRPr="0012198B">
        <w:rPr>
          <w:rFonts w:cstheme="minorHAnsi"/>
        </w:rPr>
        <w:t xml:space="preserve">, W.B. &amp; </w:t>
      </w:r>
      <w:proofErr w:type="spellStart"/>
      <w:r w:rsidRPr="0012198B">
        <w:rPr>
          <w:rFonts w:cstheme="minorHAnsi"/>
        </w:rPr>
        <w:t>Guglielmi</w:t>
      </w:r>
      <w:proofErr w:type="spellEnd"/>
      <w:r w:rsidRPr="0012198B">
        <w:rPr>
          <w:rFonts w:cstheme="minorHAnsi"/>
        </w:rPr>
        <w:t>, D. (2014). Are workaholics born or made? Relations of</w:t>
      </w:r>
    </w:p>
    <w:p w:rsidR="00EE632D" w:rsidRPr="0012198B" w:rsidRDefault="00EE632D" w:rsidP="00EE632D">
      <w:pPr>
        <w:pStyle w:val="NoSpacing"/>
        <w:rPr>
          <w:rFonts w:cstheme="minorHAnsi"/>
          <w:i/>
        </w:rPr>
      </w:pPr>
      <w:r w:rsidRPr="0012198B">
        <w:rPr>
          <w:rFonts w:cstheme="minorHAnsi"/>
        </w:rPr>
        <w:t xml:space="preserve">       workaholism with person characteristics and overwork climate, </w:t>
      </w:r>
      <w:r w:rsidRPr="0012198B">
        <w:rPr>
          <w:rFonts w:cstheme="minorHAnsi"/>
          <w:i/>
        </w:rPr>
        <w:t>International journal of stress</w:t>
      </w:r>
    </w:p>
    <w:p w:rsidR="00EE632D" w:rsidRPr="0012198B" w:rsidRDefault="00EE632D" w:rsidP="00EE632D">
      <w:pPr>
        <w:pStyle w:val="NoSpacing"/>
        <w:rPr>
          <w:rFonts w:cstheme="minorHAnsi"/>
        </w:rPr>
      </w:pPr>
      <w:r w:rsidRPr="0012198B">
        <w:rPr>
          <w:rFonts w:cstheme="minorHAnsi"/>
          <w:i/>
        </w:rPr>
        <w:t xml:space="preserve">       management, 23, (3</w:t>
      </w:r>
      <w:r w:rsidRPr="0012198B">
        <w:rPr>
          <w:rFonts w:cstheme="minorHAnsi"/>
        </w:rPr>
        <w:t xml:space="preserve">), pp 227-254.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Mental Health Foundation (2017, September 10). Computerised cognitive behavioural therapy.</w:t>
      </w:r>
    </w:p>
    <w:p w:rsidR="00EE632D" w:rsidRPr="0012198B" w:rsidRDefault="00EE632D" w:rsidP="00EE632D">
      <w:pPr>
        <w:pStyle w:val="NoSpacing"/>
        <w:rPr>
          <w:rFonts w:cstheme="minorHAnsi"/>
        </w:rPr>
      </w:pPr>
      <w:r w:rsidRPr="0012198B">
        <w:rPr>
          <w:rFonts w:cstheme="minorHAnsi"/>
        </w:rPr>
        <w:t xml:space="preserve">       [Audio podcast]  </w:t>
      </w:r>
      <w:hyperlink r:id="rId7" w:history="1">
        <w:r w:rsidRPr="0012198B">
          <w:rPr>
            <w:rStyle w:val="Hyperlink"/>
            <w:rFonts w:cstheme="minorHAnsi"/>
          </w:rPr>
          <w:t>http://www.mentalhealth.org.uk/podcastsand-videos/computerised</w:t>
        </w:r>
      </w:hyperlink>
      <w:r w:rsidRPr="0012198B">
        <w:rPr>
          <w:rFonts w:cstheme="minorHAnsi"/>
        </w:rPr>
        <w:t xml:space="preserve"> </w:t>
      </w:r>
    </w:p>
    <w:p w:rsidR="00EE632D" w:rsidRPr="0012198B" w:rsidRDefault="00EE632D" w:rsidP="00EE632D">
      <w:pPr>
        <w:pStyle w:val="NoSpacing"/>
        <w:rPr>
          <w:rFonts w:cstheme="minorHAnsi"/>
        </w:rPr>
      </w:pPr>
      <w:r w:rsidRPr="0012198B">
        <w:rPr>
          <w:rFonts w:cstheme="minorHAnsi"/>
        </w:rPr>
        <w:t xml:space="preserve">       -</w:t>
      </w:r>
      <w:proofErr w:type="spellStart"/>
      <w:r w:rsidRPr="0012198B">
        <w:rPr>
          <w:rFonts w:cstheme="minorHAnsi"/>
        </w:rPr>
        <w:t>cognitivebehavioural</w:t>
      </w:r>
      <w:proofErr w:type="spellEnd"/>
      <w:r w:rsidRPr="0012198B">
        <w:rPr>
          <w:rFonts w:cstheme="minorHAnsi"/>
        </w:rPr>
        <w:t xml:space="preserve">-therapy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Mohamed, S. (2011). Stigma and mental illness: </w:t>
      </w:r>
      <w:r w:rsidRPr="0012198B">
        <w:rPr>
          <w:rFonts w:cstheme="minorHAnsi"/>
          <w:i/>
        </w:rPr>
        <w:t>are there cultural differences?</w:t>
      </w:r>
      <w:r w:rsidRPr="0012198B">
        <w:rPr>
          <w:rFonts w:cstheme="minorHAnsi"/>
        </w:rPr>
        <w:t xml:space="preserve"> (Doctoral dissertation)</w:t>
      </w:r>
    </w:p>
    <w:p w:rsidR="00EE632D" w:rsidRPr="0012198B" w:rsidRDefault="00EE632D" w:rsidP="00EE632D">
      <w:pPr>
        <w:pStyle w:val="NoSpacing"/>
        <w:rPr>
          <w:rFonts w:cstheme="minorHAnsi"/>
        </w:rPr>
      </w:pPr>
      <w:r w:rsidRPr="0012198B">
        <w:rPr>
          <w:rFonts w:cstheme="minorHAnsi"/>
          <w:i/>
        </w:rPr>
        <w:t xml:space="preserve">       </w:t>
      </w:r>
      <w:r w:rsidRPr="0012198B">
        <w:rPr>
          <w:rFonts w:cstheme="minorHAnsi"/>
        </w:rPr>
        <w:t xml:space="preserve"> University of East Anglia, </w:t>
      </w:r>
      <w:proofErr w:type="spellStart"/>
      <w:r w:rsidRPr="0012198B">
        <w:rPr>
          <w:rFonts w:cstheme="minorHAnsi"/>
        </w:rPr>
        <w:t>EThOS</w:t>
      </w:r>
      <w:proofErr w:type="spellEnd"/>
      <w:r w:rsidRPr="0012198B">
        <w:rPr>
          <w:rFonts w:cstheme="minorHAnsi"/>
        </w:rPr>
        <w:t xml:space="preserve">, </w:t>
      </w:r>
      <w:proofErr w:type="gramStart"/>
      <w:r w:rsidRPr="0012198B">
        <w:rPr>
          <w:rFonts w:cstheme="minorHAnsi"/>
        </w:rPr>
        <w:t>uk.bl.ethos</w:t>
      </w:r>
      <w:proofErr w:type="gramEnd"/>
      <w:r w:rsidRPr="0012198B">
        <w:rPr>
          <w:rFonts w:cstheme="minorHAnsi"/>
        </w:rPr>
        <w:t xml:space="preserve">.573-771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 Office for National Statistics. (2016). Adult drinking habits in Great Britain: 2005 to 2016.</w:t>
      </w:r>
    </w:p>
    <w:p w:rsidR="00EE632D" w:rsidRPr="0012198B" w:rsidRDefault="00EE632D" w:rsidP="00EE632D">
      <w:pPr>
        <w:pStyle w:val="NoSpacing"/>
        <w:rPr>
          <w:rFonts w:cstheme="minorHAnsi"/>
        </w:rPr>
      </w:pPr>
      <w:r w:rsidRPr="0012198B">
        <w:rPr>
          <w:rFonts w:cstheme="minorHAnsi"/>
        </w:rPr>
        <w:t xml:space="preserve">        </w:t>
      </w:r>
      <w:hyperlink r:id="rId8" w:history="1">
        <w:r w:rsidRPr="0012198B">
          <w:rPr>
            <w:rStyle w:val="Hyperlink"/>
            <w:rFonts w:cstheme="minorHAnsi"/>
          </w:rPr>
          <w:t>https://www.ons.gov.uk/peopleandcommunity/healthandsocialcare/drugusealcoholandsmokin</w:t>
        </w:r>
      </w:hyperlink>
    </w:p>
    <w:p w:rsidR="00EE632D" w:rsidRPr="0012198B" w:rsidRDefault="00EE632D" w:rsidP="00EE632D">
      <w:pPr>
        <w:pStyle w:val="NoSpacing"/>
        <w:rPr>
          <w:rFonts w:cstheme="minorHAnsi"/>
        </w:rPr>
      </w:pPr>
      <w:r w:rsidRPr="0012198B">
        <w:rPr>
          <w:rFonts w:cstheme="minorHAnsi"/>
        </w:rPr>
        <w:t xml:space="preserve">        g/bulletins/opinionandlifestylesurveyadultdrinkinghabitsingreatbritain/2005to2016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Phelps, C., </w:t>
      </w:r>
      <w:proofErr w:type="spellStart"/>
      <w:r w:rsidRPr="0012198B">
        <w:rPr>
          <w:rFonts w:cstheme="minorHAnsi"/>
        </w:rPr>
        <w:t>Minou</w:t>
      </w:r>
      <w:proofErr w:type="spellEnd"/>
      <w:r w:rsidRPr="0012198B">
        <w:rPr>
          <w:rFonts w:cstheme="minorHAnsi"/>
        </w:rPr>
        <w:t xml:space="preserve">, M., Baker, A., Hughes, C., French, H., Hawkins, W., …Hutchings, P.B (2017). </w:t>
      </w:r>
    </w:p>
    <w:p w:rsidR="00EE632D" w:rsidRPr="0012198B" w:rsidRDefault="00EE632D" w:rsidP="00EE632D">
      <w:pPr>
        <w:pStyle w:val="NoSpacing"/>
        <w:rPr>
          <w:rFonts w:cstheme="minorHAnsi"/>
        </w:rPr>
      </w:pPr>
      <w:r w:rsidRPr="0012198B">
        <w:rPr>
          <w:rFonts w:cstheme="minorHAnsi"/>
        </w:rPr>
        <w:t xml:space="preserve">      Necessary but not </w:t>
      </w:r>
      <w:proofErr w:type="gramStart"/>
      <w:r w:rsidRPr="0012198B">
        <w:rPr>
          <w:rFonts w:cstheme="minorHAnsi"/>
        </w:rPr>
        <w:t>sufficient</w:t>
      </w:r>
      <w:proofErr w:type="gramEnd"/>
      <w:r w:rsidRPr="0012198B">
        <w:rPr>
          <w:rFonts w:cstheme="minorHAnsi"/>
        </w:rPr>
        <w:t>? Engaging young people in the development of an avatar‐based</w:t>
      </w:r>
    </w:p>
    <w:p w:rsidR="00EE632D" w:rsidRPr="0012198B" w:rsidRDefault="00EE632D" w:rsidP="00EE632D">
      <w:pPr>
        <w:pStyle w:val="NoSpacing"/>
        <w:rPr>
          <w:rFonts w:cstheme="minorHAnsi"/>
        </w:rPr>
      </w:pPr>
      <w:r w:rsidRPr="0012198B">
        <w:rPr>
          <w:rFonts w:cstheme="minorHAnsi"/>
        </w:rPr>
        <w:t xml:space="preserve">      online intervention designed to provide psychosocial support to young people affected by </w:t>
      </w:r>
      <w:proofErr w:type="gramStart"/>
      <w:r w:rsidRPr="0012198B">
        <w:rPr>
          <w:rFonts w:cstheme="minorHAnsi"/>
        </w:rPr>
        <w:t>their</w:t>
      </w:r>
      <w:proofErr w:type="gramEnd"/>
      <w:r w:rsidRPr="0012198B">
        <w:rPr>
          <w:rFonts w:cstheme="minorHAnsi"/>
        </w:rPr>
        <w:t xml:space="preserve"> </w:t>
      </w:r>
    </w:p>
    <w:p w:rsidR="00EE632D" w:rsidRPr="0012198B" w:rsidRDefault="00EE632D" w:rsidP="00EE632D">
      <w:pPr>
        <w:pStyle w:val="NoSpacing"/>
        <w:rPr>
          <w:rFonts w:cstheme="minorHAnsi"/>
        </w:rPr>
      </w:pPr>
      <w:r w:rsidRPr="0012198B">
        <w:rPr>
          <w:rFonts w:cstheme="minorHAnsi"/>
        </w:rPr>
        <w:t xml:space="preserve">      own or a family member's cancer diagnosis, </w:t>
      </w:r>
      <w:r w:rsidRPr="0012198B">
        <w:rPr>
          <w:rFonts w:cstheme="minorHAnsi"/>
          <w:i/>
        </w:rPr>
        <w:t>Health Expectations, 20, 3,</w:t>
      </w:r>
      <w:r w:rsidRPr="0012198B">
        <w:rPr>
          <w:rFonts w:cstheme="minorHAnsi"/>
        </w:rPr>
        <w:t xml:space="preserve"> pp. 459-470.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Tarrier, N., </w:t>
      </w:r>
      <w:proofErr w:type="spellStart"/>
      <w:r w:rsidRPr="0012198B">
        <w:rPr>
          <w:rFonts w:cstheme="minorHAnsi"/>
        </w:rPr>
        <w:t>Liversidge</w:t>
      </w:r>
      <w:proofErr w:type="spellEnd"/>
      <w:r w:rsidRPr="0012198B">
        <w:rPr>
          <w:rFonts w:cstheme="minorHAnsi"/>
        </w:rPr>
        <w:t>, T. &amp; Gregg, L. (2006). The acceptability and preference for the psychological</w:t>
      </w:r>
    </w:p>
    <w:p w:rsidR="00EE632D" w:rsidRPr="0012198B" w:rsidRDefault="00EE632D" w:rsidP="00EE632D">
      <w:pPr>
        <w:pStyle w:val="NoSpacing"/>
        <w:rPr>
          <w:rFonts w:cstheme="minorHAnsi"/>
        </w:rPr>
      </w:pPr>
      <w:r w:rsidRPr="0012198B">
        <w:rPr>
          <w:rFonts w:cstheme="minorHAnsi"/>
        </w:rPr>
        <w:t xml:space="preserve">        treatment of PTSD. </w:t>
      </w:r>
      <w:r w:rsidRPr="0012198B">
        <w:rPr>
          <w:rFonts w:cstheme="minorHAnsi"/>
          <w:i/>
        </w:rPr>
        <w:t>Behaviour, research and therapy</w:t>
      </w:r>
      <w:r w:rsidRPr="0012198B">
        <w:rPr>
          <w:rFonts w:cstheme="minorHAnsi"/>
        </w:rPr>
        <w:t xml:space="preserve">. 44, pp 1643-1656.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r w:rsidRPr="0012198B">
        <w:rPr>
          <w:rFonts w:cstheme="minorHAnsi"/>
        </w:rPr>
        <w:t>Ulleberg</w:t>
      </w:r>
      <w:proofErr w:type="spellEnd"/>
      <w:r w:rsidRPr="0012198B">
        <w:rPr>
          <w:rFonts w:cstheme="minorHAnsi"/>
        </w:rPr>
        <w:t xml:space="preserve">, P. &amp; </w:t>
      </w:r>
      <w:proofErr w:type="spellStart"/>
      <w:r w:rsidRPr="0012198B">
        <w:rPr>
          <w:rFonts w:cstheme="minorHAnsi"/>
        </w:rPr>
        <w:t>Rundmo</w:t>
      </w:r>
      <w:proofErr w:type="spellEnd"/>
      <w:r w:rsidRPr="0012198B">
        <w:rPr>
          <w:rFonts w:cstheme="minorHAnsi"/>
        </w:rPr>
        <w:t>, T. (2003). Personality, attitudes and risk perception as predictors of risky</w:t>
      </w:r>
    </w:p>
    <w:p w:rsidR="00EE632D" w:rsidRPr="0012198B" w:rsidRDefault="00EE632D" w:rsidP="00EE632D">
      <w:pPr>
        <w:pStyle w:val="NoSpacing"/>
        <w:rPr>
          <w:rFonts w:cstheme="minorHAnsi"/>
        </w:rPr>
      </w:pPr>
      <w:r w:rsidRPr="0012198B">
        <w:rPr>
          <w:rFonts w:cstheme="minorHAnsi"/>
        </w:rPr>
        <w:t xml:space="preserve">       driving behaviour among young drivers,</w:t>
      </w:r>
      <w:r w:rsidRPr="0012198B">
        <w:rPr>
          <w:rFonts w:cstheme="minorHAnsi"/>
          <w:i/>
        </w:rPr>
        <w:t xml:space="preserve"> Safety Science</w:t>
      </w:r>
      <w:r w:rsidRPr="0012198B">
        <w:rPr>
          <w:rFonts w:cstheme="minorHAnsi"/>
        </w:rPr>
        <w:t xml:space="preserve">, 41, pp 427-443.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Van Hasselt, V.B., Romano, S.J., </w:t>
      </w:r>
      <w:proofErr w:type="spellStart"/>
      <w:r w:rsidRPr="0012198B">
        <w:rPr>
          <w:rFonts w:cstheme="minorHAnsi"/>
        </w:rPr>
        <w:t>Vecchi</w:t>
      </w:r>
      <w:proofErr w:type="spellEnd"/>
      <w:r w:rsidRPr="0012198B">
        <w:rPr>
          <w:rFonts w:cstheme="minorHAnsi"/>
        </w:rPr>
        <w:t>, G.M. (2008). Role playing: Applications in hostage and crisis</w:t>
      </w:r>
    </w:p>
    <w:p w:rsidR="00EE632D" w:rsidRPr="0012198B" w:rsidRDefault="00EE632D" w:rsidP="00EE632D">
      <w:pPr>
        <w:pStyle w:val="NoSpacing"/>
        <w:rPr>
          <w:rFonts w:cstheme="minorHAnsi"/>
        </w:rPr>
      </w:pPr>
      <w:r w:rsidRPr="0012198B">
        <w:rPr>
          <w:rFonts w:cstheme="minorHAnsi"/>
        </w:rPr>
        <w:t xml:space="preserve">        negotiation skills training. </w:t>
      </w:r>
      <w:proofErr w:type="spellStart"/>
      <w:r w:rsidRPr="0012198B">
        <w:rPr>
          <w:rFonts w:cstheme="minorHAnsi"/>
          <w:i/>
        </w:rPr>
        <w:t>Behavior</w:t>
      </w:r>
      <w:proofErr w:type="spellEnd"/>
      <w:r w:rsidRPr="0012198B">
        <w:rPr>
          <w:rFonts w:cstheme="minorHAnsi"/>
          <w:i/>
        </w:rPr>
        <w:t xml:space="preserve"> Modification</w:t>
      </w:r>
      <w:r w:rsidRPr="0012198B">
        <w:rPr>
          <w:rFonts w:cstheme="minorHAnsi"/>
        </w:rPr>
        <w:t>, 32, (2) pp 248-263. DOI:</w:t>
      </w:r>
    </w:p>
    <w:p w:rsidR="00EE632D" w:rsidRPr="0012198B" w:rsidRDefault="00EE632D" w:rsidP="00EE632D">
      <w:pPr>
        <w:pStyle w:val="NoSpacing"/>
        <w:rPr>
          <w:rFonts w:cstheme="minorHAnsi"/>
        </w:rPr>
      </w:pPr>
      <w:r w:rsidRPr="0012198B">
        <w:rPr>
          <w:rFonts w:cstheme="minorHAnsi"/>
        </w:rPr>
        <w:t xml:space="preserve">       10.1177/0145445507308281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proofErr w:type="spellStart"/>
      <w:r w:rsidRPr="0012198B">
        <w:rPr>
          <w:rFonts w:cstheme="minorHAnsi"/>
        </w:rPr>
        <w:t>Vartanian</w:t>
      </w:r>
      <w:proofErr w:type="spellEnd"/>
      <w:r w:rsidRPr="0012198B">
        <w:rPr>
          <w:rFonts w:cstheme="minorHAnsi"/>
        </w:rPr>
        <w:t xml:space="preserve">, Lenny, R., Trewartha, T &amp; </w:t>
      </w:r>
      <w:proofErr w:type="spellStart"/>
      <w:r w:rsidRPr="0012198B">
        <w:rPr>
          <w:rFonts w:cstheme="minorHAnsi"/>
        </w:rPr>
        <w:t>Vanman</w:t>
      </w:r>
      <w:proofErr w:type="spellEnd"/>
      <w:r w:rsidRPr="0012198B">
        <w:rPr>
          <w:rFonts w:cstheme="minorHAnsi"/>
        </w:rPr>
        <w:t xml:space="preserve">, E.J. (2016). Disgust predicts prejudice and </w:t>
      </w:r>
    </w:p>
    <w:p w:rsidR="00EE632D" w:rsidRPr="0012198B" w:rsidRDefault="00EE632D" w:rsidP="00EE632D">
      <w:pPr>
        <w:pStyle w:val="NoSpacing"/>
        <w:rPr>
          <w:rFonts w:cstheme="minorHAnsi"/>
        </w:rPr>
      </w:pPr>
      <w:r w:rsidRPr="0012198B">
        <w:rPr>
          <w:rFonts w:cstheme="minorHAnsi"/>
        </w:rPr>
        <w:t xml:space="preserve">       discrimination toward individuals with </w:t>
      </w:r>
      <w:proofErr w:type="gramStart"/>
      <w:r w:rsidRPr="0012198B">
        <w:rPr>
          <w:rFonts w:cstheme="minorHAnsi"/>
        </w:rPr>
        <w:t xml:space="preserve">obesity,  </w:t>
      </w:r>
      <w:r w:rsidRPr="0012198B">
        <w:rPr>
          <w:rFonts w:cstheme="minorHAnsi"/>
          <w:i/>
        </w:rPr>
        <w:t>Journal</w:t>
      </w:r>
      <w:proofErr w:type="gramEnd"/>
      <w:r w:rsidRPr="0012198B">
        <w:rPr>
          <w:rFonts w:cstheme="minorHAnsi"/>
          <w:i/>
        </w:rPr>
        <w:t xml:space="preserve"> of Applied Social Psychology.</w:t>
      </w:r>
      <w:r w:rsidRPr="0012198B">
        <w:rPr>
          <w:rFonts w:cstheme="minorHAnsi"/>
        </w:rPr>
        <w:t xml:space="preserve"> 46, (6), </w:t>
      </w:r>
    </w:p>
    <w:p w:rsidR="00EE632D" w:rsidRPr="0012198B" w:rsidRDefault="00EE632D" w:rsidP="00EE632D">
      <w:pPr>
        <w:pStyle w:val="NoSpacing"/>
        <w:rPr>
          <w:rFonts w:cstheme="minorHAnsi"/>
        </w:rPr>
      </w:pPr>
      <w:r w:rsidRPr="0012198B">
        <w:rPr>
          <w:rFonts w:cstheme="minorHAnsi"/>
        </w:rPr>
        <w:t xml:space="preserve">       pp 369-375.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Voigt, D.C., </w:t>
      </w:r>
      <w:proofErr w:type="spellStart"/>
      <w:r w:rsidRPr="0012198B">
        <w:rPr>
          <w:rFonts w:cstheme="minorHAnsi"/>
        </w:rPr>
        <w:t>Dillaro</w:t>
      </w:r>
      <w:proofErr w:type="spellEnd"/>
      <w:r w:rsidRPr="0012198B">
        <w:rPr>
          <w:rFonts w:cstheme="minorHAnsi"/>
        </w:rPr>
        <w:t xml:space="preserve">, J.P., Braddock, K.H., Anderson, J.W., </w:t>
      </w:r>
      <w:proofErr w:type="spellStart"/>
      <w:r w:rsidRPr="0012198B">
        <w:rPr>
          <w:rFonts w:cstheme="minorHAnsi"/>
        </w:rPr>
        <w:t>Sopory</w:t>
      </w:r>
      <w:proofErr w:type="spellEnd"/>
      <w:r w:rsidRPr="0012198B">
        <w:rPr>
          <w:rFonts w:cstheme="minorHAnsi"/>
        </w:rPr>
        <w:t>, P. &amp; Stephenson, M.T. (2009).</w:t>
      </w:r>
    </w:p>
    <w:p w:rsidR="00EE632D" w:rsidRPr="0012198B" w:rsidRDefault="00EE632D" w:rsidP="00EE632D">
      <w:pPr>
        <w:pStyle w:val="NoSpacing"/>
        <w:rPr>
          <w:rFonts w:cstheme="minorHAnsi"/>
          <w:i/>
        </w:rPr>
      </w:pPr>
      <w:r w:rsidRPr="0012198B">
        <w:rPr>
          <w:rFonts w:cstheme="minorHAnsi"/>
        </w:rPr>
        <w:t xml:space="preserve">        Personality and individual differences. In Carver and White’s (1994)</w:t>
      </w:r>
      <w:r w:rsidRPr="0012198B">
        <w:rPr>
          <w:rFonts w:cstheme="minorHAnsi"/>
          <w:i/>
        </w:rPr>
        <w:t xml:space="preserve"> BIS/BAS scales and </w:t>
      </w:r>
      <w:proofErr w:type="gramStart"/>
      <w:r w:rsidRPr="0012198B">
        <w:rPr>
          <w:rFonts w:cstheme="minorHAnsi"/>
          <w:i/>
        </w:rPr>
        <w:t>their</w:t>
      </w:r>
      <w:proofErr w:type="gramEnd"/>
      <w:r w:rsidRPr="0012198B">
        <w:rPr>
          <w:rFonts w:cstheme="minorHAnsi"/>
          <w:i/>
        </w:rPr>
        <w:t xml:space="preserve"> </w:t>
      </w:r>
    </w:p>
    <w:p w:rsidR="00EE632D" w:rsidRPr="0012198B" w:rsidRDefault="00EE632D" w:rsidP="00EE632D">
      <w:pPr>
        <w:pStyle w:val="NoSpacing"/>
        <w:rPr>
          <w:rFonts w:cstheme="minorHAnsi"/>
        </w:rPr>
      </w:pPr>
      <w:r w:rsidRPr="0012198B">
        <w:rPr>
          <w:rFonts w:cstheme="minorHAnsi"/>
          <w:i/>
        </w:rPr>
        <w:t xml:space="preserve">        relationship to risky health behaviours.</w:t>
      </w:r>
      <w:r w:rsidRPr="0012198B">
        <w:rPr>
          <w:rFonts w:cstheme="minorHAnsi"/>
        </w:rPr>
        <w:t xml:space="preserve"> 47, pp 89-93.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 xml:space="preserve">Welsh Government (2015). </w:t>
      </w:r>
      <w:r w:rsidRPr="0012198B">
        <w:rPr>
          <w:rFonts w:cstheme="minorHAnsi"/>
          <w:i/>
        </w:rPr>
        <w:t>Well-being of future generations (Wales) act 2015</w:t>
      </w:r>
      <w:r w:rsidRPr="0012198B">
        <w:rPr>
          <w:rFonts w:cstheme="minorHAnsi"/>
        </w:rPr>
        <w:t xml:space="preserve">. United Kingdom: </w:t>
      </w:r>
    </w:p>
    <w:p w:rsidR="00EE632D" w:rsidRPr="0012198B" w:rsidRDefault="00EE632D" w:rsidP="00EE632D">
      <w:pPr>
        <w:pStyle w:val="NoSpacing"/>
        <w:rPr>
          <w:rFonts w:cstheme="minorHAnsi"/>
        </w:rPr>
      </w:pPr>
      <w:r w:rsidRPr="0012198B">
        <w:rPr>
          <w:rFonts w:cstheme="minorHAnsi"/>
        </w:rPr>
        <w:t xml:space="preserve">       The Office Stationary Limited.</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Williamson, H.</w:t>
      </w:r>
      <w:r w:rsidR="003C147F">
        <w:rPr>
          <w:rFonts w:cstheme="minorHAnsi"/>
        </w:rPr>
        <w:t xml:space="preserve"> </w:t>
      </w:r>
      <w:bookmarkStart w:id="0" w:name="_GoBack"/>
      <w:bookmarkEnd w:id="0"/>
      <w:r w:rsidRPr="0012198B">
        <w:rPr>
          <w:rFonts w:cstheme="minorHAnsi"/>
        </w:rPr>
        <w:t>(2016, October 12-14). Supporting adolescents struggling with appearance altering</w:t>
      </w:r>
    </w:p>
    <w:p w:rsidR="00EE632D" w:rsidRPr="0012198B" w:rsidRDefault="00EE632D" w:rsidP="00EE632D">
      <w:pPr>
        <w:pStyle w:val="NoSpacing"/>
        <w:rPr>
          <w:rFonts w:cstheme="minorHAnsi"/>
        </w:rPr>
      </w:pPr>
      <w:r w:rsidRPr="0012198B">
        <w:rPr>
          <w:rFonts w:cstheme="minorHAnsi"/>
        </w:rPr>
        <w:t xml:space="preserve">        conditions: the feasibility of using an online psychosocial intervention (YP Face IT) in primary</w:t>
      </w:r>
    </w:p>
    <w:p w:rsidR="00EE632D" w:rsidRPr="0012198B" w:rsidRDefault="00EE632D" w:rsidP="00EE632D">
      <w:pPr>
        <w:pStyle w:val="NoSpacing"/>
        <w:rPr>
          <w:rFonts w:cstheme="minorHAnsi"/>
        </w:rPr>
      </w:pPr>
      <w:r w:rsidRPr="0012198B">
        <w:rPr>
          <w:rFonts w:cstheme="minorHAnsi"/>
        </w:rPr>
        <w:t xml:space="preserve">        care.  Poster presented at:  Annual Primary Care Conference, Centre for Appearance Research, </w:t>
      </w:r>
    </w:p>
    <w:p w:rsidR="00EE632D" w:rsidRPr="0012198B" w:rsidRDefault="00EE632D" w:rsidP="00EE632D">
      <w:pPr>
        <w:pStyle w:val="NoSpacing"/>
        <w:rPr>
          <w:rFonts w:cstheme="minorHAnsi"/>
        </w:rPr>
      </w:pPr>
      <w:r w:rsidRPr="0012198B">
        <w:rPr>
          <w:rFonts w:cstheme="minorHAnsi"/>
        </w:rPr>
        <w:t xml:space="preserve">        University of the West of England, Royal College of General Practitioners.  </w:t>
      </w:r>
    </w:p>
    <w:p w:rsidR="00EE632D" w:rsidRPr="0012198B" w:rsidRDefault="00EE632D" w:rsidP="00EE632D">
      <w:pPr>
        <w:pStyle w:val="NoSpacing"/>
        <w:rPr>
          <w:rFonts w:cstheme="minorHAnsi"/>
        </w:rPr>
      </w:pPr>
    </w:p>
    <w:p w:rsidR="00EE632D" w:rsidRPr="0012198B" w:rsidRDefault="00EE632D" w:rsidP="00EE632D">
      <w:pPr>
        <w:pStyle w:val="NoSpacing"/>
        <w:rPr>
          <w:rFonts w:cstheme="minorHAnsi"/>
        </w:rPr>
      </w:pPr>
      <w:r w:rsidRPr="0012198B">
        <w:rPr>
          <w:rFonts w:cstheme="minorHAnsi"/>
        </w:rPr>
        <w:t>Young, E. (2017). Women know better than men what other women are thinking and feeling,</w:t>
      </w:r>
    </w:p>
    <w:p w:rsidR="00EE632D" w:rsidRPr="0012198B" w:rsidRDefault="00EE632D" w:rsidP="00EE632D">
      <w:pPr>
        <w:pStyle w:val="NoSpacing"/>
        <w:rPr>
          <w:rFonts w:cstheme="minorHAnsi"/>
        </w:rPr>
      </w:pPr>
      <w:r w:rsidRPr="0012198B">
        <w:rPr>
          <w:rFonts w:cstheme="minorHAnsi"/>
        </w:rPr>
        <w:t xml:space="preserve">        </w:t>
      </w:r>
      <w:r w:rsidRPr="0012198B">
        <w:rPr>
          <w:rFonts w:cstheme="minorHAnsi"/>
          <w:i/>
        </w:rPr>
        <w:t>Research Digest.</w:t>
      </w:r>
      <w:r w:rsidRPr="0012198B">
        <w:rPr>
          <w:rFonts w:cstheme="minorHAnsi"/>
        </w:rPr>
        <w:t xml:space="preserve"> The British </w:t>
      </w:r>
      <w:proofErr w:type="spellStart"/>
      <w:r w:rsidRPr="0012198B">
        <w:rPr>
          <w:rFonts w:cstheme="minorHAnsi"/>
        </w:rPr>
        <w:t>Pyschological</w:t>
      </w:r>
      <w:proofErr w:type="spellEnd"/>
      <w:r w:rsidRPr="0012198B">
        <w:rPr>
          <w:rFonts w:cstheme="minorHAnsi"/>
        </w:rPr>
        <w:t xml:space="preserve"> Society. Retrieved from </w:t>
      </w:r>
      <w:hyperlink r:id="rId9" w:history="1">
        <w:r w:rsidRPr="0012198B">
          <w:rPr>
            <w:rStyle w:val="Hyperlink"/>
            <w:rFonts w:cstheme="minorHAnsi"/>
          </w:rPr>
          <w:t>https://digest.bps.org.uk/</w:t>
        </w:r>
      </w:hyperlink>
    </w:p>
    <w:p w:rsidR="00EE632D" w:rsidRPr="0012198B" w:rsidRDefault="00EE632D" w:rsidP="00EE632D">
      <w:pPr>
        <w:pStyle w:val="NoSpacing"/>
        <w:rPr>
          <w:rFonts w:cstheme="minorHAnsi"/>
        </w:rPr>
      </w:pPr>
      <w:r w:rsidRPr="0012198B">
        <w:rPr>
          <w:rFonts w:cstheme="minorHAnsi"/>
        </w:rPr>
        <w:t xml:space="preserve">        2017/09/18/women-know-better-thanmenwhat-other-women-are-thinking-and-feeling/</w:t>
      </w: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Default="00EE632D" w:rsidP="00D26683">
      <w:pPr>
        <w:pStyle w:val="NoSpacing"/>
        <w:rPr>
          <w:u w:val="single"/>
        </w:rPr>
      </w:pPr>
    </w:p>
    <w:p w:rsidR="00EE632D" w:rsidRPr="00D26683" w:rsidRDefault="00EE632D" w:rsidP="00D26683">
      <w:pPr>
        <w:pStyle w:val="NoSpacing"/>
        <w:rPr>
          <w:u w:val="single"/>
        </w:rPr>
      </w:pPr>
    </w:p>
    <w:sectPr w:rsidR="00EE632D" w:rsidRPr="00D26683">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28BE" w:rsidRDefault="007E28BE" w:rsidP="0067545F">
      <w:pPr>
        <w:spacing w:after="0" w:line="240" w:lineRule="auto"/>
      </w:pPr>
      <w:r>
        <w:separator/>
      </w:r>
    </w:p>
  </w:endnote>
  <w:endnote w:type="continuationSeparator" w:id="0">
    <w:p w:rsidR="007E28BE" w:rsidRDefault="007E28BE" w:rsidP="00675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21D" w:rsidRDefault="005F02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545F" w:rsidRDefault="0067545F">
    <w:pPr>
      <w:pStyle w:val="Footer"/>
    </w:pPr>
    <w:r>
      <w:t>Genna Bowen.</w:t>
    </w:r>
  </w:p>
  <w:p w:rsidR="0067545F" w:rsidRDefault="006754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21D" w:rsidRDefault="005F0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28BE" w:rsidRDefault="007E28BE" w:rsidP="0067545F">
      <w:pPr>
        <w:spacing w:after="0" w:line="240" w:lineRule="auto"/>
      </w:pPr>
      <w:r>
        <w:separator/>
      </w:r>
    </w:p>
  </w:footnote>
  <w:footnote w:type="continuationSeparator" w:id="0">
    <w:p w:rsidR="007E28BE" w:rsidRDefault="007E28BE" w:rsidP="006754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21D" w:rsidRDefault="005F02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545F" w:rsidRDefault="007E28BE">
    <w:pPr>
      <w:pStyle w:val="Header"/>
    </w:pPr>
    <w:sdt>
      <w:sdtPr>
        <w:id w:val="-1974586929"/>
        <w:docPartObj>
          <w:docPartGallery w:val="Page Numbers (Margins)"/>
          <w:docPartUnique/>
        </w:docPartObj>
      </w:sdtPr>
      <w:sdtEndPr/>
      <w:sdtContent>
        <w:r w:rsidR="005F021D">
          <w:rPr>
            <w:noProof/>
          </w:rPr>
          <mc:AlternateContent>
            <mc:Choice Requires="wps">
              <w:drawing>
                <wp:anchor distT="0" distB="0" distL="114300" distR="114300" simplePos="0" relativeHeight="251659264" behindDoc="0" locked="0" layoutInCell="0" allowOverlap="1">
                  <wp:simplePos x="0" y="0"/>
                  <wp:positionH relativeFrom="rightMargin">
                    <wp:align>center</wp:align>
                  </wp:positionH>
                  <wp:positionV relativeFrom="margin">
                    <wp:align>bottom</wp:align>
                  </wp:positionV>
                  <wp:extent cx="510540" cy="2183130"/>
                  <wp:effectExtent l="0" t="0" r="3810" b="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F021D" w:rsidRDefault="005F021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id="Rectangle 1"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" o:allowincell="f" filled="f" stroked="f">
                  <v:textbox style="layout-flow:vertical;mso-layout-flow-alt:bottom-to-top;mso-fit-shape-to-text:t">
                    <w:txbxContent>
                      <w:p w:rsidR="005F021D" w:rsidRDefault="005F021D">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67545F">
      <w:t>Portfolio of activities, ECGE4001R.</w:t>
    </w:r>
  </w:p>
  <w:p w:rsidR="0067545F" w:rsidRDefault="006754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021D" w:rsidRDefault="005F021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683"/>
    <w:rsid w:val="00001D00"/>
    <w:rsid w:val="00081B88"/>
    <w:rsid w:val="000F285B"/>
    <w:rsid w:val="001F68F9"/>
    <w:rsid w:val="0025172A"/>
    <w:rsid w:val="003C147F"/>
    <w:rsid w:val="003E4A4B"/>
    <w:rsid w:val="00415F84"/>
    <w:rsid w:val="00425BA4"/>
    <w:rsid w:val="005473DC"/>
    <w:rsid w:val="005A4816"/>
    <w:rsid w:val="005D6192"/>
    <w:rsid w:val="005F021D"/>
    <w:rsid w:val="006665A6"/>
    <w:rsid w:val="0067545F"/>
    <w:rsid w:val="006B186E"/>
    <w:rsid w:val="007C7FA1"/>
    <w:rsid w:val="007E28BE"/>
    <w:rsid w:val="00904959"/>
    <w:rsid w:val="009B5CD9"/>
    <w:rsid w:val="009D1083"/>
    <w:rsid w:val="00AB0D35"/>
    <w:rsid w:val="00AC0498"/>
    <w:rsid w:val="00AE5E58"/>
    <w:rsid w:val="00AF3F3A"/>
    <w:rsid w:val="00CE01B7"/>
    <w:rsid w:val="00D26683"/>
    <w:rsid w:val="00DA2076"/>
    <w:rsid w:val="00E065F2"/>
    <w:rsid w:val="00E5351C"/>
    <w:rsid w:val="00EE632D"/>
    <w:rsid w:val="00FF4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CB18B6"/>
  <w15:chartTrackingRefBased/>
  <w15:docId w15:val="{1614428F-61AA-4D1B-B443-16F16395A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63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26683"/>
    <w:pPr>
      <w:spacing w:after="0" w:line="240" w:lineRule="auto"/>
    </w:pPr>
  </w:style>
  <w:style w:type="paragraph" w:styleId="Header">
    <w:name w:val="header"/>
    <w:basedOn w:val="Normal"/>
    <w:link w:val="HeaderChar"/>
    <w:uiPriority w:val="99"/>
    <w:unhideWhenUsed/>
    <w:rsid w:val="006754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45F"/>
  </w:style>
  <w:style w:type="paragraph" w:styleId="Footer">
    <w:name w:val="footer"/>
    <w:basedOn w:val="Normal"/>
    <w:link w:val="FooterChar"/>
    <w:uiPriority w:val="99"/>
    <w:unhideWhenUsed/>
    <w:rsid w:val="00675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45F"/>
  </w:style>
  <w:style w:type="character" w:styleId="Hyperlink">
    <w:name w:val="Hyperlink"/>
    <w:basedOn w:val="DefaultParagraphFont"/>
    <w:uiPriority w:val="99"/>
    <w:unhideWhenUsed/>
    <w:rsid w:val="00EE63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andcommunity/healthandsocialcare/drugusealcoholandsmokin"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www.mentalhealth.org.uk/podcastsand-videos/computerised"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tandfebooks.com/doi/view/10.4324/9780203878422"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igest.bps.org.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1841</Words>
  <Characters>10498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Genna Bowen</dc:creator>
  <cp:keywords/>
  <dc:description/>
  <cp:lastModifiedBy>Genna-kay Bowen (1002065)</cp:lastModifiedBy>
  <cp:revision>3</cp:revision>
  <dcterms:created xsi:type="dcterms:W3CDTF">2018-10-19T12:29:00Z</dcterms:created>
  <dcterms:modified xsi:type="dcterms:W3CDTF">2018-10-28T14:08:00Z</dcterms:modified>
</cp:coreProperties>
</file>