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2">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3">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4">
      <w:pPr>
        <w:jc w:val="both"/>
        <w:rPr>
          <w:rFonts w:ascii="Tahoma" w:cs="Tahoma" w:eastAsia="Tahoma" w:hAnsi="Tahoma"/>
          <w:b w:val="1"/>
          <w:u w:val="single"/>
        </w:rPr>
      </w:pPr>
      <w:r w:rsidDel="00000000" w:rsidR="00000000" w:rsidRPr="00000000">
        <w:rPr>
          <w:rFonts w:ascii="Tahoma" w:cs="Tahoma" w:eastAsia="Tahoma" w:hAnsi="Tahoma"/>
          <w:b w:val="1"/>
          <w:u w:val="single"/>
          <w:rtl w:val="0"/>
        </w:rPr>
        <w:t xml:space="preserve">LEVEL 4 – Student Journal (750 words)</w:t>
      </w:r>
    </w:p>
    <w:p w:rsidR="00000000" w:rsidDel="00000000" w:rsidP="00000000" w:rsidRDefault="00000000" w:rsidRPr="00000000" w14:paraId="00000005">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6">
      <w:pPr>
        <w:jc w:val="both"/>
        <w:rPr>
          <w:rFonts w:ascii="Tahoma" w:cs="Tahoma" w:eastAsia="Tahoma" w:hAnsi="Tahoma"/>
        </w:rPr>
      </w:pPr>
      <w:r w:rsidDel="00000000" w:rsidR="00000000" w:rsidRPr="00000000">
        <w:rPr>
          <w:rFonts w:ascii="Tahoma" w:cs="Tahoma" w:eastAsia="Tahoma" w:hAnsi="Tahoma"/>
          <w:rtl w:val="0"/>
        </w:rPr>
        <w:t xml:space="preserve">You are required to complete a journal entry to capture the learning experience and knowledge you have acquired during a particular lecture. You may choose from the following topics:</w:t>
      </w:r>
    </w:p>
    <w:p w:rsidR="00000000" w:rsidDel="00000000" w:rsidP="00000000" w:rsidRDefault="00000000" w:rsidRPr="00000000" w14:paraId="0000000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Allergies and Intolerances and the importance within the industry </w:t>
      </w:r>
      <w:r w:rsidDel="00000000" w:rsidR="00000000" w:rsidRPr="00000000">
        <w:rPr>
          <w:rtl w:val="0"/>
        </w:rPr>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Ratings, Inspections, and Reporting Procedures </w:t>
      </w:r>
      <w:r w:rsidDel="00000000" w:rsidR="00000000" w:rsidRPr="00000000">
        <w:rPr>
          <w:rtl w:val="0"/>
        </w:rPr>
      </w:r>
    </w:p>
    <w:p w:rsidR="00000000" w:rsidDel="00000000" w:rsidP="00000000" w:rsidRDefault="00000000" w:rsidRPr="00000000" w14:paraId="00000009">
      <w:pPr>
        <w:jc w:val="both"/>
        <w:rPr>
          <w:rFonts w:ascii="Tahoma" w:cs="Tahoma" w:eastAsia="Tahoma" w:hAnsi="Tahoma"/>
        </w:rPr>
      </w:pPr>
      <w:r w:rsidDel="00000000" w:rsidR="00000000" w:rsidRPr="00000000">
        <w:rPr>
          <w:rtl w:val="0"/>
        </w:rPr>
      </w:r>
    </w:p>
    <w:p w:rsidR="00000000" w:rsidDel="00000000" w:rsidP="00000000" w:rsidRDefault="00000000" w:rsidRPr="00000000" w14:paraId="0000000A">
      <w:pPr>
        <w:jc w:val="both"/>
        <w:rPr>
          <w:rFonts w:ascii="Tahoma" w:cs="Tahoma" w:eastAsia="Tahoma" w:hAnsi="Tahoma"/>
        </w:rPr>
      </w:pPr>
      <w:r w:rsidDel="00000000" w:rsidR="00000000" w:rsidRPr="00000000">
        <w:rPr>
          <w:rFonts w:ascii="Tahoma" w:cs="Tahoma" w:eastAsia="Tahoma" w:hAnsi="Tahoma"/>
          <w:rtl w:val="0"/>
        </w:rPr>
        <w:t xml:space="preserve">Consider the appropriate lectures. What was the topic, and what have you learned? Provide a </w:t>
      </w:r>
      <w:r w:rsidDel="00000000" w:rsidR="00000000" w:rsidRPr="00000000">
        <w:rPr>
          <w:rFonts w:ascii="Tahoma" w:cs="Tahoma" w:eastAsia="Tahoma" w:hAnsi="Tahoma"/>
          <w:b w:val="1"/>
          <w:rtl w:val="0"/>
        </w:rPr>
        <w:t xml:space="preserve">brief summary</w:t>
      </w:r>
      <w:r w:rsidDel="00000000" w:rsidR="00000000" w:rsidRPr="00000000">
        <w:rPr>
          <w:rFonts w:ascii="Tahoma" w:cs="Tahoma" w:eastAsia="Tahoma" w:hAnsi="Tahoma"/>
          <w:rtl w:val="0"/>
        </w:rPr>
        <w:t xml:space="preserve">. What </w:t>
      </w:r>
      <w:r w:rsidDel="00000000" w:rsidR="00000000" w:rsidRPr="00000000">
        <w:rPr>
          <w:rFonts w:ascii="Tahoma" w:cs="Tahoma" w:eastAsia="Tahoma" w:hAnsi="Tahoma"/>
          <w:b w:val="1"/>
          <w:rtl w:val="0"/>
        </w:rPr>
        <w:t xml:space="preserve">new skills/knowledge have you acquired</w:t>
      </w:r>
      <w:r w:rsidDel="00000000" w:rsidR="00000000" w:rsidRPr="00000000">
        <w:rPr>
          <w:rFonts w:ascii="Tahoma" w:cs="Tahoma" w:eastAsia="Tahoma" w:hAnsi="Tahoma"/>
          <w:rtl w:val="0"/>
        </w:rPr>
        <w:t xml:space="preserve">? How will you </w:t>
      </w:r>
      <w:r w:rsidDel="00000000" w:rsidR="00000000" w:rsidRPr="00000000">
        <w:rPr>
          <w:rFonts w:ascii="Tahoma" w:cs="Tahoma" w:eastAsia="Tahoma" w:hAnsi="Tahoma"/>
          <w:b w:val="1"/>
          <w:rtl w:val="0"/>
        </w:rPr>
        <w:t xml:space="preserve">apply your knowledge in the future</w:t>
      </w:r>
      <w:r w:rsidDel="00000000" w:rsidR="00000000" w:rsidRPr="00000000">
        <w:rPr>
          <w:rFonts w:ascii="Tahoma" w:cs="Tahoma" w:eastAsia="Tahoma" w:hAnsi="Tahoma"/>
          <w:rtl w:val="0"/>
        </w:rPr>
        <w:t xml:space="preserve">? What are your </w:t>
      </w:r>
      <w:r w:rsidDel="00000000" w:rsidR="00000000" w:rsidRPr="00000000">
        <w:rPr>
          <w:rFonts w:ascii="Tahoma" w:cs="Tahoma" w:eastAsia="Tahoma" w:hAnsi="Tahoma"/>
          <w:b w:val="1"/>
          <w:rtl w:val="0"/>
        </w:rPr>
        <w:t xml:space="preserve">personal reflections</w:t>
      </w:r>
      <w:r w:rsidDel="00000000" w:rsidR="00000000" w:rsidRPr="00000000">
        <w:rPr>
          <w:rFonts w:ascii="Tahoma" w:cs="Tahoma" w:eastAsia="Tahoma" w:hAnsi="Tahoma"/>
          <w:rtl w:val="0"/>
        </w:rPr>
        <w:t xml:space="preserve"> on the subject? Why is this </w:t>
      </w:r>
      <w:r w:rsidDel="00000000" w:rsidR="00000000" w:rsidRPr="00000000">
        <w:rPr>
          <w:rFonts w:ascii="Tahoma" w:cs="Tahoma" w:eastAsia="Tahoma" w:hAnsi="Tahoma"/>
          <w:b w:val="1"/>
          <w:rtl w:val="0"/>
        </w:rPr>
        <w:t xml:space="preserve">topic important within the industry</w:t>
      </w:r>
      <w:r w:rsidDel="00000000" w:rsidR="00000000" w:rsidRPr="00000000">
        <w:rPr>
          <w:rFonts w:ascii="Tahoma" w:cs="Tahoma" w:eastAsia="Tahoma" w:hAnsi="Tahoma"/>
          <w:rtl w:val="0"/>
        </w:rPr>
        <w:t xml:space="preserve">? Provide </w:t>
      </w:r>
      <w:r w:rsidDel="00000000" w:rsidR="00000000" w:rsidRPr="00000000">
        <w:rPr>
          <w:rFonts w:ascii="Tahoma" w:cs="Tahoma" w:eastAsia="Tahoma" w:hAnsi="Tahoma"/>
          <w:b w:val="1"/>
          <w:rtl w:val="0"/>
        </w:rPr>
        <w:t xml:space="preserve">evidence of further reading</w:t>
      </w:r>
      <w:r w:rsidDel="00000000" w:rsidR="00000000" w:rsidRPr="00000000">
        <w:rPr>
          <w:rFonts w:ascii="Tahoma" w:cs="Tahoma" w:eastAsia="Tahoma" w:hAnsi="Tahoma"/>
          <w:rtl w:val="0"/>
        </w:rPr>
        <w:t xml:space="preserve">. Include a minimum of 5 references.</w:t>
      </w:r>
    </w:p>
    <w:p w:rsidR="00000000" w:rsidDel="00000000" w:rsidP="00000000" w:rsidRDefault="00000000" w:rsidRPr="00000000" w14:paraId="0000000B">
      <w:pPr>
        <w:rPr>
          <w:rFonts w:ascii="Tahoma" w:cs="Tahoma" w:eastAsia="Tahoma" w:hAnsi="Tahoma"/>
          <w:sz w:val="20"/>
          <w:szCs w:val="20"/>
        </w:rPr>
      </w:pPr>
      <w:r w:rsidDel="00000000" w:rsidR="00000000" w:rsidRPr="00000000">
        <w:rPr>
          <w:rtl w:val="0"/>
        </w:rPr>
      </w:r>
    </w:p>
    <w:tbl>
      <w:tblPr>
        <w:tblStyle w:val="Table1"/>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7"/>
        <w:gridCol w:w="7195"/>
        <w:tblGridChange w:id="0">
          <w:tblGrid>
            <w:gridCol w:w="3987"/>
            <w:gridCol w:w="7195"/>
          </w:tblGrid>
        </w:tblGridChange>
      </w:tblGrid>
      <w:tr>
        <w:trPr>
          <w:cantSplit w:val="0"/>
          <w:tblHeader w:val="0"/>
        </w:trPr>
        <w:tc>
          <w:tcPr>
            <w:shd w:fill="8db3e2" w:val="clear"/>
          </w:tcPr>
          <w:p w:rsidR="00000000" w:rsidDel="00000000" w:rsidP="00000000" w:rsidRDefault="00000000" w:rsidRPr="00000000" w14:paraId="0000000C">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Student Name: Liliana Zaharia </w:t>
            </w:r>
          </w:p>
          <w:p w:rsidR="00000000" w:rsidDel="00000000" w:rsidP="00000000" w:rsidRDefault="00000000" w:rsidRPr="00000000" w14:paraId="0000000D">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0E">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Student Number: 2123787</w:t>
            </w:r>
          </w:p>
          <w:p w:rsidR="00000000" w:rsidDel="00000000" w:rsidP="00000000" w:rsidRDefault="00000000" w:rsidRPr="00000000" w14:paraId="0000000F">
            <w:pPr>
              <w:rPr>
                <w:rFonts w:ascii="Tahoma" w:cs="Tahoma" w:eastAsia="Tahoma" w:hAnsi="Tahoma"/>
                <w:b w:val="1"/>
                <w:sz w:val="20"/>
                <w:szCs w:val="20"/>
              </w:rPr>
            </w:pPr>
            <w:r w:rsidDel="00000000" w:rsidR="00000000" w:rsidRPr="00000000">
              <w:rPr>
                <w:rtl w:val="0"/>
              </w:rPr>
            </w:r>
          </w:p>
        </w:tc>
        <w:tc>
          <w:tcPr>
            <w:shd w:fill="8db3e2" w:val="clear"/>
          </w:tcPr>
          <w:p w:rsidR="00000000" w:rsidDel="00000000" w:rsidP="00000000" w:rsidRDefault="00000000" w:rsidRPr="00000000" w14:paraId="00000010">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Module: </w:t>
            </w:r>
          </w:p>
          <w:p w:rsidR="00000000" w:rsidDel="00000000" w:rsidP="00000000" w:rsidRDefault="00000000" w:rsidRPr="00000000" w14:paraId="00000011">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2">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Lecturer: </w:t>
            </w:r>
          </w:p>
        </w:tc>
      </w:tr>
    </w:tbl>
    <w:p w:rsidR="00000000" w:rsidDel="00000000" w:rsidP="00000000" w:rsidRDefault="00000000" w:rsidRPr="00000000" w14:paraId="00000013">
      <w:pPr>
        <w:rPr>
          <w:rFonts w:ascii="Tahoma" w:cs="Tahoma" w:eastAsia="Tahoma" w:hAnsi="Tahoma"/>
          <w:sz w:val="20"/>
          <w:szCs w:val="20"/>
        </w:rPr>
      </w:pPr>
      <w:r w:rsidDel="00000000" w:rsidR="00000000" w:rsidRPr="00000000">
        <w:rPr>
          <w:rtl w:val="0"/>
        </w:rPr>
      </w:r>
    </w:p>
    <w:tbl>
      <w:tblPr>
        <w:tblStyle w:val="Table2"/>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3"/>
        <w:gridCol w:w="7199"/>
        <w:tblGridChange w:id="0">
          <w:tblGrid>
            <w:gridCol w:w="3983"/>
            <w:gridCol w:w="7199"/>
          </w:tblGrid>
        </w:tblGridChange>
      </w:tblGrid>
      <w:tr>
        <w:trPr>
          <w:cantSplit w:val="0"/>
          <w:tblHeader w:val="0"/>
        </w:trPr>
        <w:tc>
          <w:tcPr>
            <w:shd w:fill="fbd5b5" w:val="clear"/>
          </w:tcPr>
          <w:p w:rsidR="00000000" w:rsidDel="00000000" w:rsidP="00000000" w:rsidRDefault="00000000" w:rsidRPr="00000000" w14:paraId="00000014">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The topic of choice: </w:t>
            </w:r>
          </w:p>
        </w:tc>
        <w:tc>
          <w:tcPr>
            <w:shd w:fill="fbd5b5" w:val="clear"/>
          </w:tcPr>
          <w:p w:rsidR="00000000" w:rsidDel="00000000" w:rsidP="00000000" w:rsidRDefault="00000000" w:rsidRPr="00000000" w14:paraId="00000015">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6">
            <w:pPr>
              <w:jc w:val="cente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Allergies and Intolerances and the importance within the industry</w:t>
            </w:r>
          </w:p>
          <w:p w:rsidR="00000000" w:rsidDel="00000000" w:rsidP="00000000" w:rsidRDefault="00000000" w:rsidRPr="00000000" w14:paraId="00000017">
            <w:pPr>
              <w:jc w:val="center"/>
              <w:rPr>
                <w:rFonts w:ascii="Tahoma" w:cs="Tahoma" w:eastAsia="Tahoma" w:hAnsi="Tahoma"/>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18">
            <w:pPr>
              <w:spacing w:line="360" w:lineRule="auto"/>
              <w:jc w:val="both"/>
              <w:rPr/>
            </w:pPr>
            <w:r w:rsidDel="00000000" w:rsidR="00000000" w:rsidRPr="00000000">
              <w:rPr>
                <w:rtl w:val="0"/>
              </w:rPr>
              <w:t xml:space="preserve">In general, allergies are on the increase across the globe; with this, food allergies have also increased. Food allergies and intolerance are the two terms commonly confused as it is most likely that food intolerance generally resembles food allergies. Whereas, in food intolerance, there is no immune system involved and also does not result in any allergic reactions, which are generally referred to as anaphylaxis. Moreover, any kind of food allergy generally occurs when the immune system of the person reacts to the harmless food (</w:t>
            </w:r>
            <w:r w:rsidDel="00000000" w:rsidR="00000000" w:rsidRPr="00000000">
              <w:rPr>
                <w:rFonts w:ascii="Arial" w:cs="Arial" w:eastAsia="Arial" w:hAnsi="Arial"/>
                <w:color w:val="222222"/>
                <w:sz w:val="20"/>
                <w:szCs w:val="20"/>
                <w:highlight w:val="white"/>
                <w:rtl w:val="0"/>
              </w:rPr>
              <w:t xml:space="preserve">Lee and Liu, 2021)</w:t>
            </w:r>
            <w:r w:rsidDel="00000000" w:rsidR="00000000" w:rsidRPr="00000000">
              <w:rPr>
                <w:rtl w:val="0"/>
              </w:rPr>
              <w:t xml:space="preserve">. Food allergies are common across the globe. Only in the United Kingdom, around 1-2% of adults in the UK are affected by some kind of food allergy, and around 6-8% of children are affected. One of the most common kinds of food allergy is a nut allergy. Food allergies can be life-threatening as well; in the United Kingdom, only around 10 people have lost their lives because of nut allergies. In order to deal with the issue, the government has taken several initiatives, among which is the Natasha law, which was introduced in 2021 to protect allergy sufferers (Institute of hospitality. 2022). The law was introduced after Natasha Ednan Laperouse lost her life due to an allergic reaction to sesame seeds in the baguette. In the hospitality industry, it is necessary that special emphasis should be given to the needs and demands of the customers that not only including providing the high-quality services but also making sure that small their health priorities should also be taken into consideration. For example, making sure that the staff should have knowledge related to any kind of allergy the guest have so that they can make sure that this can be taken care of (Access group. 2022). </w:t>
            </w:r>
          </w:p>
          <w:p w:rsidR="00000000" w:rsidDel="00000000" w:rsidP="00000000" w:rsidRDefault="00000000" w:rsidRPr="00000000" w14:paraId="00000019">
            <w:pPr>
              <w:spacing w:line="360" w:lineRule="auto"/>
              <w:jc w:val="both"/>
              <w:rPr/>
            </w:pPr>
            <w:r w:rsidDel="00000000" w:rsidR="00000000" w:rsidRPr="00000000">
              <w:rPr>
                <w:rtl w:val="0"/>
              </w:rPr>
              <w:t xml:space="preserve">During the lecture, there was interesting knowledge was provided to us with the help of different materials. Previously I had limited knowledge related to the laws related to food allergies or tolerance; while reading the article </w:t>
            </w:r>
            <w:r w:rsidDel="00000000" w:rsidR="00000000" w:rsidRPr="00000000">
              <w:rPr>
                <w:i w:val="1"/>
                <w:rtl w:val="0"/>
              </w:rPr>
              <w:t xml:space="preserve">“Getting prepared for Natasha’s Law - a guide for hospitality,” </w:t>
            </w:r>
            <w:r w:rsidDel="00000000" w:rsidR="00000000" w:rsidRPr="00000000">
              <w:rPr>
                <w:rtl w:val="0"/>
              </w:rPr>
              <w:t xml:space="preserve">I was able to explore my knowledge related to the importance of such issues and the actions that are important for avoiding any causalities. Along with this, I was able to learn about the FIR regulations related to the consumers and make sure that the consumers should make informed decisions related to the choice of food in order to provide a safe experience for allergen sufferers. Along with this, while discussing related to the food allergies and intolerance from the report by the Institute of hospitality further, I was able to enhance my knowledge related to the food allergy policy, like Freeform catering, which is considered beneficial in not only providing ease to the customers but at the same time is considered effective for the growth of the overall business. Along with this, an allergen chart was also discussed in the lecture, which I believe is an effective way to provide guidance to the guests related to the ingredients that can be caused issues or some people might be an allergen. This would not only be helpful for the guests to select the dish but, at the same time, would be helpful for the company to provide high-quality services to the customers (</w:t>
            </w:r>
            <w:r w:rsidDel="00000000" w:rsidR="00000000" w:rsidRPr="00000000">
              <w:rPr>
                <w:rFonts w:ascii="Arial" w:cs="Arial" w:eastAsia="Arial" w:hAnsi="Arial"/>
                <w:color w:val="222222"/>
                <w:sz w:val="20"/>
                <w:szCs w:val="20"/>
                <w:highlight w:val="white"/>
                <w:rtl w:val="0"/>
              </w:rPr>
              <w:t xml:space="preserve">Carter </w:t>
            </w:r>
            <w:r w:rsidDel="00000000" w:rsidR="00000000" w:rsidRPr="00000000">
              <w:rPr>
                <w:rFonts w:ascii="Arial" w:cs="Arial" w:eastAsia="Arial" w:hAnsi="Arial"/>
                <w:i w:val="1"/>
                <w:color w:val="222222"/>
                <w:sz w:val="20"/>
                <w:szCs w:val="20"/>
                <w:highlight w:val="white"/>
                <w:rtl w:val="0"/>
              </w:rPr>
              <w:t xml:space="preserve">et al.,</w:t>
            </w:r>
            <w:r w:rsidDel="00000000" w:rsidR="00000000" w:rsidRPr="00000000">
              <w:rPr>
                <w:rFonts w:ascii="Arial" w:cs="Arial" w:eastAsia="Arial" w:hAnsi="Arial"/>
                <w:color w:val="222222"/>
                <w:sz w:val="20"/>
                <w:szCs w:val="20"/>
                <w:highlight w:val="white"/>
                <w:rtl w:val="0"/>
              </w:rPr>
              <w:t xml:space="preserve"> 2020)</w:t>
            </w:r>
            <w:r w:rsidDel="00000000" w:rsidR="00000000" w:rsidRPr="00000000">
              <w:rPr>
                <w:rtl w:val="0"/>
              </w:rPr>
              <w:t xml:space="preserve">. </w:t>
            </w:r>
          </w:p>
          <w:p w:rsidR="00000000" w:rsidDel="00000000" w:rsidP="00000000" w:rsidRDefault="00000000" w:rsidRPr="00000000" w14:paraId="0000001A">
            <w:pPr>
              <w:spacing w:line="360" w:lineRule="auto"/>
              <w:jc w:val="both"/>
              <w:rPr/>
            </w:pPr>
            <w:r w:rsidDel="00000000" w:rsidR="00000000" w:rsidRPr="00000000">
              <w:rPr>
                <w:rtl w:val="0"/>
              </w:rPr>
              <w:t xml:space="preserve">Moreover, with the overall discussion and enhancing my learning with the different materials that were distributed during the class, I was able to improve my knowledge related to food allergies and intolerance. I was able to learn about the different forms of allergies and intolerance alongside the way serious incidents can be avoided by following certain laws and policies. I believe within the hospitality industry, having knowledge related to these areas is essential. Moreover, it is necessary for food-related businesses like restaurants to have adequate knowledge related to the way people with any kind of food allergies should be handled. In relation to this, </w:t>
            </w:r>
            <w:r w:rsidDel="00000000" w:rsidR="00000000" w:rsidRPr="00000000">
              <w:rPr>
                <w:rFonts w:ascii="Arial" w:cs="Arial" w:eastAsia="Arial" w:hAnsi="Arial"/>
                <w:color w:val="222222"/>
                <w:sz w:val="20"/>
                <w:szCs w:val="20"/>
                <w:highlight w:val="white"/>
                <w:rtl w:val="0"/>
              </w:rPr>
              <w:t xml:space="preserve">Soon (2020)</w:t>
            </w:r>
            <w:r w:rsidDel="00000000" w:rsidR="00000000" w:rsidRPr="00000000">
              <w:rPr>
                <w:rtl w:val="0"/>
              </w:rPr>
              <w:t xml:space="preserve"> mentioned that food-related knowledge and especially related to the allergen ingredients or foods are important, especially in the hospitality industry, for providing safe and high-quality services. </w:t>
            </w:r>
          </w:p>
          <w:p w:rsidR="00000000" w:rsidDel="00000000" w:rsidP="00000000" w:rsidRDefault="00000000" w:rsidRPr="00000000" w14:paraId="0000001B">
            <w:pPr>
              <w:spacing w:line="360" w:lineRule="auto"/>
              <w:jc w:val="both"/>
              <w:rPr/>
            </w:pPr>
            <w:r w:rsidDel="00000000" w:rsidR="00000000" w:rsidRPr="00000000">
              <w:rPr>
                <w:rtl w:val="0"/>
              </w:rPr>
              <w:t xml:space="preserve">Overall, through the learning gained from the lecture, I was able to explore my knowledge related to the concept and its importance, especially within the hospitality industry. Although the lecture was really informative still, there are always areas to grow; therefore, in order to explore my knowledge, I will read more books related to this topic and will also watch documentaries and videos related to it. </w:t>
            </w:r>
          </w:p>
          <w:p w:rsidR="00000000" w:rsidDel="00000000" w:rsidP="00000000" w:rsidRDefault="00000000" w:rsidRPr="00000000" w14:paraId="0000001C">
            <w:pPr>
              <w:jc w:val="both"/>
              <w:rPr/>
            </w:pPr>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E">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1F">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0">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1">
            <w:pPr>
              <w:tabs>
                <w:tab w:val="left" w:pos="5985"/>
              </w:tabs>
              <w:jc w:val="both"/>
              <w:rPr>
                <w:rFonts w:ascii="Tahoma" w:cs="Tahoma" w:eastAsia="Tahoma" w:hAnsi="Tahoma"/>
                <w:sz w:val="20"/>
                <w:szCs w:val="20"/>
              </w:rPr>
            </w:pPr>
            <w:r w:rsidDel="00000000" w:rsidR="00000000" w:rsidRPr="00000000">
              <w:rPr>
                <w:rFonts w:ascii="Tahoma" w:cs="Tahoma" w:eastAsia="Tahoma" w:hAnsi="Tahoma"/>
                <w:sz w:val="20"/>
                <w:szCs w:val="20"/>
                <w:rtl w:val="0"/>
              </w:rPr>
              <w:tab/>
            </w:r>
          </w:p>
          <w:p w:rsidR="00000000" w:rsidDel="00000000" w:rsidP="00000000" w:rsidRDefault="00000000" w:rsidRPr="00000000" w14:paraId="00000022">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3">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4">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5">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6">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7">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8">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9">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A">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B">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C">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D">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E">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F">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0">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1">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2">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3">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4">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5">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6">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7">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8">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9">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A">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B">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C">
            <w:pPr>
              <w:jc w:val="both"/>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3E">
      <w:pPr>
        <w:rPr>
          <w:rFonts w:ascii="Tahoma" w:cs="Tahoma" w:eastAsia="Tahoma" w:hAnsi="Tahoma"/>
          <w:b w:val="1"/>
        </w:rPr>
      </w:pPr>
      <w:r w:rsidDel="00000000" w:rsidR="00000000" w:rsidRPr="00000000">
        <w:rPr>
          <w:rtl w:val="0"/>
        </w:rPr>
      </w:r>
    </w:p>
    <w:tbl>
      <w:tblPr>
        <w:tblStyle w:val="Table3"/>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910"/>
        <w:gridCol w:w="272"/>
        <w:tblGridChange w:id="0">
          <w:tblGrid>
            <w:gridCol w:w="10910"/>
            <w:gridCol w:w="272"/>
          </w:tblGrid>
        </w:tblGridChange>
      </w:tblGrid>
      <w:tr>
        <w:trPr>
          <w:cantSplit w:val="0"/>
          <w:tblHeader w:val="0"/>
        </w:trPr>
        <w:tc>
          <w:tcPr>
            <w:shd w:fill="fbd5b5" w:val="clear"/>
          </w:tcPr>
          <w:p w:rsidR="00000000" w:rsidDel="00000000" w:rsidP="00000000" w:rsidRDefault="00000000" w:rsidRPr="00000000" w14:paraId="0000003F">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REFERENCE LIST (not included in word count)</w:t>
            </w:r>
          </w:p>
        </w:tc>
        <w:tc>
          <w:tcPr>
            <w:shd w:fill="fbd5b5" w:val="clear"/>
          </w:tcPr>
          <w:p w:rsidR="00000000" w:rsidDel="00000000" w:rsidP="00000000" w:rsidRDefault="00000000" w:rsidRPr="00000000" w14:paraId="00000040">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41">
            <w:pPr>
              <w:jc w:val="center"/>
              <w:rPr>
                <w:rFonts w:ascii="Tahoma" w:cs="Tahoma" w:eastAsia="Tahoma" w:hAnsi="Tahoma"/>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4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3">
            <w:pPr>
              <w:spacing w:line="360" w:lineRule="auto"/>
              <w:jc w:val="both"/>
              <w:rPr>
                <w:rFonts w:ascii="Arial" w:cs="Arial" w:eastAsia="Arial" w:hAnsi="Arial"/>
              </w:rPr>
            </w:pPr>
            <w:bookmarkStart w:colFirst="0" w:colLast="0" w:name="_gjdgxs" w:id="0"/>
            <w:bookmarkEnd w:id="0"/>
            <w:r w:rsidDel="00000000" w:rsidR="00000000" w:rsidRPr="00000000">
              <w:rPr>
                <w:rtl w:val="0"/>
              </w:rPr>
            </w:r>
          </w:p>
          <w:p w:rsidR="00000000" w:rsidDel="00000000" w:rsidP="00000000" w:rsidRDefault="00000000" w:rsidRPr="00000000" w14:paraId="00000044">
            <w:pPr>
              <w:spacing w:line="360" w:lineRule="auto"/>
              <w:ind w:left="720" w:hanging="720"/>
              <w:jc w:val="both"/>
              <w:rPr/>
            </w:pPr>
            <w:r w:rsidDel="00000000" w:rsidR="00000000" w:rsidRPr="00000000">
              <w:rPr>
                <w:rtl w:val="0"/>
              </w:rPr>
              <w:t xml:space="preserve">Access group. 2022. Getting prepared for Natasha’s Law - a guide for hospitality. [online]. Available at &lt; </w:t>
            </w:r>
            <w:hyperlink r:id="rId6">
              <w:r w:rsidDel="00000000" w:rsidR="00000000" w:rsidRPr="00000000">
                <w:rPr>
                  <w:color w:val="0000ff"/>
                  <w:u w:val="single"/>
                  <w:rtl w:val="0"/>
                </w:rPr>
                <w:t xml:space="preserve">https://www.theaccessgroup.com/en-gb/hospitality/resources/natashas-law/a-guide-for-hospitality/</w:t>
              </w:r>
            </w:hyperlink>
            <w:r w:rsidDel="00000000" w:rsidR="00000000" w:rsidRPr="00000000">
              <w:rPr>
                <w:rtl w:val="0"/>
              </w:rPr>
              <w:t xml:space="preserve">&gt;. [Accessed on 28 May 2022]. </w:t>
            </w:r>
          </w:p>
          <w:p w:rsidR="00000000" w:rsidDel="00000000" w:rsidP="00000000" w:rsidRDefault="00000000" w:rsidRPr="00000000" w14:paraId="00000045">
            <w:pPr>
              <w:spacing w:line="360" w:lineRule="auto"/>
              <w:ind w:left="720" w:hanging="720"/>
              <w:jc w:val="both"/>
              <w:rPr/>
            </w:pPr>
            <w:r w:rsidDel="00000000" w:rsidR="00000000" w:rsidRPr="00000000">
              <w:rPr>
                <w:color w:val="222222"/>
                <w:highlight w:val="white"/>
                <w:rtl w:val="0"/>
              </w:rPr>
              <w:t xml:space="preserve">Carter, C.A., Pistiner, M., Wang, J. and Sharma, H.P., 2020. Food allergy in restaurants works group report. </w:t>
            </w:r>
            <w:r w:rsidDel="00000000" w:rsidR="00000000" w:rsidRPr="00000000">
              <w:rPr>
                <w:i w:val="1"/>
                <w:color w:val="222222"/>
                <w:highlight w:val="white"/>
                <w:rtl w:val="0"/>
              </w:rPr>
              <w:t xml:space="preserve">The Journal of Allergy and Clinical Immunology: In Practice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w:t>
            </w:r>
            <w:r w:rsidDel="00000000" w:rsidR="00000000" w:rsidRPr="00000000">
              <w:rPr>
                <w:color w:val="222222"/>
                <w:highlight w:val="white"/>
                <w:rtl w:val="0"/>
              </w:rPr>
              <w:t xml:space="preserve">(1), pp.70-74.</w:t>
            </w:r>
            <w:r w:rsidDel="00000000" w:rsidR="00000000" w:rsidRPr="00000000">
              <w:rPr>
                <w:rtl w:val="0"/>
              </w:rPr>
            </w:r>
          </w:p>
          <w:p w:rsidR="00000000" w:rsidDel="00000000" w:rsidP="00000000" w:rsidRDefault="00000000" w:rsidRPr="00000000" w14:paraId="00000046">
            <w:pPr>
              <w:spacing w:line="360" w:lineRule="auto"/>
              <w:ind w:left="720" w:hanging="720"/>
              <w:jc w:val="both"/>
              <w:rPr/>
            </w:pPr>
            <w:r w:rsidDel="00000000" w:rsidR="00000000" w:rsidRPr="00000000">
              <w:rPr>
                <w:rtl w:val="0"/>
              </w:rPr>
              <w:t xml:space="preserve">Institute of hospitality. 2022. Allergen labeling: refer to our Management Guide. [online]. Available at &lt; https://www.instituteofhospitality.org/allergen-labelling-refer-to-our-new-management-guide/&gt;. [Accessed on 28 May 2022]. </w:t>
            </w:r>
          </w:p>
          <w:p w:rsidR="00000000" w:rsidDel="00000000" w:rsidP="00000000" w:rsidRDefault="00000000" w:rsidRPr="00000000" w14:paraId="00000047">
            <w:pPr>
              <w:spacing w:line="360" w:lineRule="auto"/>
              <w:ind w:left="720" w:hanging="720"/>
              <w:jc w:val="both"/>
              <w:rPr/>
            </w:pPr>
            <w:r w:rsidDel="00000000" w:rsidR="00000000" w:rsidRPr="00000000">
              <w:rPr>
                <w:rtl w:val="0"/>
              </w:rPr>
              <w:t xml:space="preserve">Lee, S. and Liu, P., 2021. Food intolerance or food allergy? Exploring food safety practices among campus food service employees. Journal of Foodservice Business Research, 24(6), pp.665-682.</w:t>
            </w:r>
          </w:p>
          <w:p w:rsidR="00000000" w:rsidDel="00000000" w:rsidP="00000000" w:rsidRDefault="00000000" w:rsidRPr="00000000" w14:paraId="00000048">
            <w:pPr>
              <w:spacing w:line="360" w:lineRule="auto"/>
              <w:ind w:left="720" w:hanging="720"/>
              <w:jc w:val="both"/>
              <w:rPr/>
            </w:pPr>
            <w:r w:rsidDel="00000000" w:rsidR="00000000" w:rsidRPr="00000000">
              <w:rPr>
                <w:color w:val="222222"/>
                <w:highlight w:val="white"/>
                <w:rtl w:val="0"/>
              </w:rPr>
              <w:t xml:space="preserve">Soon, JM, 2020. 'Food allergy? Ask before you eat': Current food allergy training and future training needs in food services. </w:t>
            </w:r>
            <w:r w:rsidDel="00000000" w:rsidR="00000000" w:rsidRPr="00000000">
              <w:rPr>
                <w:i w:val="1"/>
                <w:color w:val="222222"/>
                <w:highlight w:val="white"/>
                <w:rtl w:val="0"/>
              </w:rPr>
              <w:t xml:space="preserve">Food Control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112</w:t>
            </w:r>
            <w:r w:rsidDel="00000000" w:rsidR="00000000" w:rsidRPr="00000000">
              <w:rPr>
                <w:color w:val="222222"/>
                <w:highlight w:val="white"/>
                <w:rtl w:val="0"/>
              </w:rPr>
              <w:t xml:space="preserve">, p.107129.</w:t>
            </w:r>
            <w:r w:rsidDel="00000000" w:rsidR="00000000" w:rsidRPr="00000000">
              <w:rPr>
                <w:rtl w:val="0"/>
              </w:rPr>
            </w:r>
          </w:p>
          <w:p w:rsidR="00000000" w:rsidDel="00000000" w:rsidP="00000000" w:rsidRDefault="00000000" w:rsidRPr="00000000" w14:paraId="0000004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8">
            <w:pPr>
              <w:jc w:val="both"/>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5A">
      <w:pPr>
        <w:rPr>
          <w:rFonts w:ascii="Tahoma" w:cs="Tahoma" w:eastAsia="Tahoma" w:hAnsi="Tahoma"/>
          <w:b w:val="1"/>
        </w:rPr>
      </w:pPr>
      <w:r w:rsidDel="00000000" w:rsidR="00000000" w:rsidRPr="00000000">
        <w:rPr>
          <w:rtl w:val="0"/>
        </w:rPr>
      </w:r>
    </w:p>
    <w:p w:rsidR="00000000" w:rsidDel="00000000" w:rsidP="00000000" w:rsidRDefault="00000000" w:rsidRPr="00000000" w14:paraId="0000005B">
      <w:pPr>
        <w:rPr>
          <w:rFonts w:ascii="Tahoma" w:cs="Tahoma" w:eastAsia="Tahoma" w:hAnsi="Tahoma"/>
          <w:b w:val="1"/>
        </w:rPr>
      </w:pPr>
      <w:r w:rsidDel="00000000" w:rsidR="00000000" w:rsidRPr="00000000">
        <w:rPr>
          <w:rtl w:val="0"/>
        </w:rPr>
      </w:r>
    </w:p>
    <w:p w:rsidR="00000000" w:rsidDel="00000000" w:rsidP="00000000" w:rsidRDefault="00000000" w:rsidRPr="00000000" w14:paraId="0000005C">
      <w:pPr>
        <w:rPr>
          <w:rFonts w:ascii="Tahoma" w:cs="Tahoma" w:eastAsia="Tahoma" w:hAnsi="Tahoma"/>
          <w:b w:val="1"/>
        </w:rPr>
      </w:pPr>
      <w:r w:rsidDel="00000000" w:rsidR="00000000" w:rsidRPr="00000000">
        <w:rPr>
          <w:rtl w:val="0"/>
        </w:rPr>
      </w:r>
    </w:p>
    <w:p w:rsidR="00000000" w:rsidDel="00000000" w:rsidP="00000000" w:rsidRDefault="00000000" w:rsidRPr="00000000" w14:paraId="0000005D">
      <w:pPr>
        <w:rPr>
          <w:rFonts w:ascii="Tahoma" w:cs="Tahoma" w:eastAsia="Tahoma" w:hAnsi="Tahoma"/>
          <w:b w:val="1"/>
        </w:rPr>
      </w:pPr>
      <w:r w:rsidDel="00000000" w:rsidR="00000000" w:rsidRPr="00000000">
        <w:rPr>
          <w:rtl w:val="0"/>
        </w:rPr>
      </w:r>
    </w:p>
    <w:p w:rsidR="00000000" w:rsidDel="00000000" w:rsidP="00000000" w:rsidRDefault="00000000" w:rsidRPr="00000000" w14:paraId="0000005E">
      <w:pPr>
        <w:rPr>
          <w:rFonts w:ascii="Tahoma" w:cs="Tahoma" w:eastAsia="Tahoma" w:hAnsi="Tahoma"/>
          <w:b w:val="1"/>
        </w:rPr>
      </w:pPr>
      <w:r w:rsidDel="00000000" w:rsidR="00000000" w:rsidRPr="00000000">
        <w:rPr>
          <w:rtl w:val="0"/>
        </w:rPr>
      </w:r>
    </w:p>
    <w:p w:rsidR="00000000" w:rsidDel="00000000" w:rsidP="00000000" w:rsidRDefault="00000000" w:rsidRPr="00000000" w14:paraId="0000005F">
      <w:pPr>
        <w:rPr>
          <w:rFonts w:ascii="Tahoma" w:cs="Tahoma" w:eastAsia="Tahoma" w:hAnsi="Tahoma"/>
          <w:b w:val="1"/>
        </w:rPr>
      </w:pPr>
      <w:r w:rsidDel="00000000" w:rsidR="00000000" w:rsidRPr="00000000">
        <w:rPr>
          <w:rtl w:val="0"/>
        </w:rPr>
      </w:r>
    </w:p>
    <w:p w:rsidR="00000000" w:rsidDel="00000000" w:rsidP="00000000" w:rsidRDefault="00000000" w:rsidRPr="00000000" w14:paraId="00000060">
      <w:pPr>
        <w:rPr>
          <w:rFonts w:ascii="Tahoma" w:cs="Tahoma" w:eastAsia="Tahoma" w:hAnsi="Tahoma"/>
          <w:b w:val="1"/>
        </w:rPr>
      </w:pPr>
      <w:r w:rsidDel="00000000" w:rsidR="00000000" w:rsidRPr="00000000">
        <w:rPr>
          <w:rtl w:val="0"/>
        </w:rPr>
      </w:r>
    </w:p>
    <w:sectPr>
      <w:headerReference r:id="rId7" w:type="default"/>
      <w:footerReference r:id="rId8" w:type="default"/>
      <w:pgSz w:h="16838" w:w="11906" w:orient="portrait"/>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ahoma"/>
  <w:font w:name="Calibri"/>
  <w:font w:name="Arial"/>
  <w:font w:name="Times New Roman"/>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drawing>
        <wp:anchor allowOverlap="1" behindDoc="0" distB="0" distT="0" distL="114300" distR="114300" hidden="0" layoutInCell="1" locked="0" relativeHeight="0" simplePos="0">
          <wp:simplePos x="0" y="0"/>
          <wp:positionH relativeFrom="margin">
            <wp:posOffset>1380</wp:posOffset>
          </wp:positionH>
          <wp:positionV relativeFrom="margin">
            <wp:posOffset>-357614</wp:posOffset>
          </wp:positionV>
          <wp:extent cx="2303780" cy="765175"/>
          <wp:effectExtent b="0" l="0" r="0" t="0"/>
          <wp:wrapSquare wrapText="bothSides" distB="0" distT="0" distL="114300" distR="114300"/>
          <wp:docPr descr="uwtsd-logo-bilingual" id="1" name="image1.png"/>
          <a:graphic>
            <a:graphicData uri="http://schemas.openxmlformats.org/drawingml/2006/picture">
              <pic:pic>
                <pic:nvPicPr>
                  <pic:cNvPr descr="uwtsd-logo-bilingual" id="0" name="image1.png"/>
                  <pic:cNvPicPr preferRelativeResize="0"/>
                </pic:nvPicPr>
                <pic:blipFill>
                  <a:blip r:embed="rId1"/>
                  <a:srcRect b="0" l="0" r="0" t="0"/>
                  <a:stretch>
                    <a:fillRect/>
                  </a:stretch>
                </pic:blipFill>
                <pic:spPr>
                  <a:xfrm>
                    <a:off x="0" y="0"/>
                    <a:ext cx="2303780" cy="765175"/>
                  </a:xfrm>
                  <a:prstGeom prst="rect"/>
                  <a:ln/>
                </pic:spPr>
              </pic:pic>
            </a:graphicData>
          </a:graphic>
        </wp:anchor>
      </w:drawing>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theaccessgroup.com/en-gb/hospitality/resources/natashas-law/a-guide-for-hospitality/" TargetMode="External"/><Relationship Id="rId7" Type="http://schemas.openxmlformats.org/officeDocument/2006/relationships/header" Target="header1.xml"/><Relationship Id="rId8"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