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C8CA60E" w14:textId="77777777" w:rsidR="00973EE9" w:rsidRPr="00CC0EF5" w:rsidRDefault="00973EE9" w:rsidP="00574B24">
      <w:pPr>
        <w:spacing w:after="200"/>
      </w:pPr>
      <w:r w:rsidRPr="00CC0EF5">
        <w:rPr>
          <w:noProof/>
        </w:rPr>
        <w:drawing>
          <wp:inline distT="0" distB="0" distL="0" distR="0" wp14:anchorId="3B4ACA86" wp14:editId="3F48419C">
            <wp:extent cx="1543265" cy="6096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43265" cy="609685"/>
                    </a:xfrm>
                    <a:prstGeom prst="rect">
                      <a:avLst/>
                    </a:prstGeom>
                  </pic:spPr>
                </pic:pic>
              </a:graphicData>
            </a:graphic>
          </wp:inline>
        </w:drawing>
      </w:r>
    </w:p>
    <w:p w14:paraId="06DC23DB" w14:textId="77777777" w:rsidR="00973EE9" w:rsidRPr="00CC0EF5" w:rsidRDefault="00973EE9" w:rsidP="00574B24">
      <w:pPr>
        <w:spacing w:after="200"/>
      </w:pPr>
    </w:p>
    <w:p w14:paraId="3F46967F" w14:textId="77777777" w:rsidR="00973EE9" w:rsidRPr="00CC0EF5" w:rsidRDefault="00973EE9" w:rsidP="00574B24">
      <w:pPr>
        <w:spacing w:after="200"/>
      </w:pPr>
    </w:p>
    <w:p w14:paraId="677BFE4D" w14:textId="77777777" w:rsidR="00973EE9" w:rsidRPr="00CC0EF5" w:rsidRDefault="00973EE9" w:rsidP="00574B24">
      <w:pPr>
        <w:spacing w:after="200"/>
      </w:pPr>
    </w:p>
    <w:p w14:paraId="5EC8602A" w14:textId="77777777" w:rsidR="00973EE9" w:rsidRPr="00CC0EF5" w:rsidRDefault="00973EE9" w:rsidP="00574B24">
      <w:pPr>
        <w:spacing w:after="200"/>
      </w:pPr>
    </w:p>
    <w:p w14:paraId="4B60FC9E" w14:textId="77777777" w:rsidR="00973EE9" w:rsidRDefault="00973EE9" w:rsidP="00574B24">
      <w:pPr>
        <w:spacing w:after="200"/>
        <w:jc w:val="center"/>
        <w:rPr>
          <w:rFonts w:cs="Vrinda"/>
          <w:b/>
          <w:bCs/>
          <w:i/>
          <w:iCs/>
          <w:color w:val="auto"/>
          <w:sz w:val="32"/>
          <w:szCs w:val="40"/>
          <w:lang w:bidi="bn-IN"/>
        </w:rPr>
      </w:pPr>
      <w:r w:rsidRPr="00CC0EF5">
        <w:rPr>
          <w:b/>
          <w:bCs/>
          <w:i/>
          <w:iCs/>
          <w:color w:val="auto"/>
          <w:sz w:val="32"/>
          <w:szCs w:val="32"/>
        </w:rPr>
        <w:t>LCHS4008 Introduction to Public Health</w:t>
      </w:r>
    </w:p>
    <w:p w14:paraId="7CF8BD27" w14:textId="50D7C75C" w:rsidR="0094075A" w:rsidRDefault="00F73373" w:rsidP="00574B24">
      <w:pPr>
        <w:spacing w:after="200"/>
        <w:jc w:val="center"/>
        <w:rPr>
          <w:rFonts w:cs="Vrinda"/>
          <w:b/>
          <w:bCs/>
          <w:color w:val="auto"/>
          <w:sz w:val="32"/>
          <w:szCs w:val="40"/>
          <w:lang w:bidi="bn-IN"/>
        </w:rPr>
      </w:pPr>
      <w:r>
        <w:rPr>
          <w:rFonts w:cs="Vrinda" w:hint="cs"/>
          <w:b/>
          <w:bCs/>
          <w:color w:val="auto"/>
          <w:sz w:val="32"/>
          <w:szCs w:val="40"/>
          <w:cs/>
          <w:lang w:bidi="bn-IN"/>
        </w:rPr>
        <w:t>N</w:t>
      </w:r>
      <w:r w:rsidR="008A1EED">
        <w:rPr>
          <w:rFonts w:cs="Vrinda" w:hint="cs"/>
          <w:b/>
          <w:bCs/>
          <w:color w:val="auto"/>
          <w:sz w:val="32"/>
          <w:szCs w:val="40"/>
          <w:cs/>
          <w:lang w:bidi="bn-IN"/>
        </w:rPr>
        <w:t>ame</w:t>
      </w:r>
      <w:r w:rsidR="001A7A1F">
        <w:rPr>
          <w:rFonts w:cs="Vrinda" w:hint="cs"/>
          <w:b/>
          <w:bCs/>
          <w:color w:val="auto"/>
          <w:sz w:val="32"/>
          <w:szCs w:val="40"/>
          <w:cs/>
          <w:lang w:bidi="bn-IN"/>
        </w:rPr>
        <w:t xml:space="preserve">: </w:t>
      </w:r>
      <w:r w:rsidR="00E01F65">
        <w:rPr>
          <w:rFonts w:cs="Vrinda" w:hint="cs"/>
          <w:b/>
          <w:bCs/>
          <w:color w:val="auto"/>
          <w:sz w:val="32"/>
          <w:szCs w:val="40"/>
          <w:cs/>
          <w:lang w:bidi="bn-IN"/>
        </w:rPr>
        <w:t xml:space="preserve">Thahmida </w:t>
      </w:r>
      <w:r w:rsidR="000E161B">
        <w:rPr>
          <w:rFonts w:cs="Vrinda" w:hint="cs"/>
          <w:b/>
          <w:bCs/>
          <w:color w:val="auto"/>
          <w:sz w:val="32"/>
          <w:szCs w:val="40"/>
          <w:cs/>
          <w:lang w:bidi="bn-IN"/>
        </w:rPr>
        <w:t>Khanom</w:t>
      </w:r>
    </w:p>
    <w:p w14:paraId="2A68B9B3" w14:textId="6A9702D8" w:rsidR="000E161B" w:rsidRDefault="00FE22F4" w:rsidP="00574B24">
      <w:pPr>
        <w:spacing w:after="200"/>
        <w:jc w:val="center"/>
        <w:rPr>
          <w:rFonts w:cs="Vrinda"/>
          <w:b/>
          <w:bCs/>
          <w:color w:val="auto"/>
          <w:sz w:val="32"/>
          <w:szCs w:val="40"/>
          <w:lang w:bidi="bn-IN"/>
        </w:rPr>
      </w:pPr>
      <w:r>
        <w:rPr>
          <w:rFonts w:cs="Vrinda" w:hint="cs"/>
          <w:b/>
          <w:bCs/>
          <w:color w:val="auto"/>
          <w:sz w:val="32"/>
          <w:szCs w:val="40"/>
          <w:cs/>
          <w:lang w:bidi="bn-IN"/>
        </w:rPr>
        <w:t xml:space="preserve">Student </w:t>
      </w:r>
      <w:r w:rsidR="0008259C">
        <w:rPr>
          <w:rFonts w:cs="Vrinda" w:hint="cs"/>
          <w:b/>
          <w:bCs/>
          <w:color w:val="auto"/>
          <w:sz w:val="32"/>
          <w:szCs w:val="40"/>
          <w:cs/>
          <w:lang w:bidi="bn-IN"/>
        </w:rPr>
        <w:t>ID</w:t>
      </w:r>
      <w:r w:rsidR="008F1E34">
        <w:rPr>
          <w:rFonts w:cs="Vrinda" w:hint="cs"/>
          <w:b/>
          <w:bCs/>
          <w:color w:val="auto"/>
          <w:sz w:val="32"/>
          <w:szCs w:val="40"/>
          <w:cs/>
          <w:lang w:bidi="bn-IN"/>
        </w:rPr>
        <w:t>: 253191</w:t>
      </w:r>
      <w:r w:rsidR="00CA19D0">
        <w:rPr>
          <w:rFonts w:cs="Vrinda" w:hint="cs"/>
          <w:b/>
          <w:bCs/>
          <w:color w:val="auto"/>
          <w:sz w:val="32"/>
          <w:szCs w:val="40"/>
          <w:cs/>
          <w:lang w:bidi="bn-IN"/>
        </w:rPr>
        <w:t>6</w:t>
      </w:r>
    </w:p>
    <w:p w14:paraId="5E08798A" w14:textId="3852CFE7" w:rsidR="00CA19D0" w:rsidRPr="00F73373" w:rsidRDefault="00EA0137" w:rsidP="00574B24">
      <w:pPr>
        <w:spacing w:after="200"/>
        <w:jc w:val="center"/>
        <w:rPr>
          <w:rFonts w:cs="Vrinda" w:hint="cs"/>
          <w:b/>
          <w:bCs/>
          <w:color w:val="auto"/>
          <w:sz w:val="32"/>
          <w:szCs w:val="40"/>
          <w:lang w:bidi="bn-IN"/>
        </w:rPr>
      </w:pPr>
      <w:r>
        <w:rPr>
          <w:rFonts w:cs="Vrinda" w:hint="cs"/>
          <w:b/>
          <w:bCs/>
          <w:color w:val="auto"/>
          <w:sz w:val="32"/>
          <w:szCs w:val="40"/>
          <w:cs/>
          <w:lang w:bidi="bn-IN"/>
        </w:rPr>
        <w:t>Lecture</w:t>
      </w:r>
      <w:r w:rsidR="00DB07D8">
        <w:rPr>
          <w:rFonts w:cs="Vrinda" w:hint="cs"/>
          <w:b/>
          <w:bCs/>
          <w:color w:val="auto"/>
          <w:sz w:val="32"/>
          <w:szCs w:val="40"/>
          <w:cs/>
          <w:lang w:bidi="bn-IN"/>
        </w:rPr>
        <w:t>:</w:t>
      </w:r>
      <w:r w:rsidR="00AA02AB">
        <w:rPr>
          <w:rFonts w:cs="Vrinda" w:hint="cs"/>
          <w:b/>
          <w:bCs/>
          <w:color w:val="auto"/>
          <w:sz w:val="32"/>
          <w:szCs w:val="40"/>
          <w:cs/>
          <w:lang w:bidi="bn-IN"/>
        </w:rPr>
        <w:t xml:space="preserve"> </w:t>
      </w:r>
      <w:r w:rsidR="006171B2">
        <w:rPr>
          <w:rFonts w:cs="Vrinda" w:hint="cs"/>
          <w:b/>
          <w:bCs/>
          <w:color w:val="auto"/>
          <w:sz w:val="32"/>
          <w:szCs w:val="40"/>
          <w:cs/>
          <w:lang w:bidi="bn-IN"/>
        </w:rPr>
        <w:t>Shepard Ziko</w:t>
      </w:r>
    </w:p>
    <w:p w14:paraId="45E7BDB3" w14:textId="77777777" w:rsidR="00973EE9" w:rsidRPr="00CC0EF5" w:rsidRDefault="00973EE9" w:rsidP="00574B24">
      <w:pPr>
        <w:spacing w:after="200"/>
        <w:jc w:val="center"/>
        <w:rPr>
          <w:b/>
          <w:bCs/>
          <w:i/>
          <w:iCs/>
          <w:color w:val="auto"/>
          <w:sz w:val="32"/>
          <w:szCs w:val="32"/>
        </w:rPr>
      </w:pPr>
      <w:r w:rsidRPr="00CC0EF5">
        <w:rPr>
          <w:b/>
          <w:bCs/>
          <w:i/>
          <w:iCs/>
          <w:color w:val="auto"/>
          <w:sz w:val="32"/>
          <w:szCs w:val="32"/>
        </w:rPr>
        <w:t>Component 2:</w:t>
      </w:r>
    </w:p>
    <w:p w14:paraId="1A04359B" w14:textId="5A28B355" w:rsidR="00973EE9" w:rsidRPr="00CC0EF5" w:rsidRDefault="00973EE9" w:rsidP="00574B24">
      <w:pPr>
        <w:spacing w:after="200"/>
        <w:jc w:val="center"/>
        <w:rPr>
          <w:b/>
          <w:bCs/>
          <w:i/>
          <w:iCs/>
          <w:color w:val="auto"/>
          <w:sz w:val="32"/>
          <w:szCs w:val="32"/>
        </w:rPr>
      </w:pPr>
      <w:r w:rsidRPr="00CC0EF5">
        <w:rPr>
          <w:b/>
          <w:bCs/>
          <w:i/>
          <w:iCs/>
          <w:color w:val="auto"/>
          <w:sz w:val="32"/>
          <w:szCs w:val="32"/>
        </w:rPr>
        <w:t>Report on a Health Issue</w:t>
      </w:r>
    </w:p>
    <w:p w14:paraId="44430FE8" w14:textId="62C81423" w:rsidR="00973EE9" w:rsidRPr="00CC0EF5" w:rsidRDefault="00973EE9" w:rsidP="00574B24">
      <w:pPr>
        <w:spacing w:after="200"/>
        <w:jc w:val="center"/>
      </w:pPr>
    </w:p>
    <w:p w14:paraId="3A0CA839" w14:textId="77777777" w:rsidR="00973EE9" w:rsidRPr="00CC0EF5" w:rsidRDefault="00973EE9" w:rsidP="00574B24">
      <w:pPr>
        <w:spacing w:after="200"/>
        <w:jc w:val="center"/>
        <w:rPr>
          <w:b/>
          <w:bCs/>
          <w:i/>
          <w:iCs/>
          <w:color w:val="auto"/>
          <w:sz w:val="32"/>
          <w:szCs w:val="32"/>
        </w:rPr>
      </w:pPr>
      <w:r w:rsidRPr="00CC0EF5">
        <w:rPr>
          <w:b/>
          <w:bCs/>
          <w:i/>
          <w:iCs/>
          <w:color w:val="auto"/>
          <w:sz w:val="32"/>
          <w:szCs w:val="32"/>
        </w:rPr>
        <w:t>Title: Depression: Measurement, Control, Community Impact and Health and Social Care Support</w:t>
      </w:r>
    </w:p>
    <w:p w14:paraId="273D1AB1" w14:textId="77777777" w:rsidR="00973EE9" w:rsidRPr="00CC0EF5" w:rsidRDefault="00973EE9" w:rsidP="00574B24">
      <w:pPr>
        <w:spacing w:after="200"/>
        <w:jc w:val="center"/>
        <w:rPr>
          <w:b/>
          <w:bCs/>
          <w:i/>
          <w:iCs/>
          <w:color w:val="auto"/>
          <w:sz w:val="32"/>
          <w:szCs w:val="32"/>
        </w:rPr>
      </w:pPr>
    </w:p>
    <w:p w14:paraId="3CAB3DC8" w14:textId="129E6295" w:rsidR="00640102" w:rsidRPr="00CC0EF5" w:rsidRDefault="00640102" w:rsidP="00574B24">
      <w:pPr>
        <w:spacing w:after="200"/>
        <w:rPr>
          <w:rFonts w:eastAsiaTheme="majorEastAsia"/>
          <w:b/>
          <w:bCs/>
          <w:color w:val="1F4D78"/>
          <w:sz w:val="32"/>
          <w:szCs w:val="28"/>
        </w:rPr>
      </w:pPr>
      <w:r w:rsidRPr="00CC0EF5">
        <w:br w:type="page"/>
      </w:r>
    </w:p>
    <w:sdt>
      <w:sdtPr>
        <w:rPr>
          <w:rFonts w:ascii="Arial" w:eastAsia="Arial" w:hAnsi="Arial" w:cs="Arial"/>
          <w:b w:val="0"/>
          <w:bCs w:val="0"/>
          <w:color w:val="1C2430"/>
          <w:sz w:val="22"/>
          <w:szCs w:val="22"/>
        </w:rPr>
        <w:id w:val="-1645505660"/>
        <w:docPartObj>
          <w:docPartGallery w:val="Table of Contents"/>
          <w:docPartUnique/>
        </w:docPartObj>
      </w:sdtPr>
      <w:sdtEndPr>
        <w:rPr>
          <w:noProof/>
        </w:rPr>
      </w:sdtEndPr>
      <w:sdtContent>
        <w:p w14:paraId="16DEE4FA" w14:textId="7EC7B84A" w:rsidR="007564B5" w:rsidRPr="00CC0EF5" w:rsidRDefault="007564B5" w:rsidP="00574B24">
          <w:pPr>
            <w:pStyle w:val="TOCHeading"/>
            <w:rPr>
              <w:rFonts w:ascii="Arial" w:hAnsi="Arial" w:cs="Arial"/>
            </w:rPr>
          </w:pPr>
          <w:r w:rsidRPr="00CC0EF5">
            <w:rPr>
              <w:rFonts w:ascii="Arial" w:hAnsi="Arial" w:cs="Arial"/>
            </w:rPr>
            <w:t>Table of Contents</w:t>
          </w:r>
        </w:p>
        <w:p w14:paraId="7E1D34E5" w14:textId="01C567CC" w:rsidR="00EC22A5" w:rsidRDefault="007564B5">
          <w:pPr>
            <w:pStyle w:val="TOC1"/>
            <w:tabs>
              <w:tab w:val="right" w:leader="dot" w:pos="9016"/>
            </w:tabs>
            <w:rPr>
              <w:rFonts w:asciiTheme="minorHAnsi" w:eastAsiaTheme="minorEastAsia" w:hAnsiTheme="minorHAnsi" w:cstheme="minorBidi"/>
              <w:noProof/>
              <w:color w:val="auto"/>
            </w:rPr>
          </w:pPr>
          <w:r w:rsidRPr="00CC0EF5">
            <w:fldChar w:fldCharType="begin"/>
          </w:r>
          <w:r w:rsidRPr="00CC0EF5">
            <w:instrText xml:space="preserve"> TOC \o "1-3" \h \z \u </w:instrText>
          </w:r>
          <w:r w:rsidRPr="00CC0EF5">
            <w:fldChar w:fldCharType="separate"/>
          </w:r>
          <w:hyperlink w:anchor="_Toc236420156" w:history="1">
            <w:r w:rsidR="00EC22A5" w:rsidRPr="00AA0533">
              <w:rPr>
                <w:rStyle w:val="Hyperlink"/>
                <w:noProof/>
              </w:rPr>
              <w:t>Introduction</w:t>
            </w:r>
            <w:r w:rsidR="00EC22A5">
              <w:rPr>
                <w:noProof/>
                <w:webHidden/>
              </w:rPr>
              <w:tab/>
            </w:r>
            <w:r w:rsidR="00EC22A5">
              <w:rPr>
                <w:noProof/>
                <w:webHidden/>
              </w:rPr>
              <w:fldChar w:fldCharType="begin"/>
            </w:r>
            <w:r w:rsidR="00EC22A5">
              <w:rPr>
                <w:noProof/>
                <w:webHidden/>
              </w:rPr>
              <w:instrText xml:space="preserve"> PAGEREF _Toc236420156 \h </w:instrText>
            </w:r>
            <w:r w:rsidR="00EC22A5">
              <w:rPr>
                <w:noProof/>
                <w:webHidden/>
              </w:rPr>
            </w:r>
            <w:r w:rsidR="00EC22A5">
              <w:rPr>
                <w:noProof/>
                <w:webHidden/>
              </w:rPr>
              <w:fldChar w:fldCharType="separate"/>
            </w:r>
            <w:r w:rsidR="00EC22A5">
              <w:rPr>
                <w:noProof/>
                <w:webHidden/>
              </w:rPr>
              <w:t>3</w:t>
            </w:r>
            <w:r w:rsidR="00EC22A5">
              <w:rPr>
                <w:noProof/>
                <w:webHidden/>
              </w:rPr>
              <w:fldChar w:fldCharType="end"/>
            </w:r>
          </w:hyperlink>
        </w:p>
        <w:p w14:paraId="41832908" w14:textId="4808DDF4" w:rsidR="00EC22A5" w:rsidRDefault="00EC22A5">
          <w:pPr>
            <w:pStyle w:val="TOC1"/>
            <w:tabs>
              <w:tab w:val="right" w:leader="dot" w:pos="9016"/>
            </w:tabs>
            <w:rPr>
              <w:rFonts w:asciiTheme="minorHAnsi" w:eastAsiaTheme="minorEastAsia" w:hAnsiTheme="minorHAnsi" w:cstheme="minorBidi"/>
              <w:noProof/>
              <w:color w:val="auto"/>
            </w:rPr>
          </w:pPr>
          <w:hyperlink w:anchor="_Toc236420157" w:history="1">
            <w:r w:rsidRPr="00AA0533">
              <w:rPr>
                <w:rStyle w:val="Hyperlink"/>
                <w:noProof/>
              </w:rPr>
              <w:t>Main Body</w:t>
            </w:r>
            <w:r>
              <w:rPr>
                <w:noProof/>
                <w:webHidden/>
              </w:rPr>
              <w:tab/>
            </w:r>
            <w:r>
              <w:rPr>
                <w:noProof/>
                <w:webHidden/>
              </w:rPr>
              <w:fldChar w:fldCharType="begin"/>
            </w:r>
            <w:r>
              <w:rPr>
                <w:noProof/>
                <w:webHidden/>
              </w:rPr>
              <w:instrText xml:space="preserve"> PAGEREF _Toc236420157 \h </w:instrText>
            </w:r>
            <w:r>
              <w:rPr>
                <w:noProof/>
                <w:webHidden/>
              </w:rPr>
            </w:r>
            <w:r>
              <w:rPr>
                <w:noProof/>
                <w:webHidden/>
              </w:rPr>
              <w:fldChar w:fldCharType="separate"/>
            </w:r>
            <w:r>
              <w:rPr>
                <w:noProof/>
                <w:webHidden/>
              </w:rPr>
              <w:t>4</w:t>
            </w:r>
            <w:r>
              <w:rPr>
                <w:noProof/>
                <w:webHidden/>
              </w:rPr>
              <w:fldChar w:fldCharType="end"/>
            </w:r>
          </w:hyperlink>
        </w:p>
        <w:p w14:paraId="5FC9EADA" w14:textId="15934FDF" w:rsidR="00EC22A5" w:rsidRDefault="00EC22A5">
          <w:pPr>
            <w:pStyle w:val="TOC2"/>
            <w:tabs>
              <w:tab w:val="right" w:leader="dot" w:pos="9016"/>
            </w:tabs>
            <w:rPr>
              <w:rFonts w:asciiTheme="minorHAnsi" w:eastAsiaTheme="minorEastAsia" w:hAnsiTheme="minorHAnsi" w:cstheme="minorBidi"/>
              <w:noProof/>
              <w:color w:val="auto"/>
            </w:rPr>
          </w:pPr>
          <w:hyperlink w:anchor="_Toc236420158" w:history="1">
            <w:r w:rsidRPr="00AA0533">
              <w:rPr>
                <w:rStyle w:val="Hyperlink"/>
                <w:noProof/>
              </w:rPr>
              <w:t>Different Approaches Used to Measure and Monitor Depression</w:t>
            </w:r>
            <w:r>
              <w:rPr>
                <w:noProof/>
                <w:webHidden/>
              </w:rPr>
              <w:tab/>
            </w:r>
            <w:r>
              <w:rPr>
                <w:noProof/>
                <w:webHidden/>
              </w:rPr>
              <w:fldChar w:fldCharType="begin"/>
            </w:r>
            <w:r>
              <w:rPr>
                <w:noProof/>
                <w:webHidden/>
              </w:rPr>
              <w:instrText xml:space="preserve"> PAGEREF _Toc236420158 \h </w:instrText>
            </w:r>
            <w:r>
              <w:rPr>
                <w:noProof/>
                <w:webHidden/>
              </w:rPr>
            </w:r>
            <w:r>
              <w:rPr>
                <w:noProof/>
                <w:webHidden/>
              </w:rPr>
              <w:fldChar w:fldCharType="separate"/>
            </w:r>
            <w:r>
              <w:rPr>
                <w:noProof/>
                <w:webHidden/>
              </w:rPr>
              <w:t>4</w:t>
            </w:r>
            <w:r>
              <w:rPr>
                <w:noProof/>
                <w:webHidden/>
              </w:rPr>
              <w:fldChar w:fldCharType="end"/>
            </w:r>
          </w:hyperlink>
        </w:p>
        <w:p w14:paraId="604389F4" w14:textId="6F01229E" w:rsidR="00EC22A5" w:rsidRDefault="00EC22A5">
          <w:pPr>
            <w:pStyle w:val="TOC2"/>
            <w:tabs>
              <w:tab w:val="right" w:leader="dot" w:pos="9016"/>
            </w:tabs>
            <w:rPr>
              <w:rFonts w:asciiTheme="minorHAnsi" w:eastAsiaTheme="minorEastAsia" w:hAnsiTheme="minorHAnsi" w:cstheme="minorBidi"/>
              <w:noProof/>
              <w:color w:val="auto"/>
            </w:rPr>
          </w:pPr>
          <w:hyperlink w:anchor="_Toc236420159" w:history="1">
            <w:r w:rsidRPr="00AA0533">
              <w:rPr>
                <w:rStyle w:val="Hyperlink"/>
                <w:noProof/>
              </w:rPr>
              <w:t>How Depression Is Controlled</w:t>
            </w:r>
            <w:r>
              <w:rPr>
                <w:noProof/>
                <w:webHidden/>
              </w:rPr>
              <w:tab/>
            </w:r>
            <w:r>
              <w:rPr>
                <w:noProof/>
                <w:webHidden/>
              </w:rPr>
              <w:fldChar w:fldCharType="begin"/>
            </w:r>
            <w:r>
              <w:rPr>
                <w:noProof/>
                <w:webHidden/>
              </w:rPr>
              <w:instrText xml:space="preserve"> PAGEREF _Toc236420159 \h </w:instrText>
            </w:r>
            <w:r>
              <w:rPr>
                <w:noProof/>
                <w:webHidden/>
              </w:rPr>
            </w:r>
            <w:r>
              <w:rPr>
                <w:noProof/>
                <w:webHidden/>
              </w:rPr>
              <w:fldChar w:fldCharType="separate"/>
            </w:r>
            <w:r>
              <w:rPr>
                <w:noProof/>
                <w:webHidden/>
              </w:rPr>
              <w:t>4</w:t>
            </w:r>
            <w:r>
              <w:rPr>
                <w:noProof/>
                <w:webHidden/>
              </w:rPr>
              <w:fldChar w:fldCharType="end"/>
            </w:r>
          </w:hyperlink>
        </w:p>
        <w:p w14:paraId="1A1050E6" w14:textId="325D676C" w:rsidR="00EC22A5" w:rsidRDefault="00EC22A5">
          <w:pPr>
            <w:pStyle w:val="TOC2"/>
            <w:tabs>
              <w:tab w:val="right" w:leader="dot" w:pos="9016"/>
            </w:tabs>
            <w:rPr>
              <w:rFonts w:asciiTheme="minorHAnsi" w:eastAsiaTheme="minorEastAsia" w:hAnsiTheme="minorHAnsi" w:cstheme="minorBidi"/>
              <w:noProof/>
              <w:color w:val="auto"/>
            </w:rPr>
          </w:pPr>
          <w:hyperlink w:anchor="_Toc236420160" w:history="1">
            <w:r w:rsidRPr="00AA0533">
              <w:rPr>
                <w:rStyle w:val="Hyperlink"/>
                <w:noProof/>
              </w:rPr>
              <w:t>Consequences for People in the Community</w:t>
            </w:r>
            <w:r>
              <w:rPr>
                <w:noProof/>
                <w:webHidden/>
              </w:rPr>
              <w:tab/>
            </w:r>
            <w:r>
              <w:rPr>
                <w:noProof/>
                <w:webHidden/>
              </w:rPr>
              <w:fldChar w:fldCharType="begin"/>
            </w:r>
            <w:r>
              <w:rPr>
                <w:noProof/>
                <w:webHidden/>
              </w:rPr>
              <w:instrText xml:space="preserve"> PAGEREF _Toc236420160 \h </w:instrText>
            </w:r>
            <w:r>
              <w:rPr>
                <w:noProof/>
                <w:webHidden/>
              </w:rPr>
            </w:r>
            <w:r>
              <w:rPr>
                <w:noProof/>
                <w:webHidden/>
              </w:rPr>
              <w:fldChar w:fldCharType="separate"/>
            </w:r>
            <w:r>
              <w:rPr>
                <w:noProof/>
                <w:webHidden/>
              </w:rPr>
              <w:t>6</w:t>
            </w:r>
            <w:r>
              <w:rPr>
                <w:noProof/>
                <w:webHidden/>
              </w:rPr>
              <w:fldChar w:fldCharType="end"/>
            </w:r>
          </w:hyperlink>
        </w:p>
        <w:p w14:paraId="7EFC59AC" w14:textId="2CED65F3" w:rsidR="00EC22A5" w:rsidRDefault="00EC22A5">
          <w:pPr>
            <w:pStyle w:val="TOC2"/>
            <w:tabs>
              <w:tab w:val="right" w:leader="dot" w:pos="9016"/>
            </w:tabs>
            <w:rPr>
              <w:rFonts w:asciiTheme="minorHAnsi" w:eastAsiaTheme="minorEastAsia" w:hAnsiTheme="minorHAnsi" w:cstheme="minorBidi"/>
              <w:noProof/>
              <w:color w:val="auto"/>
            </w:rPr>
          </w:pPr>
          <w:hyperlink w:anchor="_Toc236420161" w:history="1">
            <w:r w:rsidRPr="00AA0533">
              <w:rPr>
                <w:rStyle w:val="Hyperlink"/>
                <w:noProof/>
              </w:rPr>
              <w:t>Health and Social Care Support Services Required</w:t>
            </w:r>
            <w:r>
              <w:rPr>
                <w:noProof/>
                <w:webHidden/>
              </w:rPr>
              <w:tab/>
            </w:r>
            <w:r>
              <w:rPr>
                <w:noProof/>
                <w:webHidden/>
              </w:rPr>
              <w:fldChar w:fldCharType="begin"/>
            </w:r>
            <w:r>
              <w:rPr>
                <w:noProof/>
                <w:webHidden/>
              </w:rPr>
              <w:instrText xml:space="preserve"> PAGEREF _Toc236420161 \h </w:instrText>
            </w:r>
            <w:r>
              <w:rPr>
                <w:noProof/>
                <w:webHidden/>
              </w:rPr>
            </w:r>
            <w:r>
              <w:rPr>
                <w:noProof/>
                <w:webHidden/>
              </w:rPr>
              <w:fldChar w:fldCharType="separate"/>
            </w:r>
            <w:r>
              <w:rPr>
                <w:noProof/>
                <w:webHidden/>
              </w:rPr>
              <w:t>6</w:t>
            </w:r>
            <w:r>
              <w:rPr>
                <w:noProof/>
                <w:webHidden/>
              </w:rPr>
              <w:fldChar w:fldCharType="end"/>
            </w:r>
          </w:hyperlink>
        </w:p>
        <w:p w14:paraId="32091EAF" w14:textId="568BE2FA" w:rsidR="00EC22A5" w:rsidRDefault="00EC22A5">
          <w:pPr>
            <w:pStyle w:val="TOC1"/>
            <w:tabs>
              <w:tab w:val="right" w:leader="dot" w:pos="9016"/>
            </w:tabs>
            <w:rPr>
              <w:rFonts w:asciiTheme="minorHAnsi" w:eastAsiaTheme="minorEastAsia" w:hAnsiTheme="minorHAnsi" w:cstheme="minorBidi"/>
              <w:noProof/>
              <w:color w:val="auto"/>
            </w:rPr>
          </w:pPr>
          <w:hyperlink w:anchor="_Toc236420162" w:history="1">
            <w:r w:rsidRPr="00AA0533">
              <w:rPr>
                <w:rStyle w:val="Hyperlink"/>
                <w:noProof/>
              </w:rPr>
              <w:t>Conclusion</w:t>
            </w:r>
            <w:r>
              <w:rPr>
                <w:noProof/>
                <w:webHidden/>
              </w:rPr>
              <w:tab/>
            </w:r>
            <w:r>
              <w:rPr>
                <w:noProof/>
                <w:webHidden/>
              </w:rPr>
              <w:fldChar w:fldCharType="begin"/>
            </w:r>
            <w:r>
              <w:rPr>
                <w:noProof/>
                <w:webHidden/>
              </w:rPr>
              <w:instrText xml:space="preserve"> PAGEREF _Toc236420162 \h </w:instrText>
            </w:r>
            <w:r>
              <w:rPr>
                <w:noProof/>
                <w:webHidden/>
              </w:rPr>
            </w:r>
            <w:r>
              <w:rPr>
                <w:noProof/>
                <w:webHidden/>
              </w:rPr>
              <w:fldChar w:fldCharType="separate"/>
            </w:r>
            <w:r>
              <w:rPr>
                <w:noProof/>
                <w:webHidden/>
              </w:rPr>
              <w:t>8</w:t>
            </w:r>
            <w:r>
              <w:rPr>
                <w:noProof/>
                <w:webHidden/>
              </w:rPr>
              <w:fldChar w:fldCharType="end"/>
            </w:r>
          </w:hyperlink>
        </w:p>
        <w:p w14:paraId="22EAFB83" w14:textId="2F94F94A" w:rsidR="00EC22A5" w:rsidRDefault="00EC22A5">
          <w:pPr>
            <w:pStyle w:val="TOC1"/>
            <w:tabs>
              <w:tab w:val="right" w:leader="dot" w:pos="9016"/>
            </w:tabs>
            <w:rPr>
              <w:rFonts w:asciiTheme="minorHAnsi" w:eastAsiaTheme="minorEastAsia" w:hAnsiTheme="minorHAnsi" w:cstheme="minorBidi"/>
              <w:noProof/>
              <w:color w:val="auto"/>
            </w:rPr>
          </w:pPr>
          <w:hyperlink w:anchor="_Toc236420163" w:history="1">
            <w:r w:rsidRPr="00AA0533">
              <w:rPr>
                <w:rStyle w:val="Hyperlink"/>
                <w:noProof/>
              </w:rPr>
              <w:t>References</w:t>
            </w:r>
            <w:r>
              <w:rPr>
                <w:noProof/>
                <w:webHidden/>
              </w:rPr>
              <w:tab/>
            </w:r>
            <w:r>
              <w:rPr>
                <w:noProof/>
                <w:webHidden/>
              </w:rPr>
              <w:fldChar w:fldCharType="begin"/>
            </w:r>
            <w:r>
              <w:rPr>
                <w:noProof/>
                <w:webHidden/>
              </w:rPr>
              <w:instrText xml:space="preserve"> PAGEREF _Toc236420163 \h </w:instrText>
            </w:r>
            <w:r>
              <w:rPr>
                <w:noProof/>
                <w:webHidden/>
              </w:rPr>
            </w:r>
            <w:r>
              <w:rPr>
                <w:noProof/>
                <w:webHidden/>
              </w:rPr>
              <w:fldChar w:fldCharType="separate"/>
            </w:r>
            <w:r>
              <w:rPr>
                <w:noProof/>
                <w:webHidden/>
              </w:rPr>
              <w:t>9</w:t>
            </w:r>
            <w:r>
              <w:rPr>
                <w:noProof/>
                <w:webHidden/>
              </w:rPr>
              <w:fldChar w:fldCharType="end"/>
            </w:r>
          </w:hyperlink>
        </w:p>
        <w:p w14:paraId="0003068B" w14:textId="2BBFA58F" w:rsidR="007564B5" w:rsidRPr="00CC0EF5" w:rsidRDefault="007564B5" w:rsidP="00574B24">
          <w:r w:rsidRPr="00CC0EF5">
            <w:rPr>
              <w:b/>
              <w:bCs/>
              <w:noProof/>
            </w:rPr>
            <w:fldChar w:fldCharType="end"/>
          </w:r>
        </w:p>
      </w:sdtContent>
    </w:sdt>
    <w:p w14:paraId="66C623C3" w14:textId="77777777" w:rsidR="00640102" w:rsidRPr="00CC0EF5" w:rsidRDefault="00640102" w:rsidP="00574B24">
      <w:pPr>
        <w:spacing w:after="200"/>
        <w:rPr>
          <w:rFonts w:eastAsiaTheme="majorEastAsia"/>
          <w:b/>
          <w:bCs/>
          <w:color w:val="1F4D78"/>
          <w:sz w:val="32"/>
          <w:szCs w:val="28"/>
        </w:rPr>
      </w:pPr>
      <w:r w:rsidRPr="00CC0EF5">
        <w:br w:type="page"/>
      </w:r>
    </w:p>
    <w:p w14:paraId="77D20B3A" w14:textId="106DFE6C" w:rsidR="000F464A" w:rsidRPr="00CC0EF5" w:rsidRDefault="00D50F49" w:rsidP="00574B24">
      <w:pPr>
        <w:pStyle w:val="Heading1"/>
        <w:rPr>
          <w:rFonts w:ascii="Arial" w:hAnsi="Arial" w:cs="Arial"/>
        </w:rPr>
      </w:pPr>
      <w:bookmarkStart w:id="0" w:name="_Toc236420156"/>
      <w:r w:rsidRPr="00CC0EF5">
        <w:rPr>
          <w:rFonts w:ascii="Arial" w:hAnsi="Arial" w:cs="Arial"/>
        </w:rPr>
        <w:t>Introduction</w:t>
      </w:r>
      <w:bookmarkEnd w:id="0"/>
    </w:p>
    <w:p w14:paraId="500598D2" w14:textId="2AFC2D29" w:rsidR="000F464A" w:rsidRPr="00CC0EF5" w:rsidRDefault="00640102" w:rsidP="00574B24">
      <w:pPr>
        <w:rPr>
          <w:color w:val="auto"/>
        </w:rPr>
      </w:pPr>
      <w:r w:rsidRPr="00CC0EF5">
        <w:rPr>
          <w:color w:val="auto"/>
        </w:rPr>
        <w:t>Depression, a depressive disorder</w:t>
      </w:r>
      <w:r w:rsidR="007564B5" w:rsidRPr="00CC0EF5">
        <w:rPr>
          <w:color w:val="auto"/>
        </w:rPr>
        <w:t>,</w:t>
      </w:r>
      <w:r w:rsidRPr="00CC0EF5">
        <w:rPr>
          <w:color w:val="auto"/>
        </w:rPr>
        <w:t xml:space="preserve"> is a mood of the mind which is </w:t>
      </w:r>
      <w:proofErr w:type="spellStart"/>
      <w:r w:rsidR="007564B5" w:rsidRPr="00CC0EF5">
        <w:rPr>
          <w:color w:val="auto"/>
        </w:rPr>
        <w:t>characterised</w:t>
      </w:r>
      <w:proofErr w:type="spellEnd"/>
      <w:r w:rsidRPr="00CC0EF5">
        <w:rPr>
          <w:color w:val="auto"/>
        </w:rPr>
        <w:t xml:space="preserve"> by </w:t>
      </w:r>
      <w:r w:rsidR="007564B5" w:rsidRPr="00CC0EF5">
        <w:rPr>
          <w:color w:val="auto"/>
        </w:rPr>
        <w:t>a</w:t>
      </w:r>
      <w:r w:rsidRPr="00CC0EF5">
        <w:rPr>
          <w:color w:val="auto"/>
        </w:rPr>
        <w:t xml:space="preserve"> depressed mood or lack of interest and pleasure which interferes with functioning. It can be </w:t>
      </w:r>
      <w:proofErr w:type="spellStart"/>
      <w:r w:rsidR="007564B5" w:rsidRPr="00CC0EF5">
        <w:rPr>
          <w:color w:val="auto"/>
        </w:rPr>
        <w:t>characterised</w:t>
      </w:r>
      <w:proofErr w:type="spellEnd"/>
      <w:r w:rsidR="007564B5" w:rsidRPr="00CC0EF5">
        <w:rPr>
          <w:color w:val="auto"/>
        </w:rPr>
        <w:t xml:space="preserve"> by</w:t>
      </w:r>
      <w:r w:rsidRPr="00CC0EF5">
        <w:rPr>
          <w:color w:val="auto"/>
        </w:rPr>
        <w:t xml:space="preserve"> hopelessness, guilt, difficulty in focusing, sleep or appetite changes, fatigue, slow or fast movements, withdrawal </w:t>
      </w:r>
      <w:r w:rsidR="007564B5" w:rsidRPr="00CC0EF5">
        <w:rPr>
          <w:color w:val="auto"/>
        </w:rPr>
        <w:t>from</w:t>
      </w:r>
      <w:r w:rsidRPr="00CC0EF5">
        <w:rPr>
          <w:color w:val="auto"/>
        </w:rPr>
        <w:t xml:space="preserve"> relationships, poor performance and self-injury or suicidal thoughts. The symptoms last at least two weeks, and the severity </w:t>
      </w:r>
      <w:r w:rsidR="007564B5" w:rsidRPr="00CC0EF5">
        <w:rPr>
          <w:color w:val="auto"/>
        </w:rPr>
        <w:t>ranges from mild to</w:t>
      </w:r>
      <w:r w:rsidRPr="00CC0EF5">
        <w:rPr>
          <w:color w:val="auto"/>
        </w:rPr>
        <w:t xml:space="preserve"> moderate or severe illness</w:t>
      </w:r>
      <w:r w:rsidR="00973EE9" w:rsidRPr="00CC0EF5">
        <w:rPr>
          <w:color w:val="auto"/>
        </w:rPr>
        <w:t xml:space="preserve"> (Williams </w:t>
      </w:r>
      <w:r w:rsidR="00973EE9" w:rsidRPr="00CC0EF5">
        <w:rPr>
          <w:i/>
          <w:iCs/>
          <w:color w:val="auto"/>
        </w:rPr>
        <w:t>et al.,</w:t>
      </w:r>
      <w:r w:rsidR="00973EE9" w:rsidRPr="00CC0EF5">
        <w:rPr>
          <w:color w:val="auto"/>
        </w:rPr>
        <w:t xml:space="preserve"> 2024)</w:t>
      </w:r>
      <w:r w:rsidRPr="00CC0EF5">
        <w:rPr>
          <w:color w:val="auto"/>
        </w:rPr>
        <w:t>. The size is big. The Global Burden of Disease was estimated to be approximately 357 million incidence cases and 332 million people with depressive disorders in 2021</w:t>
      </w:r>
      <w:r w:rsidR="007564B5" w:rsidRPr="00CC0EF5">
        <w:rPr>
          <w:color w:val="auto"/>
        </w:rPr>
        <w:t>,</w:t>
      </w:r>
      <w:r w:rsidRPr="00CC0EF5">
        <w:rPr>
          <w:color w:val="auto"/>
        </w:rPr>
        <w:t xml:space="preserve"> with the World Health </w:t>
      </w:r>
      <w:proofErr w:type="spellStart"/>
      <w:r w:rsidRPr="00CC0EF5">
        <w:rPr>
          <w:color w:val="auto"/>
        </w:rPr>
        <w:t>Organisation</w:t>
      </w:r>
      <w:proofErr w:type="spellEnd"/>
      <w:r w:rsidRPr="00CC0EF5">
        <w:rPr>
          <w:color w:val="auto"/>
        </w:rPr>
        <w:t xml:space="preserve"> estimating 5.7 per cent of adults to have the condition. In Great Britain, the percentage of adults who had moderate to severe symptoms of depression was 18% in April 2025. In England, 714,592 adults were diagnosed with a new GP-recorded diagnosis in 2024/25, which was 1.4% </w:t>
      </w:r>
      <w:r w:rsidR="007564B5" w:rsidRPr="00CC0EF5">
        <w:rPr>
          <w:color w:val="auto"/>
        </w:rPr>
        <w:t>of the</w:t>
      </w:r>
      <w:r w:rsidRPr="00CC0EF5">
        <w:rPr>
          <w:color w:val="auto"/>
        </w:rPr>
        <w:t xml:space="preserve"> prevalence of 14.3 recorded. These statistics prove the fact that </w:t>
      </w:r>
      <w:r w:rsidR="007564B5" w:rsidRPr="00CC0EF5">
        <w:rPr>
          <w:color w:val="auto"/>
        </w:rPr>
        <w:t xml:space="preserve">the </w:t>
      </w:r>
      <w:r w:rsidRPr="00CC0EF5">
        <w:rPr>
          <w:color w:val="auto"/>
        </w:rPr>
        <w:t>health of the population is a big issue.</w:t>
      </w:r>
    </w:p>
    <w:p w14:paraId="0D52CD9E" w14:textId="0FA95F70" w:rsidR="007564B5" w:rsidRPr="00CC0EF5" w:rsidRDefault="007564B5" w:rsidP="00574B24">
      <w:pPr>
        <w:jc w:val="center"/>
      </w:pPr>
      <w:r w:rsidRPr="00CC0EF5">
        <w:rPr>
          <w:noProof/>
        </w:rPr>
        <w:drawing>
          <wp:inline distT="0" distB="0" distL="0" distR="0" wp14:anchorId="36D9C084" wp14:editId="2160FF6E">
            <wp:extent cx="3241321" cy="2295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53183" cy="2303926"/>
                    </a:xfrm>
                    <a:prstGeom prst="rect">
                      <a:avLst/>
                    </a:prstGeom>
                    <a:noFill/>
                  </pic:spPr>
                </pic:pic>
              </a:graphicData>
            </a:graphic>
          </wp:inline>
        </w:drawing>
      </w:r>
    </w:p>
    <w:p w14:paraId="5EF70382" w14:textId="54D0AE02" w:rsidR="007564B5" w:rsidRPr="00CC0EF5" w:rsidRDefault="007564B5" w:rsidP="00574B24">
      <w:pPr>
        <w:jc w:val="center"/>
        <w:rPr>
          <w:b/>
          <w:bCs/>
          <w:i/>
          <w:iCs/>
          <w:color w:val="auto"/>
        </w:rPr>
      </w:pPr>
      <w:r w:rsidRPr="00CC0EF5">
        <w:rPr>
          <w:b/>
          <w:bCs/>
          <w:i/>
          <w:iCs/>
          <w:color w:val="auto"/>
        </w:rPr>
        <w:t xml:space="preserve">Figure-1: Depression </w:t>
      </w:r>
      <w:r w:rsidR="00973EE9" w:rsidRPr="00CC0EF5">
        <w:rPr>
          <w:color w:val="auto"/>
        </w:rPr>
        <w:t xml:space="preserve">(Williams </w:t>
      </w:r>
      <w:r w:rsidR="00973EE9" w:rsidRPr="00CC0EF5">
        <w:rPr>
          <w:i/>
          <w:iCs/>
          <w:color w:val="auto"/>
        </w:rPr>
        <w:t>et al.,</w:t>
      </w:r>
      <w:r w:rsidR="00973EE9" w:rsidRPr="00CC0EF5">
        <w:rPr>
          <w:color w:val="auto"/>
        </w:rPr>
        <w:t xml:space="preserve"> 2024)</w:t>
      </w:r>
    </w:p>
    <w:p w14:paraId="531B94FD" w14:textId="77777777" w:rsidR="00640102" w:rsidRPr="00CC0EF5" w:rsidRDefault="00640102" w:rsidP="00574B24">
      <w:pPr>
        <w:spacing w:after="200"/>
        <w:rPr>
          <w:rFonts w:eastAsiaTheme="majorEastAsia"/>
          <w:b/>
          <w:bCs/>
          <w:color w:val="1F4D78"/>
          <w:sz w:val="32"/>
          <w:szCs w:val="28"/>
        </w:rPr>
      </w:pPr>
      <w:r w:rsidRPr="00CC0EF5">
        <w:br w:type="page"/>
      </w:r>
    </w:p>
    <w:p w14:paraId="01C487BC" w14:textId="5A56E853" w:rsidR="000F464A" w:rsidRPr="00CC0EF5" w:rsidRDefault="00D50F49" w:rsidP="00574B24">
      <w:pPr>
        <w:pStyle w:val="Heading1"/>
        <w:rPr>
          <w:rFonts w:ascii="Arial" w:hAnsi="Arial" w:cs="Arial"/>
        </w:rPr>
      </w:pPr>
      <w:bookmarkStart w:id="1" w:name="_Toc236420157"/>
      <w:r w:rsidRPr="00CC0EF5">
        <w:rPr>
          <w:rFonts w:ascii="Arial" w:hAnsi="Arial" w:cs="Arial"/>
        </w:rPr>
        <w:t>Main Body</w:t>
      </w:r>
      <w:bookmarkEnd w:id="1"/>
    </w:p>
    <w:p w14:paraId="6B97E9CC" w14:textId="77777777" w:rsidR="000F464A" w:rsidRPr="00CC0EF5" w:rsidRDefault="00D50F49" w:rsidP="00574B24">
      <w:pPr>
        <w:pStyle w:val="Heading2"/>
        <w:rPr>
          <w:rFonts w:ascii="Arial" w:hAnsi="Arial" w:cs="Arial"/>
        </w:rPr>
      </w:pPr>
      <w:bookmarkStart w:id="2" w:name="_Toc236420158"/>
      <w:r w:rsidRPr="00CC0EF5">
        <w:rPr>
          <w:rFonts w:ascii="Arial" w:hAnsi="Arial" w:cs="Arial"/>
        </w:rPr>
        <w:t>Different Approaches Used to Measure and Monitor Depression</w:t>
      </w:r>
      <w:bookmarkEnd w:id="2"/>
    </w:p>
    <w:p w14:paraId="69C67D04" w14:textId="058A6066" w:rsidR="00640102" w:rsidRPr="00CC0EF5" w:rsidRDefault="00640102" w:rsidP="00574B24">
      <w:pPr>
        <w:rPr>
          <w:color w:val="auto"/>
        </w:rPr>
      </w:pPr>
      <w:r w:rsidRPr="00CC0EF5">
        <w:rPr>
          <w:color w:val="auto"/>
        </w:rPr>
        <w:t>The public health agencies and services combine epidemiological, clinical and outcome data since there is no single measure to capture depression. Incidence is used to measure the number of individuals who receive a new episode within a given time frame</w:t>
      </w:r>
      <w:r w:rsidR="007564B5" w:rsidRPr="00CC0EF5">
        <w:rPr>
          <w:color w:val="auto"/>
        </w:rPr>
        <w:t>,</w:t>
      </w:r>
      <w:r w:rsidRPr="00CC0EF5">
        <w:rPr>
          <w:color w:val="auto"/>
        </w:rPr>
        <w:t xml:space="preserve"> and prevalence is used to measure how many individuals are afflicted at a given point or a given time frame. Incidence is difficult to compare because depression is recurrent, individuals may not seek help as soon as possible</w:t>
      </w:r>
      <w:r w:rsidR="007564B5" w:rsidRPr="00CC0EF5">
        <w:rPr>
          <w:color w:val="auto"/>
        </w:rPr>
        <w:t>,</w:t>
      </w:r>
      <w:r w:rsidRPr="00CC0EF5">
        <w:rPr>
          <w:color w:val="auto"/>
        </w:rPr>
        <w:t xml:space="preserve"> and there is coding variability</w:t>
      </w:r>
      <w:r w:rsidR="00973EE9" w:rsidRPr="00CC0EF5">
        <w:rPr>
          <w:color w:val="auto"/>
        </w:rPr>
        <w:t xml:space="preserve"> (Beck </w:t>
      </w:r>
      <w:r w:rsidR="00973EE9" w:rsidRPr="00CC0EF5">
        <w:rPr>
          <w:i/>
          <w:iCs/>
          <w:color w:val="auto"/>
        </w:rPr>
        <w:t>et al.,</w:t>
      </w:r>
      <w:r w:rsidR="00973EE9" w:rsidRPr="00CC0EF5">
        <w:rPr>
          <w:color w:val="auto"/>
        </w:rPr>
        <w:t xml:space="preserve"> 2024)</w:t>
      </w:r>
      <w:r w:rsidRPr="00CC0EF5">
        <w:rPr>
          <w:color w:val="auto"/>
        </w:rPr>
        <w:t>. Population surveys thus give a significant perspective. Validated symptom questionnaires are filled out by random samples, including the Patient Health Questionnaire</w:t>
      </w:r>
      <w:r w:rsidR="007564B5" w:rsidRPr="00CC0EF5">
        <w:rPr>
          <w:color w:val="auto"/>
        </w:rPr>
        <w:t>,</w:t>
      </w:r>
      <w:r w:rsidRPr="00CC0EF5">
        <w:rPr>
          <w:color w:val="auto"/>
        </w:rPr>
        <w:t xml:space="preserve"> which approximates the likelihood of depression and its severity. Surveys have the ability to show need that is not being met in those who have not received services and to compare trends by age, sex, ethnicity, disability, income and location. A scoring </w:t>
      </w:r>
      <w:r w:rsidR="007564B5" w:rsidRPr="00CC0EF5">
        <w:rPr>
          <w:color w:val="auto"/>
        </w:rPr>
        <w:t>or</w:t>
      </w:r>
      <w:r w:rsidRPr="00CC0EF5">
        <w:rPr>
          <w:color w:val="auto"/>
        </w:rPr>
        <w:t xml:space="preserve"> screening would</w:t>
      </w:r>
      <w:r w:rsidR="007564B5" w:rsidRPr="00CC0EF5">
        <w:rPr>
          <w:color w:val="auto"/>
        </w:rPr>
        <w:t>,</w:t>
      </w:r>
      <w:r w:rsidRPr="00CC0EF5">
        <w:rPr>
          <w:color w:val="auto"/>
        </w:rPr>
        <w:t xml:space="preserve"> however</w:t>
      </w:r>
      <w:r w:rsidR="007564B5" w:rsidRPr="00CC0EF5">
        <w:rPr>
          <w:color w:val="auto"/>
        </w:rPr>
        <w:t>,</w:t>
      </w:r>
      <w:r w:rsidRPr="00CC0EF5">
        <w:rPr>
          <w:color w:val="auto"/>
        </w:rPr>
        <w:t xml:space="preserve"> not be equal to a clinical diagnosis.</w:t>
      </w:r>
    </w:p>
    <w:p w14:paraId="7EB6F6BD" w14:textId="37BB43AE" w:rsidR="00640102" w:rsidRPr="00CC0EF5" w:rsidRDefault="00640102" w:rsidP="00574B24">
      <w:pPr>
        <w:rPr>
          <w:color w:val="auto"/>
        </w:rPr>
      </w:pPr>
      <w:r w:rsidRPr="00CC0EF5">
        <w:rPr>
          <w:color w:val="auto"/>
        </w:rPr>
        <w:t xml:space="preserve">One of the methods is by use of routine health records. Indicators of new diagnosis, GP disease registers, prescriptions, referrals, hospital activity and NHS Talking Therapies data are </w:t>
      </w:r>
      <w:proofErr w:type="spellStart"/>
      <w:r w:rsidRPr="00CC0EF5">
        <w:rPr>
          <w:color w:val="auto"/>
        </w:rPr>
        <w:t>recognised</w:t>
      </w:r>
      <w:proofErr w:type="spellEnd"/>
      <w:r w:rsidRPr="00CC0EF5">
        <w:rPr>
          <w:color w:val="auto"/>
        </w:rPr>
        <w:t xml:space="preserve"> illness, service use, waiting times and outcomes. The local authorities combine these data with deprivation, employment data, housing data, self-harm and suicide data to plan the provision</w:t>
      </w:r>
      <w:r w:rsidR="00973EE9" w:rsidRPr="00CC0EF5">
        <w:rPr>
          <w:color w:val="auto"/>
        </w:rPr>
        <w:t xml:space="preserve"> (</w:t>
      </w:r>
      <w:proofErr w:type="spellStart"/>
      <w:r w:rsidR="00973EE9" w:rsidRPr="00CC0EF5">
        <w:rPr>
          <w:color w:val="auto"/>
        </w:rPr>
        <w:t>Cvetkovich</w:t>
      </w:r>
      <w:proofErr w:type="spellEnd"/>
      <w:r w:rsidR="00973EE9" w:rsidRPr="00CC0EF5">
        <w:rPr>
          <w:color w:val="auto"/>
        </w:rPr>
        <w:t>, 2020)</w:t>
      </w:r>
      <w:r w:rsidRPr="00CC0EF5">
        <w:rPr>
          <w:color w:val="auto"/>
        </w:rPr>
        <w:t xml:space="preserve">. The clinical evaluation starts with a systematic evaluation of mood, interest, length, functioning, past episode history, physical health, medications, alcohol or substance abuse and potential bipolar symptoms. </w:t>
      </w:r>
      <w:r w:rsidR="007564B5" w:rsidRPr="00CC0EF5">
        <w:rPr>
          <w:color w:val="auto"/>
        </w:rPr>
        <w:t>The clinician</w:t>
      </w:r>
      <w:r w:rsidRPr="00CC0EF5">
        <w:rPr>
          <w:color w:val="auto"/>
        </w:rPr>
        <w:t xml:space="preserve"> evaluates self-harm, suicide, and abuse and safeguarding risks </w:t>
      </w:r>
      <w:r w:rsidR="007564B5" w:rsidRPr="00CC0EF5">
        <w:rPr>
          <w:color w:val="auto"/>
        </w:rPr>
        <w:t>based</w:t>
      </w:r>
      <w:r w:rsidRPr="00CC0EF5">
        <w:rPr>
          <w:color w:val="auto"/>
        </w:rPr>
        <w:t xml:space="preserve"> on ICD or DSM criteria and judgment.</w:t>
      </w:r>
    </w:p>
    <w:p w14:paraId="5D94C0DA" w14:textId="3471480E" w:rsidR="00640102" w:rsidRPr="00CC0EF5" w:rsidRDefault="00640102" w:rsidP="00574B24">
      <w:pPr>
        <w:rPr>
          <w:color w:val="auto"/>
        </w:rPr>
      </w:pPr>
      <w:r w:rsidRPr="00CC0EF5">
        <w:rPr>
          <w:color w:val="auto"/>
        </w:rPr>
        <w:t>Progress review is facilitated in terms of repeated symptom scores, mental state review and objectives. Credible enhancement, recuperation, worsening, attendance, side effects, relapse and quality of life can be monitored in services. Population level Measures in years lived with disability, disability-adjusted life years and economic costs</w:t>
      </w:r>
      <w:r w:rsidR="00973EE9" w:rsidRPr="00CC0EF5">
        <w:rPr>
          <w:color w:val="auto"/>
        </w:rPr>
        <w:t xml:space="preserve"> (Harris, 2022)</w:t>
      </w:r>
      <w:r w:rsidRPr="00CC0EF5">
        <w:rPr>
          <w:color w:val="auto"/>
        </w:rPr>
        <w:t>.</w:t>
      </w:r>
    </w:p>
    <w:p w14:paraId="4AD6B0FC" w14:textId="77777777" w:rsidR="000F464A" w:rsidRPr="00CC0EF5" w:rsidRDefault="00D50F49" w:rsidP="00574B24">
      <w:pPr>
        <w:pStyle w:val="Heading2"/>
        <w:rPr>
          <w:rFonts w:ascii="Arial" w:hAnsi="Arial" w:cs="Arial"/>
        </w:rPr>
      </w:pPr>
      <w:bookmarkStart w:id="3" w:name="_Toc236420159"/>
      <w:r w:rsidRPr="00CC0EF5">
        <w:rPr>
          <w:rFonts w:ascii="Arial" w:hAnsi="Arial" w:cs="Arial"/>
        </w:rPr>
        <w:t>How Depression Is Controlled</w:t>
      </w:r>
      <w:bookmarkEnd w:id="3"/>
    </w:p>
    <w:p w14:paraId="643E25B1" w14:textId="2299B6D5" w:rsidR="00640102" w:rsidRPr="00CC0EF5" w:rsidRDefault="00640102" w:rsidP="00574B24">
      <w:pPr>
        <w:rPr>
          <w:color w:val="auto"/>
        </w:rPr>
      </w:pPr>
      <w:r w:rsidRPr="00CC0EF5">
        <w:rPr>
          <w:color w:val="auto"/>
        </w:rPr>
        <w:t xml:space="preserve">The goals of control include prevention of episodes, early diagnosis of illness, </w:t>
      </w:r>
      <w:proofErr w:type="spellStart"/>
      <w:r w:rsidR="007564B5" w:rsidRPr="00CC0EF5">
        <w:rPr>
          <w:color w:val="auto"/>
        </w:rPr>
        <w:t>minimising</w:t>
      </w:r>
      <w:proofErr w:type="spellEnd"/>
      <w:r w:rsidRPr="00CC0EF5">
        <w:rPr>
          <w:color w:val="auto"/>
        </w:rPr>
        <w:t xml:space="preserve"> symptoms and disability, saving </w:t>
      </w:r>
      <w:r w:rsidR="007564B5" w:rsidRPr="00CC0EF5">
        <w:rPr>
          <w:color w:val="auto"/>
        </w:rPr>
        <w:t>lives,</w:t>
      </w:r>
      <w:r w:rsidRPr="00CC0EF5">
        <w:rPr>
          <w:color w:val="auto"/>
        </w:rPr>
        <w:t xml:space="preserve"> and relapse prevention. Mental health education, anti-stigma, supportive schools and workplaces, bullying and domestic violence action, and poverty, debt, insecure housing and social isolation policy are all measures of population. The delays in the assessment can be reduced by training the community workers to identify the persistent low mood, loss of pleasure and functional decline</w:t>
      </w:r>
      <w:r w:rsidR="00973EE9" w:rsidRPr="00CC0EF5">
        <w:rPr>
          <w:color w:val="auto"/>
        </w:rPr>
        <w:t xml:space="preserve"> (Christie </w:t>
      </w:r>
      <w:r w:rsidR="00973EE9" w:rsidRPr="00CC0EF5">
        <w:rPr>
          <w:i/>
          <w:iCs/>
          <w:color w:val="auto"/>
        </w:rPr>
        <w:t>et al.,</w:t>
      </w:r>
      <w:r w:rsidR="00973EE9" w:rsidRPr="00CC0EF5">
        <w:rPr>
          <w:color w:val="auto"/>
        </w:rPr>
        <w:t xml:space="preserve"> 2021)</w:t>
      </w:r>
      <w:r w:rsidRPr="00CC0EF5">
        <w:rPr>
          <w:color w:val="auto"/>
        </w:rPr>
        <w:t>. Other primary care reviews that must be addressed are bereavement, trauma, chronic pain, hormonal change, effects of medication and physical conditions that cause or aggravate symptoms.</w:t>
      </w:r>
    </w:p>
    <w:p w14:paraId="3F38F4F5" w14:textId="5C11A11B" w:rsidR="00640102" w:rsidRPr="00CC0EF5" w:rsidRDefault="00640102" w:rsidP="00574B24">
      <w:pPr>
        <w:rPr>
          <w:color w:val="auto"/>
        </w:rPr>
      </w:pPr>
      <w:r w:rsidRPr="00CC0EF5">
        <w:rPr>
          <w:color w:val="auto"/>
        </w:rPr>
        <w:t xml:space="preserve">It is a </w:t>
      </w:r>
      <w:r w:rsidR="00237BBE" w:rsidRPr="00CC0EF5">
        <w:rPr>
          <w:color w:val="auto"/>
        </w:rPr>
        <w:t>step-by-step</w:t>
      </w:r>
      <w:r w:rsidRPr="00CC0EF5">
        <w:rPr>
          <w:color w:val="auto"/>
        </w:rPr>
        <w:t xml:space="preserve"> process and joint </w:t>
      </w:r>
      <w:r w:rsidR="007564B5" w:rsidRPr="00CC0EF5">
        <w:rPr>
          <w:color w:val="auto"/>
        </w:rPr>
        <w:t>decision-making</w:t>
      </w:r>
      <w:r w:rsidRPr="00CC0EF5">
        <w:rPr>
          <w:color w:val="auto"/>
        </w:rPr>
        <w:t xml:space="preserve"> of the treatment, which is </w:t>
      </w:r>
      <w:proofErr w:type="spellStart"/>
      <w:r w:rsidRPr="00CC0EF5">
        <w:rPr>
          <w:color w:val="auto"/>
        </w:rPr>
        <w:t>individualised</w:t>
      </w:r>
      <w:proofErr w:type="spellEnd"/>
      <w:r w:rsidRPr="00CC0EF5">
        <w:rPr>
          <w:color w:val="auto"/>
        </w:rPr>
        <w:t xml:space="preserve">. In milder cases of depression, active monitoring, self-help with guidance, physical exercise, </w:t>
      </w:r>
      <w:proofErr w:type="spellStart"/>
      <w:r w:rsidRPr="00CC0EF5">
        <w:rPr>
          <w:color w:val="auto"/>
        </w:rPr>
        <w:t>behavioural</w:t>
      </w:r>
      <w:proofErr w:type="spellEnd"/>
      <w:r w:rsidRPr="00CC0EF5">
        <w:rPr>
          <w:color w:val="auto"/>
        </w:rPr>
        <w:t xml:space="preserve"> activation and psychological therapies might be suitable. People can learn to alter unhelpful patterns, process problems and re-establish activity through cognitive </w:t>
      </w:r>
      <w:proofErr w:type="spellStart"/>
      <w:r w:rsidRPr="00CC0EF5">
        <w:rPr>
          <w:color w:val="auto"/>
        </w:rPr>
        <w:t>behavioural</w:t>
      </w:r>
      <w:proofErr w:type="spellEnd"/>
      <w:r w:rsidRPr="00CC0EF5">
        <w:rPr>
          <w:color w:val="auto"/>
        </w:rPr>
        <w:t xml:space="preserve"> therapy, interpersonal therapy, depression and mindfulness </w:t>
      </w:r>
      <w:proofErr w:type="spellStart"/>
      <w:r w:rsidRPr="00CC0EF5">
        <w:rPr>
          <w:color w:val="auto"/>
        </w:rPr>
        <w:t>counselling</w:t>
      </w:r>
      <w:proofErr w:type="spellEnd"/>
      <w:r w:rsidRPr="00CC0EF5">
        <w:rPr>
          <w:color w:val="auto"/>
        </w:rPr>
        <w:t xml:space="preserve">. In more serious disease, increased intensity exercise, antidepressant drug, or a combination of the two can be provided based on clinical necessity, prior response and preference. Medication ought to be explained in </w:t>
      </w:r>
      <w:r w:rsidR="007564B5" w:rsidRPr="00CC0EF5">
        <w:rPr>
          <w:color w:val="auto"/>
        </w:rPr>
        <w:t xml:space="preserve">terms of </w:t>
      </w:r>
      <w:r w:rsidRPr="00CC0EF5">
        <w:rPr>
          <w:color w:val="auto"/>
        </w:rPr>
        <w:t>delayed benefit, adherence</w:t>
      </w:r>
      <w:r w:rsidR="007564B5" w:rsidRPr="00CC0EF5">
        <w:rPr>
          <w:color w:val="auto"/>
        </w:rPr>
        <w:t>,</w:t>
      </w:r>
      <w:r w:rsidRPr="00CC0EF5">
        <w:rPr>
          <w:color w:val="auto"/>
        </w:rPr>
        <w:t xml:space="preserve"> safe withdrawal and side effects. Electroconvulsive therapy</w:t>
      </w:r>
      <w:r w:rsidR="007564B5" w:rsidRPr="00CC0EF5">
        <w:rPr>
          <w:color w:val="auto"/>
        </w:rPr>
        <w:t>:</w:t>
      </w:r>
      <w:r w:rsidRPr="00CC0EF5">
        <w:rPr>
          <w:color w:val="auto"/>
        </w:rPr>
        <w:t xml:space="preserve"> Specialist treatment, such as electroconvulsive therapy, can be used in severe, life-threatening or treatment-resistant depression.</w:t>
      </w:r>
    </w:p>
    <w:p w14:paraId="2AAFFDED" w14:textId="2EEBA48A" w:rsidR="000F464A" w:rsidRPr="00CC0EF5" w:rsidRDefault="00640102" w:rsidP="00574B24">
      <w:pPr>
        <w:rPr>
          <w:color w:val="auto"/>
        </w:rPr>
      </w:pPr>
      <w:r w:rsidRPr="00CC0EF5">
        <w:rPr>
          <w:color w:val="auto"/>
        </w:rPr>
        <w:t xml:space="preserve">Risk management is not an isolated process. Clinicians directly inquire about self-harm and suicide, consent to a safety plan, </w:t>
      </w:r>
      <w:proofErr w:type="spellStart"/>
      <w:r w:rsidR="007564B5" w:rsidRPr="00CC0EF5">
        <w:rPr>
          <w:color w:val="auto"/>
        </w:rPr>
        <w:t>minimise</w:t>
      </w:r>
      <w:proofErr w:type="spellEnd"/>
      <w:r w:rsidRPr="00CC0EF5">
        <w:rPr>
          <w:color w:val="auto"/>
        </w:rPr>
        <w:t xml:space="preserve"> access to lethal methods where feasible, engage supportive individuals, and set up an emergency crisis evaluation when harm cannot be addressed. In case of the risk of children or weak adults</w:t>
      </w:r>
      <w:r w:rsidR="007564B5" w:rsidRPr="00CC0EF5">
        <w:rPr>
          <w:color w:val="auto"/>
        </w:rPr>
        <w:t>,</w:t>
      </w:r>
      <w:r w:rsidRPr="00CC0EF5">
        <w:rPr>
          <w:color w:val="auto"/>
        </w:rPr>
        <w:t xml:space="preserve"> there should be some protective measures. Their symptoms, functioning, sleep, substance use, physical health and harms of treatment should be </w:t>
      </w:r>
      <w:r w:rsidR="007564B5" w:rsidRPr="00CC0EF5">
        <w:rPr>
          <w:color w:val="auto"/>
        </w:rPr>
        <w:t>followed up</w:t>
      </w:r>
      <w:r w:rsidR="00237BBE" w:rsidRPr="00CC0EF5">
        <w:rPr>
          <w:color w:val="auto"/>
        </w:rPr>
        <w:t xml:space="preserve"> (Kendrick </w:t>
      </w:r>
      <w:r w:rsidR="00237BBE" w:rsidRPr="00CC0EF5">
        <w:rPr>
          <w:i/>
          <w:iCs/>
          <w:color w:val="auto"/>
        </w:rPr>
        <w:t>et al.,</w:t>
      </w:r>
      <w:r w:rsidR="00237BBE" w:rsidRPr="00CC0EF5">
        <w:rPr>
          <w:color w:val="auto"/>
        </w:rPr>
        <w:t xml:space="preserve"> 2024)</w:t>
      </w:r>
      <w:r w:rsidRPr="00CC0EF5">
        <w:rPr>
          <w:color w:val="auto"/>
        </w:rPr>
        <w:t>. Relapse control involves the continuation of treatment over some time, identification of individual warning signs, adherence to routines and relationships and having a written plan on how to quickly resume care.</w:t>
      </w:r>
    </w:p>
    <w:p w14:paraId="3CAD3EFF" w14:textId="02915CA8" w:rsidR="000F464A" w:rsidRPr="00CC0EF5" w:rsidRDefault="007564B5" w:rsidP="00574B24">
      <w:pPr>
        <w:keepNext/>
        <w:spacing w:before="160" w:after="0"/>
        <w:jc w:val="center"/>
      </w:pPr>
      <w:r w:rsidRPr="00CC0EF5">
        <w:rPr>
          <w:noProof/>
        </w:rPr>
        <w:drawing>
          <wp:inline distT="0" distB="0" distL="0" distR="0" wp14:anchorId="564A0890" wp14:editId="550C37EF">
            <wp:extent cx="4084955" cy="22503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95847" cy="2256351"/>
                    </a:xfrm>
                    <a:prstGeom prst="rect">
                      <a:avLst/>
                    </a:prstGeom>
                    <a:noFill/>
                  </pic:spPr>
                </pic:pic>
              </a:graphicData>
            </a:graphic>
          </wp:inline>
        </w:drawing>
      </w:r>
    </w:p>
    <w:p w14:paraId="5D568491" w14:textId="7600B4DC" w:rsidR="000F464A" w:rsidRPr="00CC0EF5" w:rsidRDefault="00D50F49" w:rsidP="00574B24">
      <w:pPr>
        <w:pStyle w:val="Caption"/>
        <w:keepLines/>
        <w:spacing w:before="40" w:after="160"/>
        <w:rPr>
          <w:b/>
          <w:bCs w:val="0"/>
          <w:color w:val="auto"/>
        </w:rPr>
      </w:pPr>
      <w:r w:rsidRPr="00CC0EF5">
        <w:rPr>
          <w:b/>
          <w:bCs w:val="0"/>
          <w:color w:val="auto"/>
        </w:rPr>
        <w:t>Figure</w:t>
      </w:r>
      <w:r w:rsidR="007564B5" w:rsidRPr="00CC0EF5">
        <w:rPr>
          <w:b/>
          <w:bCs w:val="0"/>
          <w:color w:val="auto"/>
        </w:rPr>
        <w:t>-2:</w:t>
      </w:r>
      <w:r w:rsidRPr="00CC0EF5">
        <w:rPr>
          <w:b/>
          <w:bCs w:val="0"/>
          <w:color w:val="auto"/>
        </w:rPr>
        <w:t xml:space="preserve"> Community pathway for identifying, treating and reviewing depression</w:t>
      </w:r>
      <w:r w:rsidR="00237BBE" w:rsidRPr="00CC0EF5">
        <w:rPr>
          <w:b/>
          <w:bCs w:val="0"/>
          <w:color w:val="auto"/>
        </w:rPr>
        <w:t xml:space="preserve"> </w:t>
      </w:r>
      <w:r w:rsidR="00237BBE" w:rsidRPr="00CC0EF5">
        <w:rPr>
          <w:color w:val="auto"/>
        </w:rPr>
        <w:t xml:space="preserve">(Kendrick </w:t>
      </w:r>
      <w:r w:rsidR="00237BBE" w:rsidRPr="00CC0EF5">
        <w:rPr>
          <w:iCs/>
          <w:color w:val="auto"/>
        </w:rPr>
        <w:t>et al.</w:t>
      </w:r>
      <w:r w:rsidR="00237BBE" w:rsidRPr="00CC0EF5">
        <w:rPr>
          <w:i w:val="0"/>
          <w:iCs/>
          <w:color w:val="auto"/>
        </w:rPr>
        <w:t>,</w:t>
      </w:r>
      <w:r w:rsidR="00237BBE" w:rsidRPr="00CC0EF5">
        <w:rPr>
          <w:color w:val="auto"/>
        </w:rPr>
        <w:t xml:space="preserve"> 2024)</w:t>
      </w:r>
    </w:p>
    <w:p w14:paraId="5B2896E6" w14:textId="77777777" w:rsidR="000F464A" w:rsidRPr="00CC0EF5" w:rsidRDefault="00D50F49" w:rsidP="00574B24">
      <w:pPr>
        <w:pStyle w:val="Heading2"/>
        <w:rPr>
          <w:rFonts w:ascii="Arial" w:hAnsi="Arial" w:cs="Arial"/>
        </w:rPr>
      </w:pPr>
      <w:bookmarkStart w:id="4" w:name="_Toc236420160"/>
      <w:r w:rsidRPr="00CC0EF5">
        <w:rPr>
          <w:rFonts w:ascii="Arial" w:hAnsi="Arial" w:cs="Arial"/>
        </w:rPr>
        <w:t>Consequences for People in the Community</w:t>
      </w:r>
      <w:bookmarkEnd w:id="4"/>
    </w:p>
    <w:p w14:paraId="77B4B0DB" w14:textId="4CECE1B8" w:rsidR="00640102" w:rsidRPr="00CC0EF5" w:rsidRDefault="00640102" w:rsidP="00574B24">
      <w:pPr>
        <w:rPr>
          <w:color w:val="auto"/>
        </w:rPr>
      </w:pPr>
      <w:r w:rsidRPr="00CC0EF5">
        <w:rPr>
          <w:color w:val="auto"/>
        </w:rPr>
        <w:t>Mood is not the problem of depression. Washing, eating, shopping, taking medications or going to appointments may become challenging due to reduced energy, motivation, concentration, and confidence. The loss of sleep, inactivity and appetite changes, and painful, diabetic, heart disease and other chronic illnesses may be more difficult to treat and exacerbate physical health. Others end up taking alcohol or drugs as a coping mechanism</w:t>
      </w:r>
      <w:r w:rsidR="007564B5" w:rsidRPr="00CC0EF5">
        <w:rPr>
          <w:color w:val="auto"/>
        </w:rPr>
        <w:t>,</w:t>
      </w:r>
      <w:r w:rsidRPr="00CC0EF5">
        <w:rPr>
          <w:color w:val="auto"/>
        </w:rPr>
        <w:t xml:space="preserve"> and this renders them more dangerous and </w:t>
      </w:r>
      <w:r w:rsidR="007564B5" w:rsidRPr="00CC0EF5">
        <w:rPr>
          <w:color w:val="auto"/>
        </w:rPr>
        <w:t>harder</w:t>
      </w:r>
      <w:r w:rsidRPr="00CC0EF5">
        <w:rPr>
          <w:color w:val="auto"/>
        </w:rPr>
        <w:t xml:space="preserve"> to treat</w:t>
      </w:r>
      <w:r w:rsidR="00237BBE" w:rsidRPr="00CC0EF5">
        <w:rPr>
          <w:color w:val="auto"/>
        </w:rPr>
        <w:t xml:space="preserve"> (</w:t>
      </w:r>
      <w:proofErr w:type="spellStart"/>
      <w:r w:rsidR="00237BBE" w:rsidRPr="00CC0EF5">
        <w:rPr>
          <w:color w:val="auto"/>
        </w:rPr>
        <w:t>Negeri</w:t>
      </w:r>
      <w:proofErr w:type="spellEnd"/>
      <w:r w:rsidR="00237BBE" w:rsidRPr="00CC0EF5">
        <w:rPr>
          <w:color w:val="auto"/>
        </w:rPr>
        <w:t xml:space="preserve"> </w:t>
      </w:r>
      <w:r w:rsidR="00237BBE" w:rsidRPr="00CC0EF5">
        <w:rPr>
          <w:i/>
          <w:iCs/>
          <w:color w:val="auto"/>
        </w:rPr>
        <w:t>et al.</w:t>
      </w:r>
      <w:r w:rsidR="00237BBE" w:rsidRPr="00CC0EF5">
        <w:rPr>
          <w:color w:val="auto"/>
        </w:rPr>
        <w:t>, 2021)</w:t>
      </w:r>
      <w:r w:rsidRPr="00CC0EF5">
        <w:rPr>
          <w:color w:val="auto"/>
        </w:rPr>
        <w:t>.</w:t>
      </w:r>
    </w:p>
    <w:p w14:paraId="69F1B313" w14:textId="40F2FF45" w:rsidR="00640102" w:rsidRPr="00CC0EF5" w:rsidRDefault="00640102" w:rsidP="00574B24">
      <w:pPr>
        <w:rPr>
          <w:color w:val="auto"/>
        </w:rPr>
      </w:pPr>
      <w:r w:rsidRPr="00CC0EF5">
        <w:rPr>
          <w:color w:val="auto"/>
        </w:rPr>
        <w:t>Relationships are also subject to change. An individual might retreat, be less communicative, lose desire towards intimacy or become a burden. Relatives and friends may provide supervision, childcare, transport, money and emotional support and may be subject to stress themselves, lose income or health. It may impair parenting ability</w:t>
      </w:r>
      <w:r w:rsidR="007564B5" w:rsidRPr="00CC0EF5">
        <w:rPr>
          <w:color w:val="auto"/>
        </w:rPr>
        <w:t>,</w:t>
      </w:r>
      <w:r w:rsidRPr="00CC0EF5">
        <w:rPr>
          <w:color w:val="auto"/>
        </w:rPr>
        <w:t xml:space="preserve"> but children are safeguarded through the application of supportive family work, and misunderstandings </w:t>
      </w:r>
      <w:proofErr w:type="spellStart"/>
      <w:r w:rsidR="007564B5" w:rsidRPr="00CC0EF5">
        <w:rPr>
          <w:color w:val="auto"/>
        </w:rPr>
        <w:t>minimised</w:t>
      </w:r>
      <w:proofErr w:type="spellEnd"/>
      <w:r w:rsidRPr="00CC0EF5">
        <w:rPr>
          <w:color w:val="auto"/>
        </w:rPr>
        <w:t>.</w:t>
      </w:r>
    </w:p>
    <w:p w14:paraId="51B39D74" w14:textId="58102596" w:rsidR="00640102" w:rsidRPr="00CC0EF5" w:rsidRDefault="00640102" w:rsidP="00574B24">
      <w:r w:rsidRPr="00CC0EF5">
        <w:rPr>
          <w:color w:val="auto"/>
        </w:rPr>
        <w:t>There is no equal distribution of the burden. Exposure to risk and decreased access to help may be caused by poverty, discrimination, disability, migration stress, violence, isolation and limited transport</w:t>
      </w:r>
      <w:r w:rsidR="00237BBE" w:rsidRPr="00CC0EF5">
        <w:rPr>
          <w:color w:val="auto"/>
        </w:rPr>
        <w:t xml:space="preserve"> (</w:t>
      </w:r>
      <w:proofErr w:type="spellStart"/>
      <w:r w:rsidR="00237BBE" w:rsidRPr="00CC0EF5">
        <w:rPr>
          <w:color w:val="auto"/>
        </w:rPr>
        <w:t>Rong</w:t>
      </w:r>
      <w:proofErr w:type="spellEnd"/>
      <w:r w:rsidR="00237BBE" w:rsidRPr="00CC0EF5">
        <w:rPr>
          <w:color w:val="auto"/>
        </w:rPr>
        <w:t xml:space="preserve"> </w:t>
      </w:r>
      <w:r w:rsidR="00237BBE" w:rsidRPr="00CC0EF5">
        <w:rPr>
          <w:i/>
          <w:iCs/>
          <w:color w:val="auto"/>
        </w:rPr>
        <w:t>et al.,</w:t>
      </w:r>
      <w:r w:rsidR="00237BBE" w:rsidRPr="00CC0EF5">
        <w:rPr>
          <w:color w:val="auto"/>
        </w:rPr>
        <w:t xml:space="preserve"> 2025)</w:t>
      </w:r>
      <w:r w:rsidRPr="00CC0EF5">
        <w:rPr>
          <w:color w:val="auto"/>
        </w:rPr>
        <w:t xml:space="preserve">. The online platforms may </w:t>
      </w:r>
      <w:proofErr w:type="spellStart"/>
      <w:r w:rsidR="007564B5" w:rsidRPr="00CC0EF5">
        <w:rPr>
          <w:color w:val="auto"/>
        </w:rPr>
        <w:t>marginalise</w:t>
      </w:r>
      <w:proofErr w:type="spellEnd"/>
      <w:r w:rsidRPr="00CC0EF5">
        <w:rPr>
          <w:color w:val="auto"/>
        </w:rPr>
        <w:t xml:space="preserve"> citizens who are not online</w:t>
      </w:r>
      <w:r w:rsidR="007564B5" w:rsidRPr="00CC0EF5">
        <w:rPr>
          <w:color w:val="auto"/>
        </w:rPr>
        <w:t>,</w:t>
      </w:r>
      <w:r w:rsidRPr="00CC0EF5">
        <w:rPr>
          <w:color w:val="auto"/>
        </w:rPr>
        <w:t xml:space="preserve"> and the country may end up giving fewer services to citizens. Illness that is not treated can thus increase the pre-existing health and social disparities. Conversely, supportive participation, especially with respect, can re-involve participation, enabling families and empowering individuals to join community life.</w:t>
      </w:r>
    </w:p>
    <w:p w14:paraId="208D7552" w14:textId="77777777" w:rsidR="000F464A" w:rsidRPr="00CC0EF5" w:rsidRDefault="00D50F49" w:rsidP="00574B24">
      <w:pPr>
        <w:pStyle w:val="Heading2"/>
        <w:rPr>
          <w:rFonts w:ascii="Arial" w:hAnsi="Arial" w:cs="Arial"/>
        </w:rPr>
      </w:pPr>
      <w:bookmarkStart w:id="5" w:name="_Toc236420161"/>
      <w:r w:rsidRPr="00CC0EF5">
        <w:rPr>
          <w:rFonts w:ascii="Arial" w:hAnsi="Arial" w:cs="Arial"/>
        </w:rPr>
        <w:t>Health and Social Care Support Services Required</w:t>
      </w:r>
      <w:bookmarkEnd w:id="5"/>
    </w:p>
    <w:p w14:paraId="113071E8" w14:textId="36099D22" w:rsidR="00640102" w:rsidRPr="00CC0EF5" w:rsidRDefault="00640102" w:rsidP="00574B24">
      <w:pPr>
        <w:rPr>
          <w:color w:val="auto"/>
        </w:rPr>
      </w:pPr>
      <w:r w:rsidRPr="00CC0EF5">
        <w:rPr>
          <w:color w:val="auto"/>
        </w:rPr>
        <w:t>The support should be individualistic, available and in line with clinical</w:t>
      </w:r>
      <w:r w:rsidR="007564B5" w:rsidRPr="00CC0EF5">
        <w:rPr>
          <w:color w:val="auto"/>
        </w:rPr>
        <w:t>,</w:t>
      </w:r>
      <w:r w:rsidRPr="00CC0EF5">
        <w:rPr>
          <w:color w:val="auto"/>
        </w:rPr>
        <w:t xml:space="preserve"> practical and social demands. The GP is typically the initial encounter and might examine symptoms and risk, rule out physical causes, advise, prescribe and monitor medication and provide referrals. Physical health, adherence and side effects can be monitored by practice nurses and pharmacists. NHS Talking Therapies may self-refer or be referred to any adults with the right needs, and matching low or high intensity interventions to severity and regularly measuring progress</w:t>
      </w:r>
      <w:r w:rsidR="00237BBE" w:rsidRPr="00CC0EF5">
        <w:rPr>
          <w:color w:val="auto"/>
        </w:rPr>
        <w:t xml:space="preserve"> (</w:t>
      </w:r>
      <w:proofErr w:type="spellStart"/>
      <w:r w:rsidR="00237BBE" w:rsidRPr="00CC0EF5">
        <w:rPr>
          <w:color w:val="auto"/>
        </w:rPr>
        <w:t>Glasby</w:t>
      </w:r>
      <w:proofErr w:type="spellEnd"/>
      <w:r w:rsidR="00237BBE" w:rsidRPr="00CC0EF5">
        <w:rPr>
          <w:color w:val="auto"/>
        </w:rPr>
        <w:t>, 2026)</w:t>
      </w:r>
      <w:r w:rsidRPr="00CC0EF5">
        <w:rPr>
          <w:color w:val="auto"/>
        </w:rPr>
        <w:t>. Face-to-face, digital or telephone communication is preferable to make it more accessible, and non-digital communication should be provided as well.</w:t>
      </w:r>
    </w:p>
    <w:p w14:paraId="0A8E795D" w14:textId="1F4E57E1" w:rsidR="00640102" w:rsidRPr="00CC0EF5" w:rsidRDefault="00640102" w:rsidP="00574B24">
      <w:pPr>
        <w:rPr>
          <w:color w:val="auto"/>
        </w:rPr>
      </w:pPr>
      <w:r w:rsidRPr="00CC0EF5">
        <w:rPr>
          <w:color w:val="auto"/>
        </w:rPr>
        <w:t xml:space="preserve">There might be a need to have a community mental health team with individuals who have severe, recurrent, psychotic, </w:t>
      </w:r>
      <w:r w:rsidR="007564B5" w:rsidRPr="00CC0EF5">
        <w:rPr>
          <w:color w:val="auto"/>
        </w:rPr>
        <w:t>high-risk</w:t>
      </w:r>
      <w:r w:rsidRPr="00CC0EF5">
        <w:rPr>
          <w:color w:val="auto"/>
        </w:rPr>
        <w:t xml:space="preserve"> or complicated depression. The specialist assessment, treatment, rehabilitation and a shared care plan can be offered by psychiatrists, psychologists, mental health nurses, occupational therapists, social workers and care coordinators. Home treatment teams and crisis resolution teams provide emergency care</w:t>
      </w:r>
      <w:r w:rsidR="007564B5" w:rsidRPr="00CC0EF5">
        <w:rPr>
          <w:color w:val="auto"/>
        </w:rPr>
        <w:t>,</w:t>
      </w:r>
      <w:r w:rsidRPr="00CC0EF5">
        <w:rPr>
          <w:color w:val="auto"/>
        </w:rPr>
        <w:t xml:space="preserve"> and inpatient care may be required in case of inability to handle the situation safely in a community.</w:t>
      </w:r>
    </w:p>
    <w:p w14:paraId="16D28FD6" w14:textId="04706828" w:rsidR="00640102" w:rsidRPr="00CC0EF5" w:rsidRDefault="00640102" w:rsidP="00574B24">
      <w:pPr>
        <w:rPr>
          <w:color w:val="auto"/>
        </w:rPr>
      </w:pPr>
      <w:r w:rsidRPr="00CC0EF5">
        <w:rPr>
          <w:color w:val="auto"/>
        </w:rPr>
        <w:t xml:space="preserve">The consequences of depression in daily living, safety, parenting, relationships and participation ought to be assessed in social care rather than the diagnosis. </w:t>
      </w:r>
      <w:r w:rsidR="007564B5" w:rsidRPr="00CC0EF5">
        <w:rPr>
          <w:color w:val="auto"/>
        </w:rPr>
        <w:t>The eligible adults</w:t>
      </w:r>
      <w:r w:rsidRPr="00CC0EF5">
        <w:rPr>
          <w:color w:val="auto"/>
        </w:rPr>
        <w:t xml:space="preserve"> might require practical support at home, rehabilitation, advocacy or </w:t>
      </w:r>
      <w:r w:rsidR="007564B5" w:rsidRPr="00CC0EF5">
        <w:rPr>
          <w:color w:val="auto"/>
        </w:rPr>
        <w:t xml:space="preserve">a </w:t>
      </w:r>
      <w:r w:rsidRPr="00CC0EF5">
        <w:rPr>
          <w:color w:val="auto"/>
        </w:rPr>
        <w:t>personal budget</w:t>
      </w:r>
      <w:r w:rsidR="007564B5" w:rsidRPr="00CC0EF5">
        <w:rPr>
          <w:color w:val="auto"/>
        </w:rPr>
        <w:t>;</w:t>
      </w:r>
      <w:r w:rsidRPr="00CC0EF5">
        <w:rPr>
          <w:color w:val="auto"/>
        </w:rPr>
        <w:t xml:space="preserve"> unpaid carers might require their own assessment, information and respite. Inhibiting circumstances can be defeated by accommodation of teams, welfare advisers and debt services</w:t>
      </w:r>
      <w:r w:rsidR="00237BBE" w:rsidRPr="00CC0EF5">
        <w:rPr>
          <w:color w:val="auto"/>
        </w:rPr>
        <w:t xml:space="preserve"> (Ham, 2024)</w:t>
      </w:r>
      <w:r w:rsidRPr="00CC0EF5">
        <w:rPr>
          <w:color w:val="auto"/>
        </w:rPr>
        <w:t xml:space="preserve">. Social prescribing has the ability to link individuals to exercise, arts, nature, learning, faith groups or befriending. Peer support and voluntary </w:t>
      </w:r>
      <w:proofErr w:type="spellStart"/>
      <w:r w:rsidRPr="00CC0EF5">
        <w:rPr>
          <w:color w:val="auto"/>
        </w:rPr>
        <w:t>organisations</w:t>
      </w:r>
      <w:proofErr w:type="spellEnd"/>
      <w:r w:rsidRPr="00CC0EF5">
        <w:rPr>
          <w:color w:val="auto"/>
        </w:rPr>
        <w:t xml:space="preserve"> decrease isolation and offer hope based on lived experience.</w:t>
      </w:r>
    </w:p>
    <w:p w14:paraId="52206FB9" w14:textId="3406F8AE" w:rsidR="000F464A" w:rsidRPr="00CC0EF5" w:rsidRDefault="00640102" w:rsidP="00574B24">
      <w:pPr>
        <w:rPr>
          <w:color w:val="auto"/>
        </w:rPr>
      </w:pPr>
      <w:r w:rsidRPr="00CC0EF5">
        <w:rPr>
          <w:color w:val="auto"/>
        </w:rPr>
        <w:t>The reasonable adjustment, gradual returns and job support</w:t>
      </w:r>
      <w:r w:rsidR="007564B5" w:rsidRPr="00CC0EF5">
        <w:rPr>
          <w:color w:val="auto"/>
        </w:rPr>
        <w:t>,</w:t>
      </w:r>
      <w:r w:rsidRPr="00CC0EF5">
        <w:rPr>
          <w:color w:val="auto"/>
        </w:rPr>
        <w:t xml:space="preserve"> which is </w:t>
      </w:r>
      <w:r w:rsidR="007564B5" w:rsidRPr="00CC0EF5">
        <w:rPr>
          <w:color w:val="auto"/>
        </w:rPr>
        <w:t>evidence-based,</w:t>
      </w:r>
      <w:r w:rsidRPr="00CC0EF5">
        <w:rPr>
          <w:color w:val="auto"/>
        </w:rPr>
        <w:t xml:space="preserve"> can be discussed by the employment services. Colleges and Universities require </w:t>
      </w:r>
      <w:proofErr w:type="spellStart"/>
      <w:r w:rsidRPr="00CC0EF5">
        <w:rPr>
          <w:color w:val="auto"/>
        </w:rPr>
        <w:t>counselling</w:t>
      </w:r>
      <w:proofErr w:type="spellEnd"/>
      <w:r w:rsidRPr="00CC0EF5">
        <w:rPr>
          <w:color w:val="auto"/>
        </w:rPr>
        <w:t xml:space="preserve">, disability support and safeguarding routes. Where necessary, specialist perinatal, child and adolescent, older adult, substance misuse and trauma services are needed. The </w:t>
      </w:r>
      <w:proofErr w:type="spellStart"/>
      <w:r w:rsidR="007564B5" w:rsidRPr="00CC0EF5">
        <w:rPr>
          <w:color w:val="auto"/>
        </w:rPr>
        <w:t>minimisation</w:t>
      </w:r>
      <w:proofErr w:type="spellEnd"/>
      <w:r w:rsidRPr="00CC0EF5">
        <w:rPr>
          <w:color w:val="auto"/>
        </w:rPr>
        <w:t xml:space="preserve"> of </w:t>
      </w:r>
      <w:r w:rsidR="007564B5" w:rsidRPr="00CC0EF5">
        <w:rPr>
          <w:color w:val="auto"/>
        </w:rPr>
        <w:t>unequal</w:t>
      </w:r>
      <w:r w:rsidRPr="00CC0EF5">
        <w:rPr>
          <w:color w:val="auto"/>
        </w:rPr>
        <w:t xml:space="preserve"> outcomes is assisted by the </w:t>
      </w:r>
      <w:r w:rsidR="007564B5" w:rsidRPr="00CC0EF5">
        <w:rPr>
          <w:color w:val="auto"/>
        </w:rPr>
        <w:t>use</w:t>
      </w:r>
      <w:r w:rsidRPr="00CC0EF5">
        <w:rPr>
          <w:color w:val="auto"/>
        </w:rPr>
        <w:t xml:space="preserve"> of interpreters, culturally informed care and readily available information. Each person must have a designated contact, safety and recovery plan and frequent reviews and must be part of the decision-making process. NHS, social care, housing, education, employers and community groups co-ordination helps people to avoid being handed over </w:t>
      </w:r>
      <w:r w:rsidR="007564B5" w:rsidRPr="00CC0EF5">
        <w:rPr>
          <w:color w:val="auto"/>
        </w:rPr>
        <w:t>to</w:t>
      </w:r>
      <w:r w:rsidRPr="00CC0EF5">
        <w:rPr>
          <w:color w:val="auto"/>
        </w:rPr>
        <w:t xml:space="preserve"> fragmented services.</w:t>
      </w:r>
    </w:p>
    <w:p w14:paraId="4E90C0FB" w14:textId="77777777" w:rsidR="00640102" w:rsidRPr="00CC0EF5" w:rsidRDefault="00640102" w:rsidP="00574B24">
      <w:pPr>
        <w:spacing w:after="200"/>
        <w:rPr>
          <w:rFonts w:eastAsiaTheme="majorEastAsia"/>
          <w:b/>
          <w:bCs/>
          <w:color w:val="1F4D78"/>
          <w:sz w:val="32"/>
          <w:szCs w:val="28"/>
        </w:rPr>
      </w:pPr>
      <w:r w:rsidRPr="00CC0EF5">
        <w:br w:type="page"/>
      </w:r>
    </w:p>
    <w:p w14:paraId="416AE2D3" w14:textId="055FFD9A" w:rsidR="000F464A" w:rsidRPr="00CC0EF5" w:rsidRDefault="00D50F49" w:rsidP="00574B24">
      <w:pPr>
        <w:pStyle w:val="Heading1"/>
        <w:rPr>
          <w:rFonts w:ascii="Arial" w:hAnsi="Arial" w:cs="Arial"/>
        </w:rPr>
      </w:pPr>
      <w:bookmarkStart w:id="6" w:name="_Toc236420162"/>
      <w:r w:rsidRPr="00CC0EF5">
        <w:rPr>
          <w:rFonts w:ascii="Arial" w:hAnsi="Arial" w:cs="Arial"/>
        </w:rPr>
        <w:t>Conclusion</w:t>
      </w:r>
      <w:bookmarkEnd w:id="6"/>
    </w:p>
    <w:p w14:paraId="3C8C9198" w14:textId="34EE8078" w:rsidR="000F464A" w:rsidRPr="00CC0EF5" w:rsidRDefault="00640102" w:rsidP="00574B24">
      <w:pPr>
        <w:rPr>
          <w:color w:val="auto"/>
        </w:rPr>
      </w:pPr>
      <w:r w:rsidRPr="00CC0EF5">
        <w:rPr>
          <w:color w:val="auto"/>
        </w:rPr>
        <w:t xml:space="preserve">Depression is a widespread, yet serious disorder, which has an impact on the wellbeing, physical health, relationships, education, employment and community involvement. </w:t>
      </w:r>
      <w:r w:rsidR="007564B5" w:rsidRPr="00CC0EF5">
        <w:rPr>
          <w:color w:val="auto"/>
        </w:rPr>
        <w:t>Its</w:t>
      </w:r>
      <w:r w:rsidRPr="00CC0EF5">
        <w:rPr>
          <w:color w:val="auto"/>
        </w:rPr>
        <w:t xml:space="preserve"> scale is evidenced by the number of cases worldwide (hundreds of millions)</w:t>
      </w:r>
      <w:r w:rsidR="007564B5" w:rsidRPr="00CC0EF5">
        <w:rPr>
          <w:color w:val="auto"/>
        </w:rPr>
        <w:t>,</w:t>
      </w:r>
      <w:r w:rsidRPr="00CC0EF5">
        <w:rPr>
          <w:color w:val="auto"/>
        </w:rPr>
        <w:t xml:space="preserve"> and Britain has a high prevalence and new </w:t>
      </w:r>
      <w:r w:rsidR="007564B5" w:rsidRPr="00CC0EF5">
        <w:rPr>
          <w:color w:val="auto"/>
        </w:rPr>
        <w:t>diagnoses</w:t>
      </w:r>
      <w:r w:rsidRPr="00CC0EF5">
        <w:rPr>
          <w:color w:val="auto"/>
        </w:rPr>
        <w:t xml:space="preserve">. Surveillance is a combination of incidence and prevalence estimates, surveys, clinical evaluation, routine records, risk data, and recurrent outcome measures because of the lack of a single dataset which covers all individuals. The most appropriate control is where prevention, early detection, </w:t>
      </w:r>
      <w:proofErr w:type="spellStart"/>
      <w:r w:rsidRPr="00CC0EF5">
        <w:rPr>
          <w:color w:val="auto"/>
        </w:rPr>
        <w:t>individualised</w:t>
      </w:r>
      <w:proofErr w:type="spellEnd"/>
      <w:r w:rsidRPr="00CC0EF5">
        <w:rPr>
          <w:color w:val="auto"/>
        </w:rPr>
        <w:t xml:space="preserve"> psychological and medical treatment, management of suicide risks and planning of relapse are intertwined. Causes include </w:t>
      </w:r>
      <w:r w:rsidR="007564B5" w:rsidRPr="00CC0EF5">
        <w:rPr>
          <w:color w:val="auto"/>
        </w:rPr>
        <w:t xml:space="preserve">the </w:t>
      </w:r>
      <w:r w:rsidRPr="00CC0EF5">
        <w:rPr>
          <w:color w:val="auto"/>
        </w:rPr>
        <w:t xml:space="preserve">impact of poverty, isolation, stigma, interrupted caring, lost work, to name a few, and why a purely medical response is not adequate. Primary care, NHS Talking Therapies, specialist and crisis services, social care, housing and welfare advice, employment support, peer networks and culturally available community services should be available to patients. </w:t>
      </w:r>
      <w:r w:rsidR="00237BBE" w:rsidRPr="00CC0EF5">
        <w:rPr>
          <w:color w:val="auto"/>
        </w:rPr>
        <w:t xml:space="preserve">Integrated </w:t>
      </w:r>
      <w:proofErr w:type="spellStart"/>
      <w:r w:rsidR="00237BBE" w:rsidRPr="00CC0EF5">
        <w:rPr>
          <w:color w:val="auto"/>
        </w:rPr>
        <w:t>person-centred</w:t>
      </w:r>
      <w:proofErr w:type="spellEnd"/>
      <w:r w:rsidR="00237BBE" w:rsidRPr="00CC0EF5">
        <w:rPr>
          <w:color w:val="auto"/>
        </w:rPr>
        <w:t xml:space="preserve"> support</w:t>
      </w:r>
      <w:r w:rsidRPr="00CC0EF5">
        <w:rPr>
          <w:color w:val="auto"/>
        </w:rPr>
        <w:t xml:space="preserve"> can </w:t>
      </w:r>
      <w:proofErr w:type="spellStart"/>
      <w:r w:rsidR="007564B5" w:rsidRPr="00CC0EF5">
        <w:rPr>
          <w:color w:val="auto"/>
        </w:rPr>
        <w:t>minimise</w:t>
      </w:r>
      <w:proofErr w:type="spellEnd"/>
      <w:r w:rsidRPr="00CC0EF5">
        <w:rPr>
          <w:color w:val="auto"/>
        </w:rPr>
        <w:t xml:space="preserve"> harm, maintain recovery and allow increased involvement in family and community life.</w:t>
      </w:r>
    </w:p>
    <w:p w14:paraId="2191D009" w14:textId="3102C701" w:rsidR="00640102" w:rsidRPr="00CC0EF5" w:rsidRDefault="00640102" w:rsidP="00574B24">
      <w:pPr>
        <w:spacing w:after="200"/>
        <w:jc w:val="left"/>
        <w:rPr>
          <w:color w:val="auto"/>
        </w:rPr>
      </w:pPr>
      <w:r w:rsidRPr="00CC0EF5">
        <w:rPr>
          <w:color w:val="auto"/>
        </w:rPr>
        <w:br w:type="page"/>
      </w:r>
    </w:p>
    <w:p w14:paraId="529949C7" w14:textId="6F4E98A7" w:rsidR="000F464A" w:rsidRPr="00CC0EF5" w:rsidRDefault="00640102" w:rsidP="00574B24">
      <w:pPr>
        <w:pStyle w:val="Heading1"/>
        <w:rPr>
          <w:rFonts w:ascii="Arial" w:hAnsi="Arial" w:cs="Arial"/>
        </w:rPr>
      </w:pPr>
      <w:bookmarkStart w:id="7" w:name="_Toc236420163"/>
      <w:r w:rsidRPr="00CC0EF5">
        <w:rPr>
          <w:rFonts w:ascii="Arial" w:hAnsi="Arial" w:cs="Arial"/>
        </w:rPr>
        <w:t>References</w:t>
      </w:r>
      <w:bookmarkEnd w:id="7"/>
    </w:p>
    <w:p w14:paraId="628E92AA" w14:textId="4BA7E6DF" w:rsidR="00237BBE" w:rsidRPr="00CC0EF5" w:rsidRDefault="00237BBE" w:rsidP="00574B24">
      <w:pPr>
        <w:rPr>
          <w:color w:val="auto"/>
        </w:rPr>
      </w:pPr>
      <w:bookmarkStart w:id="8" w:name="_Hlk236246153"/>
      <w:r w:rsidRPr="00CC0EF5">
        <w:rPr>
          <w:color w:val="auto"/>
        </w:rPr>
        <w:t>Beck</w:t>
      </w:r>
      <w:bookmarkEnd w:id="8"/>
      <w:r w:rsidRPr="00CC0EF5">
        <w:rPr>
          <w:color w:val="auto"/>
        </w:rPr>
        <w:t xml:space="preserve">, A.T., Rush, A.J., Shaw, B.F., Emery, G., </w:t>
      </w:r>
      <w:proofErr w:type="spellStart"/>
      <w:r w:rsidRPr="00CC0EF5">
        <w:rPr>
          <w:color w:val="auto"/>
        </w:rPr>
        <w:t>DeRubeis</w:t>
      </w:r>
      <w:proofErr w:type="spellEnd"/>
      <w:r w:rsidRPr="00CC0EF5">
        <w:rPr>
          <w:color w:val="auto"/>
        </w:rPr>
        <w:t>, R.J. and Hollon, S.D. (2024). </w:t>
      </w:r>
      <w:r w:rsidRPr="00CC0EF5">
        <w:rPr>
          <w:i/>
          <w:iCs/>
          <w:color w:val="auto"/>
        </w:rPr>
        <w:t>Cognitive therapy of depression</w:t>
      </w:r>
      <w:r w:rsidRPr="00CC0EF5">
        <w:rPr>
          <w:color w:val="auto"/>
        </w:rPr>
        <w:t>. Guilford Publications.</w:t>
      </w:r>
      <w:r w:rsidR="0058501A">
        <w:rPr>
          <w:color w:val="auto"/>
        </w:rPr>
        <w:t xml:space="preserve"> </w:t>
      </w:r>
      <w:hyperlink r:id="rId11" w:anchor="v=onepage&amp;q&amp;f=false" w:history="1">
        <w:r w:rsidR="0058501A" w:rsidRPr="003670FB">
          <w:rPr>
            <w:rStyle w:val="Hyperlink"/>
          </w:rPr>
          <w:t>https://books.google.com/books?hl=en&amp;lr=&amp;id=k94FEQAAQBAJ&amp;oi=fnd&amp;pg=PP1&amp;dq=Beck,+A.T.,+Rush,+A.J.,+Shaw,+B.F.,+Emery,+G.,+DeRubeis,+R.J.+and+Hollon,+S.D.+(2024).+Cognitive+therapy+of+depression.+Guilford+Publications&amp;ots=iqdRgaXdh1&amp;sig=mTAu6WzdrzXDz_Aopp-b8XnGAR8&amp;redir_esc=y#v=onepage&amp;q&amp;f=false</w:t>
        </w:r>
      </w:hyperlink>
      <w:r w:rsidR="0058501A">
        <w:rPr>
          <w:color w:val="auto"/>
        </w:rPr>
        <w:t xml:space="preserve"> </w:t>
      </w:r>
    </w:p>
    <w:p w14:paraId="129D5C2D" w14:textId="77777777" w:rsidR="00237BBE" w:rsidRPr="00CC0EF5" w:rsidRDefault="00237BBE" w:rsidP="00574B24">
      <w:bookmarkStart w:id="9" w:name="_Hlk236246290"/>
      <w:r w:rsidRPr="00CC0EF5">
        <w:rPr>
          <w:color w:val="auto"/>
        </w:rPr>
        <w:t>Christie</w:t>
      </w:r>
      <w:bookmarkEnd w:id="9"/>
      <w:r w:rsidRPr="00CC0EF5">
        <w:rPr>
          <w:color w:val="auto"/>
        </w:rPr>
        <w:t xml:space="preserve">, L., Inman, J., Davys, D. and Cook, P.A. (2021) ‘A systematic review into the effectiveness of occupational therapy for improving function and participation in activities of everyday life in adults with a diagnosis of depression’, </w:t>
      </w:r>
      <w:r w:rsidRPr="00CC0EF5">
        <w:rPr>
          <w:i/>
          <w:iCs/>
          <w:color w:val="auto"/>
        </w:rPr>
        <w:t>Journal of Affective Disorders</w:t>
      </w:r>
      <w:r w:rsidRPr="00CC0EF5">
        <w:rPr>
          <w:color w:val="auto"/>
        </w:rPr>
        <w:t xml:space="preserve">, 282, pp. 962–973. </w:t>
      </w:r>
      <w:hyperlink r:id="rId12" w:tgtFrame="_new" w:history="1">
        <w:r w:rsidRPr="00CC0EF5">
          <w:rPr>
            <w:rStyle w:val="Hyperlink"/>
          </w:rPr>
          <w:t>https://doi.org/10.1016/j.jad.2020.12.080</w:t>
        </w:r>
      </w:hyperlink>
    </w:p>
    <w:p w14:paraId="39E5EAB6" w14:textId="02CF56F9" w:rsidR="00237BBE" w:rsidRPr="00CC0EF5" w:rsidRDefault="00237BBE" w:rsidP="00574B24">
      <w:pPr>
        <w:rPr>
          <w:color w:val="auto"/>
        </w:rPr>
      </w:pPr>
      <w:bookmarkStart w:id="10" w:name="_Hlk236246187"/>
      <w:proofErr w:type="spellStart"/>
      <w:r w:rsidRPr="00CC0EF5">
        <w:rPr>
          <w:color w:val="auto"/>
        </w:rPr>
        <w:t>Cvetkovich</w:t>
      </w:r>
      <w:proofErr w:type="spellEnd"/>
      <w:r w:rsidRPr="00CC0EF5">
        <w:rPr>
          <w:color w:val="auto"/>
        </w:rPr>
        <w:t>, A. (2020</w:t>
      </w:r>
      <w:bookmarkEnd w:id="10"/>
      <w:r w:rsidRPr="00CC0EF5">
        <w:rPr>
          <w:color w:val="auto"/>
        </w:rPr>
        <w:t>). </w:t>
      </w:r>
      <w:r w:rsidRPr="00CC0EF5">
        <w:rPr>
          <w:i/>
          <w:iCs/>
          <w:color w:val="auto"/>
        </w:rPr>
        <w:t>Depression: A public feeling</w:t>
      </w:r>
      <w:r w:rsidRPr="00CC0EF5">
        <w:rPr>
          <w:color w:val="auto"/>
        </w:rPr>
        <w:t>. Duke University Press.</w:t>
      </w:r>
      <w:r w:rsidR="0058501A">
        <w:rPr>
          <w:color w:val="auto"/>
        </w:rPr>
        <w:t xml:space="preserve"> </w:t>
      </w:r>
      <w:hyperlink r:id="rId13" w:history="1">
        <w:r w:rsidR="0058501A" w:rsidRPr="003670FB">
          <w:rPr>
            <w:rStyle w:val="Hyperlink"/>
          </w:rPr>
          <w:t>https://www.degruyterbrill.com/document/doi/10.1515/9780822391852/html</w:t>
        </w:r>
      </w:hyperlink>
      <w:r w:rsidR="0058501A">
        <w:rPr>
          <w:color w:val="auto"/>
        </w:rPr>
        <w:t xml:space="preserve"> </w:t>
      </w:r>
    </w:p>
    <w:p w14:paraId="446A2315" w14:textId="543EE3EE" w:rsidR="00237BBE" w:rsidRPr="00CC0EF5" w:rsidRDefault="00237BBE" w:rsidP="00574B24">
      <w:pPr>
        <w:rPr>
          <w:color w:val="auto"/>
        </w:rPr>
      </w:pPr>
      <w:proofErr w:type="spellStart"/>
      <w:r w:rsidRPr="00CC0EF5">
        <w:rPr>
          <w:color w:val="auto"/>
        </w:rPr>
        <w:t>Glasby</w:t>
      </w:r>
      <w:proofErr w:type="spellEnd"/>
      <w:r w:rsidRPr="00CC0EF5">
        <w:rPr>
          <w:color w:val="auto"/>
        </w:rPr>
        <w:t>, J. (2026). Understanding health and social care. In </w:t>
      </w:r>
      <w:r w:rsidRPr="00CC0EF5">
        <w:rPr>
          <w:i/>
          <w:iCs/>
          <w:color w:val="auto"/>
        </w:rPr>
        <w:t>Understanding Health and Social Care</w:t>
      </w:r>
      <w:r w:rsidRPr="00CC0EF5">
        <w:rPr>
          <w:color w:val="auto"/>
        </w:rPr>
        <w:t>. Policy Press.</w:t>
      </w:r>
      <w:r w:rsidR="0058501A">
        <w:rPr>
          <w:color w:val="auto"/>
        </w:rPr>
        <w:t xml:space="preserve"> </w:t>
      </w:r>
      <w:hyperlink r:id="rId14" w:history="1">
        <w:r w:rsidR="00EC22A5" w:rsidRPr="003670FB">
          <w:rPr>
            <w:rStyle w:val="Hyperlink"/>
          </w:rPr>
          <w:t>https://bristoluniversitypressdigital.com/display/book/9781447379430/9781447379430.xml</w:t>
        </w:r>
      </w:hyperlink>
      <w:r w:rsidR="00EC22A5">
        <w:rPr>
          <w:color w:val="auto"/>
        </w:rPr>
        <w:t xml:space="preserve"> </w:t>
      </w:r>
    </w:p>
    <w:p w14:paraId="36D0A3BD" w14:textId="6875BA36" w:rsidR="00237BBE" w:rsidRPr="00CC0EF5" w:rsidRDefault="00237BBE" w:rsidP="00574B24">
      <w:pPr>
        <w:rPr>
          <w:color w:val="auto"/>
        </w:rPr>
      </w:pPr>
      <w:bookmarkStart w:id="11" w:name="_Hlk236246630"/>
      <w:r w:rsidRPr="00CC0EF5">
        <w:rPr>
          <w:color w:val="auto"/>
        </w:rPr>
        <w:t>Ham, C. (2024)</w:t>
      </w:r>
      <w:bookmarkEnd w:id="11"/>
      <w:r w:rsidRPr="00CC0EF5">
        <w:rPr>
          <w:color w:val="auto"/>
        </w:rPr>
        <w:t>. </w:t>
      </w:r>
      <w:r w:rsidRPr="00CC0EF5">
        <w:rPr>
          <w:i/>
          <w:iCs/>
          <w:color w:val="auto"/>
        </w:rPr>
        <w:t xml:space="preserve">Health policy in Britain: The politics and </w:t>
      </w:r>
      <w:proofErr w:type="spellStart"/>
      <w:r w:rsidRPr="00CC0EF5">
        <w:rPr>
          <w:i/>
          <w:iCs/>
          <w:color w:val="auto"/>
        </w:rPr>
        <w:t>organisation</w:t>
      </w:r>
      <w:proofErr w:type="spellEnd"/>
      <w:r w:rsidRPr="00CC0EF5">
        <w:rPr>
          <w:i/>
          <w:iCs/>
          <w:color w:val="auto"/>
        </w:rPr>
        <w:t xml:space="preserve"> of the National Health Service</w:t>
      </w:r>
      <w:r w:rsidRPr="00CC0EF5">
        <w:rPr>
          <w:color w:val="auto"/>
        </w:rPr>
        <w:t xml:space="preserve">. </w:t>
      </w:r>
      <w:proofErr w:type="spellStart"/>
      <w:r w:rsidRPr="00CC0EF5">
        <w:rPr>
          <w:color w:val="auto"/>
        </w:rPr>
        <w:t>Routledge</w:t>
      </w:r>
      <w:proofErr w:type="spellEnd"/>
      <w:r w:rsidRPr="00CC0EF5">
        <w:rPr>
          <w:color w:val="auto"/>
        </w:rPr>
        <w:t>.</w:t>
      </w:r>
      <w:r w:rsidR="00EC22A5">
        <w:rPr>
          <w:color w:val="auto"/>
        </w:rPr>
        <w:t xml:space="preserve"> </w:t>
      </w:r>
      <w:hyperlink r:id="rId15" w:history="1">
        <w:r w:rsidR="00EC22A5" w:rsidRPr="003670FB">
          <w:rPr>
            <w:rStyle w:val="Hyperlink"/>
          </w:rPr>
          <w:t>https://www.taylorfrancis.com/books/mono/10.4324/9781003571896/health-policy-britain-christopher-ham</w:t>
        </w:r>
      </w:hyperlink>
      <w:r w:rsidR="00EC22A5">
        <w:rPr>
          <w:color w:val="auto"/>
        </w:rPr>
        <w:t xml:space="preserve"> </w:t>
      </w:r>
    </w:p>
    <w:p w14:paraId="7D264B98" w14:textId="09F754BB" w:rsidR="00237BBE" w:rsidRPr="00CC0EF5" w:rsidRDefault="00237BBE" w:rsidP="00574B24">
      <w:pPr>
        <w:rPr>
          <w:color w:val="auto"/>
        </w:rPr>
      </w:pPr>
      <w:bookmarkStart w:id="12" w:name="_Hlk236246220"/>
      <w:r w:rsidRPr="00CC0EF5">
        <w:rPr>
          <w:color w:val="auto"/>
        </w:rPr>
        <w:t>Harris, R. (2022</w:t>
      </w:r>
      <w:bookmarkEnd w:id="12"/>
      <w:r w:rsidRPr="00CC0EF5">
        <w:rPr>
          <w:color w:val="auto"/>
        </w:rPr>
        <w:t>). </w:t>
      </w:r>
      <w:r w:rsidRPr="00CC0EF5">
        <w:rPr>
          <w:i/>
          <w:iCs/>
          <w:color w:val="auto"/>
        </w:rPr>
        <w:t>The happiness trap: How to stop struggling and start living</w:t>
      </w:r>
      <w:r w:rsidRPr="00CC0EF5">
        <w:rPr>
          <w:color w:val="auto"/>
        </w:rPr>
        <w:t xml:space="preserve">. </w:t>
      </w:r>
      <w:proofErr w:type="spellStart"/>
      <w:r w:rsidRPr="00CC0EF5">
        <w:rPr>
          <w:color w:val="auto"/>
        </w:rPr>
        <w:t>Shambhala</w:t>
      </w:r>
      <w:proofErr w:type="spellEnd"/>
      <w:r w:rsidRPr="00CC0EF5">
        <w:rPr>
          <w:color w:val="auto"/>
        </w:rPr>
        <w:t xml:space="preserve"> Publications.</w:t>
      </w:r>
      <w:r w:rsidR="00EC22A5">
        <w:rPr>
          <w:color w:val="auto"/>
        </w:rPr>
        <w:t xml:space="preserve"> </w:t>
      </w:r>
      <w:hyperlink r:id="rId16" w:history="1">
        <w:r w:rsidR="00EC22A5" w:rsidRPr="003670FB">
          <w:rPr>
            <w:rStyle w:val="Hyperlink"/>
          </w:rPr>
          <w:t>https://books.google.com/books?hl=en&amp;lr=&amp;id=6UpTEAAAQBAJ&amp;oi=fnd&amp;pg=PR9&amp;dq=Harris,+R.+(2022).+The+happiness+trap:+How+to+stop+struggling+and+start+living.+Shambhala+Publications.&amp;ots=LSC1Y3QZ7k&amp;sig=jUPRlQHVHjHKD19xk5PXdbrSONg&amp;redir_esc=y</w:t>
        </w:r>
      </w:hyperlink>
      <w:r w:rsidR="00EC22A5">
        <w:rPr>
          <w:color w:val="auto"/>
        </w:rPr>
        <w:t xml:space="preserve"> </w:t>
      </w:r>
    </w:p>
    <w:p w14:paraId="412F006D" w14:textId="5CADA0D3" w:rsidR="00237BBE" w:rsidRPr="00CC0EF5" w:rsidRDefault="00DA1789" w:rsidP="00574B24">
      <w:r w:rsidRPr="00CC0EF5">
        <w:t xml:space="preserve">Kendrick, T., </w:t>
      </w:r>
      <w:proofErr w:type="spellStart"/>
      <w:r w:rsidRPr="00CC0EF5">
        <w:t>Dowrick</w:t>
      </w:r>
      <w:proofErr w:type="spellEnd"/>
      <w:r w:rsidRPr="00CC0EF5">
        <w:t xml:space="preserve">, C., Lewis, G., Moore, M., </w:t>
      </w:r>
      <w:proofErr w:type="spellStart"/>
      <w:r w:rsidRPr="00CC0EF5">
        <w:t>Leydon</w:t>
      </w:r>
      <w:proofErr w:type="spellEnd"/>
      <w:r w:rsidRPr="00CC0EF5">
        <w:t xml:space="preserve">, G., </w:t>
      </w:r>
      <w:proofErr w:type="spellStart"/>
      <w:r w:rsidRPr="00CC0EF5">
        <w:t>Geraghty</w:t>
      </w:r>
      <w:proofErr w:type="spellEnd"/>
      <w:r w:rsidRPr="00CC0EF5">
        <w:t xml:space="preserve">, A.W., Griffiths, G., Zhu, S., Yao, G., May, C. and </w:t>
      </w:r>
      <w:proofErr w:type="spellStart"/>
      <w:r w:rsidRPr="00CC0EF5">
        <w:t>Gabbay</w:t>
      </w:r>
      <w:proofErr w:type="spellEnd"/>
      <w:r w:rsidRPr="00CC0EF5">
        <w:t xml:space="preserve">, M. (2024). Depression follow-up monitoring with the PHQ-9: open </w:t>
      </w:r>
      <w:proofErr w:type="spellStart"/>
      <w:r w:rsidRPr="00CC0EF5">
        <w:t>cluster-randomised</w:t>
      </w:r>
      <w:proofErr w:type="spellEnd"/>
      <w:r w:rsidRPr="00CC0EF5">
        <w:t xml:space="preserve"> controlled trial. </w:t>
      </w:r>
      <w:r w:rsidRPr="00CC0EF5">
        <w:rPr>
          <w:i/>
          <w:iCs/>
        </w:rPr>
        <w:t>British Journal of General Practice</w:t>
      </w:r>
      <w:r w:rsidRPr="00CC0EF5">
        <w:t xml:space="preserve">. </w:t>
      </w:r>
      <w:hyperlink r:id="rId17" w:history="1">
        <w:r w:rsidR="00237BBE" w:rsidRPr="00CC0EF5">
          <w:rPr>
            <w:rStyle w:val="Hyperlink"/>
          </w:rPr>
          <w:t>https://doi.org/10.3399/BJGP.2023.0539</w:t>
        </w:r>
      </w:hyperlink>
    </w:p>
    <w:p w14:paraId="43303954" w14:textId="26CDF89A" w:rsidR="00237BBE" w:rsidRPr="00CC0EF5" w:rsidRDefault="00DA1789" w:rsidP="00574B24">
      <w:proofErr w:type="spellStart"/>
      <w:r w:rsidRPr="00CC0EF5">
        <w:rPr>
          <w:color w:val="auto"/>
        </w:rPr>
        <w:t>Negeri</w:t>
      </w:r>
      <w:proofErr w:type="spellEnd"/>
      <w:r w:rsidRPr="00CC0EF5">
        <w:rPr>
          <w:color w:val="auto"/>
        </w:rPr>
        <w:t xml:space="preserve">, Z.F., Levis, B., Sun, Y., He, C., </w:t>
      </w:r>
      <w:proofErr w:type="spellStart"/>
      <w:r w:rsidRPr="00CC0EF5">
        <w:rPr>
          <w:color w:val="auto"/>
        </w:rPr>
        <w:t>Krishnan</w:t>
      </w:r>
      <w:proofErr w:type="spellEnd"/>
      <w:r w:rsidRPr="00CC0EF5">
        <w:rPr>
          <w:color w:val="auto"/>
        </w:rPr>
        <w:t xml:space="preserve">, A., Wu, Y., </w:t>
      </w:r>
      <w:proofErr w:type="spellStart"/>
      <w:r w:rsidRPr="00CC0EF5">
        <w:rPr>
          <w:color w:val="auto"/>
        </w:rPr>
        <w:t>Bhandari</w:t>
      </w:r>
      <w:proofErr w:type="spellEnd"/>
      <w:r w:rsidRPr="00CC0EF5">
        <w:rPr>
          <w:color w:val="auto"/>
        </w:rPr>
        <w:t xml:space="preserve">, P.M., </w:t>
      </w:r>
      <w:proofErr w:type="spellStart"/>
      <w:r w:rsidRPr="00CC0EF5">
        <w:rPr>
          <w:color w:val="auto"/>
        </w:rPr>
        <w:t>Neupane</w:t>
      </w:r>
      <w:proofErr w:type="spellEnd"/>
      <w:r w:rsidRPr="00CC0EF5">
        <w:rPr>
          <w:color w:val="auto"/>
        </w:rPr>
        <w:t xml:space="preserve">, D., </w:t>
      </w:r>
      <w:proofErr w:type="spellStart"/>
      <w:r w:rsidRPr="00CC0EF5">
        <w:rPr>
          <w:color w:val="auto"/>
        </w:rPr>
        <w:t>Brehaut</w:t>
      </w:r>
      <w:proofErr w:type="spellEnd"/>
      <w:r w:rsidRPr="00CC0EF5">
        <w:rPr>
          <w:color w:val="auto"/>
        </w:rPr>
        <w:t xml:space="preserve">, E., Benedetti, A. and </w:t>
      </w:r>
      <w:proofErr w:type="spellStart"/>
      <w:r w:rsidRPr="00CC0EF5">
        <w:rPr>
          <w:color w:val="auto"/>
        </w:rPr>
        <w:t>Thombs</w:t>
      </w:r>
      <w:proofErr w:type="spellEnd"/>
      <w:r w:rsidRPr="00CC0EF5">
        <w:rPr>
          <w:color w:val="auto"/>
        </w:rPr>
        <w:t>, B.D., (2021). Accuracy of the Patient Health Questionnaire-9 for screening to detect major depression: updated systematic review and individual participant data meta-analysis. </w:t>
      </w:r>
      <w:r w:rsidRPr="00CC0EF5">
        <w:rPr>
          <w:i/>
          <w:iCs/>
          <w:color w:val="auto"/>
        </w:rPr>
        <w:t>BMJ</w:t>
      </w:r>
      <w:r w:rsidRPr="00CC0EF5">
        <w:rPr>
          <w:color w:val="auto"/>
        </w:rPr>
        <w:t>, </w:t>
      </w:r>
      <w:r w:rsidRPr="00CC0EF5">
        <w:rPr>
          <w:i/>
          <w:iCs/>
          <w:color w:val="auto"/>
        </w:rPr>
        <w:t>375</w:t>
      </w:r>
      <w:r w:rsidR="00237BBE" w:rsidRPr="00CC0EF5">
        <w:rPr>
          <w:color w:val="auto"/>
        </w:rPr>
        <w:t xml:space="preserve">. </w:t>
      </w:r>
      <w:hyperlink r:id="rId18" w:tgtFrame="_new" w:history="1">
        <w:r w:rsidR="00237BBE" w:rsidRPr="00CC0EF5">
          <w:rPr>
            <w:rStyle w:val="Hyperlink"/>
          </w:rPr>
          <w:t>https://doi.org/10.1136/bmj.n2183</w:t>
        </w:r>
      </w:hyperlink>
    </w:p>
    <w:p w14:paraId="2C141C4A" w14:textId="77777777" w:rsidR="00237BBE" w:rsidRPr="00CC0EF5" w:rsidRDefault="00237BBE" w:rsidP="00574B24">
      <w:bookmarkStart w:id="13" w:name="_Hlk236246522"/>
      <w:proofErr w:type="spellStart"/>
      <w:r w:rsidRPr="00CC0EF5">
        <w:rPr>
          <w:color w:val="auto"/>
        </w:rPr>
        <w:t>Rong</w:t>
      </w:r>
      <w:bookmarkEnd w:id="13"/>
      <w:proofErr w:type="spellEnd"/>
      <w:r w:rsidRPr="00CC0EF5">
        <w:rPr>
          <w:color w:val="auto"/>
        </w:rPr>
        <w:t xml:space="preserve">, J., Wang, X., Cheng, P., Li, D. and Zhao, D. (2025) ‘Global, regional and national burden of depressive disorders and attributable risk factors, from 1990 to 2021: results from the 2021 Global Burden of Disease study’, </w:t>
      </w:r>
      <w:r w:rsidRPr="00CC0EF5">
        <w:rPr>
          <w:i/>
          <w:iCs/>
          <w:color w:val="auto"/>
        </w:rPr>
        <w:t>The British Journal of Psychiatry</w:t>
      </w:r>
      <w:r w:rsidRPr="00CC0EF5">
        <w:t xml:space="preserve">, 227(4), pp. </w:t>
      </w:r>
      <w:r w:rsidRPr="00CC0EF5">
        <w:rPr>
          <w:color w:val="auto"/>
        </w:rPr>
        <w:t>688–697</w:t>
      </w:r>
      <w:r w:rsidRPr="00CC0EF5">
        <w:t xml:space="preserve">. </w:t>
      </w:r>
      <w:hyperlink r:id="rId19" w:tgtFrame="_new" w:history="1">
        <w:r w:rsidRPr="00CC0EF5">
          <w:rPr>
            <w:rStyle w:val="Hyperlink"/>
          </w:rPr>
          <w:t>https://doi.org/10.1192/bjp.2024.266</w:t>
        </w:r>
      </w:hyperlink>
    </w:p>
    <w:p w14:paraId="1A8E1562" w14:textId="3040594B" w:rsidR="00237BBE" w:rsidRPr="00CC0EF5" w:rsidRDefault="00237BBE" w:rsidP="00574B24">
      <w:pPr>
        <w:rPr>
          <w:color w:val="auto"/>
        </w:rPr>
      </w:pPr>
      <w:bookmarkStart w:id="14" w:name="_Hlk236246102"/>
      <w:r w:rsidRPr="00CC0EF5">
        <w:rPr>
          <w:color w:val="auto"/>
        </w:rPr>
        <w:t>Williams</w:t>
      </w:r>
      <w:bookmarkEnd w:id="14"/>
      <w:r w:rsidRPr="00CC0EF5">
        <w:rPr>
          <w:color w:val="auto"/>
        </w:rPr>
        <w:t xml:space="preserve">, M., Teasdale, J., </w:t>
      </w:r>
      <w:proofErr w:type="spellStart"/>
      <w:r w:rsidRPr="00CC0EF5">
        <w:rPr>
          <w:color w:val="auto"/>
        </w:rPr>
        <w:t>Segal</w:t>
      </w:r>
      <w:proofErr w:type="spellEnd"/>
      <w:r w:rsidRPr="00CC0EF5">
        <w:rPr>
          <w:color w:val="auto"/>
        </w:rPr>
        <w:t xml:space="preserve">, Z. and </w:t>
      </w:r>
      <w:proofErr w:type="spellStart"/>
      <w:r w:rsidRPr="00CC0EF5">
        <w:rPr>
          <w:color w:val="auto"/>
        </w:rPr>
        <w:t>Kabat-Zinn</w:t>
      </w:r>
      <w:proofErr w:type="spellEnd"/>
      <w:r w:rsidRPr="00CC0EF5">
        <w:rPr>
          <w:color w:val="auto"/>
        </w:rPr>
        <w:t>, J. (2024). </w:t>
      </w:r>
      <w:r w:rsidRPr="00CC0EF5">
        <w:rPr>
          <w:i/>
          <w:iCs/>
          <w:color w:val="auto"/>
        </w:rPr>
        <w:t>The mindful way through depression: Freeing yourself from chronic unhappiness</w:t>
      </w:r>
      <w:r w:rsidRPr="00CC0EF5">
        <w:rPr>
          <w:color w:val="auto"/>
        </w:rPr>
        <w:t>. Guilford Publications.</w:t>
      </w:r>
      <w:r w:rsidR="0058501A">
        <w:rPr>
          <w:color w:val="auto"/>
        </w:rPr>
        <w:t xml:space="preserve"> </w:t>
      </w:r>
      <w:hyperlink r:id="rId20" w:anchor="v=onepage&amp;q=Williams%2C%20M.%2C%20Teasdale%2C%20J.%2C%20Segal%2C%20Z.%20and%20Kabat-Zinn%2C%20J.%20(2024).%20The%20mindful%20way%20through%20depression%3A%20Freeing%20yourself%20from%20chronic%20unhappiness.%20Guilford%20Publications.&amp;f=false" w:history="1">
        <w:r w:rsidR="0058501A" w:rsidRPr="003670FB">
          <w:rPr>
            <w:rStyle w:val="Hyperlink"/>
          </w:rPr>
          <w:t>https://books.google.com/books?hl=en&amp;lr=&amp;id=bn0oEQAAQBAJ&amp;oi=fnd&amp;pg=PP1&amp;dq=Williams,+M.,+Teasdale,+J.,+Segal,+Z.+and+Kabat-Zinn,+J.+(2024).+The+mindful+way+through+depression:+Freeing+yourself+from+chronic+unhappiness.+Guilford+Publications.&amp;ots=cQok67AEhX&amp;sig=TVSD0ah23XJI38robZKhBiFqGGk&amp;redir_esc=y#v=onepage&amp;q=Williams%2C%20M.%2C%20Teasdale%2C%20J.%2C%20Segal%2C%20Z.%20and%20Kabat-Zinn%2C%20J.%20(2024).%20The%20mindful%20way%20through%20depression%3A%20Freeing%20yourself%20from%20chronic%20unhappiness.%20Guilford%20Publications.&amp;f=false</w:t>
        </w:r>
      </w:hyperlink>
      <w:r w:rsidR="0058501A">
        <w:rPr>
          <w:color w:val="auto"/>
        </w:rPr>
        <w:t xml:space="preserve"> </w:t>
      </w:r>
    </w:p>
    <w:p w14:paraId="66FD0785" w14:textId="77777777" w:rsidR="00237BBE" w:rsidRPr="00CC0EF5" w:rsidRDefault="00237BBE" w:rsidP="00574B24"/>
    <w:sectPr w:rsidR="00237BBE" w:rsidRPr="00CC0EF5" w:rsidSect="00640102">
      <w:footerReference w:type="default" r:id="rId21"/>
      <w:pgSz w:w="11906" w:h="16838" w:code="9"/>
      <w:pgMar w:top="1440" w:right="1440" w:bottom="1440" w:left="1440" w:header="708"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D715480" w14:textId="77777777" w:rsidR="00571890" w:rsidRDefault="00571890">
      <w:pPr>
        <w:spacing w:after="0" w:line="240" w:lineRule="auto"/>
      </w:pPr>
      <w:r>
        <w:separator/>
      </w:r>
    </w:p>
  </w:endnote>
  <w:endnote w:type="continuationSeparator" w:id="0">
    <w:p w14:paraId="6EC8B64C" w14:textId="77777777" w:rsidR="00571890" w:rsidRDefault="00571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ourier">
    <w:panose1 w:val="020B0604020202020204"/>
    <w:charset w:val="00"/>
    <w:family w:val="auto"/>
    <w:pitch w:val="variable"/>
    <w:sig w:usb0="00000003" w:usb1="00000000" w:usb2="00000000" w:usb3="00000000" w:csb0="00000001"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15702380"/>
      <w:docPartObj>
        <w:docPartGallery w:val="Page Numbers (Bottom of Page)"/>
        <w:docPartUnique/>
      </w:docPartObj>
    </w:sdtPr>
    <w:sdtContent>
      <w:p w14:paraId="546B8462" w14:textId="613D95CA" w:rsidR="00640102" w:rsidRDefault="0064010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15D32AA" w14:textId="601D0591" w:rsidR="000F464A" w:rsidRDefault="000F464A">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23B437" w14:textId="77777777" w:rsidR="00571890" w:rsidRDefault="00571890">
      <w:pPr>
        <w:spacing w:after="0" w:line="240" w:lineRule="auto"/>
      </w:pPr>
      <w:r>
        <w:separator/>
      </w:r>
    </w:p>
  </w:footnote>
  <w:footnote w:type="continuationSeparator" w:id="0">
    <w:p w14:paraId="000BD7EF" w14:textId="77777777" w:rsidR="00571890" w:rsidRDefault="00571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43363191">
    <w:abstractNumId w:val="8"/>
  </w:num>
  <w:num w:numId="2" w16cid:durableId="573857278">
    <w:abstractNumId w:val="6"/>
  </w:num>
  <w:num w:numId="3" w16cid:durableId="2036034402">
    <w:abstractNumId w:val="5"/>
  </w:num>
  <w:num w:numId="4" w16cid:durableId="1774394897">
    <w:abstractNumId w:val="4"/>
  </w:num>
  <w:num w:numId="5" w16cid:durableId="1342273486">
    <w:abstractNumId w:val="7"/>
  </w:num>
  <w:num w:numId="6" w16cid:durableId="170030456">
    <w:abstractNumId w:val="3"/>
  </w:num>
  <w:num w:numId="7" w16cid:durableId="2020816610">
    <w:abstractNumId w:val="2"/>
  </w:num>
  <w:num w:numId="8" w16cid:durableId="2014381961">
    <w:abstractNumId w:val="1"/>
  </w:num>
  <w:num w:numId="9" w16cid:durableId="126218553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259C"/>
    <w:rsid w:val="000E161B"/>
    <w:rsid w:val="000F464A"/>
    <w:rsid w:val="0015074B"/>
    <w:rsid w:val="001A7A1F"/>
    <w:rsid w:val="00212099"/>
    <w:rsid w:val="00237BBE"/>
    <w:rsid w:val="0029639D"/>
    <w:rsid w:val="00326F90"/>
    <w:rsid w:val="003C346B"/>
    <w:rsid w:val="0041624D"/>
    <w:rsid w:val="004736FD"/>
    <w:rsid w:val="00493337"/>
    <w:rsid w:val="00571890"/>
    <w:rsid w:val="00574B24"/>
    <w:rsid w:val="0058501A"/>
    <w:rsid w:val="005E4007"/>
    <w:rsid w:val="006171B2"/>
    <w:rsid w:val="00640102"/>
    <w:rsid w:val="00690656"/>
    <w:rsid w:val="007072F2"/>
    <w:rsid w:val="007564B5"/>
    <w:rsid w:val="008955A0"/>
    <w:rsid w:val="008A0E85"/>
    <w:rsid w:val="008A1EED"/>
    <w:rsid w:val="008B376B"/>
    <w:rsid w:val="008E3FAA"/>
    <w:rsid w:val="008F1E34"/>
    <w:rsid w:val="0094075A"/>
    <w:rsid w:val="00973EE9"/>
    <w:rsid w:val="009A7DC2"/>
    <w:rsid w:val="00AA02AB"/>
    <w:rsid w:val="00AA1D8D"/>
    <w:rsid w:val="00B32E8B"/>
    <w:rsid w:val="00B47730"/>
    <w:rsid w:val="00C23F3C"/>
    <w:rsid w:val="00C35389"/>
    <w:rsid w:val="00CA19D0"/>
    <w:rsid w:val="00CB0664"/>
    <w:rsid w:val="00CC0EF5"/>
    <w:rsid w:val="00CE1E68"/>
    <w:rsid w:val="00D50F49"/>
    <w:rsid w:val="00D72993"/>
    <w:rsid w:val="00DA1789"/>
    <w:rsid w:val="00DB07D8"/>
    <w:rsid w:val="00DB736D"/>
    <w:rsid w:val="00E01F65"/>
    <w:rsid w:val="00E27C78"/>
    <w:rsid w:val="00E47999"/>
    <w:rsid w:val="00EA0137"/>
    <w:rsid w:val="00EC22A5"/>
    <w:rsid w:val="00EE18A4"/>
    <w:rsid w:val="00EE6AC2"/>
    <w:rsid w:val="00EF6DC1"/>
    <w:rsid w:val="00F474FE"/>
    <w:rsid w:val="00F73373"/>
    <w:rsid w:val="00FC693F"/>
    <w:rsid w:val="00FE22F4"/>
  </w:rsids>
  <m:mathPr>
    <m:mathFont m:val="Cambria Math"/>
    <m:brkBin m:val="before"/>
    <m:brkBinSub m:val="--"/>
    <m:smallFrac m:val="0"/>
    <m:dispDef/>
    <m:lMargin m:val="0"/>
    <m:rMargin m:val="0"/>
    <m:defJc m:val="centerGroup"/>
    <m:wrapIndent m:val="1440"/>
    <m:intLim m:val="subSup"/>
    <m:naryLim m:val="undOvr"/>
  </m:mathPr>
  <w:themeFontLang w:val="en-US" w:eastAsia="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A5B20A"/>
  <w14:defaultImageDpi w14:val="300"/>
  <w15:docId w15:val="{C1FDF0F2-8A40-4FB8-AD56-8816DD6DD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cs="Arial"/>
      <w:color w:val="1C2430"/>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1F4D78"/>
      <w:sz w:val="32"/>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2D6F69"/>
      <w:sz w:val="28"/>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1F4D78"/>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after="200"/>
      <w:contextualSpacing/>
      <w:jc w:val="center"/>
    </w:pPr>
    <w:rPr>
      <w:rFonts w:asciiTheme="majorHAnsi" w:eastAsiaTheme="majorEastAsia" w:hAnsiTheme="majorHAnsi" w:cstheme="majorBidi"/>
      <w:b/>
      <w:color w:val="1F4D78"/>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jc w:val="center"/>
    </w:pPr>
    <w:rPr>
      <w:bCs/>
      <w:i/>
      <w:color w:val="58626E"/>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s">
    <w:name w:val="References"/>
    <w:basedOn w:val="Normal"/>
  </w:style>
  <w:style w:type="paragraph" w:styleId="TOC1">
    <w:name w:val="toc 1"/>
    <w:basedOn w:val="Normal"/>
    <w:next w:val="Normal"/>
    <w:autoRedefine/>
    <w:uiPriority w:val="39"/>
    <w:unhideWhenUsed/>
    <w:rsid w:val="007564B5"/>
    <w:pPr>
      <w:spacing w:after="100"/>
    </w:pPr>
  </w:style>
  <w:style w:type="paragraph" w:styleId="TOC2">
    <w:name w:val="toc 2"/>
    <w:basedOn w:val="Normal"/>
    <w:next w:val="Normal"/>
    <w:autoRedefine/>
    <w:uiPriority w:val="39"/>
    <w:unhideWhenUsed/>
    <w:rsid w:val="007564B5"/>
    <w:pPr>
      <w:spacing w:after="100"/>
      <w:ind w:left="220"/>
    </w:pPr>
  </w:style>
  <w:style w:type="character" w:styleId="Hyperlink">
    <w:name w:val="Hyperlink"/>
    <w:basedOn w:val="DefaultParagraphFont"/>
    <w:uiPriority w:val="99"/>
    <w:unhideWhenUsed/>
    <w:rsid w:val="007564B5"/>
    <w:rPr>
      <w:color w:val="0000FF" w:themeColor="hyperlink"/>
      <w:u w:val="single"/>
    </w:rPr>
  </w:style>
  <w:style w:type="character" w:styleId="UnresolvedMention">
    <w:name w:val="Unresolved Mention"/>
    <w:basedOn w:val="DefaultParagraphFont"/>
    <w:uiPriority w:val="99"/>
    <w:semiHidden/>
    <w:unhideWhenUsed/>
    <w:rsid w:val="00237B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13725674">
      <w:bodyDiv w:val="1"/>
      <w:marLeft w:val="0"/>
      <w:marRight w:val="0"/>
      <w:marTop w:val="0"/>
      <w:marBottom w:val="0"/>
      <w:divBdr>
        <w:top w:val="none" w:sz="0" w:space="0" w:color="auto"/>
        <w:left w:val="none" w:sz="0" w:space="0" w:color="auto"/>
        <w:bottom w:val="none" w:sz="0" w:space="0" w:color="auto"/>
        <w:right w:val="none" w:sz="0" w:space="0" w:color="auto"/>
      </w:divBdr>
      <w:divsChild>
        <w:div w:id="1255014725">
          <w:marLeft w:val="0"/>
          <w:marRight w:val="0"/>
          <w:marTop w:val="0"/>
          <w:marBottom w:val="0"/>
          <w:divBdr>
            <w:top w:val="none" w:sz="0" w:space="0" w:color="auto"/>
            <w:left w:val="none" w:sz="0" w:space="0" w:color="auto"/>
            <w:bottom w:val="none" w:sz="0" w:space="0" w:color="auto"/>
            <w:right w:val="none" w:sz="0" w:space="0" w:color="auto"/>
          </w:divBdr>
          <w:divsChild>
            <w:div w:id="1619798267">
              <w:marLeft w:val="0"/>
              <w:marRight w:val="0"/>
              <w:marTop w:val="0"/>
              <w:marBottom w:val="0"/>
              <w:divBdr>
                <w:top w:val="none" w:sz="0" w:space="0" w:color="auto"/>
                <w:left w:val="none" w:sz="0" w:space="0" w:color="auto"/>
                <w:bottom w:val="none" w:sz="0" w:space="0" w:color="auto"/>
                <w:right w:val="none" w:sz="0" w:space="0" w:color="auto"/>
              </w:divBdr>
              <w:divsChild>
                <w:div w:id="292368560">
                  <w:marLeft w:val="0"/>
                  <w:marRight w:val="0"/>
                  <w:marTop w:val="0"/>
                  <w:marBottom w:val="0"/>
                  <w:divBdr>
                    <w:top w:val="none" w:sz="0" w:space="0" w:color="auto"/>
                    <w:left w:val="none" w:sz="0" w:space="0" w:color="auto"/>
                    <w:bottom w:val="none" w:sz="0" w:space="0" w:color="auto"/>
                    <w:right w:val="none" w:sz="0" w:space="0" w:color="auto"/>
                  </w:divBdr>
                  <w:divsChild>
                    <w:div w:id="1581867549">
                      <w:marLeft w:val="0"/>
                      <w:marRight w:val="0"/>
                      <w:marTop w:val="0"/>
                      <w:marBottom w:val="0"/>
                      <w:divBdr>
                        <w:top w:val="none" w:sz="0" w:space="0" w:color="auto"/>
                        <w:left w:val="none" w:sz="0" w:space="0" w:color="auto"/>
                        <w:bottom w:val="none" w:sz="0" w:space="0" w:color="auto"/>
                        <w:right w:val="none" w:sz="0" w:space="0" w:color="auto"/>
                      </w:divBdr>
                      <w:divsChild>
                        <w:div w:id="94524094">
                          <w:marLeft w:val="0"/>
                          <w:marRight w:val="0"/>
                          <w:marTop w:val="0"/>
                          <w:marBottom w:val="0"/>
                          <w:divBdr>
                            <w:top w:val="none" w:sz="0" w:space="0" w:color="auto"/>
                            <w:left w:val="none" w:sz="0" w:space="0" w:color="auto"/>
                            <w:bottom w:val="none" w:sz="0" w:space="0" w:color="auto"/>
                            <w:right w:val="none" w:sz="0" w:space="0" w:color="auto"/>
                          </w:divBdr>
                          <w:divsChild>
                            <w:div w:id="1407141823">
                              <w:marLeft w:val="0"/>
                              <w:marRight w:val="0"/>
                              <w:marTop w:val="0"/>
                              <w:marBottom w:val="0"/>
                              <w:divBdr>
                                <w:top w:val="none" w:sz="0" w:space="0" w:color="auto"/>
                                <w:left w:val="none" w:sz="0" w:space="0" w:color="auto"/>
                                <w:bottom w:val="none" w:sz="0" w:space="0" w:color="auto"/>
                                <w:right w:val="none" w:sz="0" w:space="0" w:color="auto"/>
                              </w:divBdr>
                              <w:divsChild>
                                <w:div w:id="1335184428">
                                  <w:marLeft w:val="0"/>
                                  <w:marRight w:val="0"/>
                                  <w:marTop w:val="0"/>
                                  <w:marBottom w:val="0"/>
                                  <w:divBdr>
                                    <w:top w:val="none" w:sz="0" w:space="0" w:color="auto"/>
                                    <w:left w:val="none" w:sz="0" w:space="0" w:color="auto"/>
                                    <w:bottom w:val="none" w:sz="0" w:space="0" w:color="auto"/>
                                    <w:right w:val="none" w:sz="0" w:space="0" w:color="auto"/>
                                  </w:divBdr>
                                  <w:divsChild>
                                    <w:div w:id="145451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5567955">
      <w:bodyDiv w:val="1"/>
      <w:marLeft w:val="0"/>
      <w:marRight w:val="0"/>
      <w:marTop w:val="0"/>
      <w:marBottom w:val="0"/>
      <w:divBdr>
        <w:top w:val="none" w:sz="0" w:space="0" w:color="auto"/>
        <w:left w:val="none" w:sz="0" w:space="0" w:color="auto"/>
        <w:bottom w:val="none" w:sz="0" w:space="0" w:color="auto"/>
        <w:right w:val="none" w:sz="0" w:space="0" w:color="auto"/>
      </w:divBdr>
      <w:divsChild>
        <w:div w:id="153378121">
          <w:marLeft w:val="0"/>
          <w:marRight w:val="0"/>
          <w:marTop w:val="0"/>
          <w:marBottom w:val="0"/>
          <w:divBdr>
            <w:top w:val="none" w:sz="0" w:space="0" w:color="auto"/>
            <w:left w:val="none" w:sz="0" w:space="0" w:color="auto"/>
            <w:bottom w:val="none" w:sz="0" w:space="0" w:color="auto"/>
            <w:right w:val="none" w:sz="0" w:space="0" w:color="auto"/>
          </w:divBdr>
          <w:divsChild>
            <w:div w:id="964965970">
              <w:marLeft w:val="0"/>
              <w:marRight w:val="0"/>
              <w:marTop w:val="0"/>
              <w:marBottom w:val="0"/>
              <w:divBdr>
                <w:top w:val="none" w:sz="0" w:space="0" w:color="auto"/>
                <w:left w:val="none" w:sz="0" w:space="0" w:color="auto"/>
                <w:bottom w:val="none" w:sz="0" w:space="0" w:color="auto"/>
                <w:right w:val="none" w:sz="0" w:space="0" w:color="auto"/>
              </w:divBdr>
              <w:divsChild>
                <w:div w:id="859007996">
                  <w:marLeft w:val="0"/>
                  <w:marRight w:val="0"/>
                  <w:marTop w:val="0"/>
                  <w:marBottom w:val="0"/>
                  <w:divBdr>
                    <w:top w:val="none" w:sz="0" w:space="0" w:color="auto"/>
                    <w:left w:val="none" w:sz="0" w:space="0" w:color="auto"/>
                    <w:bottom w:val="none" w:sz="0" w:space="0" w:color="auto"/>
                    <w:right w:val="none" w:sz="0" w:space="0" w:color="auto"/>
                  </w:divBdr>
                  <w:divsChild>
                    <w:div w:id="2076004699">
                      <w:marLeft w:val="0"/>
                      <w:marRight w:val="0"/>
                      <w:marTop w:val="0"/>
                      <w:marBottom w:val="0"/>
                      <w:divBdr>
                        <w:top w:val="none" w:sz="0" w:space="0" w:color="auto"/>
                        <w:left w:val="none" w:sz="0" w:space="0" w:color="auto"/>
                        <w:bottom w:val="none" w:sz="0" w:space="0" w:color="auto"/>
                        <w:right w:val="none" w:sz="0" w:space="0" w:color="auto"/>
                      </w:divBdr>
                      <w:divsChild>
                        <w:div w:id="182714841">
                          <w:marLeft w:val="0"/>
                          <w:marRight w:val="0"/>
                          <w:marTop w:val="0"/>
                          <w:marBottom w:val="0"/>
                          <w:divBdr>
                            <w:top w:val="none" w:sz="0" w:space="0" w:color="auto"/>
                            <w:left w:val="none" w:sz="0" w:space="0" w:color="auto"/>
                            <w:bottom w:val="none" w:sz="0" w:space="0" w:color="auto"/>
                            <w:right w:val="none" w:sz="0" w:space="0" w:color="auto"/>
                          </w:divBdr>
                          <w:divsChild>
                            <w:div w:id="40787147">
                              <w:marLeft w:val="0"/>
                              <w:marRight w:val="0"/>
                              <w:marTop w:val="0"/>
                              <w:marBottom w:val="0"/>
                              <w:divBdr>
                                <w:top w:val="none" w:sz="0" w:space="0" w:color="auto"/>
                                <w:left w:val="none" w:sz="0" w:space="0" w:color="auto"/>
                                <w:bottom w:val="none" w:sz="0" w:space="0" w:color="auto"/>
                                <w:right w:val="none" w:sz="0" w:space="0" w:color="auto"/>
                              </w:divBdr>
                              <w:divsChild>
                                <w:div w:id="500315250">
                                  <w:marLeft w:val="0"/>
                                  <w:marRight w:val="0"/>
                                  <w:marTop w:val="0"/>
                                  <w:marBottom w:val="0"/>
                                  <w:divBdr>
                                    <w:top w:val="none" w:sz="0" w:space="0" w:color="auto"/>
                                    <w:left w:val="none" w:sz="0" w:space="0" w:color="auto"/>
                                    <w:bottom w:val="none" w:sz="0" w:space="0" w:color="auto"/>
                                    <w:right w:val="none" w:sz="0" w:space="0" w:color="auto"/>
                                  </w:divBdr>
                                  <w:divsChild>
                                    <w:div w:id="18005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gruyterbrill.com/document/doi/10.1515/9780822391852/html" TargetMode="External"/><Relationship Id="rId18" Type="http://schemas.openxmlformats.org/officeDocument/2006/relationships/hyperlink" Target="https://doi.org/10.1136/bmj.n218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jad.2020.12.080" TargetMode="External"/><Relationship Id="rId17" Type="http://schemas.openxmlformats.org/officeDocument/2006/relationships/hyperlink" Target="https://doi.org/10.3399/BJGP.2023.0539" TargetMode="External"/><Relationship Id="rId2" Type="http://schemas.openxmlformats.org/officeDocument/2006/relationships/numbering" Target="numbering.xml"/><Relationship Id="rId16" Type="http://schemas.openxmlformats.org/officeDocument/2006/relationships/hyperlink" Target="https://books.google.com/books?hl=en&amp;lr=&amp;id=6UpTEAAAQBAJ&amp;oi=fnd&amp;pg=PR9&amp;dq=Harris,+R.+(2022).+The+happiness+trap:+How+to+stop+struggling+and+start+living.+Shambhala+Publications.&amp;ots=LSC1Y3QZ7k&amp;sig=jUPRlQHVHjHKD19xk5PXdbrSONg&amp;redir_esc=y" TargetMode="External"/><Relationship Id="rId20" Type="http://schemas.openxmlformats.org/officeDocument/2006/relationships/hyperlink" Target="https://books.google.com/books?hl=en&amp;lr=&amp;id=bn0oEQAAQBAJ&amp;oi=fnd&amp;pg=PP1&amp;dq=Williams,+M.,+Teasdale,+J.,+Segal,+Z.+and+Kabat-Zinn,+J.+(2024).+The+mindful+way+through+depression:+Freeing+yourself+from+chronic+unhappiness.+Guilford+Publications.&amp;ots=cQok67AEhX&amp;sig=TVSD0ah23XJI38robZKhBiFqGGk&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k94FEQAAQBAJ&amp;oi=fnd&amp;pg=PP1&amp;dq=Beck,+A.T.,+Rush,+A.J.,+Shaw,+B.F.,+Emery,+G.,+DeRubeis,+R.J.+and+Hollon,+S.D.+(2024).+Cognitive+therapy+of+depression.+Guilford+Publications&amp;ots=iqdRgaXdh1&amp;sig=mTAu6WzdrzXDz_Aopp-b8XnGAR8&amp;redir_esc=y" TargetMode="External"/><Relationship Id="rId5" Type="http://schemas.openxmlformats.org/officeDocument/2006/relationships/webSettings" Target="webSettings.xml"/><Relationship Id="rId15" Type="http://schemas.openxmlformats.org/officeDocument/2006/relationships/hyperlink" Target="https://www.taylorfrancis.com/books/mono/10.4324/9781003571896/health-policy-britain-christopher-ha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192/bjp.2024.26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ristoluniversitypressdigital.com/display/book/9781447379430/9781447379430.x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2618</Words>
  <Characters>14927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17510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Thahmida Khanom (2531916)</cp:lastModifiedBy>
  <cp:revision>29</cp:revision>
  <dcterms:created xsi:type="dcterms:W3CDTF">2026-08-09T20:03:00Z</dcterms:created>
  <dcterms:modified xsi:type="dcterms:W3CDTF">2026-08-10T08:28:00Z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409293aa-4c6f-4a44-b9bb-3659be1e5bd6</vt:lpwstr>
  </property>
</Properties>
</file>