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C1435" w14:textId="77777777" w:rsidR="006E7F59" w:rsidRDefault="006E7F59" w:rsidP="007C2F55">
      <w:pPr>
        <w:jc w:val="center"/>
        <w:rPr>
          <w:b/>
          <w:bCs/>
          <w:sz w:val="48"/>
          <w:szCs w:val="48"/>
        </w:rPr>
      </w:pPr>
    </w:p>
    <w:p w14:paraId="586D2F2E" w14:textId="77777777" w:rsidR="006E7F59" w:rsidRDefault="006E7F59" w:rsidP="007C2F55">
      <w:pPr>
        <w:jc w:val="center"/>
        <w:rPr>
          <w:b/>
          <w:bCs/>
          <w:sz w:val="48"/>
          <w:szCs w:val="48"/>
        </w:rPr>
      </w:pPr>
    </w:p>
    <w:p w14:paraId="659EE877" w14:textId="0CA62268" w:rsidR="005C105E" w:rsidRPr="007A06B5" w:rsidRDefault="003636C5" w:rsidP="007C2F55">
      <w:pPr>
        <w:jc w:val="center"/>
        <w:rPr>
          <w:b/>
          <w:bCs/>
          <w:sz w:val="48"/>
          <w:szCs w:val="48"/>
        </w:rPr>
      </w:pPr>
      <w:r w:rsidRPr="007A06B5">
        <w:rPr>
          <w:b/>
          <w:bCs/>
          <w:sz w:val="48"/>
          <w:szCs w:val="48"/>
        </w:rPr>
        <w:t>Principl</w:t>
      </w:r>
      <w:r w:rsidR="00CB6A2E">
        <w:rPr>
          <w:b/>
          <w:bCs/>
          <w:sz w:val="48"/>
          <w:szCs w:val="48"/>
        </w:rPr>
        <w:t>e</w:t>
      </w:r>
      <w:r w:rsidR="00E34DCE" w:rsidRPr="007A06B5">
        <w:rPr>
          <w:b/>
          <w:bCs/>
          <w:sz w:val="48"/>
          <w:szCs w:val="48"/>
        </w:rPr>
        <w:t>s of</w:t>
      </w:r>
      <w:r w:rsidR="00530389">
        <w:rPr>
          <w:b/>
          <w:bCs/>
          <w:sz w:val="48"/>
          <w:szCs w:val="48"/>
        </w:rPr>
        <w:t xml:space="preserve"> Professional </w:t>
      </w:r>
      <w:r w:rsidR="00E34DCE" w:rsidRPr="007A06B5">
        <w:rPr>
          <w:b/>
          <w:bCs/>
          <w:sz w:val="48"/>
          <w:szCs w:val="48"/>
        </w:rPr>
        <w:t>L</w:t>
      </w:r>
      <w:r w:rsidR="002348AB" w:rsidRPr="007A06B5">
        <w:rPr>
          <w:b/>
          <w:bCs/>
          <w:sz w:val="48"/>
          <w:szCs w:val="48"/>
        </w:rPr>
        <w:t>egal Practice</w:t>
      </w:r>
    </w:p>
    <w:p w14:paraId="2D2F65D8" w14:textId="4569D0E8" w:rsidR="002348AB" w:rsidRPr="007A06B5" w:rsidRDefault="007A06B5" w:rsidP="007C2F55">
      <w:pPr>
        <w:jc w:val="center"/>
        <w:rPr>
          <w:b/>
          <w:bCs/>
          <w:sz w:val="48"/>
          <w:szCs w:val="48"/>
        </w:rPr>
      </w:pPr>
      <w:r w:rsidRPr="007A06B5">
        <w:rPr>
          <w:b/>
          <w:bCs/>
          <w:sz w:val="48"/>
          <w:szCs w:val="48"/>
        </w:rPr>
        <w:t>Student Name</w:t>
      </w:r>
      <w:r w:rsidR="00FB66A6">
        <w:rPr>
          <w:b/>
          <w:bCs/>
          <w:sz w:val="48"/>
          <w:szCs w:val="48"/>
        </w:rPr>
        <w:t>: Carmen Tutu</w:t>
      </w:r>
    </w:p>
    <w:p w14:paraId="5DD4B482" w14:textId="7D9054AF" w:rsidR="007A06B5" w:rsidRDefault="007A06B5" w:rsidP="007C2F55">
      <w:pPr>
        <w:jc w:val="center"/>
      </w:pPr>
      <w:r w:rsidRPr="007A06B5">
        <w:rPr>
          <w:b/>
          <w:bCs/>
          <w:sz w:val="48"/>
          <w:szCs w:val="48"/>
        </w:rPr>
        <w:t>Student Number</w:t>
      </w:r>
      <w:r w:rsidR="00FB66A6">
        <w:rPr>
          <w:b/>
          <w:bCs/>
          <w:sz w:val="48"/>
          <w:szCs w:val="48"/>
        </w:rPr>
        <w:t>:</w:t>
      </w:r>
      <w:r w:rsidR="004A1533">
        <w:rPr>
          <w:b/>
          <w:bCs/>
          <w:sz w:val="48"/>
          <w:szCs w:val="48"/>
        </w:rPr>
        <w:t>2207</w:t>
      </w:r>
      <w:r w:rsidR="00FB66A6">
        <w:rPr>
          <w:b/>
          <w:bCs/>
          <w:sz w:val="48"/>
          <w:szCs w:val="48"/>
        </w:rPr>
        <w:t>3</w:t>
      </w:r>
      <w:r w:rsidR="00FE2CE0">
        <w:rPr>
          <w:b/>
          <w:bCs/>
          <w:sz w:val="48"/>
          <w:szCs w:val="48"/>
        </w:rPr>
        <w:t>81</w:t>
      </w:r>
    </w:p>
    <w:p w14:paraId="15B0570A" w14:textId="77777777" w:rsidR="007C2F55" w:rsidRDefault="00D46B54" w:rsidP="00D46B54">
      <w:r>
        <w:t xml:space="preserve"> </w:t>
      </w:r>
    </w:p>
    <w:p w14:paraId="2ADCC0F5" w14:textId="77777777" w:rsidR="007C2F55" w:rsidRDefault="007C2F55" w:rsidP="00D46B54"/>
    <w:p w14:paraId="3808E6FF" w14:textId="77777777" w:rsidR="007C2F55" w:rsidRDefault="007C2F55" w:rsidP="00D46B54"/>
    <w:p w14:paraId="3A04D4F2" w14:textId="77777777" w:rsidR="007C2F55" w:rsidRDefault="007C2F55" w:rsidP="00D46B54"/>
    <w:p w14:paraId="4F74C13B" w14:textId="77777777" w:rsidR="002753F2" w:rsidRDefault="002753F2" w:rsidP="00D46B54"/>
    <w:p w14:paraId="3D253396" w14:textId="77777777" w:rsidR="002753F2" w:rsidRDefault="002753F2" w:rsidP="00D46B54"/>
    <w:p w14:paraId="3B5FDC42" w14:textId="77777777" w:rsidR="002753F2" w:rsidRDefault="002753F2" w:rsidP="00D46B54"/>
    <w:p w14:paraId="59AE0E49" w14:textId="77777777" w:rsidR="002753F2" w:rsidRDefault="002753F2" w:rsidP="00D46B54"/>
    <w:p w14:paraId="5AD60BC2" w14:textId="77777777" w:rsidR="002753F2" w:rsidRDefault="002753F2" w:rsidP="00D46B54"/>
    <w:p w14:paraId="4366279C" w14:textId="77777777" w:rsidR="002753F2" w:rsidRDefault="002753F2" w:rsidP="00D46B54"/>
    <w:p w14:paraId="4718E1EF" w14:textId="77777777" w:rsidR="002753F2" w:rsidRDefault="002753F2" w:rsidP="00D46B54"/>
    <w:p w14:paraId="450632CF" w14:textId="77777777" w:rsidR="002753F2" w:rsidRDefault="002753F2" w:rsidP="00D46B54"/>
    <w:p w14:paraId="0FC2D79A" w14:textId="77777777" w:rsidR="002753F2" w:rsidRDefault="002753F2" w:rsidP="00D46B54"/>
    <w:p w14:paraId="68B816C4" w14:textId="77777777" w:rsidR="002753F2" w:rsidRDefault="002753F2" w:rsidP="00D46B54"/>
    <w:p w14:paraId="4BCD0E33" w14:textId="77777777" w:rsidR="002753F2" w:rsidRDefault="002753F2" w:rsidP="00D46B54"/>
    <w:p w14:paraId="53D63FFF" w14:textId="77777777" w:rsidR="002753F2" w:rsidRDefault="002753F2" w:rsidP="00D46B54"/>
    <w:p w14:paraId="1050B1CF" w14:textId="77777777" w:rsidR="002753F2" w:rsidRDefault="002753F2" w:rsidP="00D46B54">
      <w:pPr>
        <w:rPr>
          <w:b/>
          <w:bCs/>
          <w:sz w:val="28"/>
          <w:szCs w:val="28"/>
        </w:rPr>
      </w:pPr>
    </w:p>
    <w:p w14:paraId="681B929F" w14:textId="77777777" w:rsidR="002753F2" w:rsidRDefault="002753F2" w:rsidP="00D46B54">
      <w:pPr>
        <w:rPr>
          <w:b/>
          <w:bCs/>
          <w:sz w:val="28"/>
          <w:szCs w:val="28"/>
        </w:rPr>
      </w:pPr>
    </w:p>
    <w:p w14:paraId="0D505A23" w14:textId="5F888443" w:rsidR="00D46B54" w:rsidRDefault="00D46B54" w:rsidP="00D46B54"/>
    <w:p w14:paraId="5E9EB4AC" w14:textId="77777777" w:rsidR="00D46B54" w:rsidRDefault="00D46B54" w:rsidP="00D46B54"/>
    <w:p w14:paraId="1584A52B" w14:textId="4FDBA607" w:rsidR="00D46B54" w:rsidRPr="00C17662" w:rsidRDefault="00D46B54" w:rsidP="00D46B54">
      <w:pPr>
        <w:rPr>
          <w:b/>
          <w:bCs/>
        </w:rPr>
      </w:pPr>
      <w:r w:rsidRPr="00C17662">
        <w:rPr>
          <w:b/>
          <w:bCs/>
        </w:rPr>
        <w:t>Introduction</w:t>
      </w:r>
    </w:p>
    <w:p w14:paraId="5E3DCD62" w14:textId="0BD29350" w:rsidR="006B66EA" w:rsidRDefault="002A23A9" w:rsidP="0016333A">
      <w:r w:rsidRPr="00DE1B0D">
        <w:t xml:space="preserve">A fundamental value of professional conduct is </w:t>
      </w:r>
      <w:r>
        <w:t xml:space="preserve">an </w:t>
      </w:r>
      <w:r w:rsidRPr="00DE1B0D">
        <w:t>equal opportunity, which guarantees that people are treated equally and without discrimination</w:t>
      </w:r>
      <w:r w:rsidR="00B87FDA">
        <w:t xml:space="preserve">. </w:t>
      </w:r>
      <w:r w:rsidR="00D508EF">
        <w:t xml:space="preserve">In the legal profession, equal opportunity is of utmost importance as it upholds the principles of justice, fairness, and the rule of law. The legal framework for promoting equal opportunity in the United Kingdom is provided by the </w:t>
      </w:r>
      <w:r w:rsidR="00D508EF" w:rsidRPr="00C17662">
        <w:rPr>
          <w:b/>
          <w:bCs/>
        </w:rPr>
        <w:t>Equality Act 2010</w:t>
      </w:r>
      <w:r w:rsidR="00D508EF">
        <w:t>, which prohibits discrimination</w:t>
      </w:r>
      <w:r w:rsidR="00530389">
        <w:t xml:space="preserve"> based on </w:t>
      </w:r>
      <w:r w:rsidR="00D508EF">
        <w:t xml:space="preserve">nine protected characteristics. Additionally, the Solicitors Regulation Authority </w:t>
      </w:r>
      <w:r w:rsidR="00D508EF" w:rsidRPr="00C17662">
        <w:rPr>
          <w:b/>
          <w:bCs/>
        </w:rPr>
        <w:t xml:space="preserve">(SRA) Code of Conduct 2019 </w:t>
      </w:r>
      <w:r w:rsidR="00D508EF">
        <w:t xml:space="preserve">sets out the ethical requirements for legal professionals in England and Wales, including the duty to promote equal opportunity and prevent discrimination. </w:t>
      </w:r>
    </w:p>
    <w:p w14:paraId="5EC863B0" w14:textId="07AD8D05" w:rsidR="00C961BB" w:rsidRDefault="008B3C93" w:rsidP="0016333A">
      <w:r>
        <w:t>An essential component of ethical conduct in the legal profession is equal opportunity. It implements the ideals of business ethics and the rule of law while promoting access to justice, diversity, and inclusion.</w:t>
      </w:r>
    </w:p>
    <w:p w14:paraId="66132290" w14:textId="77777777" w:rsidR="00846AC7" w:rsidRDefault="00846AC7" w:rsidP="0016333A"/>
    <w:p w14:paraId="38FD71C9" w14:textId="0721E740" w:rsidR="00D46B54" w:rsidRPr="009F1CC9" w:rsidRDefault="00D46B54" w:rsidP="00E62025">
      <w:pPr>
        <w:pStyle w:val="ListParagraph"/>
        <w:numPr>
          <w:ilvl w:val="0"/>
          <w:numId w:val="1"/>
        </w:numPr>
        <w:rPr>
          <w:b/>
          <w:bCs/>
        </w:rPr>
      </w:pPr>
      <w:r w:rsidRPr="009F1CC9">
        <w:rPr>
          <w:b/>
          <w:bCs/>
        </w:rPr>
        <w:t>The Importance of Equal Opportunity</w:t>
      </w:r>
    </w:p>
    <w:p w14:paraId="3AB13C2C" w14:textId="77777777" w:rsidR="00846AC7" w:rsidRDefault="00846AC7" w:rsidP="00D46B54"/>
    <w:p w14:paraId="04975F83" w14:textId="4AE654F6" w:rsidR="00D46B54" w:rsidRDefault="00D46B54" w:rsidP="00D46B54">
      <w:r>
        <w:t>Equal opportunity is an essential principle of professional practice in the legal profession. It promotes access to justice, diversity, and inclusion, and upholds the principles of professional ethics and the rule of law.</w:t>
      </w:r>
    </w:p>
    <w:p w14:paraId="5A723E94" w14:textId="513A7D5E" w:rsidR="00820FAF" w:rsidRDefault="00C17279">
      <w:r w:rsidRPr="00C17279">
        <w:t>The Equality Act 2010 is a comprehensive piece of legislation in the United Kingdom that consolidates and strengthens anti-discrimination laws.</w:t>
      </w:r>
      <w:r w:rsidR="009932F5">
        <w:t xml:space="preserve"> </w:t>
      </w:r>
      <w:r w:rsidRPr="00C17279">
        <w:t xml:space="preserve">It provides a legal framework for </w:t>
      </w:r>
      <w:r w:rsidRPr="00C17279">
        <w:lastRenderedPageBreak/>
        <w:t xml:space="preserve">promoting equality and diversity across </w:t>
      </w:r>
      <w:r w:rsidR="00B1467F">
        <w:t xml:space="preserve">a range of </w:t>
      </w:r>
      <w:r w:rsidRPr="00C17279">
        <w:t>protected characteristics, including age, disability, gender reassignment, marriage and civil partnership, pregnancy and maternity, race, religion or belief, sex, and sexual orientation (</w:t>
      </w:r>
      <w:r w:rsidRPr="00B1467F">
        <w:rPr>
          <w:b/>
          <w:bCs/>
        </w:rPr>
        <w:t>Equality Act 2010, s.4).</w:t>
      </w:r>
      <w:r w:rsidRPr="00C17279">
        <w:t xml:space="preserve"> </w:t>
      </w:r>
      <w:r w:rsidR="00781A7C">
        <w:t xml:space="preserve"> </w:t>
      </w:r>
      <w:r w:rsidRPr="00C17279">
        <w:t xml:space="preserve">The Act </w:t>
      </w:r>
      <w:r w:rsidR="00A1426C">
        <w:t xml:space="preserve">first outlines </w:t>
      </w:r>
      <w:r w:rsidRPr="00C17279">
        <w:t>the general duty to e</w:t>
      </w:r>
      <w:r w:rsidR="00E16B80">
        <w:t>nd</w:t>
      </w:r>
      <w:r w:rsidRPr="00C17279">
        <w:t xml:space="preserve"> discrimination, advance equality of opportunity, and </w:t>
      </w:r>
      <w:r w:rsidR="00ED3B5E">
        <w:t>p</w:t>
      </w:r>
      <w:r w:rsidR="00296291">
        <w:t>romote</w:t>
      </w:r>
      <w:r w:rsidRPr="00C17279">
        <w:t xml:space="preserve"> good relations between </w:t>
      </w:r>
      <w:r w:rsidR="00296291">
        <w:t>v</w:t>
      </w:r>
      <w:r w:rsidR="00994D79">
        <w:t>arious</w:t>
      </w:r>
      <w:r w:rsidR="00565905">
        <w:t xml:space="preserve"> groups. </w:t>
      </w:r>
      <w:r w:rsidR="000C4312">
        <w:t>Additionally,</w:t>
      </w:r>
      <w:r w:rsidR="00565905">
        <w:t xml:space="preserve"> impose </w:t>
      </w:r>
      <w:r w:rsidRPr="00C17279">
        <w:t>specific duties on public authorities, including the legal profession, to promote equality in their policies, practices, and services.</w:t>
      </w:r>
    </w:p>
    <w:p w14:paraId="47F0A397" w14:textId="286A234E" w:rsidR="00C274C0" w:rsidRDefault="001541A7" w:rsidP="0016333A">
      <w:r>
        <w:t>Second, a diverse legal profession is better equipped to understand and serve the needs of a diverse society. Legal issues often involve complex social, cultural, and economic dynamics, and a diverse legal profession is better positioned to navigate these complexities and provide appropriate solutions.</w:t>
      </w:r>
      <w:r w:rsidR="00530389">
        <w:t xml:space="preserve"> </w:t>
      </w:r>
      <w:r w:rsidR="00C274C0">
        <w:t>This can lead to a better understanding of the needs of clients from diverse backgrounds and ultimately result in better outcomes for clients.</w:t>
      </w:r>
    </w:p>
    <w:p w14:paraId="0BAFBE61" w14:textId="0D455FE2" w:rsidR="0082602F" w:rsidRDefault="00C22728" w:rsidP="0082602F">
      <w:r>
        <w:t>Lastly, promoting equal opportunity is crucial in upholding the principles of professional ethics and the rule of law. Legal professionals have</w:t>
      </w:r>
      <w:r w:rsidR="00530389">
        <w:t xml:space="preserve"> to </w:t>
      </w:r>
      <w:r>
        <w:t>act with integrity, independence, and in the best interests of their clients. This requires them to treat all clients fairly and without discrimination, regardless of their background or characteristics.</w:t>
      </w:r>
      <w:r w:rsidR="0082602F" w:rsidRPr="0082602F">
        <w:t xml:space="preserve"> </w:t>
      </w:r>
      <w:r w:rsidR="0082602F">
        <w:t xml:space="preserve">Furthermore, equal opportunity is crucial for fostering a diverse and inclusive legal profession. Diversity in the legal profession is important for several reasons. First, it enhances the quality and effectiveness of legal services. A diverse legal profession brings together individuals with different perspectives, backgrounds, and experiences, which enriches the decision-making process and leads to more informed and balanced outcomes. </w:t>
      </w:r>
      <w:r w:rsidR="00C553AA">
        <w:t>Finally, the diverse legal community fosters public trust in the justice system. People are more likely to think about the legal system as fair, unbiased, and open to all when they see legal practitioners who reflect the diversity of society.</w:t>
      </w:r>
    </w:p>
    <w:p w14:paraId="7B4DE7F5" w14:textId="0D27CCD7" w:rsidR="002E0F11" w:rsidRDefault="0082602F" w:rsidP="002E0F11">
      <w:r>
        <w:lastRenderedPageBreak/>
        <w:t xml:space="preserve">Equal opportunity is also crucial for maintaining public trust in the legal system. The legal profession is entrusted with the responsibility of upholding the rule of law, protecting individual rights, and ensuring that justice is administered fairly and impartially. Discrimination, bias, or unequal treatment in the legal profession can erode public trust and confidence in the legal system. It can also undermine the </w:t>
      </w:r>
      <w:r w:rsidR="000C4312">
        <w:t>integrity.</w:t>
      </w:r>
    </w:p>
    <w:p w14:paraId="75C7A348" w14:textId="20878559" w:rsidR="00D46B54" w:rsidRPr="009F1CC9" w:rsidRDefault="00D46B54" w:rsidP="00D46B54">
      <w:pPr>
        <w:pStyle w:val="ListParagraph"/>
        <w:numPr>
          <w:ilvl w:val="0"/>
          <w:numId w:val="1"/>
        </w:numPr>
        <w:rPr>
          <w:b/>
          <w:bCs/>
        </w:rPr>
      </w:pPr>
      <w:r w:rsidRPr="009F1CC9">
        <w:rPr>
          <w:b/>
          <w:bCs/>
        </w:rPr>
        <w:t>Access to Justice</w:t>
      </w:r>
    </w:p>
    <w:p w14:paraId="751BB4CE" w14:textId="39051C5F" w:rsidR="00D46B54" w:rsidRDefault="00FD6664" w:rsidP="00D46B54">
      <w:r>
        <w:t>Access to justice for all people depends on creating equality of opportunity. Legal practitioners can contribute to ensuring that everyone has equal access to legal services and the judicial system by ensuring that everyone is treated fairly and without prejudice, regardless of their background or characteristics. This is crucial for vulnerable or underprivileged populations since they could encounter difficulties getting access to legal services.</w:t>
      </w:r>
    </w:p>
    <w:p w14:paraId="16786A1E" w14:textId="7DBEB8B7" w:rsidR="00D46B54" w:rsidRPr="009F1CC9" w:rsidRDefault="00D46B54" w:rsidP="00084FBE">
      <w:pPr>
        <w:pStyle w:val="ListParagraph"/>
        <w:numPr>
          <w:ilvl w:val="0"/>
          <w:numId w:val="1"/>
        </w:numPr>
        <w:rPr>
          <w:b/>
          <w:bCs/>
        </w:rPr>
      </w:pPr>
      <w:r w:rsidRPr="009F1CC9">
        <w:rPr>
          <w:b/>
          <w:bCs/>
        </w:rPr>
        <w:t>The Equality Act 2010</w:t>
      </w:r>
    </w:p>
    <w:p w14:paraId="5925F540" w14:textId="58E64C86" w:rsidR="00D008DE" w:rsidRDefault="00D008DE" w:rsidP="0016333A">
      <w:r>
        <w:t>Legal Framework</w:t>
      </w:r>
      <w:r w:rsidR="00B1282B">
        <w:t xml:space="preserve"> </w:t>
      </w:r>
      <w:r>
        <w:t>The Equality Act 2010</w:t>
      </w:r>
    </w:p>
    <w:p w14:paraId="203E7E61" w14:textId="77777777" w:rsidR="00D008DE" w:rsidRDefault="00D008DE" w:rsidP="0016333A">
      <w:r>
        <w:t xml:space="preserve">The </w:t>
      </w:r>
      <w:r w:rsidRPr="00B1282B">
        <w:rPr>
          <w:b/>
          <w:bCs/>
        </w:rPr>
        <w:t>Equality Act 2010</w:t>
      </w:r>
      <w:r>
        <w:t xml:space="preserve"> provides a comprehensive legal framework for promoting equal opportunity and preventing discrimination in various areas, including the provision of services, employment, and education. The Act identifies nine protected characteristics, which include age, disability, gender, race, religion or belief, sexual orientation, gender reassignment, pregnancy and maternity, and marriage and civil partnership.</w:t>
      </w:r>
    </w:p>
    <w:p w14:paraId="785BF200" w14:textId="690A3E68" w:rsidR="00D008DE" w:rsidRDefault="00D008DE" w:rsidP="0016333A">
      <w:r>
        <w:t>The</w:t>
      </w:r>
      <w:r w:rsidRPr="00B1282B">
        <w:rPr>
          <w:b/>
          <w:bCs/>
        </w:rPr>
        <w:t xml:space="preserve"> Equality Act 2010</w:t>
      </w:r>
      <w:r>
        <w:t xml:space="preserve"> prohibits discrimination in different forms, including direct discrimination, indirect discrimination, harassment, victimization, and failure to make reasonable adjustments for individuals with disabilities. Direct discrimination occurs when someone is treated less </w:t>
      </w:r>
      <w:r w:rsidR="00125381">
        <w:t>favorably</w:t>
      </w:r>
      <w:r>
        <w:t xml:space="preserve"> because of a protected characteristic, such as refusing to provide legal services to a client due to their race or disability. Indirect discrimination occurs </w:t>
      </w:r>
      <w:r>
        <w:lastRenderedPageBreak/>
        <w:t>when a policy or practice disproportionately affects individuals with a protected characteristic.</w:t>
      </w:r>
    </w:p>
    <w:p w14:paraId="3A83C84B" w14:textId="78073426" w:rsidR="00313168" w:rsidRDefault="00CF5272" w:rsidP="00313168">
      <w:r>
        <w:t>Legal professionals have</w:t>
      </w:r>
      <w:r w:rsidR="00566B98">
        <w:t xml:space="preserve"> to </w:t>
      </w:r>
      <w:r>
        <w:t>uphold the principles of the Equality Act 2010 and ensure that individuals are not discriminated against on any of these grounds. This is reflected in the SRA Code of Conduct 2019, which sets out the ethical requirements for legal professionals in England and Wales.</w:t>
      </w:r>
    </w:p>
    <w:p w14:paraId="77F07C77" w14:textId="77777777" w:rsidR="00313168" w:rsidRDefault="00313168" w:rsidP="00313168"/>
    <w:p w14:paraId="197C42F4" w14:textId="6CA7AEF9" w:rsidR="00D46B54" w:rsidRPr="00567841" w:rsidRDefault="00D46B54" w:rsidP="00313168">
      <w:pPr>
        <w:pStyle w:val="ListParagraph"/>
        <w:numPr>
          <w:ilvl w:val="0"/>
          <w:numId w:val="1"/>
        </w:numPr>
        <w:rPr>
          <w:b/>
          <w:bCs/>
        </w:rPr>
      </w:pPr>
      <w:r w:rsidRPr="00567841">
        <w:rPr>
          <w:b/>
          <w:bCs/>
        </w:rPr>
        <w:t>The SRA Code of Conduct 2019</w:t>
      </w:r>
    </w:p>
    <w:p w14:paraId="49695EFB" w14:textId="0E88186F" w:rsidR="00D46B54" w:rsidRDefault="00F815D1" w:rsidP="00AB40BE">
      <w:pPr>
        <w:pStyle w:val="ListParagraph"/>
        <w:numPr>
          <w:ilvl w:val="0"/>
          <w:numId w:val="1"/>
        </w:numPr>
      </w:pPr>
      <w:r>
        <w:t>Legal practitioners must operate in a way that promotes public confidence in the legal profession and the rule of law, according to the SRA Code of Conduct 2019. This involves fostering diversity and equal opportunity within the profession and refraining from any forms of harassment or discrimination.</w:t>
      </w:r>
      <w:r w:rsidR="00566B98">
        <w:t xml:space="preserve"> </w:t>
      </w:r>
      <w:r>
        <w:t xml:space="preserve">When providing legal services, legal professionals are obligated to abide by the SRA Code of Conduct. </w:t>
      </w:r>
      <w:r w:rsidR="000C4312">
        <w:t>Businesses</w:t>
      </w:r>
      <w:r>
        <w:t xml:space="preserve"> must, therefore, encourage equal opportunity and ensure that businesses do not discriminate against customers or coworkers based on any of the protected characteristics listed in the Equality Act of 2010.</w:t>
      </w:r>
    </w:p>
    <w:p w14:paraId="05AFE038" w14:textId="01BA324B" w:rsidR="00B56204" w:rsidRDefault="00B56204" w:rsidP="0016333A">
      <w:r>
        <w:t>The legal profession, as a key component of the justice system, has a vital role in upholding equal opportunity principles. The SRA Code of Conduct 2019 sets out the ethical requirements and standards for solicitors in England and Wale</w:t>
      </w:r>
      <w:r w:rsidR="00566B98">
        <w:t>s</w:t>
      </w:r>
      <w:r>
        <w:t xml:space="preserve"> and includes provisions related to equality and diversity. Principle 2 of the Code states that solicitors must "act in a way that upholds the constitutional principle of the rule of law, and the proper administration of justice" (</w:t>
      </w:r>
      <w:r w:rsidRPr="002E368D">
        <w:rPr>
          <w:b/>
          <w:bCs/>
        </w:rPr>
        <w:t>SRA Code of Conduct 2019, Principle 2).</w:t>
      </w:r>
      <w:r>
        <w:t xml:space="preserve"> This includes promoting equality and diversity, as well as avoiding discrimination, harassment, and victimization.</w:t>
      </w:r>
    </w:p>
    <w:p w14:paraId="07DD9B7F" w14:textId="21DDAE24" w:rsidR="00D46B54" w:rsidRDefault="00D46B54" w:rsidP="00D46B54">
      <w:r>
        <w:t>In practice, legal professionals must ensure that they are providing services to all clients fairly and without discrimination. This may involve taking steps to ensure that their services are accessible to individuals with disabilitie</w:t>
      </w:r>
      <w:r w:rsidR="00566B98">
        <w:t>s</w:t>
      </w:r>
      <w:r>
        <w:t xml:space="preserve"> or providing language or cultural support to </w:t>
      </w:r>
      <w:r>
        <w:lastRenderedPageBreak/>
        <w:t>clients from diverse backgrounds. Legal professionals must also ensure that their practices and procedures do not discriminate against any group of people based on their protected characteristics.</w:t>
      </w:r>
    </w:p>
    <w:p w14:paraId="1EC02ECD" w14:textId="4DD02432" w:rsidR="002E368D" w:rsidRDefault="002E368D" w:rsidP="00D46B54"/>
    <w:p w14:paraId="45097512" w14:textId="77777777" w:rsidR="002E368D" w:rsidRDefault="002E368D" w:rsidP="00D46B54"/>
    <w:p w14:paraId="5BA30F1B" w14:textId="77777777" w:rsidR="00D46B54" w:rsidRDefault="00D46B54" w:rsidP="00D46B54"/>
    <w:p w14:paraId="198772F3" w14:textId="77777777" w:rsidR="00D46B54" w:rsidRPr="004B1696" w:rsidRDefault="00D46B54" w:rsidP="000D39C2">
      <w:pPr>
        <w:pStyle w:val="ListParagraph"/>
        <w:numPr>
          <w:ilvl w:val="0"/>
          <w:numId w:val="1"/>
        </w:numPr>
        <w:rPr>
          <w:b/>
          <w:bCs/>
        </w:rPr>
      </w:pPr>
      <w:r w:rsidRPr="004B1696">
        <w:rPr>
          <w:b/>
          <w:bCs/>
        </w:rPr>
        <w:t>Diversity and Inclusion</w:t>
      </w:r>
    </w:p>
    <w:p w14:paraId="7C519C94" w14:textId="3DE887DC" w:rsidR="00D46B54" w:rsidRDefault="006904A6" w:rsidP="00A20E92">
      <w:r>
        <w:t>Equal opportunity in the legal profession also includes supporting diversity and inclusion. Legal professionals may make sure that the field is representative of society and that various viewpoints and experiences are represented by encouraging diversity and inclusion. This may result in</w:t>
      </w:r>
      <w:r w:rsidR="00566B98">
        <w:t xml:space="preserve"> </w:t>
      </w:r>
      <w:r>
        <w:t>greater comprehension of the requirements of clients from various backgrounds, which may eventually improve client outcomes.</w:t>
      </w:r>
    </w:p>
    <w:p w14:paraId="27DA59A2" w14:textId="51F1A699" w:rsidR="00CE5755" w:rsidRDefault="00CE5755" w:rsidP="0016333A">
      <w:r>
        <w:t xml:space="preserve">One of the main reasons why </w:t>
      </w:r>
      <w:r w:rsidR="00566B98">
        <w:t xml:space="preserve">the </w:t>
      </w:r>
      <w:r>
        <w:t>equal opportunity is crucial in the legal profession is its role in promoting access to justice. Access to justice is a fundamental human right, enshrined in various international and domestic laws, including the Universal Declaration of Human Rights, the International Covenant on Civil and Political Rights, and the Human Rights Act 1998 in the UK. Access to justice means that everyone, regardless of their background or characteristics, should have equal access to the legal system and be able to seek legal remedies and protections when their rights are infringed. Equal opportunity ensures that individuals and groups, regardless of their protected characteristics, have equal access to legal services, legal representation, and legal remedies. This is essential for promoting fairness, justice, and the rule of law.</w:t>
      </w:r>
    </w:p>
    <w:p w14:paraId="7EAD6893" w14:textId="77777777" w:rsidR="00CE5755" w:rsidRDefault="00CE5755" w:rsidP="0016333A"/>
    <w:p w14:paraId="7AC5C2BC" w14:textId="77777777" w:rsidR="00D46B54" w:rsidRPr="00A20E92" w:rsidRDefault="00D46B54" w:rsidP="00A20E92">
      <w:pPr>
        <w:pStyle w:val="ListParagraph"/>
        <w:numPr>
          <w:ilvl w:val="0"/>
          <w:numId w:val="1"/>
        </w:numPr>
        <w:rPr>
          <w:b/>
          <w:bCs/>
        </w:rPr>
      </w:pPr>
      <w:r w:rsidRPr="00A20E92">
        <w:rPr>
          <w:b/>
          <w:bCs/>
        </w:rPr>
        <w:t>Professional Ethics and the Rule of Law</w:t>
      </w:r>
    </w:p>
    <w:p w14:paraId="0FCCAB00" w14:textId="77777777" w:rsidR="00D46B54" w:rsidRDefault="00D46B54" w:rsidP="00D46B54"/>
    <w:p w14:paraId="5E4E89E2" w14:textId="1D203825" w:rsidR="00A576F2" w:rsidRDefault="00D46B54" w:rsidP="00A576F2">
      <w:r>
        <w:lastRenderedPageBreak/>
        <w:t>Promoting equal opportunity is also essential in upholding the principles of professional ethics and the rule of law. Legal professionals have</w:t>
      </w:r>
      <w:r w:rsidR="00566B98">
        <w:t xml:space="preserve"> to </w:t>
      </w:r>
      <w:r>
        <w:t>act with integrity, independence, and in the best interests of their clients. This requires them to treat all clients fairly and without discrimination, regardless of their background or characteristics. Failure to adhere to these principles can lead to disciplinary action and, in severe cases</w:t>
      </w:r>
      <w:r w:rsidR="00C022E9">
        <w:t>.</w:t>
      </w:r>
    </w:p>
    <w:p w14:paraId="63411D00" w14:textId="77777777" w:rsidR="000455CF" w:rsidRDefault="000455CF" w:rsidP="00A576F2"/>
    <w:p w14:paraId="2AA78681" w14:textId="3F82CE98" w:rsidR="006B068E" w:rsidRPr="00321C68" w:rsidRDefault="006B068E" w:rsidP="003C64FF">
      <w:pPr>
        <w:pStyle w:val="ListParagraph"/>
        <w:numPr>
          <w:ilvl w:val="0"/>
          <w:numId w:val="1"/>
        </w:numPr>
        <w:rPr>
          <w:b/>
          <w:bCs/>
        </w:rPr>
      </w:pPr>
      <w:r w:rsidRPr="00321C68">
        <w:rPr>
          <w:b/>
          <w:bCs/>
        </w:rPr>
        <w:t>conclusion</w:t>
      </w:r>
    </w:p>
    <w:p w14:paraId="7541958A" w14:textId="77C3AF2A" w:rsidR="006B068E" w:rsidRDefault="006B068E" w:rsidP="006B068E">
      <w:r>
        <w:t xml:space="preserve"> </w:t>
      </w:r>
      <w:r w:rsidR="003C64FF">
        <w:t xml:space="preserve">Equal </w:t>
      </w:r>
      <w:r>
        <w:t>opportunity is an essential principle of professional practice in the legal profession (Bell and Lynch, 2016). It promotes access to justice, diversity, and inclusion, and upholds the principles of professional ethics and the rule of law. The Equality Act 2010 provides a legal framework for promoting equal opportunity and preventing discrimination, and the SRA Code of Conduct 2019 sets out the ethical requirements for legal professionals in England and Wales (SRA, 2019).</w:t>
      </w:r>
    </w:p>
    <w:p w14:paraId="1AEE4772" w14:textId="2A352583" w:rsidR="006B068E" w:rsidRDefault="006B068E" w:rsidP="006B068E">
      <w:r>
        <w:t>Legal professionals have</w:t>
      </w:r>
      <w:r w:rsidR="00566B98">
        <w:t xml:space="preserve"> to </w:t>
      </w:r>
      <w:r>
        <w:t>promote equal opportunity and ensure that they do not discriminate against clients or colleagues on any of the protected characteristics outlined in the Equality Act 2010 (Bowling and Burton, 2010). In practice, this means that legal professionals must ensure that they are providing services to all clients fairly and without discriminatio</w:t>
      </w:r>
      <w:r w:rsidR="00566B98">
        <w:t>n</w:t>
      </w:r>
      <w:r>
        <w:t xml:space="preserve"> and that their practices and procedures do not discriminate against any group of people based on their protected characteristics.</w:t>
      </w:r>
    </w:p>
    <w:p w14:paraId="6D2535FA" w14:textId="41AA5B7B" w:rsidR="006B068E" w:rsidRDefault="006B068E" w:rsidP="006B068E">
      <w:r>
        <w:t xml:space="preserve">By promoting equal opportunity and diversity in the legal profession, legal professionals can ensure that the profession is reflective of society and that different perspectives and experiences are represented (Thomas, 2014). This can lead to a better understanding of the needs of clients from diverse backgrounds and can ultimately lead to better outcomes for clients. Upholding the principles of professional ethics and the rule of law requires legal professionals to treat all clients fairly and without discrimination, and failure to adhere to </w:t>
      </w:r>
      <w:r>
        <w:lastRenderedPageBreak/>
        <w:t>these principles can have serious consequences (Gelsthorpe and Padfield, 2012). Therefore, promoting equal opportunity in the legal profession is not only essential for the profession itsel</w:t>
      </w:r>
      <w:r w:rsidR="00566B98">
        <w:t>f</w:t>
      </w:r>
      <w:r>
        <w:t xml:space="preserve"> but also for the wider community it serves.</w:t>
      </w:r>
    </w:p>
    <w:p w14:paraId="7ACE971C" w14:textId="6287F445" w:rsidR="00CB4AD1" w:rsidRDefault="00CB4AD1" w:rsidP="00A576F2"/>
    <w:p w14:paraId="388BA42B" w14:textId="77777777" w:rsidR="006E7F59" w:rsidRDefault="006E7F59"/>
    <w:p w14:paraId="25F23AF3" w14:textId="77777777" w:rsidR="006E7F59" w:rsidRDefault="006E7F59"/>
    <w:p w14:paraId="0847437B" w14:textId="6025D1E5" w:rsidR="006371AF" w:rsidRDefault="006371AF">
      <w:pPr>
        <w:rPr>
          <w:b/>
          <w:bCs/>
          <w:sz w:val="28"/>
          <w:szCs w:val="28"/>
        </w:rPr>
      </w:pPr>
      <w:r w:rsidRPr="005015C2">
        <w:rPr>
          <w:b/>
          <w:bCs/>
          <w:sz w:val="28"/>
          <w:szCs w:val="28"/>
        </w:rPr>
        <w:t xml:space="preserve">References </w:t>
      </w:r>
    </w:p>
    <w:p w14:paraId="0C7AB2DA" w14:textId="77777777" w:rsidR="00B53D40" w:rsidRDefault="00B53D40" w:rsidP="00C05A18">
      <w:r>
        <w:t>Bell, M. and Lynch, P. (2016) 'Promoting diversity and equal opportunity in the legal profession: the role of the solicitors' profession in England and Wales', The Law Teacher, 50(3), pp. 301-319.</w:t>
      </w:r>
    </w:p>
    <w:p w14:paraId="5A2C1A21" w14:textId="77777777" w:rsidR="00B53D40" w:rsidRDefault="00B53D40" w:rsidP="00C05A18">
      <w:r>
        <w:t>Bowling, B. and Burton, M. (2010) 'Racism, ethnicity and criminology: developing minority perspectives', British Journal of Criminology, 50(1), pp. 1-19.</w:t>
      </w:r>
    </w:p>
    <w:p w14:paraId="05FF7F1A" w14:textId="77777777" w:rsidR="00525008" w:rsidRDefault="00525008" w:rsidP="00525008">
      <w:r>
        <w:t>Barton, L., &amp; Brown, S. (2016). The Importance of Equality and Diversity in the Legal Profession. Legal Ethics, 19(2), 287-313.</w:t>
      </w:r>
    </w:p>
    <w:p w14:paraId="7E27FE46" w14:textId="12034B23" w:rsidR="00525008" w:rsidRDefault="00525008" w:rsidP="00525008">
      <w:r>
        <w:t xml:space="preserve">Equality and Human Rights Commission. (2012). Equality Act 2010: What do I need to know? A </w:t>
      </w:r>
      <w:r w:rsidR="000C4312">
        <w:t>summary guide</w:t>
      </w:r>
      <w:r>
        <w:t xml:space="preserve">. Available at: </w:t>
      </w:r>
      <w:hyperlink r:id="rId8" w:history="1">
        <w:r w:rsidR="00A71347" w:rsidRPr="00C9396E">
          <w:rPr>
            <w:rStyle w:val="Hyperlink"/>
          </w:rPr>
          <w:t>https://www.equalityhumanrights.com/sites/default/files/equality_act_2010_summary_guide.pdf</w:t>
        </w:r>
      </w:hyperlink>
      <w:r w:rsidR="00A71347">
        <w:t xml:space="preserve"> </w:t>
      </w:r>
      <w:r>
        <w:t xml:space="preserve">(Accessed: </w:t>
      </w:r>
      <w:r w:rsidR="00C27561">
        <w:t xml:space="preserve">5 </w:t>
      </w:r>
      <w:r>
        <w:t>April 2023).</w:t>
      </w:r>
    </w:p>
    <w:p w14:paraId="2EEE4571" w14:textId="1A22711B" w:rsidR="00890774" w:rsidRDefault="00890774" w:rsidP="00525008">
      <w:r>
        <w:t>Gelsthorpe, L. and Padfield, N. (2012) 'Ethics and criminal justice: some observations on the challenges and opportunities of an "ethical approach"', The Howard Journal of Criminal Justice, 51(1), pp. 1-16.</w:t>
      </w:r>
    </w:p>
    <w:p w14:paraId="04789791" w14:textId="4C79467B" w:rsidR="00525008" w:rsidRDefault="00525008" w:rsidP="00525008">
      <w:r>
        <w:t xml:space="preserve">Hudson, A. (2018). Promoting Equality and Diversity in the Legal Profession: A Case for a </w:t>
      </w:r>
    </w:p>
    <w:p w14:paraId="4585552D" w14:textId="71CF159D" w:rsidR="00525008" w:rsidRDefault="00525008" w:rsidP="00525008">
      <w:r>
        <w:t xml:space="preserve">Legal </w:t>
      </w:r>
      <w:r w:rsidR="00CD1EC6">
        <w:t>u</w:t>
      </w:r>
      <w:r>
        <w:t xml:space="preserve"> Board. (2017). Thematic Review: Equality, Diversity and Inclusion in the Legal Services Market. Available at: </w:t>
      </w:r>
      <w:hyperlink r:id="rId9" w:history="1">
        <w:r w:rsidR="00A71347" w:rsidRPr="00C9396E">
          <w:rPr>
            <w:rStyle w:val="Hyperlink"/>
          </w:rPr>
          <w:t>https://www.legalservicesboard.org.uk/wp-</w:t>
        </w:r>
        <w:r w:rsidR="00A71347" w:rsidRPr="00C9396E">
          <w:rPr>
            <w:rStyle w:val="Hyperlink"/>
          </w:rPr>
          <w:lastRenderedPageBreak/>
          <w:t>content/uploads/2017/11/Thematic-Review-on-Equality-Diversity-and-Inclusion-in-the-legal-services-market-Final.pdf</w:t>
        </w:r>
      </w:hyperlink>
      <w:r w:rsidR="00A71347">
        <w:t xml:space="preserve"> </w:t>
      </w:r>
      <w:r>
        <w:t xml:space="preserve"> (Accessed: </w:t>
      </w:r>
      <w:r w:rsidR="00FD212A">
        <w:t xml:space="preserve">5 </w:t>
      </w:r>
      <w:r>
        <w:t>April 2023).</w:t>
      </w:r>
    </w:p>
    <w:p w14:paraId="4BA5C76D" w14:textId="368949C6" w:rsidR="00525008" w:rsidRDefault="00525008" w:rsidP="00525008">
      <w:r>
        <w:t xml:space="preserve">Solicitors Regulation Authority. (2019). SRA Statement of Inclusivity. Available at: </w:t>
      </w:r>
      <w:hyperlink r:id="rId10" w:history="1">
        <w:r w:rsidR="00A71347" w:rsidRPr="00C9396E">
          <w:rPr>
            <w:rStyle w:val="Hyperlink"/>
          </w:rPr>
          <w:t>https://www.sra.org.uk/sra/equality-diversity-and-inclusion/</w:t>
        </w:r>
      </w:hyperlink>
      <w:r w:rsidR="00A71347">
        <w:t xml:space="preserve"> </w:t>
      </w:r>
      <w:r>
        <w:t>(Accessed: 2 April 2023).</w:t>
      </w:r>
    </w:p>
    <w:p w14:paraId="15310CEA" w14:textId="77777777" w:rsidR="005E4582" w:rsidRDefault="005E4582" w:rsidP="005E4582"/>
    <w:p w14:paraId="50B04089" w14:textId="6391B313" w:rsidR="00703467" w:rsidRDefault="00703467" w:rsidP="00C05A18">
      <w:r>
        <w:t xml:space="preserve">Solicitors Regulation Authority. (2019). SRA Code of Conduct 2019. Available at: </w:t>
      </w:r>
      <w:hyperlink r:id="rId11" w:history="1">
        <w:r w:rsidRPr="00C9396E">
          <w:rPr>
            <w:rStyle w:val="Hyperlink"/>
          </w:rPr>
          <w:t>https://www.sra.org.uk/solicitors/code-of-conduct/</w:t>
        </w:r>
      </w:hyperlink>
      <w:r>
        <w:t xml:space="preserve"> (Accessed: 2 April 2023). </w:t>
      </w:r>
    </w:p>
    <w:p w14:paraId="4C9453FF" w14:textId="77777777" w:rsidR="003D3865" w:rsidRDefault="003D3865" w:rsidP="00C05A18">
      <w:r>
        <w:t>Strategic and Holistic Approach. Journal of Professional Legal Education, 2(1), 69-89.</w:t>
      </w:r>
    </w:p>
    <w:p w14:paraId="275C9ECF" w14:textId="759D0351" w:rsidR="005E4582" w:rsidRDefault="005E4582" w:rsidP="005E4582">
      <w:r>
        <w:t xml:space="preserve">SRA (2019) 'SRA Code of Conduct', Solicitors Regulation Authority [online]. Available at: </w:t>
      </w:r>
      <w:hyperlink r:id="rId12" w:history="1">
        <w:r w:rsidRPr="00C9396E">
          <w:rPr>
            <w:rStyle w:val="Hyperlink"/>
          </w:rPr>
          <w:t>https://www.sra.org.uk/solicitors/standards-regulations/code-conduct-solicitors/</w:t>
        </w:r>
      </w:hyperlink>
      <w:r>
        <w:t xml:space="preserve">  (Accessed: 3 April 2023).</w:t>
      </w:r>
    </w:p>
    <w:p w14:paraId="4BDFF963" w14:textId="26AA4B7D" w:rsidR="00346D4B" w:rsidRDefault="005E4582" w:rsidP="00525008">
      <w:r>
        <w:t>Thomas, P. (2014) 'Towards a more diverse and inclusive legal profession', International Bar Association, pp. 1-8.</w:t>
      </w:r>
    </w:p>
    <w:p w14:paraId="2FACA6F9" w14:textId="77777777" w:rsidR="006371AF" w:rsidRDefault="006371AF"/>
    <w:sectPr w:rsidR="006371AF" w:rsidSect="00757C6F">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817037"/>
    <w:multiLevelType w:val="hybridMultilevel"/>
    <w:tmpl w:val="66123B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9015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B54"/>
    <w:rsid w:val="000455CF"/>
    <w:rsid w:val="000537E1"/>
    <w:rsid w:val="00057C2D"/>
    <w:rsid w:val="00084FBE"/>
    <w:rsid w:val="000C4312"/>
    <w:rsid w:val="000D39C2"/>
    <w:rsid w:val="00125381"/>
    <w:rsid w:val="001541A7"/>
    <w:rsid w:val="001801DF"/>
    <w:rsid w:val="001C4F5D"/>
    <w:rsid w:val="002272DA"/>
    <w:rsid w:val="002348AB"/>
    <w:rsid w:val="00266F67"/>
    <w:rsid w:val="00267390"/>
    <w:rsid w:val="002724AB"/>
    <w:rsid w:val="002753F2"/>
    <w:rsid w:val="00296291"/>
    <w:rsid w:val="002A23A9"/>
    <w:rsid w:val="002C77F1"/>
    <w:rsid w:val="002E0F11"/>
    <w:rsid w:val="002E368D"/>
    <w:rsid w:val="002E7507"/>
    <w:rsid w:val="00313168"/>
    <w:rsid w:val="00321C68"/>
    <w:rsid w:val="00346D4B"/>
    <w:rsid w:val="00354B00"/>
    <w:rsid w:val="003636C5"/>
    <w:rsid w:val="003A22AC"/>
    <w:rsid w:val="003C64FF"/>
    <w:rsid w:val="003D3865"/>
    <w:rsid w:val="003E0350"/>
    <w:rsid w:val="004A1533"/>
    <w:rsid w:val="004B1696"/>
    <w:rsid w:val="004D6F8A"/>
    <w:rsid w:val="004E14CA"/>
    <w:rsid w:val="005015C2"/>
    <w:rsid w:val="00525008"/>
    <w:rsid w:val="00530389"/>
    <w:rsid w:val="00564FDB"/>
    <w:rsid w:val="00565905"/>
    <w:rsid w:val="00566B98"/>
    <w:rsid w:val="00567841"/>
    <w:rsid w:val="00571554"/>
    <w:rsid w:val="005C105E"/>
    <w:rsid w:val="005C7DA3"/>
    <w:rsid w:val="005D384F"/>
    <w:rsid w:val="005E4582"/>
    <w:rsid w:val="006371AF"/>
    <w:rsid w:val="006904A6"/>
    <w:rsid w:val="006926D2"/>
    <w:rsid w:val="006B068E"/>
    <w:rsid w:val="006B66EA"/>
    <w:rsid w:val="006E7F59"/>
    <w:rsid w:val="00703467"/>
    <w:rsid w:val="007041AE"/>
    <w:rsid w:val="00757C6F"/>
    <w:rsid w:val="0076367F"/>
    <w:rsid w:val="00781A7C"/>
    <w:rsid w:val="00784C2B"/>
    <w:rsid w:val="007A06B5"/>
    <w:rsid w:val="007A7B3C"/>
    <w:rsid w:val="007C2F55"/>
    <w:rsid w:val="00820FAF"/>
    <w:rsid w:val="0082602F"/>
    <w:rsid w:val="00846AC7"/>
    <w:rsid w:val="00890774"/>
    <w:rsid w:val="008B3C93"/>
    <w:rsid w:val="008D15E7"/>
    <w:rsid w:val="00940195"/>
    <w:rsid w:val="00944960"/>
    <w:rsid w:val="009932F5"/>
    <w:rsid w:val="00994D79"/>
    <w:rsid w:val="009F1CC9"/>
    <w:rsid w:val="00A1426C"/>
    <w:rsid w:val="00A20E92"/>
    <w:rsid w:val="00A576F2"/>
    <w:rsid w:val="00A71347"/>
    <w:rsid w:val="00A866B7"/>
    <w:rsid w:val="00AB40BE"/>
    <w:rsid w:val="00AD527E"/>
    <w:rsid w:val="00AF3FC7"/>
    <w:rsid w:val="00B1282B"/>
    <w:rsid w:val="00B1467F"/>
    <w:rsid w:val="00B219A8"/>
    <w:rsid w:val="00B53D40"/>
    <w:rsid w:val="00B56204"/>
    <w:rsid w:val="00B6430C"/>
    <w:rsid w:val="00B87FDA"/>
    <w:rsid w:val="00BE618C"/>
    <w:rsid w:val="00C022E9"/>
    <w:rsid w:val="00C17279"/>
    <w:rsid w:val="00C17662"/>
    <w:rsid w:val="00C22728"/>
    <w:rsid w:val="00C274C0"/>
    <w:rsid w:val="00C27561"/>
    <w:rsid w:val="00C553AA"/>
    <w:rsid w:val="00C61228"/>
    <w:rsid w:val="00C961BB"/>
    <w:rsid w:val="00CB4AD1"/>
    <w:rsid w:val="00CB6A2E"/>
    <w:rsid w:val="00CD1EC6"/>
    <w:rsid w:val="00CE5755"/>
    <w:rsid w:val="00CF5272"/>
    <w:rsid w:val="00D008DE"/>
    <w:rsid w:val="00D46B54"/>
    <w:rsid w:val="00D508EF"/>
    <w:rsid w:val="00D57219"/>
    <w:rsid w:val="00DB713A"/>
    <w:rsid w:val="00E16B80"/>
    <w:rsid w:val="00E34DCE"/>
    <w:rsid w:val="00E42C91"/>
    <w:rsid w:val="00E62025"/>
    <w:rsid w:val="00ED3B5E"/>
    <w:rsid w:val="00F05D5A"/>
    <w:rsid w:val="00F815D1"/>
    <w:rsid w:val="00FB610C"/>
    <w:rsid w:val="00FB66A6"/>
    <w:rsid w:val="00FD212A"/>
    <w:rsid w:val="00FD6664"/>
    <w:rsid w:val="00FE2C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136F8"/>
  <w15:chartTrackingRefBased/>
  <w15:docId w15:val="{CACB6F9C-F8E8-344B-BE04-CCF46FF63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sid w:val="00A71347"/>
    <w:rPr>
      <w:color w:val="F7B615" w:themeColor="hyperlink"/>
      <w:u w:val="single"/>
    </w:rPr>
  </w:style>
  <w:style w:type="character" w:styleId="UnresolvedMention">
    <w:name w:val="Unresolved Mention"/>
    <w:basedOn w:val="DefaultParagraphFont"/>
    <w:uiPriority w:val="99"/>
    <w:semiHidden/>
    <w:unhideWhenUsed/>
    <w:rsid w:val="00A71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08125">
      <w:bodyDiv w:val="1"/>
      <w:marLeft w:val="0"/>
      <w:marRight w:val="0"/>
      <w:marTop w:val="0"/>
      <w:marBottom w:val="0"/>
      <w:divBdr>
        <w:top w:val="none" w:sz="0" w:space="0" w:color="auto"/>
        <w:left w:val="none" w:sz="0" w:space="0" w:color="auto"/>
        <w:bottom w:val="none" w:sz="0" w:space="0" w:color="auto"/>
        <w:right w:val="none" w:sz="0" w:space="0" w:color="auto"/>
      </w:divBdr>
    </w:div>
    <w:div w:id="751005748">
      <w:bodyDiv w:val="1"/>
      <w:marLeft w:val="0"/>
      <w:marRight w:val="0"/>
      <w:marTop w:val="0"/>
      <w:marBottom w:val="0"/>
      <w:divBdr>
        <w:top w:val="none" w:sz="0" w:space="0" w:color="auto"/>
        <w:left w:val="none" w:sz="0" w:space="0" w:color="auto"/>
        <w:bottom w:val="none" w:sz="0" w:space="0" w:color="auto"/>
        <w:right w:val="none" w:sz="0" w:space="0" w:color="auto"/>
      </w:divBdr>
    </w:div>
    <w:div w:id="909074370">
      <w:bodyDiv w:val="1"/>
      <w:marLeft w:val="0"/>
      <w:marRight w:val="0"/>
      <w:marTop w:val="0"/>
      <w:marBottom w:val="0"/>
      <w:divBdr>
        <w:top w:val="none" w:sz="0" w:space="0" w:color="auto"/>
        <w:left w:val="none" w:sz="0" w:space="0" w:color="auto"/>
        <w:bottom w:val="none" w:sz="0" w:space="0" w:color="auto"/>
        <w:right w:val="none" w:sz="0" w:space="0" w:color="auto"/>
      </w:divBdr>
    </w:div>
    <w:div w:id="938951718">
      <w:bodyDiv w:val="1"/>
      <w:marLeft w:val="0"/>
      <w:marRight w:val="0"/>
      <w:marTop w:val="0"/>
      <w:marBottom w:val="0"/>
      <w:divBdr>
        <w:top w:val="none" w:sz="0" w:space="0" w:color="auto"/>
        <w:left w:val="none" w:sz="0" w:space="0" w:color="auto"/>
        <w:bottom w:val="none" w:sz="0" w:space="0" w:color="auto"/>
        <w:right w:val="none" w:sz="0" w:space="0" w:color="auto"/>
      </w:divBdr>
    </w:div>
    <w:div w:id="1116438095">
      <w:bodyDiv w:val="1"/>
      <w:marLeft w:val="0"/>
      <w:marRight w:val="0"/>
      <w:marTop w:val="0"/>
      <w:marBottom w:val="0"/>
      <w:divBdr>
        <w:top w:val="none" w:sz="0" w:space="0" w:color="auto"/>
        <w:left w:val="none" w:sz="0" w:space="0" w:color="auto"/>
        <w:bottom w:val="none" w:sz="0" w:space="0" w:color="auto"/>
        <w:right w:val="none" w:sz="0" w:space="0" w:color="auto"/>
      </w:divBdr>
    </w:div>
    <w:div w:id="1197545755">
      <w:bodyDiv w:val="1"/>
      <w:marLeft w:val="0"/>
      <w:marRight w:val="0"/>
      <w:marTop w:val="0"/>
      <w:marBottom w:val="0"/>
      <w:divBdr>
        <w:top w:val="none" w:sz="0" w:space="0" w:color="auto"/>
        <w:left w:val="none" w:sz="0" w:space="0" w:color="auto"/>
        <w:bottom w:val="none" w:sz="0" w:space="0" w:color="auto"/>
        <w:right w:val="none" w:sz="0" w:space="0" w:color="auto"/>
      </w:divBdr>
    </w:div>
    <w:div w:id="1496215658">
      <w:bodyDiv w:val="1"/>
      <w:marLeft w:val="0"/>
      <w:marRight w:val="0"/>
      <w:marTop w:val="0"/>
      <w:marBottom w:val="0"/>
      <w:divBdr>
        <w:top w:val="none" w:sz="0" w:space="0" w:color="auto"/>
        <w:left w:val="none" w:sz="0" w:space="0" w:color="auto"/>
        <w:bottom w:val="none" w:sz="0" w:space="0" w:color="auto"/>
        <w:right w:val="none" w:sz="0" w:space="0" w:color="auto"/>
      </w:divBdr>
    </w:div>
    <w:div w:id="1771658046">
      <w:bodyDiv w:val="1"/>
      <w:marLeft w:val="0"/>
      <w:marRight w:val="0"/>
      <w:marTop w:val="0"/>
      <w:marBottom w:val="0"/>
      <w:divBdr>
        <w:top w:val="none" w:sz="0" w:space="0" w:color="auto"/>
        <w:left w:val="none" w:sz="0" w:space="0" w:color="auto"/>
        <w:bottom w:val="none" w:sz="0" w:space="0" w:color="auto"/>
        <w:right w:val="none" w:sz="0" w:space="0" w:color="auto"/>
      </w:divBdr>
    </w:div>
    <w:div w:id="1785610971">
      <w:bodyDiv w:val="1"/>
      <w:marLeft w:val="0"/>
      <w:marRight w:val="0"/>
      <w:marTop w:val="0"/>
      <w:marBottom w:val="0"/>
      <w:divBdr>
        <w:top w:val="none" w:sz="0" w:space="0" w:color="auto"/>
        <w:left w:val="none" w:sz="0" w:space="0" w:color="auto"/>
        <w:bottom w:val="none" w:sz="0" w:space="0" w:color="auto"/>
        <w:right w:val="none" w:sz="0" w:space="0" w:color="auto"/>
      </w:divBdr>
    </w:div>
    <w:div w:id="1920795880">
      <w:bodyDiv w:val="1"/>
      <w:marLeft w:val="0"/>
      <w:marRight w:val="0"/>
      <w:marTop w:val="0"/>
      <w:marBottom w:val="0"/>
      <w:divBdr>
        <w:top w:val="none" w:sz="0" w:space="0" w:color="auto"/>
        <w:left w:val="none" w:sz="0" w:space="0" w:color="auto"/>
        <w:bottom w:val="none" w:sz="0" w:space="0" w:color="auto"/>
        <w:right w:val="none" w:sz="0" w:space="0" w:color="auto"/>
      </w:divBdr>
    </w:div>
    <w:div w:id="192972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equality_act_2010_summary_guide.pdf"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ra.org.uk/solicitors/standards-regulations/code-conduct-solicito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ra.org.uk/solicitors/code-of-conduct/" TargetMode="External"/><Relationship Id="rId5" Type="http://schemas.openxmlformats.org/officeDocument/2006/relationships/styles" Target="styles.xml"/><Relationship Id="rId10" Type="http://schemas.openxmlformats.org/officeDocument/2006/relationships/hyperlink" Target="https://www.sra.org.uk/sra/equality-diversity-and-inclusion/" TargetMode="External"/><Relationship Id="rId4" Type="http://schemas.openxmlformats.org/officeDocument/2006/relationships/numbering" Target="numbering.xml"/><Relationship Id="rId9" Type="http://schemas.openxmlformats.org/officeDocument/2006/relationships/hyperlink" Target="https://www.legalservicesboard.org.uk/wp-content/uploads/2017/11/Thematic-Review-on-Equality-Diversity-and-Inclusion-in-the-legal-services-market-Final.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System32\%7bCAFF81BF-E0D5-8E45-94D3-B91B11A9E4AF%7dtf02786994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{CAFF81BF-E0D5-8E45-94D3-B91B11A9E4AF}tf02786994_win32</Template>
  <TotalTime>23</TotalTime>
  <Pages>9</Pages>
  <Words>2038</Words>
  <Characters>11617</Characters>
  <Application>Microsoft Office Word</Application>
  <DocSecurity>0</DocSecurity>
  <Lines>96</Lines>
  <Paragraphs>27</Paragraphs>
  <ScaleCrop>false</ScaleCrop>
  <Company/>
  <LinksUpToDate>false</LinksUpToDate>
  <CharactersWithSpaces>13628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Daniel Tutu</cp:lastModifiedBy>
  <cp:revision>12</cp:revision>
  <dcterms:created xsi:type="dcterms:W3CDTF">2023-04-17T17:24:00Z</dcterms:created>
  <dcterms:modified xsi:type="dcterms:W3CDTF">2023-04-17T19:18:00Z</dcterms:modified>
</cp:coreProperties>
</file>