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AC232" w14:textId="74D64958" w:rsidR="00342314" w:rsidRPr="00D2277A" w:rsidRDefault="00F15F6E">
      <w:pPr>
        <w:rPr>
          <w:rFonts w:ascii="Arial" w:hAnsi="Arial" w:cs="Arial"/>
          <w:sz w:val="22"/>
          <w:szCs w:val="22"/>
        </w:rPr>
      </w:pPr>
      <w:r w:rsidRPr="00D2277A">
        <w:rPr>
          <w:rFonts w:ascii="Arial" w:hAnsi="Arial" w:cs="Arial"/>
          <w:b/>
          <w:bCs/>
          <w:sz w:val="22"/>
          <w:szCs w:val="22"/>
        </w:rPr>
        <w:t>Name:</w:t>
      </w:r>
      <w:r w:rsidRPr="00D2277A">
        <w:rPr>
          <w:rFonts w:ascii="Arial" w:hAnsi="Arial" w:cs="Arial"/>
          <w:sz w:val="22"/>
          <w:szCs w:val="22"/>
        </w:rPr>
        <w:t xml:space="preserve"> Mahrul Nisa</w:t>
      </w:r>
    </w:p>
    <w:p w14:paraId="3F033D56" w14:textId="59DA9DED" w:rsidR="00F15F6E" w:rsidRPr="00D2277A" w:rsidRDefault="00F15F6E">
      <w:pPr>
        <w:rPr>
          <w:rFonts w:ascii="Arial" w:hAnsi="Arial" w:cs="Arial"/>
          <w:sz w:val="22"/>
          <w:szCs w:val="22"/>
        </w:rPr>
      </w:pPr>
      <w:r w:rsidRPr="00D2277A">
        <w:rPr>
          <w:rFonts w:ascii="Arial" w:hAnsi="Arial" w:cs="Arial"/>
          <w:b/>
          <w:bCs/>
          <w:sz w:val="22"/>
          <w:szCs w:val="22"/>
        </w:rPr>
        <w:t>Student Number:</w:t>
      </w:r>
      <w:r w:rsidRPr="00D2277A">
        <w:rPr>
          <w:rFonts w:ascii="Arial" w:hAnsi="Arial" w:cs="Arial"/>
          <w:sz w:val="22"/>
          <w:szCs w:val="22"/>
        </w:rPr>
        <w:t xml:space="preserve"> 2326474</w:t>
      </w:r>
    </w:p>
    <w:p w14:paraId="40B424A0" w14:textId="52B4CCD3" w:rsidR="00F15F6E" w:rsidRPr="00D2277A" w:rsidRDefault="00F15F6E">
      <w:pPr>
        <w:rPr>
          <w:rFonts w:ascii="Arial" w:hAnsi="Arial" w:cs="Arial"/>
          <w:sz w:val="22"/>
          <w:szCs w:val="22"/>
        </w:rPr>
      </w:pPr>
      <w:r w:rsidRPr="00D2277A">
        <w:rPr>
          <w:rFonts w:ascii="Arial" w:hAnsi="Arial" w:cs="Arial"/>
          <w:b/>
          <w:bCs/>
          <w:sz w:val="22"/>
          <w:szCs w:val="22"/>
        </w:rPr>
        <w:t>Module Code:</w:t>
      </w:r>
      <w:r w:rsidRPr="00D2277A">
        <w:rPr>
          <w:rFonts w:ascii="Arial" w:hAnsi="Arial" w:cs="Arial"/>
          <w:sz w:val="22"/>
          <w:szCs w:val="22"/>
        </w:rPr>
        <w:t xml:space="preserve"> BMHP5016</w:t>
      </w:r>
    </w:p>
    <w:p w14:paraId="32EC7458" w14:textId="09465168" w:rsidR="00F15F6E" w:rsidRPr="00D2277A" w:rsidRDefault="00F15F6E">
      <w:pPr>
        <w:rPr>
          <w:rFonts w:ascii="Arial" w:hAnsi="Arial" w:cs="Arial"/>
          <w:sz w:val="22"/>
          <w:szCs w:val="22"/>
        </w:rPr>
      </w:pPr>
      <w:r w:rsidRPr="00D2277A">
        <w:rPr>
          <w:rFonts w:ascii="Arial" w:hAnsi="Arial" w:cs="Arial"/>
          <w:b/>
          <w:bCs/>
          <w:sz w:val="22"/>
          <w:szCs w:val="22"/>
        </w:rPr>
        <w:t>Module Title:</w:t>
      </w:r>
      <w:r w:rsidRPr="00D2277A">
        <w:rPr>
          <w:rFonts w:ascii="Arial" w:hAnsi="Arial" w:cs="Arial"/>
          <w:sz w:val="22"/>
          <w:szCs w:val="22"/>
        </w:rPr>
        <w:t xml:space="preserve"> principles of health and social care practice</w:t>
      </w:r>
    </w:p>
    <w:p w14:paraId="4A665A6E" w14:textId="1D6EE983" w:rsidR="00F15F6E" w:rsidRPr="00D2277A" w:rsidRDefault="00F15F6E">
      <w:pPr>
        <w:rPr>
          <w:rFonts w:ascii="Arial" w:hAnsi="Arial" w:cs="Arial"/>
          <w:sz w:val="22"/>
          <w:szCs w:val="22"/>
        </w:rPr>
      </w:pPr>
      <w:r w:rsidRPr="00D2277A">
        <w:rPr>
          <w:rFonts w:ascii="Arial" w:hAnsi="Arial" w:cs="Arial"/>
          <w:b/>
          <w:bCs/>
          <w:sz w:val="22"/>
          <w:szCs w:val="22"/>
        </w:rPr>
        <w:t>Assignment Title:</w:t>
      </w:r>
      <w:r w:rsidRPr="00D2277A">
        <w:rPr>
          <w:rFonts w:ascii="Arial" w:hAnsi="Arial" w:cs="Arial"/>
          <w:sz w:val="22"/>
          <w:szCs w:val="22"/>
        </w:rPr>
        <w:t xml:space="preserve"> Component 2 Written Assignment (Report)</w:t>
      </w:r>
    </w:p>
    <w:p w14:paraId="1A46702A" w14:textId="77777777" w:rsidR="00F15F6E" w:rsidRPr="00D2277A" w:rsidRDefault="00F15F6E">
      <w:pPr>
        <w:rPr>
          <w:rFonts w:ascii="Arial" w:hAnsi="Arial" w:cs="Arial"/>
          <w:sz w:val="22"/>
          <w:szCs w:val="22"/>
        </w:rPr>
      </w:pPr>
    </w:p>
    <w:p w14:paraId="789B279B" w14:textId="77777777" w:rsidR="00F15F6E" w:rsidRPr="00D2277A" w:rsidRDefault="00F15F6E">
      <w:pPr>
        <w:rPr>
          <w:rFonts w:ascii="Arial" w:hAnsi="Arial" w:cs="Arial"/>
          <w:sz w:val="22"/>
          <w:szCs w:val="22"/>
        </w:rPr>
      </w:pPr>
    </w:p>
    <w:p w14:paraId="2F53FAD2" w14:textId="77777777" w:rsidR="00F15F6E" w:rsidRPr="00D2277A" w:rsidRDefault="00F15F6E">
      <w:pPr>
        <w:rPr>
          <w:rFonts w:ascii="Arial" w:hAnsi="Arial" w:cs="Arial"/>
          <w:sz w:val="22"/>
          <w:szCs w:val="22"/>
        </w:rPr>
      </w:pPr>
    </w:p>
    <w:p w14:paraId="3DB34DD5" w14:textId="77777777" w:rsidR="00F15F6E" w:rsidRPr="00D2277A" w:rsidRDefault="00F15F6E">
      <w:pPr>
        <w:rPr>
          <w:rFonts w:ascii="Arial" w:hAnsi="Arial" w:cs="Arial"/>
          <w:sz w:val="22"/>
          <w:szCs w:val="22"/>
        </w:rPr>
      </w:pPr>
    </w:p>
    <w:p w14:paraId="633487A7" w14:textId="77777777" w:rsidR="00F15F6E" w:rsidRPr="00D2277A" w:rsidRDefault="00F15F6E">
      <w:pPr>
        <w:rPr>
          <w:rFonts w:ascii="Arial" w:hAnsi="Arial" w:cs="Arial"/>
          <w:sz w:val="22"/>
          <w:szCs w:val="22"/>
        </w:rPr>
      </w:pPr>
    </w:p>
    <w:p w14:paraId="7FD18071" w14:textId="77777777" w:rsidR="00F15F6E" w:rsidRPr="00D2277A" w:rsidRDefault="00F15F6E">
      <w:pPr>
        <w:rPr>
          <w:rFonts w:ascii="Arial" w:hAnsi="Arial" w:cs="Arial"/>
          <w:sz w:val="22"/>
          <w:szCs w:val="22"/>
        </w:rPr>
      </w:pPr>
    </w:p>
    <w:p w14:paraId="6CD2A957" w14:textId="77777777" w:rsidR="00F15F6E" w:rsidRPr="00D2277A" w:rsidRDefault="00F15F6E">
      <w:pPr>
        <w:rPr>
          <w:rFonts w:ascii="Arial" w:hAnsi="Arial" w:cs="Arial"/>
          <w:sz w:val="22"/>
          <w:szCs w:val="22"/>
        </w:rPr>
      </w:pPr>
    </w:p>
    <w:p w14:paraId="5FF7AECF" w14:textId="77777777" w:rsidR="00F15F6E" w:rsidRPr="00D2277A" w:rsidRDefault="00F15F6E">
      <w:pPr>
        <w:rPr>
          <w:rFonts w:ascii="Arial" w:hAnsi="Arial" w:cs="Arial"/>
          <w:sz w:val="22"/>
          <w:szCs w:val="22"/>
        </w:rPr>
      </w:pPr>
    </w:p>
    <w:p w14:paraId="07786A9B" w14:textId="77777777" w:rsidR="00F15F6E" w:rsidRPr="00D2277A" w:rsidRDefault="00F15F6E">
      <w:pPr>
        <w:rPr>
          <w:rFonts w:ascii="Arial" w:hAnsi="Arial" w:cs="Arial"/>
          <w:sz w:val="22"/>
          <w:szCs w:val="22"/>
        </w:rPr>
      </w:pPr>
    </w:p>
    <w:p w14:paraId="2641A30C" w14:textId="77777777" w:rsidR="00F15F6E" w:rsidRPr="00D2277A" w:rsidRDefault="00F15F6E">
      <w:pPr>
        <w:rPr>
          <w:rFonts w:ascii="Arial" w:hAnsi="Arial" w:cs="Arial"/>
          <w:sz w:val="22"/>
          <w:szCs w:val="22"/>
        </w:rPr>
      </w:pPr>
    </w:p>
    <w:p w14:paraId="34C3038A" w14:textId="77777777" w:rsidR="00F15F6E" w:rsidRPr="00D2277A" w:rsidRDefault="00F15F6E">
      <w:pPr>
        <w:rPr>
          <w:rFonts w:ascii="Arial" w:hAnsi="Arial" w:cs="Arial"/>
          <w:sz w:val="22"/>
          <w:szCs w:val="22"/>
        </w:rPr>
      </w:pPr>
    </w:p>
    <w:p w14:paraId="14BE5C9F" w14:textId="77777777" w:rsidR="00F15F6E" w:rsidRPr="00D2277A" w:rsidRDefault="00F15F6E">
      <w:pPr>
        <w:rPr>
          <w:rFonts w:ascii="Arial" w:hAnsi="Arial" w:cs="Arial"/>
          <w:sz w:val="22"/>
          <w:szCs w:val="22"/>
        </w:rPr>
      </w:pPr>
    </w:p>
    <w:p w14:paraId="5D3CC082" w14:textId="77777777" w:rsidR="00F15F6E" w:rsidRPr="00D2277A" w:rsidRDefault="00F15F6E">
      <w:pPr>
        <w:rPr>
          <w:rFonts w:ascii="Arial" w:hAnsi="Arial" w:cs="Arial"/>
          <w:sz w:val="22"/>
          <w:szCs w:val="22"/>
        </w:rPr>
      </w:pPr>
    </w:p>
    <w:p w14:paraId="13884033" w14:textId="77777777" w:rsidR="00F15F6E" w:rsidRPr="00D2277A" w:rsidRDefault="00F15F6E">
      <w:pPr>
        <w:rPr>
          <w:rFonts w:ascii="Arial" w:hAnsi="Arial" w:cs="Arial"/>
          <w:sz w:val="22"/>
          <w:szCs w:val="22"/>
        </w:rPr>
      </w:pPr>
    </w:p>
    <w:p w14:paraId="26C90CDC" w14:textId="77777777" w:rsidR="00F15F6E" w:rsidRPr="00D2277A" w:rsidRDefault="00F15F6E">
      <w:pPr>
        <w:rPr>
          <w:rFonts w:ascii="Arial" w:hAnsi="Arial" w:cs="Arial"/>
          <w:sz w:val="22"/>
          <w:szCs w:val="22"/>
        </w:rPr>
      </w:pPr>
    </w:p>
    <w:p w14:paraId="1C3832C6" w14:textId="77777777" w:rsidR="00F15F6E" w:rsidRPr="00D2277A" w:rsidRDefault="00F15F6E">
      <w:pPr>
        <w:rPr>
          <w:rFonts w:ascii="Arial" w:hAnsi="Arial" w:cs="Arial"/>
          <w:sz w:val="22"/>
          <w:szCs w:val="22"/>
        </w:rPr>
      </w:pPr>
    </w:p>
    <w:p w14:paraId="3A75807C" w14:textId="77777777" w:rsidR="00F15F6E" w:rsidRPr="00D2277A" w:rsidRDefault="00F15F6E">
      <w:pPr>
        <w:rPr>
          <w:rFonts w:ascii="Arial" w:hAnsi="Arial" w:cs="Arial"/>
          <w:sz w:val="22"/>
          <w:szCs w:val="22"/>
        </w:rPr>
      </w:pPr>
    </w:p>
    <w:p w14:paraId="429BAF92" w14:textId="77777777" w:rsidR="00F15F6E" w:rsidRPr="00D2277A" w:rsidRDefault="00F15F6E">
      <w:pPr>
        <w:rPr>
          <w:rFonts w:ascii="Arial" w:hAnsi="Arial" w:cs="Arial"/>
          <w:sz w:val="22"/>
          <w:szCs w:val="22"/>
        </w:rPr>
      </w:pPr>
    </w:p>
    <w:p w14:paraId="6E446679" w14:textId="77777777" w:rsidR="00F15F6E" w:rsidRPr="00D2277A" w:rsidRDefault="00F15F6E">
      <w:pPr>
        <w:rPr>
          <w:rFonts w:ascii="Arial" w:hAnsi="Arial" w:cs="Arial"/>
          <w:sz w:val="22"/>
          <w:szCs w:val="22"/>
        </w:rPr>
      </w:pPr>
    </w:p>
    <w:p w14:paraId="403434DE" w14:textId="77777777" w:rsidR="00F15F6E" w:rsidRPr="00D2277A" w:rsidRDefault="00F15F6E">
      <w:pPr>
        <w:rPr>
          <w:rFonts w:ascii="Arial" w:hAnsi="Arial" w:cs="Arial"/>
          <w:sz w:val="22"/>
          <w:szCs w:val="22"/>
        </w:rPr>
      </w:pPr>
    </w:p>
    <w:p w14:paraId="12A127FE" w14:textId="77777777" w:rsidR="00F15F6E" w:rsidRDefault="00F15F6E">
      <w:pPr>
        <w:rPr>
          <w:rFonts w:ascii="Arial" w:hAnsi="Arial" w:cs="Arial"/>
          <w:sz w:val="22"/>
          <w:szCs w:val="22"/>
        </w:rPr>
      </w:pPr>
    </w:p>
    <w:p w14:paraId="2B366D22" w14:textId="77777777" w:rsidR="00225C8E" w:rsidRDefault="00225C8E">
      <w:pPr>
        <w:rPr>
          <w:rFonts w:ascii="Arial" w:hAnsi="Arial" w:cs="Arial"/>
          <w:sz w:val="22"/>
          <w:szCs w:val="22"/>
        </w:rPr>
      </w:pPr>
    </w:p>
    <w:p w14:paraId="1B1B211E" w14:textId="77777777" w:rsidR="00225C8E" w:rsidRDefault="00225C8E">
      <w:pPr>
        <w:rPr>
          <w:rFonts w:ascii="Arial" w:hAnsi="Arial" w:cs="Arial"/>
          <w:sz w:val="22"/>
          <w:szCs w:val="22"/>
        </w:rPr>
      </w:pPr>
    </w:p>
    <w:p w14:paraId="6E08752E" w14:textId="77777777" w:rsidR="00225C8E" w:rsidRPr="00D2277A" w:rsidRDefault="00225C8E">
      <w:pPr>
        <w:rPr>
          <w:rFonts w:ascii="Arial" w:hAnsi="Arial" w:cs="Arial"/>
          <w:sz w:val="22"/>
          <w:szCs w:val="22"/>
        </w:rPr>
      </w:pPr>
    </w:p>
    <w:p w14:paraId="3760BE9F" w14:textId="77777777" w:rsidR="00F15F6E" w:rsidRPr="00D2277A" w:rsidRDefault="00F15F6E">
      <w:pPr>
        <w:rPr>
          <w:rFonts w:ascii="Arial" w:hAnsi="Arial" w:cs="Arial"/>
          <w:sz w:val="22"/>
          <w:szCs w:val="22"/>
        </w:rPr>
      </w:pPr>
    </w:p>
    <w:p w14:paraId="13F53A63" w14:textId="77777777" w:rsidR="00F15F6E" w:rsidRPr="00D2277A" w:rsidRDefault="00F15F6E">
      <w:pPr>
        <w:rPr>
          <w:rFonts w:ascii="Arial" w:hAnsi="Arial" w:cs="Arial"/>
          <w:sz w:val="22"/>
          <w:szCs w:val="22"/>
        </w:rPr>
      </w:pPr>
    </w:p>
    <w:p w14:paraId="06E83A34" w14:textId="236CC9E9" w:rsidR="00F15F6E" w:rsidRPr="00D2277A" w:rsidRDefault="00F15F6E" w:rsidP="00F15F6E">
      <w:pPr>
        <w:jc w:val="center"/>
        <w:rPr>
          <w:rFonts w:ascii="Arial" w:hAnsi="Arial" w:cs="Arial"/>
          <w:b/>
          <w:bCs/>
          <w:sz w:val="22"/>
          <w:szCs w:val="22"/>
        </w:rPr>
      </w:pPr>
      <w:r w:rsidRPr="00D2277A">
        <w:rPr>
          <w:rFonts w:ascii="Arial" w:hAnsi="Arial" w:cs="Arial"/>
          <w:b/>
          <w:bCs/>
          <w:sz w:val="22"/>
          <w:szCs w:val="22"/>
        </w:rPr>
        <w:lastRenderedPageBreak/>
        <w:t>Contents</w:t>
      </w:r>
    </w:p>
    <w:p w14:paraId="299734C6" w14:textId="7543A7BB" w:rsidR="00F15F6E" w:rsidRPr="007A75AE" w:rsidRDefault="007A75AE" w:rsidP="00F15F6E">
      <w:pPr>
        <w:pStyle w:val="ListParagraph"/>
        <w:numPr>
          <w:ilvl w:val="0"/>
          <w:numId w:val="1"/>
        </w:numPr>
        <w:rPr>
          <w:rFonts w:ascii="Arial" w:hAnsi="Arial" w:cs="Arial"/>
          <w:b/>
          <w:bCs/>
          <w:sz w:val="22"/>
          <w:szCs w:val="22"/>
        </w:rPr>
      </w:pPr>
      <w:r w:rsidRPr="007A75AE">
        <w:rPr>
          <w:rFonts w:ascii="Arial" w:hAnsi="Arial" w:cs="Arial"/>
          <w:b/>
          <w:bCs/>
          <w:sz w:val="22"/>
          <w:szCs w:val="22"/>
        </w:rPr>
        <w:t>Introduction (page 3)</w:t>
      </w:r>
    </w:p>
    <w:p w14:paraId="41E4EC5D" w14:textId="3F86AE10" w:rsidR="00F15F6E" w:rsidRPr="00D2277A" w:rsidRDefault="00F15F6E" w:rsidP="00F15F6E">
      <w:pPr>
        <w:pStyle w:val="ListParagraph"/>
        <w:numPr>
          <w:ilvl w:val="0"/>
          <w:numId w:val="1"/>
        </w:numPr>
        <w:rPr>
          <w:rFonts w:ascii="Arial" w:hAnsi="Arial" w:cs="Arial"/>
          <w:b/>
          <w:bCs/>
          <w:sz w:val="22"/>
          <w:szCs w:val="22"/>
        </w:rPr>
      </w:pPr>
      <w:r w:rsidRPr="00D2277A">
        <w:rPr>
          <w:rFonts w:ascii="Arial" w:hAnsi="Arial" w:cs="Arial"/>
          <w:b/>
          <w:bCs/>
          <w:sz w:val="22"/>
          <w:szCs w:val="22"/>
        </w:rPr>
        <w:t>Person-</w:t>
      </w:r>
      <w:r w:rsidR="00D2277A" w:rsidRPr="00D2277A">
        <w:rPr>
          <w:rFonts w:ascii="Arial" w:hAnsi="Arial" w:cs="Arial"/>
          <w:b/>
          <w:bCs/>
          <w:sz w:val="22"/>
          <w:szCs w:val="22"/>
        </w:rPr>
        <w:t>C</w:t>
      </w:r>
      <w:r w:rsidRPr="00D2277A">
        <w:rPr>
          <w:rFonts w:ascii="Arial" w:hAnsi="Arial" w:cs="Arial"/>
          <w:b/>
          <w:bCs/>
          <w:sz w:val="22"/>
          <w:szCs w:val="22"/>
        </w:rPr>
        <w:t xml:space="preserve">entred </w:t>
      </w:r>
      <w:r w:rsidR="00D2277A" w:rsidRPr="00D2277A">
        <w:rPr>
          <w:rFonts w:ascii="Arial" w:hAnsi="Arial" w:cs="Arial"/>
          <w:b/>
          <w:bCs/>
          <w:sz w:val="22"/>
          <w:szCs w:val="22"/>
        </w:rPr>
        <w:t>C</w:t>
      </w:r>
      <w:r w:rsidRPr="00D2277A">
        <w:rPr>
          <w:rFonts w:ascii="Arial" w:hAnsi="Arial" w:cs="Arial"/>
          <w:b/>
          <w:bCs/>
          <w:sz w:val="22"/>
          <w:szCs w:val="22"/>
        </w:rPr>
        <w:t xml:space="preserve">are: </w:t>
      </w:r>
      <w:r w:rsidR="00D2277A" w:rsidRPr="00D2277A">
        <w:rPr>
          <w:rFonts w:ascii="Arial" w:hAnsi="Arial" w:cs="Arial"/>
          <w:b/>
          <w:bCs/>
          <w:sz w:val="22"/>
          <w:szCs w:val="22"/>
        </w:rPr>
        <w:t>D</w:t>
      </w:r>
      <w:r w:rsidRPr="00D2277A">
        <w:rPr>
          <w:rFonts w:ascii="Arial" w:hAnsi="Arial" w:cs="Arial"/>
          <w:b/>
          <w:bCs/>
          <w:sz w:val="22"/>
          <w:szCs w:val="22"/>
        </w:rPr>
        <w:t xml:space="preserve">efinition, </w:t>
      </w:r>
      <w:r w:rsidR="00D2277A" w:rsidRPr="00D2277A">
        <w:rPr>
          <w:rFonts w:ascii="Arial" w:hAnsi="Arial" w:cs="Arial"/>
          <w:b/>
          <w:bCs/>
          <w:sz w:val="22"/>
          <w:szCs w:val="22"/>
        </w:rPr>
        <w:t>B</w:t>
      </w:r>
      <w:r w:rsidRPr="00D2277A">
        <w:rPr>
          <w:rFonts w:ascii="Arial" w:hAnsi="Arial" w:cs="Arial"/>
          <w:b/>
          <w:bCs/>
          <w:sz w:val="22"/>
          <w:szCs w:val="22"/>
        </w:rPr>
        <w:t xml:space="preserve">enefits and </w:t>
      </w:r>
      <w:r w:rsidR="00D2277A" w:rsidRPr="00D2277A">
        <w:rPr>
          <w:rFonts w:ascii="Arial" w:hAnsi="Arial" w:cs="Arial"/>
          <w:b/>
          <w:bCs/>
          <w:sz w:val="22"/>
          <w:szCs w:val="22"/>
        </w:rPr>
        <w:t>L</w:t>
      </w:r>
      <w:r w:rsidRPr="00D2277A">
        <w:rPr>
          <w:rFonts w:ascii="Arial" w:hAnsi="Arial" w:cs="Arial"/>
          <w:b/>
          <w:bCs/>
          <w:sz w:val="22"/>
          <w:szCs w:val="22"/>
        </w:rPr>
        <w:t>imitations</w:t>
      </w:r>
      <w:r w:rsidR="00AF3EFD">
        <w:rPr>
          <w:rFonts w:ascii="Arial" w:hAnsi="Arial" w:cs="Arial"/>
          <w:b/>
          <w:bCs/>
          <w:sz w:val="22"/>
          <w:szCs w:val="22"/>
        </w:rPr>
        <w:t xml:space="preserve"> (page 4)</w:t>
      </w:r>
    </w:p>
    <w:p w14:paraId="49C36202" w14:textId="5D4802F5"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D</w:t>
      </w:r>
      <w:r w:rsidR="00F15F6E" w:rsidRPr="00D2277A">
        <w:rPr>
          <w:rFonts w:ascii="Arial" w:hAnsi="Arial" w:cs="Arial"/>
          <w:sz w:val="22"/>
          <w:szCs w:val="22"/>
        </w:rPr>
        <w:t xml:space="preserve">efinition </w:t>
      </w:r>
      <w:r w:rsidRPr="00D2277A">
        <w:rPr>
          <w:rFonts w:ascii="Arial" w:hAnsi="Arial" w:cs="Arial"/>
          <w:sz w:val="22"/>
          <w:szCs w:val="22"/>
        </w:rPr>
        <w:t>A</w:t>
      </w:r>
      <w:r w:rsidR="00F15F6E" w:rsidRPr="00D2277A">
        <w:rPr>
          <w:rFonts w:ascii="Arial" w:hAnsi="Arial" w:cs="Arial"/>
          <w:sz w:val="22"/>
          <w:szCs w:val="22"/>
        </w:rPr>
        <w:t xml:space="preserve">nd </w:t>
      </w:r>
      <w:r w:rsidRPr="00D2277A">
        <w:rPr>
          <w:rFonts w:ascii="Arial" w:hAnsi="Arial" w:cs="Arial"/>
          <w:sz w:val="22"/>
          <w:szCs w:val="22"/>
        </w:rPr>
        <w:t>C</w:t>
      </w:r>
      <w:r w:rsidR="00F15F6E" w:rsidRPr="00D2277A">
        <w:rPr>
          <w:rFonts w:ascii="Arial" w:hAnsi="Arial" w:cs="Arial"/>
          <w:sz w:val="22"/>
          <w:szCs w:val="22"/>
        </w:rPr>
        <w:t xml:space="preserve">ore </w:t>
      </w:r>
      <w:r w:rsidRPr="00D2277A">
        <w:rPr>
          <w:rFonts w:ascii="Arial" w:hAnsi="Arial" w:cs="Arial"/>
          <w:sz w:val="22"/>
          <w:szCs w:val="22"/>
        </w:rPr>
        <w:t>F</w:t>
      </w:r>
      <w:r w:rsidR="00F15F6E" w:rsidRPr="00D2277A">
        <w:rPr>
          <w:rFonts w:ascii="Arial" w:hAnsi="Arial" w:cs="Arial"/>
          <w:sz w:val="22"/>
          <w:szCs w:val="22"/>
        </w:rPr>
        <w:t>eatures</w:t>
      </w:r>
    </w:p>
    <w:p w14:paraId="027EA936" w14:textId="2F94EA04"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B</w:t>
      </w:r>
      <w:r w:rsidR="00F15F6E" w:rsidRPr="00D2277A">
        <w:rPr>
          <w:rFonts w:ascii="Arial" w:hAnsi="Arial" w:cs="Arial"/>
          <w:sz w:val="22"/>
          <w:szCs w:val="22"/>
        </w:rPr>
        <w:t xml:space="preserve">enefits </w:t>
      </w:r>
      <w:r w:rsidRPr="00D2277A">
        <w:rPr>
          <w:rFonts w:ascii="Arial" w:hAnsi="Arial" w:cs="Arial"/>
          <w:sz w:val="22"/>
          <w:szCs w:val="22"/>
        </w:rPr>
        <w:t>A</w:t>
      </w:r>
      <w:r w:rsidR="00F15F6E" w:rsidRPr="00D2277A">
        <w:rPr>
          <w:rFonts w:ascii="Arial" w:hAnsi="Arial" w:cs="Arial"/>
          <w:sz w:val="22"/>
          <w:szCs w:val="22"/>
        </w:rPr>
        <w:t xml:space="preserve">nd </w:t>
      </w:r>
      <w:r w:rsidRPr="00D2277A">
        <w:rPr>
          <w:rFonts w:ascii="Arial" w:hAnsi="Arial" w:cs="Arial"/>
          <w:sz w:val="22"/>
          <w:szCs w:val="22"/>
        </w:rPr>
        <w:t>L</w:t>
      </w:r>
      <w:r w:rsidR="00F15F6E" w:rsidRPr="00D2277A">
        <w:rPr>
          <w:rFonts w:ascii="Arial" w:hAnsi="Arial" w:cs="Arial"/>
          <w:sz w:val="22"/>
          <w:szCs w:val="22"/>
        </w:rPr>
        <w:t>imitations</w:t>
      </w:r>
    </w:p>
    <w:p w14:paraId="5C2FF118" w14:textId="7EE27045" w:rsidR="00F15F6E" w:rsidRPr="00D2277A" w:rsidRDefault="00D2277A" w:rsidP="00F15F6E">
      <w:pPr>
        <w:pStyle w:val="ListParagraph"/>
        <w:numPr>
          <w:ilvl w:val="0"/>
          <w:numId w:val="1"/>
        </w:numPr>
        <w:rPr>
          <w:rFonts w:ascii="Arial" w:hAnsi="Arial" w:cs="Arial"/>
          <w:b/>
          <w:bCs/>
          <w:sz w:val="22"/>
          <w:szCs w:val="22"/>
        </w:rPr>
      </w:pPr>
      <w:r w:rsidRPr="00D2277A">
        <w:rPr>
          <w:rFonts w:ascii="Arial" w:hAnsi="Arial" w:cs="Arial"/>
          <w:b/>
          <w:bCs/>
          <w:sz w:val="22"/>
          <w:szCs w:val="22"/>
        </w:rPr>
        <w:t>T</w:t>
      </w:r>
      <w:r w:rsidR="00F15F6E" w:rsidRPr="00D2277A">
        <w:rPr>
          <w:rFonts w:ascii="Arial" w:hAnsi="Arial" w:cs="Arial"/>
          <w:b/>
          <w:bCs/>
          <w:sz w:val="22"/>
          <w:szCs w:val="22"/>
        </w:rPr>
        <w:t xml:space="preserve">heory </w:t>
      </w:r>
      <w:r w:rsidRPr="00D2277A">
        <w:rPr>
          <w:rFonts w:ascii="Arial" w:hAnsi="Arial" w:cs="Arial"/>
          <w:b/>
          <w:bCs/>
          <w:sz w:val="22"/>
          <w:szCs w:val="22"/>
        </w:rPr>
        <w:t>U</w:t>
      </w:r>
      <w:r w:rsidR="00F15F6E" w:rsidRPr="00D2277A">
        <w:rPr>
          <w:rFonts w:ascii="Arial" w:hAnsi="Arial" w:cs="Arial"/>
          <w:b/>
          <w:bCs/>
          <w:sz w:val="22"/>
          <w:szCs w:val="22"/>
        </w:rPr>
        <w:t xml:space="preserve">nderpinning </w:t>
      </w:r>
      <w:r w:rsidRPr="00D2277A">
        <w:rPr>
          <w:rFonts w:ascii="Arial" w:hAnsi="Arial" w:cs="Arial"/>
          <w:b/>
          <w:bCs/>
          <w:sz w:val="22"/>
          <w:szCs w:val="22"/>
        </w:rPr>
        <w:t>P</w:t>
      </w:r>
      <w:r w:rsidR="00F15F6E" w:rsidRPr="00D2277A">
        <w:rPr>
          <w:rFonts w:ascii="Arial" w:hAnsi="Arial" w:cs="Arial"/>
          <w:b/>
          <w:bCs/>
          <w:sz w:val="22"/>
          <w:szCs w:val="22"/>
        </w:rPr>
        <w:t>erson-</w:t>
      </w:r>
      <w:r w:rsidRPr="00D2277A">
        <w:rPr>
          <w:rFonts w:ascii="Arial" w:hAnsi="Arial" w:cs="Arial"/>
          <w:b/>
          <w:bCs/>
          <w:sz w:val="22"/>
          <w:szCs w:val="22"/>
        </w:rPr>
        <w:t>C</w:t>
      </w:r>
      <w:r w:rsidR="00F15F6E" w:rsidRPr="00D2277A">
        <w:rPr>
          <w:rFonts w:ascii="Arial" w:hAnsi="Arial" w:cs="Arial"/>
          <w:b/>
          <w:bCs/>
          <w:sz w:val="22"/>
          <w:szCs w:val="22"/>
        </w:rPr>
        <w:t xml:space="preserve">entred </w:t>
      </w:r>
      <w:r w:rsidRPr="00D2277A">
        <w:rPr>
          <w:rFonts w:ascii="Arial" w:hAnsi="Arial" w:cs="Arial"/>
          <w:b/>
          <w:bCs/>
          <w:sz w:val="22"/>
          <w:szCs w:val="22"/>
        </w:rPr>
        <w:t>C</w:t>
      </w:r>
      <w:r w:rsidR="00F15F6E" w:rsidRPr="00D2277A">
        <w:rPr>
          <w:rFonts w:ascii="Arial" w:hAnsi="Arial" w:cs="Arial"/>
          <w:b/>
          <w:bCs/>
          <w:sz w:val="22"/>
          <w:szCs w:val="22"/>
        </w:rPr>
        <w:t>are</w:t>
      </w:r>
      <w:r w:rsidR="00AF3EFD">
        <w:rPr>
          <w:rFonts w:ascii="Arial" w:hAnsi="Arial" w:cs="Arial"/>
          <w:b/>
          <w:bCs/>
          <w:sz w:val="22"/>
          <w:szCs w:val="22"/>
        </w:rPr>
        <w:t xml:space="preserve"> (page 5)</w:t>
      </w:r>
    </w:p>
    <w:p w14:paraId="2972C8DD" w14:textId="34919DE8"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S</w:t>
      </w:r>
      <w:r w:rsidR="00F15F6E" w:rsidRPr="00D2277A">
        <w:rPr>
          <w:rFonts w:ascii="Arial" w:hAnsi="Arial" w:cs="Arial"/>
          <w:sz w:val="22"/>
          <w:szCs w:val="22"/>
        </w:rPr>
        <w:t xml:space="preserve">ocial </w:t>
      </w:r>
      <w:r w:rsidRPr="00D2277A">
        <w:rPr>
          <w:rFonts w:ascii="Arial" w:hAnsi="Arial" w:cs="Arial"/>
          <w:sz w:val="22"/>
          <w:szCs w:val="22"/>
        </w:rPr>
        <w:t>M</w:t>
      </w:r>
      <w:r w:rsidR="00F15F6E" w:rsidRPr="00D2277A">
        <w:rPr>
          <w:rFonts w:ascii="Arial" w:hAnsi="Arial" w:cs="Arial"/>
          <w:sz w:val="22"/>
          <w:szCs w:val="22"/>
        </w:rPr>
        <w:t xml:space="preserve">odel </w:t>
      </w:r>
      <w:r w:rsidR="00BD34B2" w:rsidRPr="00D2277A">
        <w:rPr>
          <w:rFonts w:ascii="Arial" w:hAnsi="Arial" w:cs="Arial"/>
          <w:sz w:val="22"/>
          <w:szCs w:val="22"/>
        </w:rPr>
        <w:t>of</w:t>
      </w:r>
      <w:r w:rsidR="00F15F6E" w:rsidRPr="00D2277A">
        <w:rPr>
          <w:rFonts w:ascii="Arial" w:hAnsi="Arial" w:cs="Arial"/>
          <w:sz w:val="22"/>
          <w:szCs w:val="22"/>
        </w:rPr>
        <w:t xml:space="preserve"> </w:t>
      </w:r>
      <w:r w:rsidRPr="00D2277A">
        <w:rPr>
          <w:rFonts w:ascii="Arial" w:hAnsi="Arial" w:cs="Arial"/>
          <w:sz w:val="22"/>
          <w:szCs w:val="22"/>
        </w:rPr>
        <w:t>D</w:t>
      </w:r>
      <w:r w:rsidR="00F15F6E" w:rsidRPr="00D2277A">
        <w:rPr>
          <w:rFonts w:ascii="Arial" w:hAnsi="Arial" w:cs="Arial"/>
          <w:sz w:val="22"/>
          <w:szCs w:val="22"/>
        </w:rPr>
        <w:t xml:space="preserve">isability </w:t>
      </w:r>
      <w:r w:rsidRPr="00D2277A">
        <w:rPr>
          <w:rFonts w:ascii="Arial" w:hAnsi="Arial" w:cs="Arial"/>
          <w:sz w:val="22"/>
          <w:szCs w:val="22"/>
        </w:rPr>
        <w:t>A</w:t>
      </w:r>
      <w:r w:rsidR="00F15F6E" w:rsidRPr="00D2277A">
        <w:rPr>
          <w:rFonts w:ascii="Arial" w:hAnsi="Arial" w:cs="Arial"/>
          <w:sz w:val="22"/>
          <w:szCs w:val="22"/>
        </w:rPr>
        <w:t>nd PCC</w:t>
      </w:r>
    </w:p>
    <w:p w14:paraId="19A5F3F7" w14:textId="3409EAB0"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C</w:t>
      </w:r>
      <w:r w:rsidR="00F15F6E" w:rsidRPr="00D2277A">
        <w:rPr>
          <w:rFonts w:ascii="Arial" w:hAnsi="Arial" w:cs="Arial"/>
          <w:sz w:val="22"/>
          <w:szCs w:val="22"/>
        </w:rPr>
        <w:t xml:space="preserve">ritical </w:t>
      </w:r>
      <w:r w:rsidRPr="00D2277A">
        <w:rPr>
          <w:rFonts w:ascii="Arial" w:hAnsi="Arial" w:cs="Arial"/>
          <w:sz w:val="22"/>
          <w:szCs w:val="22"/>
        </w:rPr>
        <w:t>C</w:t>
      </w:r>
      <w:r w:rsidR="00F15F6E" w:rsidRPr="00D2277A">
        <w:rPr>
          <w:rFonts w:ascii="Arial" w:hAnsi="Arial" w:cs="Arial"/>
          <w:sz w:val="22"/>
          <w:szCs w:val="22"/>
        </w:rPr>
        <w:t xml:space="preserve">omparison </w:t>
      </w:r>
      <w:r w:rsidR="00BD34B2" w:rsidRPr="00D2277A">
        <w:rPr>
          <w:rFonts w:ascii="Arial" w:hAnsi="Arial" w:cs="Arial"/>
          <w:sz w:val="22"/>
          <w:szCs w:val="22"/>
        </w:rPr>
        <w:t>with</w:t>
      </w:r>
      <w:r w:rsidR="00F15F6E" w:rsidRPr="00D2277A">
        <w:rPr>
          <w:rFonts w:ascii="Arial" w:hAnsi="Arial" w:cs="Arial"/>
          <w:sz w:val="22"/>
          <w:szCs w:val="22"/>
        </w:rPr>
        <w:t xml:space="preserve"> </w:t>
      </w:r>
      <w:r w:rsidRPr="00D2277A">
        <w:rPr>
          <w:rFonts w:ascii="Arial" w:hAnsi="Arial" w:cs="Arial"/>
          <w:sz w:val="22"/>
          <w:szCs w:val="22"/>
        </w:rPr>
        <w:t>T</w:t>
      </w:r>
      <w:r w:rsidR="00F15F6E" w:rsidRPr="00D2277A">
        <w:rPr>
          <w:rFonts w:ascii="Arial" w:hAnsi="Arial" w:cs="Arial"/>
          <w:sz w:val="22"/>
          <w:szCs w:val="22"/>
        </w:rPr>
        <w:t xml:space="preserve">he </w:t>
      </w:r>
      <w:r w:rsidRPr="00D2277A">
        <w:rPr>
          <w:rFonts w:ascii="Arial" w:hAnsi="Arial" w:cs="Arial"/>
          <w:sz w:val="22"/>
          <w:szCs w:val="22"/>
        </w:rPr>
        <w:t>M</w:t>
      </w:r>
      <w:r w:rsidR="00F15F6E" w:rsidRPr="00D2277A">
        <w:rPr>
          <w:rFonts w:ascii="Arial" w:hAnsi="Arial" w:cs="Arial"/>
          <w:sz w:val="22"/>
          <w:szCs w:val="22"/>
        </w:rPr>
        <w:t xml:space="preserve">edical </w:t>
      </w:r>
      <w:r w:rsidRPr="00D2277A">
        <w:rPr>
          <w:rFonts w:ascii="Arial" w:hAnsi="Arial" w:cs="Arial"/>
          <w:sz w:val="22"/>
          <w:szCs w:val="22"/>
        </w:rPr>
        <w:t>M</w:t>
      </w:r>
      <w:r w:rsidR="00F15F6E" w:rsidRPr="00D2277A">
        <w:rPr>
          <w:rFonts w:ascii="Arial" w:hAnsi="Arial" w:cs="Arial"/>
          <w:sz w:val="22"/>
          <w:szCs w:val="22"/>
        </w:rPr>
        <w:t>odel</w:t>
      </w:r>
    </w:p>
    <w:p w14:paraId="7B6889CE" w14:textId="44484C2A" w:rsidR="00F15F6E" w:rsidRPr="00D2277A" w:rsidRDefault="00D2277A" w:rsidP="00F15F6E">
      <w:pPr>
        <w:pStyle w:val="ListParagraph"/>
        <w:numPr>
          <w:ilvl w:val="0"/>
          <w:numId w:val="1"/>
        </w:numPr>
        <w:rPr>
          <w:rFonts w:ascii="Arial" w:hAnsi="Arial" w:cs="Arial"/>
          <w:b/>
          <w:bCs/>
          <w:sz w:val="22"/>
          <w:szCs w:val="22"/>
        </w:rPr>
      </w:pPr>
      <w:r w:rsidRPr="00D2277A">
        <w:rPr>
          <w:rFonts w:ascii="Arial" w:hAnsi="Arial" w:cs="Arial"/>
          <w:b/>
          <w:bCs/>
          <w:sz w:val="22"/>
          <w:szCs w:val="22"/>
        </w:rPr>
        <w:t>E</w:t>
      </w:r>
      <w:r w:rsidR="00F15F6E" w:rsidRPr="00D2277A">
        <w:rPr>
          <w:rFonts w:ascii="Arial" w:hAnsi="Arial" w:cs="Arial"/>
          <w:b/>
          <w:bCs/>
          <w:sz w:val="22"/>
          <w:szCs w:val="22"/>
        </w:rPr>
        <w:t xml:space="preserve">thical </w:t>
      </w:r>
      <w:r w:rsidRPr="00D2277A">
        <w:rPr>
          <w:rFonts w:ascii="Arial" w:hAnsi="Arial" w:cs="Arial"/>
          <w:b/>
          <w:bCs/>
          <w:sz w:val="22"/>
          <w:szCs w:val="22"/>
        </w:rPr>
        <w:t>F</w:t>
      </w:r>
      <w:r w:rsidR="00F15F6E" w:rsidRPr="00D2277A">
        <w:rPr>
          <w:rFonts w:ascii="Arial" w:hAnsi="Arial" w:cs="Arial"/>
          <w:b/>
          <w:bCs/>
          <w:sz w:val="22"/>
          <w:szCs w:val="22"/>
        </w:rPr>
        <w:t xml:space="preserve">undamentals </w:t>
      </w:r>
      <w:r w:rsidR="00AF3EFD">
        <w:rPr>
          <w:rFonts w:ascii="Arial" w:hAnsi="Arial" w:cs="Arial"/>
          <w:b/>
          <w:bCs/>
          <w:sz w:val="22"/>
          <w:szCs w:val="22"/>
        </w:rPr>
        <w:t>(page 7)</w:t>
      </w:r>
    </w:p>
    <w:p w14:paraId="3A31E936" w14:textId="5BB5D725"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A</w:t>
      </w:r>
      <w:r w:rsidR="00F15F6E" w:rsidRPr="00D2277A">
        <w:rPr>
          <w:rFonts w:ascii="Arial" w:hAnsi="Arial" w:cs="Arial"/>
          <w:sz w:val="22"/>
          <w:szCs w:val="22"/>
        </w:rPr>
        <w:t xml:space="preserve">pplying </w:t>
      </w:r>
      <w:r w:rsidRPr="00D2277A">
        <w:rPr>
          <w:rFonts w:ascii="Arial" w:hAnsi="Arial" w:cs="Arial"/>
          <w:sz w:val="22"/>
          <w:szCs w:val="22"/>
        </w:rPr>
        <w:t>T</w:t>
      </w:r>
      <w:r w:rsidR="00F15F6E" w:rsidRPr="00D2277A">
        <w:rPr>
          <w:rFonts w:ascii="Arial" w:hAnsi="Arial" w:cs="Arial"/>
          <w:sz w:val="22"/>
          <w:szCs w:val="22"/>
        </w:rPr>
        <w:t xml:space="preserve">he </w:t>
      </w:r>
      <w:r w:rsidRPr="00D2277A">
        <w:rPr>
          <w:rFonts w:ascii="Arial" w:hAnsi="Arial" w:cs="Arial"/>
          <w:sz w:val="22"/>
          <w:szCs w:val="22"/>
        </w:rPr>
        <w:t>F</w:t>
      </w:r>
      <w:r w:rsidR="00F15F6E" w:rsidRPr="00D2277A">
        <w:rPr>
          <w:rFonts w:ascii="Arial" w:hAnsi="Arial" w:cs="Arial"/>
          <w:sz w:val="22"/>
          <w:szCs w:val="22"/>
        </w:rPr>
        <w:t xml:space="preserve">our </w:t>
      </w:r>
      <w:r w:rsidRPr="00D2277A">
        <w:rPr>
          <w:rFonts w:ascii="Arial" w:hAnsi="Arial" w:cs="Arial"/>
          <w:sz w:val="22"/>
          <w:szCs w:val="22"/>
        </w:rPr>
        <w:t>P</w:t>
      </w:r>
      <w:r w:rsidR="00F15F6E" w:rsidRPr="00D2277A">
        <w:rPr>
          <w:rFonts w:ascii="Arial" w:hAnsi="Arial" w:cs="Arial"/>
          <w:sz w:val="22"/>
          <w:szCs w:val="22"/>
        </w:rPr>
        <w:t xml:space="preserve">rinciples </w:t>
      </w:r>
    </w:p>
    <w:p w14:paraId="23BC5D78" w14:textId="1CB5770A"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E</w:t>
      </w:r>
      <w:r w:rsidR="00F15F6E" w:rsidRPr="00D2277A">
        <w:rPr>
          <w:rFonts w:ascii="Arial" w:hAnsi="Arial" w:cs="Arial"/>
          <w:sz w:val="22"/>
          <w:szCs w:val="22"/>
        </w:rPr>
        <w:t xml:space="preserve">thical </w:t>
      </w:r>
      <w:r w:rsidRPr="00D2277A">
        <w:rPr>
          <w:rFonts w:ascii="Arial" w:hAnsi="Arial" w:cs="Arial"/>
          <w:sz w:val="22"/>
          <w:szCs w:val="22"/>
        </w:rPr>
        <w:t>D</w:t>
      </w:r>
      <w:r w:rsidR="00F15F6E" w:rsidRPr="00D2277A">
        <w:rPr>
          <w:rFonts w:ascii="Arial" w:hAnsi="Arial" w:cs="Arial"/>
          <w:sz w:val="22"/>
          <w:szCs w:val="22"/>
        </w:rPr>
        <w:t xml:space="preserve">ilemma </w:t>
      </w:r>
      <w:r w:rsidR="00026D9F" w:rsidRPr="00D2277A">
        <w:rPr>
          <w:rFonts w:ascii="Arial" w:hAnsi="Arial" w:cs="Arial"/>
          <w:sz w:val="22"/>
          <w:szCs w:val="22"/>
        </w:rPr>
        <w:t>in</w:t>
      </w:r>
      <w:r w:rsidR="00F15F6E" w:rsidRPr="00D2277A">
        <w:rPr>
          <w:rFonts w:ascii="Arial" w:hAnsi="Arial" w:cs="Arial"/>
          <w:sz w:val="22"/>
          <w:szCs w:val="22"/>
        </w:rPr>
        <w:t xml:space="preserve"> </w:t>
      </w:r>
      <w:r w:rsidRPr="00D2277A">
        <w:rPr>
          <w:rFonts w:ascii="Arial" w:hAnsi="Arial" w:cs="Arial"/>
          <w:sz w:val="22"/>
          <w:szCs w:val="22"/>
        </w:rPr>
        <w:t>S</w:t>
      </w:r>
      <w:r w:rsidR="00F15F6E" w:rsidRPr="00D2277A">
        <w:rPr>
          <w:rFonts w:ascii="Arial" w:hAnsi="Arial" w:cs="Arial"/>
          <w:sz w:val="22"/>
          <w:szCs w:val="22"/>
        </w:rPr>
        <w:t xml:space="preserve">upported </w:t>
      </w:r>
      <w:r w:rsidRPr="00D2277A">
        <w:rPr>
          <w:rFonts w:ascii="Arial" w:hAnsi="Arial" w:cs="Arial"/>
          <w:sz w:val="22"/>
          <w:szCs w:val="22"/>
        </w:rPr>
        <w:t>L</w:t>
      </w:r>
      <w:r w:rsidR="00F15F6E" w:rsidRPr="00D2277A">
        <w:rPr>
          <w:rFonts w:ascii="Arial" w:hAnsi="Arial" w:cs="Arial"/>
          <w:sz w:val="22"/>
          <w:szCs w:val="22"/>
        </w:rPr>
        <w:t>iving</w:t>
      </w:r>
    </w:p>
    <w:p w14:paraId="4769E736" w14:textId="1900D8FA" w:rsidR="00F15F6E" w:rsidRPr="00D2277A" w:rsidRDefault="00D2277A" w:rsidP="00F15F6E">
      <w:pPr>
        <w:pStyle w:val="ListParagraph"/>
        <w:numPr>
          <w:ilvl w:val="0"/>
          <w:numId w:val="1"/>
        </w:numPr>
        <w:rPr>
          <w:rFonts w:ascii="Arial" w:hAnsi="Arial" w:cs="Arial"/>
          <w:b/>
          <w:bCs/>
          <w:sz w:val="22"/>
          <w:szCs w:val="22"/>
        </w:rPr>
      </w:pPr>
      <w:r w:rsidRPr="00D2277A">
        <w:rPr>
          <w:rFonts w:ascii="Arial" w:hAnsi="Arial" w:cs="Arial"/>
          <w:b/>
          <w:bCs/>
          <w:sz w:val="22"/>
          <w:szCs w:val="22"/>
        </w:rPr>
        <w:t>E</w:t>
      </w:r>
      <w:r w:rsidR="00F15F6E" w:rsidRPr="00D2277A">
        <w:rPr>
          <w:rFonts w:ascii="Arial" w:hAnsi="Arial" w:cs="Arial"/>
          <w:b/>
          <w:bCs/>
          <w:sz w:val="22"/>
          <w:szCs w:val="22"/>
        </w:rPr>
        <w:t xml:space="preserve">valuation </w:t>
      </w:r>
      <w:r w:rsidRPr="00D2277A">
        <w:rPr>
          <w:rFonts w:ascii="Arial" w:hAnsi="Arial" w:cs="Arial"/>
          <w:b/>
          <w:bCs/>
          <w:sz w:val="22"/>
          <w:szCs w:val="22"/>
        </w:rPr>
        <w:t>O</w:t>
      </w:r>
      <w:r w:rsidR="00F15F6E" w:rsidRPr="00D2277A">
        <w:rPr>
          <w:rFonts w:ascii="Arial" w:hAnsi="Arial" w:cs="Arial"/>
          <w:b/>
          <w:bCs/>
          <w:sz w:val="22"/>
          <w:szCs w:val="22"/>
        </w:rPr>
        <w:t xml:space="preserve">f </w:t>
      </w:r>
      <w:r w:rsidRPr="00D2277A">
        <w:rPr>
          <w:rFonts w:ascii="Arial" w:hAnsi="Arial" w:cs="Arial"/>
          <w:b/>
          <w:bCs/>
          <w:sz w:val="22"/>
          <w:szCs w:val="22"/>
        </w:rPr>
        <w:t>P</w:t>
      </w:r>
      <w:r w:rsidR="00F15F6E" w:rsidRPr="00D2277A">
        <w:rPr>
          <w:rFonts w:ascii="Arial" w:hAnsi="Arial" w:cs="Arial"/>
          <w:b/>
          <w:bCs/>
          <w:sz w:val="22"/>
          <w:szCs w:val="22"/>
        </w:rPr>
        <w:t xml:space="preserve">artnership </w:t>
      </w:r>
      <w:r w:rsidRPr="00D2277A">
        <w:rPr>
          <w:rFonts w:ascii="Arial" w:hAnsi="Arial" w:cs="Arial"/>
          <w:b/>
          <w:bCs/>
          <w:sz w:val="22"/>
          <w:szCs w:val="22"/>
        </w:rPr>
        <w:t>W</w:t>
      </w:r>
      <w:r w:rsidR="00F15F6E" w:rsidRPr="00D2277A">
        <w:rPr>
          <w:rFonts w:ascii="Arial" w:hAnsi="Arial" w:cs="Arial"/>
          <w:b/>
          <w:bCs/>
          <w:sz w:val="22"/>
          <w:szCs w:val="22"/>
        </w:rPr>
        <w:t xml:space="preserve">orking </w:t>
      </w:r>
      <w:r w:rsidR="00AF3EFD">
        <w:rPr>
          <w:rFonts w:ascii="Arial" w:hAnsi="Arial" w:cs="Arial"/>
          <w:b/>
          <w:bCs/>
          <w:sz w:val="22"/>
          <w:szCs w:val="22"/>
        </w:rPr>
        <w:t>(page 8)</w:t>
      </w:r>
    </w:p>
    <w:p w14:paraId="0DBD1507" w14:textId="4FA37D70"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B</w:t>
      </w:r>
      <w:r w:rsidR="00F15F6E" w:rsidRPr="00D2277A">
        <w:rPr>
          <w:rFonts w:ascii="Arial" w:hAnsi="Arial" w:cs="Arial"/>
          <w:sz w:val="22"/>
          <w:szCs w:val="22"/>
        </w:rPr>
        <w:t xml:space="preserve">enefits </w:t>
      </w:r>
      <w:r w:rsidRPr="00D2277A">
        <w:rPr>
          <w:rFonts w:ascii="Arial" w:hAnsi="Arial" w:cs="Arial"/>
          <w:sz w:val="22"/>
          <w:szCs w:val="22"/>
        </w:rPr>
        <w:t>O</w:t>
      </w:r>
      <w:r w:rsidR="00F15F6E" w:rsidRPr="00D2277A">
        <w:rPr>
          <w:rFonts w:ascii="Arial" w:hAnsi="Arial" w:cs="Arial"/>
          <w:sz w:val="22"/>
          <w:szCs w:val="22"/>
        </w:rPr>
        <w:t xml:space="preserve">f </w:t>
      </w:r>
      <w:r w:rsidRPr="00D2277A">
        <w:rPr>
          <w:rFonts w:ascii="Arial" w:hAnsi="Arial" w:cs="Arial"/>
          <w:sz w:val="22"/>
          <w:szCs w:val="22"/>
        </w:rPr>
        <w:t>P</w:t>
      </w:r>
      <w:r w:rsidR="00F15F6E" w:rsidRPr="00D2277A">
        <w:rPr>
          <w:rFonts w:ascii="Arial" w:hAnsi="Arial" w:cs="Arial"/>
          <w:sz w:val="22"/>
          <w:szCs w:val="22"/>
        </w:rPr>
        <w:t xml:space="preserve">artnership </w:t>
      </w:r>
      <w:r w:rsidRPr="00D2277A">
        <w:rPr>
          <w:rFonts w:ascii="Arial" w:hAnsi="Arial" w:cs="Arial"/>
          <w:sz w:val="22"/>
          <w:szCs w:val="22"/>
        </w:rPr>
        <w:t>W</w:t>
      </w:r>
      <w:r w:rsidR="00F15F6E" w:rsidRPr="00D2277A">
        <w:rPr>
          <w:rFonts w:ascii="Arial" w:hAnsi="Arial" w:cs="Arial"/>
          <w:sz w:val="22"/>
          <w:szCs w:val="22"/>
        </w:rPr>
        <w:t>orking</w:t>
      </w:r>
    </w:p>
    <w:p w14:paraId="59834B43" w14:textId="05EC89B7"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C</w:t>
      </w:r>
      <w:r w:rsidR="00F15F6E" w:rsidRPr="00D2277A">
        <w:rPr>
          <w:rFonts w:ascii="Arial" w:hAnsi="Arial" w:cs="Arial"/>
          <w:sz w:val="22"/>
          <w:szCs w:val="22"/>
        </w:rPr>
        <w:t xml:space="preserve">hallenges </w:t>
      </w:r>
      <w:r w:rsidRPr="00D2277A">
        <w:rPr>
          <w:rFonts w:ascii="Arial" w:hAnsi="Arial" w:cs="Arial"/>
          <w:sz w:val="22"/>
          <w:szCs w:val="22"/>
        </w:rPr>
        <w:t>A</w:t>
      </w:r>
      <w:r w:rsidR="00F15F6E" w:rsidRPr="00D2277A">
        <w:rPr>
          <w:rFonts w:ascii="Arial" w:hAnsi="Arial" w:cs="Arial"/>
          <w:sz w:val="22"/>
          <w:szCs w:val="22"/>
        </w:rPr>
        <w:t xml:space="preserve">nd </w:t>
      </w:r>
      <w:r w:rsidRPr="00D2277A">
        <w:rPr>
          <w:rFonts w:ascii="Arial" w:hAnsi="Arial" w:cs="Arial"/>
          <w:sz w:val="22"/>
          <w:szCs w:val="22"/>
        </w:rPr>
        <w:t>P</w:t>
      </w:r>
      <w:r w:rsidR="00F15F6E" w:rsidRPr="00D2277A">
        <w:rPr>
          <w:rFonts w:ascii="Arial" w:hAnsi="Arial" w:cs="Arial"/>
          <w:sz w:val="22"/>
          <w:szCs w:val="22"/>
        </w:rPr>
        <w:t xml:space="preserve">ractical </w:t>
      </w:r>
      <w:r w:rsidRPr="00D2277A">
        <w:rPr>
          <w:rFonts w:ascii="Arial" w:hAnsi="Arial" w:cs="Arial"/>
          <w:sz w:val="22"/>
          <w:szCs w:val="22"/>
        </w:rPr>
        <w:t>A</w:t>
      </w:r>
      <w:r w:rsidR="00F15F6E" w:rsidRPr="00D2277A">
        <w:rPr>
          <w:rFonts w:ascii="Arial" w:hAnsi="Arial" w:cs="Arial"/>
          <w:sz w:val="22"/>
          <w:szCs w:val="22"/>
        </w:rPr>
        <w:t>pplication</w:t>
      </w:r>
    </w:p>
    <w:p w14:paraId="30ABA08A" w14:textId="66D4DAE0" w:rsidR="00F15F6E" w:rsidRPr="00D2277A" w:rsidRDefault="00D2277A" w:rsidP="00F15F6E">
      <w:pPr>
        <w:pStyle w:val="ListParagraph"/>
        <w:numPr>
          <w:ilvl w:val="0"/>
          <w:numId w:val="1"/>
        </w:numPr>
        <w:rPr>
          <w:rFonts w:ascii="Arial" w:hAnsi="Arial" w:cs="Arial"/>
          <w:b/>
          <w:bCs/>
          <w:sz w:val="22"/>
          <w:szCs w:val="22"/>
        </w:rPr>
      </w:pPr>
      <w:r w:rsidRPr="00D2277A">
        <w:rPr>
          <w:rFonts w:ascii="Arial" w:hAnsi="Arial" w:cs="Arial"/>
          <w:b/>
          <w:bCs/>
          <w:sz w:val="22"/>
          <w:szCs w:val="22"/>
        </w:rPr>
        <w:t>P</w:t>
      </w:r>
      <w:r w:rsidR="00F15F6E" w:rsidRPr="00D2277A">
        <w:rPr>
          <w:rFonts w:ascii="Arial" w:hAnsi="Arial" w:cs="Arial"/>
          <w:b/>
          <w:bCs/>
          <w:sz w:val="22"/>
          <w:szCs w:val="22"/>
        </w:rPr>
        <w:t xml:space="preserve">olicy </w:t>
      </w:r>
      <w:r w:rsidRPr="00D2277A">
        <w:rPr>
          <w:rFonts w:ascii="Arial" w:hAnsi="Arial" w:cs="Arial"/>
          <w:b/>
          <w:bCs/>
          <w:sz w:val="22"/>
          <w:szCs w:val="22"/>
        </w:rPr>
        <w:t>A</w:t>
      </w:r>
      <w:r w:rsidR="00F15F6E" w:rsidRPr="00D2277A">
        <w:rPr>
          <w:rFonts w:ascii="Arial" w:hAnsi="Arial" w:cs="Arial"/>
          <w:b/>
          <w:bCs/>
          <w:sz w:val="22"/>
          <w:szCs w:val="22"/>
        </w:rPr>
        <w:t xml:space="preserve">nd </w:t>
      </w:r>
      <w:r w:rsidRPr="00D2277A">
        <w:rPr>
          <w:rFonts w:ascii="Arial" w:hAnsi="Arial" w:cs="Arial"/>
          <w:b/>
          <w:bCs/>
          <w:sz w:val="22"/>
          <w:szCs w:val="22"/>
        </w:rPr>
        <w:t>L</w:t>
      </w:r>
      <w:r w:rsidR="00F15F6E" w:rsidRPr="00D2277A">
        <w:rPr>
          <w:rFonts w:ascii="Arial" w:hAnsi="Arial" w:cs="Arial"/>
          <w:b/>
          <w:bCs/>
          <w:sz w:val="22"/>
          <w:szCs w:val="22"/>
        </w:rPr>
        <w:t>egislations</w:t>
      </w:r>
      <w:r w:rsidR="00AF3EFD">
        <w:rPr>
          <w:rFonts w:ascii="Arial" w:hAnsi="Arial" w:cs="Arial"/>
          <w:b/>
          <w:bCs/>
          <w:sz w:val="22"/>
          <w:szCs w:val="22"/>
        </w:rPr>
        <w:t xml:space="preserve"> (page 9)</w:t>
      </w:r>
    </w:p>
    <w:p w14:paraId="17C3DF38" w14:textId="56386BAC"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C</w:t>
      </w:r>
      <w:r w:rsidR="00F15F6E" w:rsidRPr="00D2277A">
        <w:rPr>
          <w:rFonts w:ascii="Arial" w:hAnsi="Arial" w:cs="Arial"/>
          <w:sz w:val="22"/>
          <w:szCs w:val="22"/>
        </w:rPr>
        <w:t xml:space="preserve">are, </w:t>
      </w:r>
      <w:r w:rsidRPr="00D2277A">
        <w:rPr>
          <w:rFonts w:ascii="Arial" w:hAnsi="Arial" w:cs="Arial"/>
          <w:sz w:val="22"/>
          <w:szCs w:val="22"/>
        </w:rPr>
        <w:t>C</w:t>
      </w:r>
      <w:r w:rsidR="00F15F6E" w:rsidRPr="00D2277A">
        <w:rPr>
          <w:rFonts w:ascii="Arial" w:hAnsi="Arial" w:cs="Arial"/>
          <w:sz w:val="22"/>
          <w:szCs w:val="22"/>
        </w:rPr>
        <w:t xml:space="preserve">apacity </w:t>
      </w:r>
      <w:r w:rsidR="00026D9F" w:rsidRPr="00D2277A">
        <w:rPr>
          <w:rFonts w:ascii="Arial" w:hAnsi="Arial" w:cs="Arial"/>
          <w:sz w:val="22"/>
          <w:szCs w:val="22"/>
        </w:rPr>
        <w:t>and</w:t>
      </w:r>
      <w:r w:rsidR="00F15F6E" w:rsidRPr="00D2277A">
        <w:rPr>
          <w:rFonts w:ascii="Arial" w:hAnsi="Arial" w:cs="Arial"/>
          <w:sz w:val="22"/>
          <w:szCs w:val="22"/>
        </w:rPr>
        <w:t xml:space="preserve"> </w:t>
      </w:r>
      <w:r w:rsidRPr="00D2277A">
        <w:rPr>
          <w:rFonts w:ascii="Arial" w:hAnsi="Arial" w:cs="Arial"/>
          <w:sz w:val="22"/>
          <w:szCs w:val="22"/>
        </w:rPr>
        <w:t>P</w:t>
      </w:r>
      <w:r w:rsidR="00F15F6E" w:rsidRPr="00D2277A">
        <w:rPr>
          <w:rFonts w:ascii="Arial" w:hAnsi="Arial" w:cs="Arial"/>
          <w:sz w:val="22"/>
          <w:szCs w:val="22"/>
        </w:rPr>
        <w:t>erson-</w:t>
      </w:r>
      <w:r w:rsidRPr="00D2277A">
        <w:rPr>
          <w:rFonts w:ascii="Arial" w:hAnsi="Arial" w:cs="Arial"/>
          <w:sz w:val="22"/>
          <w:szCs w:val="22"/>
        </w:rPr>
        <w:t>C</w:t>
      </w:r>
      <w:r w:rsidR="00F15F6E" w:rsidRPr="00D2277A">
        <w:rPr>
          <w:rFonts w:ascii="Arial" w:hAnsi="Arial" w:cs="Arial"/>
          <w:sz w:val="22"/>
          <w:szCs w:val="22"/>
        </w:rPr>
        <w:t xml:space="preserve">entred </w:t>
      </w:r>
      <w:r w:rsidRPr="00D2277A">
        <w:rPr>
          <w:rFonts w:ascii="Arial" w:hAnsi="Arial" w:cs="Arial"/>
          <w:sz w:val="22"/>
          <w:szCs w:val="22"/>
        </w:rPr>
        <w:t>D</w:t>
      </w:r>
      <w:r w:rsidR="00F15F6E" w:rsidRPr="00D2277A">
        <w:rPr>
          <w:rFonts w:ascii="Arial" w:hAnsi="Arial" w:cs="Arial"/>
          <w:sz w:val="22"/>
          <w:szCs w:val="22"/>
        </w:rPr>
        <w:t xml:space="preserve">uties </w:t>
      </w:r>
    </w:p>
    <w:p w14:paraId="645B37EE" w14:textId="03086912" w:rsidR="00F15F6E" w:rsidRPr="00D2277A" w:rsidRDefault="00D2277A" w:rsidP="00F15F6E">
      <w:pPr>
        <w:pStyle w:val="ListParagraph"/>
        <w:numPr>
          <w:ilvl w:val="1"/>
          <w:numId w:val="1"/>
        </w:numPr>
        <w:rPr>
          <w:rFonts w:ascii="Arial" w:hAnsi="Arial" w:cs="Arial"/>
          <w:sz w:val="22"/>
          <w:szCs w:val="22"/>
        </w:rPr>
      </w:pPr>
      <w:r w:rsidRPr="00D2277A">
        <w:rPr>
          <w:rFonts w:ascii="Arial" w:hAnsi="Arial" w:cs="Arial"/>
          <w:sz w:val="22"/>
          <w:szCs w:val="22"/>
        </w:rPr>
        <w:t>E</w:t>
      </w:r>
      <w:r w:rsidR="00F15F6E" w:rsidRPr="00D2277A">
        <w:rPr>
          <w:rFonts w:ascii="Arial" w:hAnsi="Arial" w:cs="Arial"/>
          <w:sz w:val="22"/>
          <w:szCs w:val="22"/>
        </w:rPr>
        <w:t xml:space="preserve">quality, </w:t>
      </w:r>
      <w:r w:rsidRPr="00D2277A">
        <w:rPr>
          <w:rFonts w:ascii="Arial" w:hAnsi="Arial" w:cs="Arial"/>
          <w:sz w:val="22"/>
          <w:szCs w:val="22"/>
        </w:rPr>
        <w:t>H</w:t>
      </w:r>
      <w:r w:rsidR="00F15F6E" w:rsidRPr="00D2277A">
        <w:rPr>
          <w:rFonts w:ascii="Arial" w:hAnsi="Arial" w:cs="Arial"/>
          <w:sz w:val="22"/>
          <w:szCs w:val="22"/>
        </w:rPr>
        <w:t xml:space="preserve">uman </w:t>
      </w:r>
      <w:r w:rsidRPr="00D2277A">
        <w:rPr>
          <w:rFonts w:ascii="Arial" w:hAnsi="Arial" w:cs="Arial"/>
          <w:sz w:val="22"/>
          <w:szCs w:val="22"/>
        </w:rPr>
        <w:t>R</w:t>
      </w:r>
      <w:r w:rsidR="00F15F6E" w:rsidRPr="00D2277A">
        <w:rPr>
          <w:rFonts w:ascii="Arial" w:hAnsi="Arial" w:cs="Arial"/>
          <w:sz w:val="22"/>
          <w:szCs w:val="22"/>
        </w:rPr>
        <w:t xml:space="preserve">ights </w:t>
      </w:r>
      <w:r w:rsidR="00026D9F" w:rsidRPr="00D2277A">
        <w:rPr>
          <w:rFonts w:ascii="Arial" w:hAnsi="Arial" w:cs="Arial"/>
          <w:sz w:val="22"/>
          <w:szCs w:val="22"/>
        </w:rPr>
        <w:t>and</w:t>
      </w:r>
      <w:r w:rsidR="00F15F6E" w:rsidRPr="00D2277A">
        <w:rPr>
          <w:rFonts w:ascii="Arial" w:hAnsi="Arial" w:cs="Arial"/>
          <w:sz w:val="22"/>
          <w:szCs w:val="22"/>
        </w:rPr>
        <w:t xml:space="preserve"> </w:t>
      </w:r>
      <w:r w:rsidRPr="00D2277A">
        <w:rPr>
          <w:rFonts w:ascii="Arial" w:hAnsi="Arial" w:cs="Arial"/>
          <w:sz w:val="22"/>
          <w:szCs w:val="22"/>
        </w:rPr>
        <w:t>I</w:t>
      </w:r>
      <w:r w:rsidR="00F15F6E" w:rsidRPr="00D2277A">
        <w:rPr>
          <w:rFonts w:ascii="Arial" w:hAnsi="Arial" w:cs="Arial"/>
          <w:sz w:val="22"/>
          <w:szCs w:val="22"/>
        </w:rPr>
        <w:t>nteg</w:t>
      </w:r>
      <w:r w:rsidRPr="00D2277A">
        <w:rPr>
          <w:rFonts w:ascii="Arial" w:hAnsi="Arial" w:cs="Arial"/>
          <w:sz w:val="22"/>
          <w:szCs w:val="22"/>
        </w:rPr>
        <w:t>rated Care</w:t>
      </w:r>
    </w:p>
    <w:p w14:paraId="642F2BBE" w14:textId="44A95661" w:rsidR="00D2277A" w:rsidRPr="00D2277A" w:rsidRDefault="00D2277A" w:rsidP="00D2277A">
      <w:pPr>
        <w:pStyle w:val="ListParagraph"/>
        <w:numPr>
          <w:ilvl w:val="0"/>
          <w:numId w:val="1"/>
        </w:numPr>
        <w:rPr>
          <w:rFonts w:ascii="Arial" w:hAnsi="Arial" w:cs="Arial"/>
          <w:b/>
          <w:bCs/>
          <w:sz w:val="22"/>
          <w:szCs w:val="22"/>
        </w:rPr>
      </w:pPr>
      <w:r w:rsidRPr="00D2277A">
        <w:rPr>
          <w:rFonts w:ascii="Arial" w:hAnsi="Arial" w:cs="Arial"/>
          <w:b/>
          <w:bCs/>
          <w:sz w:val="22"/>
          <w:szCs w:val="22"/>
        </w:rPr>
        <w:t xml:space="preserve">Recommendations </w:t>
      </w:r>
      <w:r w:rsidR="00AF3EFD">
        <w:rPr>
          <w:rFonts w:ascii="Arial" w:hAnsi="Arial" w:cs="Arial"/>
          <w:b/>
          <w:bCs/>
          <w:sz w:val="22"/>
          <w:szCs w:val="22"/>
        </w:rPr>
        <w:t>(page 10)</w:t>
      </w:r>
    </w:p>
    <w:p w14:paraId="0E5D2C92" w14:textId="06272A02" w:rsidR="00D2277A" w:rsidRPr="00D2277A" w:rsidRDefault="00D2277A" w:rsidP="00D2277A">
      <w:pPr>
        <w:pStyle w:val="ListParagraph"/>
        <w:numPr>
          <w:ilvl w:val="0"/>
          <w:numId w:val="1"/>
        </w:numPr>
        <w:rPr>
          <w:rFonts w:ascii="Arial" w:hAnsi="Arial" w:cs="Arial"/>
          <w:b/>
          <w:bCs/>
          <w:sz w:val="22"/>
          <w:szCs w:val="22"/>
        </w:rPr>
      </w:pPr>
      <w:r w:rsidRPr="00D2277A">
        <w:rPr>
          <w:rFonts w:ascii="Arial" w:hAnsi="Arial" w:cs="Arial"/>
          <w:b/>
          <w:bCs/>
          <w:sz w:val="22"/>
          <w:szCs w:val="22"/>
        </w:rPr>
        <w:t>Conclusion</w:t>
      </w:r>
      <w:r w:rsidR="00AF3EFD">
        <w:rPr>
          <w:rFonts w:ascii="Arial" w:hAnsi="Arial" w:cs="Arial"/>
          <w:b/>
          <w:bCs/>
          <w:sz w:val="22"/>
          <w:szCs w:val="22"/>
        </w:rPr>
        <w:t xml:space="preserve"> (page 11)</w:t>
      </w:r>
    </w:p>
    <w:p w14:paraId="6D1BF2EF" w14:textId="4FE50923" w:rsidR="00D2277A" w:rsidRDefault="00D2277A" w:rsidP="00D2277A">
      <w:pPr>
        <w:pStyle w:val="ListParagraph"/>
        <w:numPr>
          <w:ilvl w:val="0"/>
          <w:numId w:val="1"/>
        </w:numPr>
        <w:rPr>
          <w:rFonts w:ascii="Arial" w:hAnsi="Arial" w:cs="Arial"/>
          <w:b/>
          <w:bCs/>
          <w:sz w:val="22"/>
          <w:szCs w:val="22"/>
        </w:rPr>
      </w:pPr>
      <w:r w:rsidRPr="00D2277A">
        <w:rPr>
          <w:rFonts w:ascii="Arial" w:hAnsi="Arial" w:cs="Arial"/>
          <w:b/>
          <w:bCs/>
          <w:sz w:val="22"/>
          <w:szCs w:val="22"/>
        </w:rPr>
        <w:t xml:space="preserve">Reference List </w:t>
      </w:r>
      <w:r w:rsidR="00AF3EFD">
        <w:rPr>
          <w:rFonts w:ascii="Arial" w:hAnsi="Arial" w:cs="Arial"/>
          <w:b/>
          <w:bCs/>
          <w:sz w:val="22"/>
          <w:szCs w:val="22"/>
        </w:rPr>
        <w:t>(page 12)</w:t>
      </w:r>
    </w:p>
    <w:p w14:paraId="578E1591" w14:textId="77777777" w:rsidR="002B1B1E" w:rsidRDefault="002B1B1E" w:rsidP="002B1B1E">
      <w:pPr>
        <w:rPr>
          <w:rFonts w:ascii="Arial" w:hAnsi="Arial" w:cs="Arial"/>
          <w:b/>
          <w:bCs/>
          <w:sz w:val="22"/>
          <w:szCs w:val="22"/>
        </w:rPr>
      </w:pPr>
    </w:p>
    <w:p w14:paraId="113B8AB5" w14:textId="77777777" w:rsidR="002B1B1E" w:rsidRDefault="002B1B1E" w:rsidP="002B1B1E">
      <w:pPr>
        <w:rPr>
          <w:rFonts w:ascii="Arial" w:hAnsi="Arial" w:cs="Arial"/>
          <w:b/>
          <w:bCs/>
          <w:sz w:val="22"/>
          <w:szCs w:val="22"/>
        </w:rPr>
      </w:pPr>
    </w:p>
    <w:p w14:paraId="52C31E26" w14:textId="77777777" w:rsidR="002B1B1E" w:rsidRDefault="002B1B1E" w:rsidP="002B1B1E">
      <w:pPr>
        <w:rPr>
          <w:rFonts w:ascii="Arial" w:hAnsi="Arial" w:cs="Arial"/>
          <w:b/>
          <w:bCs/>
          <w:sz w:val="22"/>
          <w:szCs w:val="22"/>
        </w:rPr>
      </w:pPr>
    </w:p>
    <w:p w14:paraId="1F888E53" w14:textId="77777777" w:rsidR="002B1B1E" w:rsidRDefault="002B1B1E" w:rsidP="002B1B1E">
      <w:pPr>
        <w:rPr>
          <w:rFonts w:ascii="Arial" w:hAnsi="Arial" w:cs="Arial"/>
          <w:b/>
          <w:bCs/>
          <w:sz w:val="22"/>
          <w:szCs w:val="22"/>
        </w:rPr>
      </w:pPr>
    </w:p>
    <w:p w14:paraId="3879CE21" w14:textId="77777777" w:rsidR="002B1B1E" w:rsidRDefault="002B1B1E" w:rsidP="002B1B1E">
      <w:pPr>
        <w:rPr>
          <w:rFonts w:ascii="Arial" w:hAnsi="Arial" w:cs="Arial"/>
          <w:b/>
          <w:bCs/>
          <w:sz w:val="22"/>
          <w:szCs w:val="22"/>
        </w:rPr>
      </w:pPr>
    </w:p>
    <w:p w14:paraId="0947CD2B" w14:textId="77777777" w:rsidR="002B1B1E" w:rsidRDefault="002B1B1E" w:rsidP="002B1B1E">
      <w:pPr>
        <w:rPr>
          <w:rFonts w:ascii="Arial" w:hAnsi="Arial" w:cs="Arial"/>
          <w:b/>
          <w:bCs/>
          <w:sz w:val="22"/>
          <w:szCs w:val="22"/>
        </w:rPr>
      </w:pPr>
    </w:p>
    <w:p w14:paraId="08194CCD" w14:textId="77777777" w:rsidR="002B1B1E" w:rsidRDefault="002B1B1E" w:rsidP="002B1B1E">
      <w:pPr>
        <w:rPr>
          <w:rFonts w:ascii="Arial" w:hAnsi="Arial" w:cs="Arial"/>
          <w:b/>
          <w:bCs/>
          <w:sz w:val="22"/>
          <w:szCs w:val="22"/>
        </w:rPr>
      </w:pPr>
    </w:p>
    <w:p w14:paraId="2730F9B4" w14:textId="77777777" w:rsidR="002B1B1E" w:rsidRDefault="002B1B1E" w:rsidP="002B1B1E">
      <w:pPr>
        <w:rPr>
          <w:rFonts w:ascii="Arial" w:hAnsi="Arial" w:cs="Arial"/>
          <w:b/>
          <w:bCs/>
          <w:sz w:val="22"/>
          <w:szCs w:val="22"/>
        </w:rPr>
      </w:pPr>
    </w:p>
    <w:p w14:paraId="13A6CDF3" w14:textId="77777777" w:rsidR="002B1B1E" w:rsidRDefault="002B1B1E" w:rsidP="002B1B1E">
      <w:pPr>
        <w:rPr>
          <w:rFonts w:ascii="Arial" w:hAnsi="Arial" w:cs="Arial"/>
          <w:b/>
          <w:bCs/>
          <w:sz w:val="22"/>
          <w:szCs w:val="22"/>
        </w:rPr>
      </w:pPr>
    </w:p>
    <w:p w14:paraId="4C4BDF89" w14:textId="77777777" w:rsidR="002B1B1E" w:rsidRDefault="002B1B1E" w:rsidP="002B1B1E">
      <w:pPr>
        <w:rPr>
          <w:rFonts w:ascii="Arial" w:hAnsi="Arial" w:cs="Arial"/>
          <w:b/>
          <w:bCs/>
          <w:sz w:val="22"/>
          <w:szCs w:val="22"/>
        </w:rPr>
      </w:pPr>
    </w:p>
    <w:p w14:paraId="3777EAF4" w14:textId="77777777" w:rsidR="002B1B1E" w:rsidRDefault="002B1B1E" w:rsidP="002B1B1E">
      <w:pPr>
        <w:rPr>
          <w:rFonts w:ascii="Arial" w:hAnsi="Arial" w:cs="Arial"/>
          <w:b/>
          <w:bCs/>
          <w:sz w:val="22"/>
          <w:szCs w:val="22"/>
        </w:rPr>
      </w:pPr>
    </w:p>
    <w:p w14:paraId="7D35F6A9" w14:textId="77777777" w:rsidR="002B1B1E" w:rsidRDefault="002B1B1E" w:rsidP="002B1B1E">
      <w:pPr>
        <w:rPr>
          <w:rFonts w:ascii="Arial" w:hAnsi="Arial" w:cs="Arial"/>
          <w:b/>
          <w:bCs/>
          <w:sz w:val="22"/>
          <w:szCs w:val="22"/>
        </w:rPr>
      </w:pPr>
    </w:p>
    <w:p w14:paraId="59DF3AFF" w14:textId="77777777" w:rsidR="002B1B1E" w:rsidRDefault="002B1B1E" w:rsidP="002B1B1E">
      <w:pPr>
        <w:rPr>
          <w:rFonts w:ascii="Arial" w:hAnsi="Arial" w:cs="Arial"/>
          <w:b/>
          <w:bCs/>
          <w:sz w:val="22"/>
          <w:szCs w:val="22"/>
        </w:rPr>
      </w:pPr>
    </w:p>
    <w:p w14:paraId="3997A0A7" w14:textId="77777777" w:rsidR="002B1B1E" w:rsidRDefault="002B1B1E" w:rsidP="002B1B1E">
      <w:pPr>
        <w:rPr>
          <w:rFonts w:ascii="Arial" w:hAnsi="Arial" w:cs="Arial"/>
          <w:b/>
          <w:bCs/>
          <w:sz w:val="22"/>
          <w:szCs w:val="22"/>
        </w:rPr>
      </w:pPr>
    </w:p>
    <w:p w14:paraId="1C86987C" w14:textId="77777777" w:rsidR="002B1B1E" w:rsidRDefault="002B1B1E" w:rsidP="002B1B1E">
      <w:pPr>
        <w:rPr>
          <w:rFonts w:ascii="Arial" w:hAnsi="Arial" w:cs="Arial"/>
          <w:b/>
          <w:bCs/>
          <w:sz w:val="22"/>
          <w:szCs w:val="22"/>
        </w:rPr>
      </w:pPr>
    </w:p>
    <w:p w14:paraId="472A39CF" w14:textId="77777777" w:rsidR="002B1B1E" w:rsidRDefault="002B1B1E" w:rsidP="002B1B1E">
      <w:pPr>
        <w:rPr>
          <w:rFonts w:ascii="Arial" w:hAnsi="Arial" w:cs="Arial"/>
          <w:b/>
          <w:bCs/>
          <w:sz w:val="22"/>
          <w:szCs w:val="22"/>
        </w:rPr>
      </w:pPr>
    </w:p>
    <w:p w14:paraId="0DDBB1C2" w14:textId="77777777" w:rsidR="002B1B1E" w:rsidRDefault="002B1B1E" w:rsidP="002B1B1E">
      <w:pPr>
        <w:rPr>
          <w:rFonts w:ascii="Arial" w:hAnsi="Arial" w:cs="Arial"/>
          <w:b/>
          <w:bCs/>
          <w:sz w:val="22"/>
          <w:szCs w:val="22"/>
        </w:rPr>
      </w:pPr>
    </w:p>
    <w:p w14:paraId="4F29248F" w14:textId="6E40E7EE" w:rsidR="002B1B1E" w:rsidRDefault="000915C7" w:rsidP="002B1B1E">
      <w:pPr>
        <w:rPr>
          <w:rFonts w:ascii="Arial" w:hAnsi="Arial" w:cs="Arial"/>
          <w:b/>
          <w:bCs/>
          <w:sz w:val="22"/>
          <w:szCs w:val="22"/>
        </w:rPr>
      </w:pPr>
      <w:r>
        <w:rPr>
          <w:rFonts w:ascii="Arial" w:hAnsi="Arial" w:cs="Arial"/>
          <w:b/>
          <w:bCs/>
          <w:sz w:val="22"/>
          <w:szCs w:val="22"/>
        </w:rPr>
        <w:lastRenderedPageBreak/>
        <w:t xml:space="preserve">Introduction </w:t>
      </w:r>
    </w:p>
    <w:p w14:paraId="28A1DA6D" w14:textId="288C973F" w:rsidR="009E6853" w:rsidRPr="00225C8E" w:rsidRDefault="009E6853" w:rsidP="009E6853">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This report focuses on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care (PCC) and partnership working (PW) within community-based supported living services for adults with physical disabilities in England. These services support people in their homes and in integrated primary care and specialist services, local authority services and resources, supported housing and community services. Good practice needs respectful relationships and coordination across services and agencies.</w:t>
      </w:r>
    </w:p>
    <w:p w14:paraId="64454F4E" w14:textId="0B8B68B6" w:rsidR="009E6853" w:rsidRPr="00225C8E" w:rsidRDefault="009E6853" w:rsidP="009E6853">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This report describes PCC, its benefits and limitations, and examines the social and medical models of disability. It applies the four ethical principles of autonomy, beneficence, non-maleficence and justice to a case study. PW is examined as a concept in relation to its benefits, limitations, and the specific context of the case study. The last sections focus on the relevant policy and legal frameworks and provide practice-based recommendations. The main point of this report is that PCC and PW are both needed and are interrelated. Personal choice is of limited value in fragmented services. PW frameworks contribute to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practice, but only if the professional workers do not pre-determine the frameworks on the behalf of the person.</w:t>
      </w:r>
    </w:p>
    <w:p w14:paraId="0814FD94" w14:textId="77777777" w:rsidR="000915C7" w:rsidRPr="00225C8E" w:rsidRDefault="000915C7" w:rsidP="002B1B1E">
      <w:pPr>
        <w:rPr>
          <w:rFonts w:ascii="Arial" w:hAnsi="Arial" w:cs="Arial"/>
          <w:color w:val="000000" w:themeColor="text1"/>
          <w:sz w:val="22"/>
          <w:szCs w:val="22"/>
        </w:rPr>
      </w:pPr>
    </w:p>
    <w:p w14:paraId="2E2BFC30" w14:textId="77777777" w:rsidR="009E6853" w:rsidRPr="00225C8E" w:rsidRDefault="009E6853" w:rsidP="002B1B1E">
      <w:pPr>
        <w:rPr>
          <w:rFonts w:ascii="Arial" w:hAnsi="Arial" w:cs="Arial"/>
          <w:color w:val="000000" w:themeColor="text1"/>
          <w:sz w:val="22"/>
          <w:szCs w:val="22"/>
        </w:rPr>
      </w:pPr>
    </w:p>
    <w:p w14:paraId="24BF3CB2" w14:textId="77777777" w:rsidR="009E6853" w:rsidRPr="00225C8E" w:rsidRDefault="009E6853" w:rsidP="002B1B1E">
      <w:pPr>
        <w:rPr>
          <w:rFonts w:ascii="Arial" w:hAnsi="Arial" w:cs="Arial"/>
          <w:color w:val="000000" w:themeColor="text1"/>
          <w:sz w:val="22"/>
          <w:szCs w:val="22"/>
        </w:rPr>
      </w:pPr>
    </w:p>
    <w:p w14:paraId="223F82A5" w14:textId="77777777" w:rsidR="009E6853" w:rsidRPr="00225C8E" w:rsidRDefault="009E6853" w:rsidP="002B1B1E">
      <w:pPr>
        <w:rPr>
          <w:rFonts w:ascii="Arial" w:hAnsi="Arial" w:cs="Arial"/>
          <w:color w:val="000000" w:themeColor="text1"/>
          <w:sz w:val="22"/>
          <w:szCs w:val="22"/>
        </w:rPr>
      </w:pPr>
    </w:p>
    <w:p w14:paraId="4AE2C3BB" w14:textId="77777777" w:rsidR="009E6853" w:rsidRPr="00225C8E" w:rsidRDefault="009E6853" w:rsidP="002B1B1E">
      <w:pPr>
        <w:rPr>
          <w:rFonts w:ascii="Arial" w:hAnsi="Arial" w:cs="Arial"/>
          <w:color w:val="000000" w:themeColor="text1"/>
          <w:sz w:val="22"/>
          <w:szCs w:val="22"/>
        </w:rPr>
      </w:pPr>
    </w:p>
    <w:p w14:paraId="3FE87B87" w14:textId="77777777" w:rsidR="009E6853" w:rsidRPr="00225C8E" w:rsidRDefault="009E6853" w:rsidP="002B1B1E">
      <w:pPr>
        <w:rPr>
          <w:rFonts w:ascii="Arial" w:hAnsi="Arial" w:cs="Arial"/>
          <w:color w:val="000000" w:themeColor="text1"/>
          <w:sz w:val="22"/>
          <w:szCs w:val="22"/>
        </w:rPr>
      </w:pPr>
    </w:p>
    <w:p w14:paraId="76822FC0" w14:textId="77777777" w:rsidR="009E6853" w:rsidRPr="00225C8E" w:rsidRDefault="009E6853" w:rsidP="002B1B1E">
      <w:pPr>
        <w:rPr>
          <w:rFonts w:ascii="Arial" w:hAnsi="Arial" w:cs="Arial"/>
          <w:color w:val="000000" w:themeColor="text1"/>
          <w:sz w:val="22"/>
          <w:szCs w:val="22"/>
        </w:rPr>
      </w:pPr>
    </w:p>
    <w:p w14:paraId="65C2632E" w14:textId="77777777" w:rsidR="009E6853" w:rsidRPr="00225C8E" w:rsidRDefault="009E6853" w:rsidP="002B1B1E">
      <w:pPr>
        <w:rPr>
          <w:rFonts w:ascii="Arial" w:hAnsi="Arial" w:cs="Arial"/>
          <w:color w:val="000000" w:themeColor="text1"/>
          <w:sz w:val="22"/>
          <w:szCs w:val="22"/>
        </w:rPr>
      </w:pPr>
    </w:p>
    <w:p w14:paraId="27F61457" w14:textId="77777777" w:rsidR="009E6853" w:rsidRPr="00225C8E" w:rsidRDefault="009E6853" w:rsidP="002B1B1E">
      <w:pPr>
        <w:rPr>
          <w:rFonts w:ascii="Arial" w:hAnsi="Arial" w:cs="Arial"/>
          <w:color w:val="000000" w:themeColor="text1"/>
          <w:sz w:val="22"/>
          <w:szCs w:val="22"/>
        </w:rPr>
      </w:pPr>
    </w:p>
    <w:p w14:paraId="42E960D4" w14:textId="77777777" w:rsidR="009E6853" w:rsidRPr="00225C8E" w:rsidRDefault="009E6853" w:rsidP="002B1B1E">
      <w:pPr>
        <w:rPr>
          <w:rFonts w:ascii="Arial" w:hAnsi="Arial" w:cs="Arial"/>
          <w:color w:val="000000" w:themeColor="text1"/>
          <w:sz w:val="22"/>
          <w:szCs w:val="22"/>
        </w:rPr>
      </w:pPr>
    </w:p>
    <w:p w14:paraId="104C59B7" w14:textId="77777777" w:rsidR="009E6853" w:rsidRPr="00225C8E" w:rsidRDefault="009E6853" w:rsidP="002B1B1E">
      <w:pPr>
        <w:rPr>
          <w:rFonts w:ascii="Arial" w:hAnsi="Arial" w:cs="Arial"/>
          <w:color w:val="000000" w:themeColor="text1"/>
          <w:sz w:val="22"/>
          <w:szCs w:val="22"/>
        </w:rPr>
      </w:pPr>
    </w:p>
    <w:p w14:paraId="7E956635" w14:textId="77777777" w:rsidR="009E6853" w:rsidRPr="00225C8E" w:rsidRDefault="009E6853" w:rsidP="002B1B1E">
      <w:pPr>
        <w:rPr>
          <w:rFonts w:ascii="Arial" w:hAnsi="Arial" w:cs="Arial"/>
          <w:color w:val="000000" w:themeColor="text1"/>
          <w:sz w:val="22"/>
          <w:szCs w:val="22"/>
        </w:rPr>
      </w:pPr>
    </w:p>
    <w:p w14:paraId="54E79699" w14:textId="77777777" w:rsidR="009E6853" w:rsidRPr="00225C8E" w:rsidRDefault="009E6853" w:rsidP="002B1B1E">
      <w:pPr>
        <w:rPr>
          <w:rFonts w:ascii="Arial" w:hAnsi="Arial" w:cs="Arial"/>
          <w:color w:val="000000" w:themeColor="text1"/>
          <w:sz w:val="22"/>
          <w:szCs w:val="22"/>
        </w:rPr>
      </w:pPr>
    </w:p>
    <w:p w14:paraId="5583A308" w14:textId="77777777" w:rsidR="009E6853" w:rsidRPr="00225C8E" w:rsidRDefault="009E6853" w:rsidP="002B1B1E">
      <w:pPr>
        <w:rPr>
          <w:rFonts w:ascii="Arial" w:hAnsi="Arial" w:cs="Arial"/>
          <w:color w:val="000000" w:themeColor="text1"/>
          <w:sz w:val="22"/>
          <w:szCs w:val="22"/>
        </w:rPr>
      </w:pPr>
    </w:p>
    <w:p w14:paraId="7963FE06" w14:textId="77777777" w:rsidR="009E6853" w:rsidRPr="00225C8E" w:rsidRDefault="009E6853" w:rsidP="002B1B1E">
      <w:pPr>
        <w:rPr>
          <w:rFonts w:ascii="Arial" w:hAnsi="Arial" w:cs="Arial"/>
          <w:color w:val="000000" w:themeColor="text1"/>
          <w:sz w:val="22"/>
          <w:szCs w:val="22"/>
        </w:rPr>
      </w:pPr>
    </w:p>
    <w:p w14:paraId="23C4983B" w14:textId="77777777" w:rsidR="009E6853" w:rsidRPr="00225C8E" w:rsidRDefault="009E6853" w:rsidP="002B1B1E">
      <w:pPr>
        <w:rPr>
          <w:rFonts w:ascii="Arial" w:hAnsi="Arial" w:cs="Arial"/>
          <w:color w:val="000000" w:themeColor="text1"/>
          <w:sz w:val="22"/>
          <w:szCs w:val="22"/>
        </w:rPr>
      </w:pPr>
    </w:p>
    <w:p w14:paraId="4AA9E16C" w14:textId="77777777" w:rsidR="009E6853" w:rsidRPr="00225C8E" w:rsidRDefault="009E6853" w:rsidP="002B1B1E">
      <w:pPr>
        <w:rPr>
          <w:rFonts w:ascii="Arial" w:hAnsi="Arial" w:cs="Arial"/>
          <w:color w:val="000000" w:themeColor="text1"/>
          <w:sz w:val="22"/>
          <w:szCs w:val="22"/>
        </w:rPr>
      </w:pPr>
    </w:p>
    <w:p w14:paraId="2DBE3515" w14:textId="77777777" w:rsidR="009E6853" w:rsidRPr="00225C8E" w:rsidRDefault="009E6853" w:rsidP="002B1B1E">
      <w:pPr>
        <w:rPr>
          <w:rFonts w:ascii="Arial" w:hAnsi="Arial" w:cs="Arial"/>
          <w:color w:val="000000" w:themeColor="text1"/>
          <w:sz w:val="22"/>
          <w:szCs w:val="22"/>
        </w:rPr>
      </w:pPr>
    </w:p>
    <w:p w14:paraId="32C54751" w14:textId="77777777" w:rsidR="009E6853" w:rsidRPr="00225C8E" w:rsidRDefault="009E6853" w:rsidP="002B1B1E">
      <w:pPr>
        <w:rPr>
          <w:rFonts w:ascii="Arial" w:hAnsi="Arial" w:cs="Arial"/>
          <w:color w:val="000000" w:themeColor="text1"/>
          <w:sz w:val="22"/>
          <w:szCs w:val="22"/>
        </w:rPr>
      </w:pPr>
    </w:p>
    <w:p w14:paraId="1C014AD4" w14:textId="77777777" w:rsidR="00990C0A" w:rsidRPr="00225C8E" w:rsidRDefault="00990C0A" w:rsidP="00990C0A">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2. Person-Centred Care: Definition, Benefits and Limitations</w:t>
      </w:r>
    </w:p>
    <w:p w14:paraId="78A073BD" w14:textId="77777777" w:rsidR="00990C0A" w:rsidRPr="00225C8E" w:rsidRDefault="00990C0A" w:rsidP="00990C0A">
      <w:pPr>
        <w:pStyle w:val="Heading2"/>
        <w:spacing w:before="120" w:after="100"/>
        <w:rPr>
          <w:rFonts w:ascii="Arial" w:hAnsi="Arial" w:cs="Arial"/>
          <w:b/>
          <w:bCs/>
          <w:color w:val="000000" w:themeColor="text1"/>
          <w:sz w:val="22"/>
          <w:szCs w:val="22"/>
        </w:rPr>
      </w:pPr>
      <w:bookmarkStart w:id="0" w:name="bm_pcc_def"/>
      <w:r w:rsidRPr="00225C8E">
        <w:rPr>
          <w:rFonts w:ascii="Arial" w:hAnsi="Arial" w:cs="Arial"/>
          <w:b/>
          <w:bCs/>
          <w:color w:val="000000" w:themeColor="text1"/>
          <w:sz w:val="22"/>
          <w:szCs w:val="22"/>
        </w:rPr>
        <w:t>2.1 Definition and core features</w:t>
      </w:r>
      <w:bookmarkEnd w:id="0"/>
    </w:p>
    <w:p w14:paraId="3E8519DD" w14:textId="7EE02F44" w:rsidR="00990C0A" w:rsidRPr="00225C8E" w:rsidRDefault="00990C0A" w:rsidP="00990C0A">
      <w:pPr>
        <w:pStyle w:val="Heading2"/>
        <w:spacing w:before="120" w:after="100"/>
        <w:rPr>
          <w:rFonts w:ascii="Arial" w:eastAsiaTheme="minorEastAsia" w:hAnsi="Arial" w:cs="Arial"/>
          <w:b/>
          <w:bCs/>
          <w:color w:val="000000" w:themeColor="text1"/>
          <w:sz w:val="22"/>
          <w:szCs w:val="22"/>
        </w:rPr>
      </w:pPr>
      <w:bookmarkStart w:id="1" w:name="bm_pcc_ben"/>
      <w:r w:rsidRPr="00225C8E">
        <w:rPr>
          <w:rFonts w:ascii="Arial" w:eastAsiaTheme="minorEastAsia" w:hAnsi="Arial" w:cs="Arial"/>
          <w:color w:val="000000" w:themeColor="text1"/>
          <w:sz w:val="22"/>
          <w:szCs w:val="22"/>
        </w:rPr>
        <w:t xml:space="preserve">Person </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Care (PCC) focuses on the individual being cared for and not their diagnosis, the service they access, the routines of the service, or the professional’s preferences. As described by Santana et al. (2018), it is a systems level approach to care that is built on the foundation of respect and communication, and the coordination of care and partnership. In the description by Håkansson Eklund et al. (2019), the common characteristics of PCC are respect and sensitivity, engagement, and shared decision-making and holistic focus, amongst others. PCC aims to provide care by considering the individual’s relationships, strengths, culture, the care communication methods used, the routines of the individual and the goals of the individual, amongst others. In supported living, it may mean the individual is able to choose when, and at times, if, care is provided. It may mean the individual is able to choose who is allowed to enter their home, what their employment or education goals are, and how the risks to their health are decided to be managed. Care plans should be developed with the individual, easily understood, and able to be amended as the individual’s needs and/or desires change. As described by McCormack and McCance (2017), true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care relies on an integrated care approach with the person at the </w:t>
      </w:r>
      <w:r w:rsidR="00026D9F" w:rsidRPr="00225C8E">
        <w:rPr>
          <w:rFonts w:ascii="Arial" w:eastAsiaTheme="minorEastAsia" w:hAnsi="Arial" w:cs="Arial"/>
          <w:color w:val="000000" w:themeColor="text1"/>
          <w:sz w:val="22"/>
          <w:szCs w:val="22"/>
        </w:rPr>
        <w:t>centre</w:t>
      </w:r>
      <w:r w:rsidRPr="00225C8E">
        <w:rPr>
          <w:rFonts w:ascii="Arial" w:eastAsiaTheme="minorEastAsia" w:hAnsi="Arial" w:cs="Arial"/>
          <w:color w:val="000000" w:themeColor="text1"/>
          <w:sz w:val="22"/>
          <w:szCs w:val="22"/>
        </w:rPr>
        <w:t>, and an appropriate and supportive care environment, and is not the result of individual staff attitudes alone.</w:t>
      </w:r>
    </w:p>
    <w:p w14:paraId="133E0509" w14:textId="77777777" w:rsidR="00990C0A" w:rsidRPr="00225C8E" w:rsidRDefault="00990C0A" w:rsidP="00990C0A">
      <w:pPr>
        <w:pStyle w:val="Heading2"/>
        <w:spacing w:before="120" w:after="100"/>
        <w:rPr>
          <w:rFonts w:ascii="Arial" w:eastAsiaTheme="minorEastAsia" w:hAnsi="Arial" w:cs="Arial"/>
          <w:b/>
          <w:bCs/>
          <w:color w:val="000000" w:themeColor="text1"/>
          <w:sz w:val="22"/>
          <w:szCs w:val="22"/>
        </w:rPr>
      </w:pPr>
      <w:r w:rsidRPr="00225C8E">
        <w:rPr>
          <w:rFonts w:ascii="Arial" w:hAnsi="Arial" w:cs="Arial"/>
          <w:b/>
          <w:bCs/>
          <w:color w:val="000000" w:themeColor="text1"/>
          <w:sz w:val="22"/>
          <w:szCs w:val="22"/>
        </w:rPr>
        <w:t>2.2 Benefits and limitations</w:t>
      </w:r>
      <w:bookmarkEnd w:id="1"/>
    </w:p>
    <w:p w14:paraId="4D53E443" w14:textId="1D3FEA0B" w:rsidR="00990C0A" w:rsidRPr="00225C8E" w:rsidRDefault="00990C0A" w:rsidP="00990C0A">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Trust, satisfaction, and engagement will be improved by PCC because plans once viewed as a form of control will now be viewed positively, since people are more likely to engage with plans that incorporate their priorities. Since decisions made together increase understanding and decrease treatment administered in the absence of consent, NICE (2021) states that practitioners should discuss options and their respective benefits, risks, and possible outcomes in a manner that gives individuals the opportunity to describe their priorities. NHS England’s personalized care model (NHS England, 2019) </w:t>
      </w:r>
      <w:r w:rsidR="00026D9F" w:rsidRPr="00225C8E">
        <w:rPr>
          <w:rFonts w:ascii="Arial" w:eastAsiaTheme="minorEastAsia" w:hAnsi="Arial" w:cs="Arial"/>
          <w:color w:val="000000" w:themeColor="text1"/>
          <w:sz w:val="22"/>
          <w:szCs w:val="22"/>
        </w:rPr>
        <w:t>associates’</w:t>
      </w:r>
      <w:r w:rsidRPr="00225C8E">
        <w:rPr>
          <w:rFonts w:ascii="Arial" w:eastAsiaTheme="minorEastAsia" w:hAnsi="Arial" w:cs="Arial"/>
          <w:color w:val="000000" w:themeColor="text1"/>
          <w:sz w:val="22"/>
          <w:szCs w:val="22"/>
        </w:rPr>
        <w:t xml:space="preserve"> choice and control with self-management along with support from the community and personal health budgets.</w:t>
      </w:r>
    </w:p>
    <w:p w14:paraId="19772D57" w14:textId="4E311A7B" w:rsidR="00990C0A" w:rsidRPr="00225C8E" w:rsidRDefault="00990C0A" w:rsidP="00990C0A">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PCC should not be understood as providing individuals with complete autonomy in their choices. Constraints on options may be a result of inadequate funding, an insufficient number of staff, inadequate housing, or the rights of other individuals. Additionally, an individual may prefer the more hazardous option. According to Fix et al. (2018), staff typically perceive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practice as a more generalized form of practice, but there are many organizational pressures that cause practice to become routine. High staff turnover in supported living situations is a barrier to relationship building and causes individuals to have to continuously provide the same information. It is possible that digital planning tools improve relationship building, but they may become overly focused on task completion and may violate privacy. The gap between the values of PCC and the culture and systems of the organizations that have employed PCC is the most significant concern.</w:t>
      </w:r>
    </w:p>
    <w:p w14:paraId="0C131363" w14:textId="77777777" w:rsidR="00990C0A" w:rsidRPr="00225C8E" w:rsidRDefault="00990C0A" w:rsidP="00990C0A">
      <w:pPr>
        <w:rPr>
          <w:rFonts w:ascii="Arial" w:hAnsi="Arial" w:cs="Arial"/>
          <w:color w:val="000000" w:themeColor="text1"/>
          <w:sz w:val="22"/>
          <w:szCs w:val="22"/>
        </w:rPr>
      </w:pPr>
    </w:p>
    <w:p w14:paraId="213E91B7" w14:textId="77777777" w:rsidR="009E6853" w:rsidRPr="00225C8E" w:rsidRDefault="009E6853" w:rsidP="002B1B1E">
      <w:pPr>
        <w:rPr>
          <w:rFonts w:ascii="Arial" w:hAnsi="Arial" w:cs="Arial"/>
          <w:color w:val="000000" w:themeColor="text1"/>
          <w:sz w:val="22"/>
          <w:szCs w:val="22"/>
        </w:rPr>
      </w:pPr>
    </w:p>
    <w:p w14:paraId="48728C2A" w14:textId="77777777" w:rsidR="00990C0A" w:rsidRPr="00225C8E" w:rsidRDefault="00990C0A" w:rsidP="002B1B1E">
      <w:pPr>
        <w:rPr>
          <w:rFonts w:ascii="Arial" w:hAnsi="Arial" w:cs="Arial"/>
          <w:color w:val="000000" w:themeColor="text1"/>
          <w:sz w:val="22"/>
          <w:szCs w:val="22"/>
        </w:rPr>
      </w:pPr>
    </w:p>
    <w:p w14:paraId="12446A5E" w14:textId="77777777" w:rsidR="00520B9A" w:rsidRPr="00225C8E" w:rsidRDefault="00520B9A" w:rsidP="00520B9A">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3. Theory Underpinning Person-Centred Care</w:t>
      </w:r>
    </w:p>
    <w:p w14:paraId="65B15D75" w14:textId="77777777" w:rsidR="00520B9A" w:rsidRPr="00225C8E" w:rsidRDefault="00520B9A" w:rsidP="00520B9A">
      <w:pPr>
        <w:pStyle w:val="Heading2"/>
        <w:spacing w:before="120" w:after="100"/>
        <w:rPr>
          <w:rFonts w:ascii="Arial" w:hAnsi="Arial" w:cs="Arial"/>
          <w:b/>
          <w:bCs/>
          <w:color w:val="000000" w:themeColor="text1"/>
          <w:sz w:val="22"/>
          <w:szCs w:val="22"/>
        </w:rPr>
      </w:pPr>
      <w:bookmarkStart w:id="2" w:name="bm_social"/>
      <w:r w:rsidRPr="00225C8E">
        <w:rPr>
          <w:rFonts w:ascii="Arial" w:hAnsi="Arial" w:cs="Arial"/>
          <w:b/>
          <w:bCs/>
          <w:color w:val="000000" w:themeColor="text1"/>
          <w:sz w:val="22"/>
          <w:szCs w:val="22"/>
        </w:rPr>
        <w:t>3.1 Social model of disability and PCC</w:t>
      </w:r>
      <w:bookmarkEnd w:id="2"/>
    </w:p>
    <w:p w14:paraId="605B2C04"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bookmarkStart w:id="3" w:name="bm_medical"/>
      <w:r w:rsidRPr="00225C8E">
        <w:rPr>
          <w:rFonts w:ascii="Arial" w:eastAsiaTheme="minorEastAsia" w:hAnsi="Arial" w:cs="Arial"/>
          <w:color w:val="000000" w:themeColor="text1"/>
          <w:sz w:val="22"/>
          <w:szCs w:val="22"/>
        </w:rPr>
        <w:t xml:space="preserve">The social model of disability is especially helpful for developing PCC. It shows the difference between impairment and disability and states that barriers disable people. As stated by Retief and Letšosa (2018), with the medical model, the problem is explained mostly in the individual, while in the social model, the problem is in the inaccessible environments and the socially inequitable environments. The barriers faced by a wheelchair user are likely to be more due to a lack of barriers, such as steps and inaccessible transport, as well as inflexible appointment systems and staff who only interact with the user's relative. The social model supports PCC because it requests services to remove barriers, as opposed to the individual having to adapt to the existing system. It also works against the dominance of professional power. The existence of a diagnosis should not equate to a determined goal, a determined level of competence or a lifestyle. Care planning should begin with the goal of the individual and only then identify the barriers and supports. The model is thus linked to independent living, advocacy, reasonable adjustments and positive risk-taking. The social model of disability is especially helpful for developing PCC. It shows the difference between impairment and disability and states that barriers disable people. As stated by Retief and Letšosa (2018), with the medical model, the problem is explained mostly in the individual, while in the social model, the problem is in the inaccessible environments and the socially inequitable environments. </w:t>
      </w:r>
    </w:p>
    <w:p w14:paraId="24B47F7B"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r w:rsidRPr="00225C8E">
        <w:rPr>
          <w:rFonts w:ascii="Arial" w:eastAsiaTheme="minorEastAsia" w:hAnsi="Arial" w:cs="Arial"/>
          <w:color w:val="000000" w:themeColor="text1"/>
          <w:sz w:val="22"/>
          <w:szCs w:val="22"/>
        </w:rPr>
        <w:t>The barriers faced by a wheelchair user are likely to be more due to a lack of barriers, such as steps and inaccessible transport, as well as inflexible appointment systems and staff who only interact with the user's relative. The social model supports PCC because it requests services to remove barriers, as opposed to the individual having to adapt to the existing system. It also works against the dominance of professional power. The existence of a diagnosis should not equate to a determined goal, a determined level of competence or a lifestyle. Care planning should begin with the goal of the individual and only then identify the barriers and supports. The model is this linked to independent living, advocacy, reasonable adjustments and positive risk-taking.</w:t>
      </w:r>
    </w:p>
    <w:p w14:paraId="3B8B45FC"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p>
    <w:p w14:paraId="6908A624"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p>
    <w:p w14:paraId="0BDAABDE" w14:textId="77777777" w:rsidR="00520B9A" w:rsidRPr="00225C8E" w:rsidRDefault="00520B9A" w:rsidP="00520B9A">
      <w:pPr>
        <w:pStyle w:val="Heading2"/>
        <w:spacing w:before="12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3.2 Critical comparison with the medical model</w:t>
      </w:r>
      <w:bookmarkEnd w:id="3"/>
    </w:p>
    <w:p w14:paraId="5F000FA1"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r w:rsidRPr="00225C8E">
        <w:rPr>
          <w:rFonts w:ascii="Arial" w:eastAsiaTheme="minorEastAsia" w:hAnsi="Arial" w:cs="Arial"/>
          <w:color w:val="000000" w:themeColor="text1"/>
          <w:sz w:val="22"/>
          <w:szCs w:val="22"/>
        </w:rPr>
        <w:t xml:space="preserve">The social model is undeniably valuable; however, it is also limited. Some impairments include elements such as pain and fatigue, which social change cannot address. The medical model remains relevant to diagnosis and treatment as well as rehabilitation and control of symptoms. The medical model has more to offer when there is a danger of professionals only seeing the individual’s condition and using their clinical power to disregard the individual’s preferences. Lawson and Beckett (2021) explain that the social and human rights models need to be seen together, as in order to remove barriers, rights need to be demandable. </w:t>
      </w:r>
    </w:p>
    <w:p w14:paraId="2064853B" w14:textId="77777777" w:rsidR="00520B9A" w:rsidRPr="00225C8E" w:rsidRDefault="00520B9A" w:rsidP="00520B9A">
      <w:pPr>
        <w:pStyle w:val="NormalWeb"/>
        <w:spacing w:line="360" w:lineRule="auto"/>
        <w:rPr>
          <w:rFonts w:ascii="Arial" w:eastAsiaTheme="minorEastAsia" w:hAnsi="Arial" w:cs="Arial"/>
          <w:color w:val="000000" w:themeColor="text1"/>
          <w:sz w:val="22"/>
          <w:szCs w:val="22"/>
        </w:rPr>
      </w:pPr>
      <w:r w:rsidRPr="00225C8E">
        <w:rPr>
          <w:rFonts w:ascii="Arial" w:eastAsiaTheme="minorEastAsia" w:hAnsi="Arial" w:cs="Arial"/>
          <w:color w:val="000000" w:themeColor="text1"/>
          <w:sz w:val="22"/>
          <w:szCs w:val="22"/>
        </w:rPr>
        <w:t>An equally weighted scheme proves more beneficial. Clinical knowledge should be one form of evidence and the individual involved makes active choices. The occupational therapist evaluates the client’s ability to transfer safely. However, the plan should also incorporate the client’s right to privacy and respect their level of independent functioning and their tolerance of risk. The contrasts are summarized in Table 1. The most robust PCC practice does not negate the role of medicine; rather, it ensures the client’s medical needs never become the all-defining characteristic of their person.</w:t>
      </w:r>
    </w:p>
    <w:p w14:paraId="4B57F7EF" w14:textId="263249BD" w:rsidR="00520B9A" w:rsidRPr="00225C8E" w:rsidRDefault="00520B9A" w:rsidP="00520B9A">
      <w:pPr>
        <w:keepNext/>
        <w:spacing w:before="80" w:after="80"/>
        <w:jc w:val="center"/>
        <w:rPr>
          <w:rFonts w:ascii="Arial" w:hAnsi="Arial" w:cs="Arial"/>
          <w:b/>
          <w:color w:val="000000" w:themeColor="text1"/>
          <w:sz w:val="22"/>
          <w:szCs w:val="22"/>
        </w:rPr>
      </w:pPr>
      <w:r w:rsidRPr="00225C8E">
        <w:rPr>
          <w:rFonts w:ascii="Arial" w:hAnsi="Arial" w:cs="Arial"/>
          <w:b/>
          <w:color w:val="000000" w:themeColor="text1"/>
          <w:sz w:val="22"/>
          <w:szCs w:val="22"/>
        </w:rPr>
        <w:t>Table 1. Medical and social models in person-</w:t>
      </w:r>
      <w:r w:rsidR="00026D9F" w:rsidRPr="00225C8E">
        <w:rPr>
          <w:rFonts w:ascii="Arial" w:hAnsi="Arial" w:cs="Arial"/>
          <w:b/>
          <w:color w:val="000000" w:themeColor="text1"/>
          <w:sz w:val="22"/>
          <w:szCs w:val="22"/>
        </w:rPr>
        <w:t>centred</w:t>
      </w:r>
      <w:r w:rsidRPr="00225C8E">
        <w:rPr>
          <w:rFonts w:ascii="Arial" w:hAnsi="Arial" w:cs="Arial"/>
          <w:b/>
          <w:color w:val="000000" w:themeColor="text1"/>
          <w:sz w:val="22"/>
          <w:szCs w:val="22"/>
        </w:rPr>
        <w:t xml:space="preserve"> practice</w:t>
      </w:r>
    </w:p>
    <w:p w14:paraId="08CF5AF4" w14:textId="77777777" w:rsidR="00520B9A" w:rsidRPr="00225C8E" w:rsidRDefault="00520B9A" w:rsidP="00520B9A">
      <w:pPr>
        <w:keepNext/>
        <w:spacing w:before="80" w:after="80"/>
        <w:jc w:val="center"/>
        <w:rPr>
          <w:rFonts w:ascii="Arial" w:hAnsi="Arial" w:cs="Arial"/>
          <w:color w:val="000000" w:themeColor="text1"/>
          <w:sz w:val="22"/>
          <w:szCs w:val="22"/>
        </w:rPr>
      </w:pPr>
    </w:p>
    <w:tbl>
      <w:tblPr>
        <w:tblW w:w="0" w:type="auto"/>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2340"/>
        <w:gridCol w:w="2376"/>
        <w:gridCol w:w="2376"/>
        <w:gridCol w:w="3384"/>
      </w:tblGrid>
      <w:tr w:rsidR="00225C8E" w:rsidRPr="00225C8E" w14:paraId="26756BB7" w14:textId="77777777" w:rsidTr="00670F30">
        <w:trPr>
          <w:tblHeader/>
          <w:jc w:val="center"/>
        </w:trPr>
        <w:tc>
          <w:tcPr>
            <w:tcW w:w="2340" w:type="dxa"/>
            <w:tcMar>
              <w:top w:w="80" w:type="dxa"/>
              <w:left w:w="80" w:type="dxa"/>
              <w:bottom w:w="80" w:type="dxa"/>
              <w:right w:w="80" w:type="dxa"/>
            </w:tcMar>
            <w:vAlign w:val="center"/>
          </w:tcPr>
          <w:p w14:paraId="15E0EEED"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b/>
                <w:color w:val="000000" w:themeColor="text1"/>
                <w:sz w:val="22"/>
                <w:szCs w:val="22"/>
              </w:rPr>
              <w:t>Area</w:t>
            </w:r>
          </w:p>
        </w:tc>
        <w:tc>
          <w:tcPr>
            <w:tcW w:w="2340" w:type="dxa"/>
            <w:tcMar>
              <w:top w:w="80" w:type="dxa"/>
              <w:left w:w="80" w:type="dxa"/>
              <w:bottom w:w="80" w:type="dxa"/>
              <w:right w:w="80" w:type="dxa"/>
            </w:tcMar>
            <w:vAlign w:val="center"/>
          </w:tcPr>
          <w:p w14:paraId="713ABAFC"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b/>
                <w:color w:val="000000" w:themeColor="text1"/>
                <w:sz w:val="22"/>
                <w:szCs w:val="22"/>
              </w:rPr>
              <w:t>Medical model</w:t>
            </w:r>
          </w:p>
        </w:tc>
        <w:tc>
          <w:tcPr>
            <w:tcW w:w="2340" w:type="dxa"/>
            <w:tcMar>
              <w:top w:w="80" w:type="dxa"/>
              <w:left w:w="80" w:type="dxa"/>
              <w:bottom w:w="80" w:type="dxa"/>
              <w:right w:w="80" w:type="dxa"/>
            </w:tcMar>
            <w:vAlign w:val="center"/>
          </w:tcPr>
          <w:p w14:paraId="75243AEC"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b/>
                <w:color w:val="000000" w:themeColor="text1"/>
                <w:sz w:val="22"/>
                <w:szCs w:val="22"/>
              </w:rPr>
              <w:t>Social model</w:t>
            </w:r>
          </w:p>
        </w:tc>
        <w:tc>
          <w:tcPr>
            <w:tcW w:w="2340" w:type="dxa"/>
            <w:tcMar>
              <w:top w:w="80" w:type="dxa"/>
              <w:left w:w="80" w:type="dxa"/>
              <w:bottom w:w="80" w:type="dxa"/>
              <w:right w:w="80" w:type="dxa"/>
            </w:tcMar>
            <w:vAlign w:val="center"/>
          </w:tcPr>
          <w:p w14:paraId="09F566CD"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b/>
                <w:color w:val="000000" w:themeColor="text1"/>
                <w:sz w:val="22"/>
                <w:szCs w:val="22"/>
              </w:rPr>
              <w:t>Implication for PCC</w:t>
            </w:r>
          </w:p>
        </w:tc>
      </w:tr>
      <w:tr w:rsidR="00225C8E" w:rsidRPr="00225C8E" w14:paraId="1B631F0C" w14:textId="77777777" w:rsidTr="00670F30">
        <w:trPr>
          <w:jc w:val="center"/>
        </w:trPr>
        <w:tc>
          <w:tcPr>
            <w:tcW w:w="1656" w:type="dxa"/>
            <w:tcMar>
              <w:top w:w="80" w:type="dxa"/>
              <w:left w:w="80" w:type="dxa"/>
              <w:bottom w:w="80" w:type="dxa"/>
              <w:right w:w="80" w:type="dxa"/>
            </w:tcMar>
            <w:vAlign w:val="center"/>
          </w:tcPr>
          <w:p w14:paraId="01B20986"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Main focus</w:t>
            </w:r>
          </w:p>
        </w:tc>
        <w:tc>
          <w:tcPr>
            <w:tcW w:w="2376" w:type="dxa"/>
            <w:tcMar>
              <w:top w:w="80" w:type="dxa"/>
              <w:left w:w="80" w:type="dxa"/>
              <w:bottom w:w="80" w:type="dxa"/>
              <w:right w:w="80" w:type="dxa"/>
            </w:tcMar>
            <w:vAlign w:val="center"/>
          </w:tcPr>
          <w:p w14:paraId="26241C71"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Diagnosis and impairment</w:t>
            </w:r>
          </w:p>
        </w:tc>
        <w:tc>
          <w:tcPr>
            <w:tcW w:w="2376" w:type="dxa"/>
            <w:tcMar>
              <w:top w:w="80" w:type="dxa"/>
              <w:left w:w="80" w:type="dxa"/>
              <w:bottom w:w="80" w:type="dxa"/>
              <w:right w:w="80" w:type="dxa"/>
            </w:tcMar>
            <w:vAlign w:val="center"/>
          </w:tcPr>
          <w:p w14:paraId="5263EED2"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Social and environmental barriers</w:t>
            </w:r>
          </w:p>
        </w:tc>
        <w:tc>
          <w:tcPr>
            <w:tcW w:w="3384" w:type="dxa"/>
            <w:tcMar>
              <w:top w:w="80" w:type="dxa"/>
              <w:left w:w="80" w:type="dxa"/>
              <w:bottom w:w="80" w:type="dxa"/>
              <w:right w:w="80" w:type="dxa"/>
            </w:tcMar>
            <w:vAlign w:val="center"/>
          </w:tcPr>
          <w:p w14:paraId="5ECDE1FA"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Combine clinical evidence with the person’s goals.</w:t>
            </w:r>
          </w:p>
        </w:tc>
      </w:tr>
      <w:tr w:rsidR="00225C8E" w:rsidRPr="00225C8E" w14:paraId="44A258D5" w14:textId="77777777" w:rsidTr="00670F30">
        <w:trPr>
          <w:jc w:val="center"/>
        </w:trPr>
        <w:tc>
          <w:tcPr>
            <w:tcW w:w="1656" w:type="dxa"/>
            <w:tcMar>
              <w:top w:w="80" w:type="dxa"/>
              <w:left w:w="80" w:type="dxa"/>
              <w:bottom w:w="80" w:type="dxa"/>
              <w:right w:w="80" w:type="dxa"/>
            </w:tcMar>
            <w:vAlign w:val="center"/>
          </w:tcPr>
          <w:p w14:paraId="44AAC010"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Source of difficulty</w:t>
            </w:r>
          </w:p>
        </w:tc>
        <w:tc>
          <w:tcPr>
            <w:tcW w:w="2376" w:type="dxa"/>
            <w:tcMar>
              <w:top w:w="80" w:type="dxa"/>
              <w:left w:w="80" w:type="dxa"/>
              <w:bottom w:w="80" w:type="dxa"/>
              <w:right w:w="80" w:type="dxa"/>
            </w:tcMar>
            <w:vAlign w:val="center"/>
          </w:tcPr>
          <w:p w14:paraId="65970232"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Located mainly in the individual</w:t>
            </w:r>
          </w:p>
        </w:tc>
        <w:tc>
          <w:tcPr>
            <w:tcW w:w="2376" w:type="dxa"/>
            <w:tcMar>
              <w:top w:w="80" w:type="dxa"/>
              <w:left w:w="80" w:type="dxa"/>
              <w:bottom w:w="80" w:type="dxa"/>
              <w:right w:w="80" w:type="dxa"/>
            </w:tcMar>
            <w:vAlign w:val="center"/>
          </w:tcPr>
          <w:p w14:paraId="6D3C36F1"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Created by inaccessible systems and attitudes</w:t>
            </w:r>
          </w:p>
        </w:tc>
        <w:tc>
          <w:tcPr>
            <w:tcW w:w="3384" w:type="dxa"/>
            <w:tcMar>
              <w:top w:w="80" w:type="dxa"/>
              <w:left w:w="80" w:type="dxa"/>
              <w:bottom w:w="80" w:type="dxa"/>
              <w:right w:w="80" w:type="dxa"/>
            </w:tcMar>
            <w:vAlign w:val="center"/>
          </w:tcPr>
          <w:p w14:paraId="3A14A247"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Change both support and the environment.</w:t>
            </w:r>
          </w:p>
        </w:tc>
      </w:tr>
      <w:tr w:rsidR="00225C8E" w:rsidRPr="00225C8E" w14:paraId="58823C7C" w14:textId="77777777" w:rsidTr="00670F30">
        <w:trPr>
          <w:jc w:val="center"/>
        </w:trPr>
        <w:tc>
          <w:tcPr>
            <w:tcW w:w="1656" w:type="dxa"/>
            <w:tcMar>
              <w:top w:w="80" w:type="dxa"/>
              <w:left w:w="80" w:type="dxa"/>
              <w:bottom w:w="80" w:type="dxa"/>
              <w:right w:w="80" w:type="dxa"/>
            </w:tcMar>
            <w:vAlign w:val="center"/>
          </w:tcPr>
          <w:p w14:paraId="2336B175"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Professional role</w:t>
            </w:r>
          </w:p>
        </w:tc>
        <w:tc>
          <w:tcPr>
            <w:tcW w:w="2376" w:type="dxa"/>
            <w:tcMar>
              <w:top w:w="80" w:type="dxa"/>
              <w:left w:w="80" w:type="dxa"/>
              <w:bottom w:w="80" w:type="dxa"/>
              <w:right w:w="80" w:type="dxa"/>
            </w:tcMar>
            <w:vAlign w:val="center"/>
          </w:tcPr>
          <w:p w14:paraId="04429353"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Expert who treats or manages</w:t>
            </w:r>
          </w:p>
        </w:tc>
        <w:tc>
          <w:tcPr>
            <w:tcW w:w="2376" w:type="dxa"/>
            <w:tcMar>
              <w:top w:w="80" w:type="dxa"/>
              <w:left w:w="80" w:type="dxa"/>
              <w:bottom w:w="80" w:type="dxa"/>
              <w:right w:w="80" w:type="dxa"/>
            </w:tcMar>
            <w:vAlign w:val="center"/>
          </w:tcPr>
          <w:p w14:paraId="091A8503"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Partner who removes barriers</w:t>
            </w:r>
          </w:p>
        </w:tc>
        <w:tc>
          <w:tcPr>
            <w:tcW w:w="3384" w:type="dxa"/>
            <w:tcMar>
              <w:top w:w="80" w:type="dxa"/>
              <w:left w:w="80" w:type="dxa"/>
              <w:bottom w:w="80" w:type="dxa"/>
              <w:right w:w="80" w:type="dxa"/>
            </w:tcMar>
            <w:vAlign w:val="center"/>
          </w:tcPr>
          <w:p w14:paraId="596D7DDC"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Share power and support informed choice.</w:t>
            </w:r>
          </w:p>
        </w:tc>
      </w:tr>
      <w:tr w:rsidR="00225C8E" w:rsidRPr="00225C8E" w14:paraId="65CD9261" w14:textId="77777777" w:rsidTr="00670F30">
        <w:trPr>
          <w:jc w:val="center"/>
        </w:trPr>
        <w:tc>
          <w:tcPr>
            <w:tcW w:w="1656" w:type="dxa"/>
            <w:tcMar>
              <w:top w:w="80" w:type="dxa"/>
              <w:left w:w="80" w:type="dxa"/>
              <w:bottom w:w="80" w:type="dxa"/>
              <w:right w:w="80" w:type="dxa"/>
            </w:tcMar>
            <w:vAlign w:val="center"/>
          </w:tcPr>
          <w:p w14:paraId="1757398A"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Main risk</w:t>
            </w:r>
          </w:p>
        </w:tc>
        <w:tc>
          <w:tcPr>
            <w:tcW w:w="2376" w:type="dxa"/>
            <w:tcMar>
              <w:top w:w="80" w:type="dxa"/>
              <w:left w:w="80" w:type="dxa"/>
              <w:bottom w:w="80" w:type="dxa"/>
              <w:right w:w="80" w:type="dxa"/>
            </w:tcMar>
            <w:vAlign w:val="center"/>
          </w:tcPr>
          <w:p w14:paraId="08472A78"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The person is reduced to a condition</w:t>
            </w:r>
          </w:p>
        </w:tc>
        <w:tc>
          <w:tcPr>
            <w:tcW w:w="2376" w:type="dxa"/>
            <w:tcMar>
              <w:top w:w="80" w:type="dxa"/>
              <w:left w:w="80" w:type="dxa"/>
              <w:bottom w:w="80" w:type="dxa"/>
              <w:right w:w="80" w:type="dxa"/>
            </w:tcMar>
            <w:vAlign w:val="center"/>
          </w:tcPr>
          <w:p w14:paraId="2D34EE13"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Pain or clinical need may be understated</w:t>
            </w:r>
          </w:p>
        </w:tc>
        <w:tc>
          <w:tcPr>
            <w:tcW w:w="3384" w:type="dxa"/>
            <w:tcMar>
              <w:top w:w="80" w:type="dxa"/>
              <w:left w:w="80" w:type="dxa"/>
              <w:bottom w:w="80" w:type="dxa"/>
              <w:right w:w="80" w:type="dxa"/>
            </w:tcMar>
            <w:vAlign w:val="center"/>
          </w:tcPr>
          <w:p w14:paraId="629E1662" w14:textId="77777777" w:rsidR="00520B9A" w:rsidRPr="00225C8E" w:rsidRDefault="00520B9A" w:rsidP="00670F30">
            <w:pPr>
              <w:spacing w:after="0" w:line="240" w:lineRule="auto"/>
              <w:jc w:val="center"/>
              <w:rPr>
                <w:rFonts w:ascii="Arial" w:hAnsi="Arial" w:cs="Arial"/>
                <w:color w:val="000000" w:themeColor="text1"/>
                <w:sz w:val="22"/>
                <w:szCs w:val="22"/>
              </w:rPr>
            </w:pPr>
            <w:r w:rsidRPr="00225C8E">
              <w:rPr>
                <w:rFonts w:ascii="Arial" w:hAnsi="Arial" w:cs="Arial"/>
                <w:color w:val="000000" w:themeColor="text1"/>
                <w:sz w:val="22"/>
                <w:szCs w:val="22"/>
              </w:rPr>
              <w:t>Use a balanced, rights-based approach.</w:t>
            </w:r>
          </w:p>
        </w:tc>
      </w:tr>
    </w:tbl>
    <w:p w14:paraId="1A7578D8" w14:textId="77777777" w:rsidR="00520B9A" w:rsidRPr="00225C8E" w:rsidRDefault="00520B9A" w:rsidP="00520B9A">
      <w:pPr>
        <w:spacing w:after="0"/>
        <w:rPr>
          <w:rFonts w:ascii="Arial" w:hAnsi="Arial" w:cs="Arial"/>
          <w:color w:val="000000" w:themeColor="text1"/>
          <w:sz w:val="22"/>
          <w:szCs w:val="22"/>
        </w:rPr>
      </w:pPr>
    </w:p>
    <w:p w14:paraId="10C484F7" w14:textId="77777777" w:rsidR="00990C0A" w:rsidRPr="00225C8E" w:rsidRDefault="00990C0A" w:rsidP="002B1B1E">
      <w:pPr>
        <w:rPr>
          <w:rFonts w:ascii="Arial" w:hAnsi="Arial" w:cs="Arial"/>
          <w:color w:val="000000" w:themeColor="text1"/>
          <w:sz w:val="22"/>
          <w:szCs w:val="22"/>
        </w:rPr>
      </w:pPr>
    </w:p>
    <w:p w14:paraId="5239E69B" w14:textId="77777777" w:rsidR="00520B9A" w:rsidRPr="00225C8E" w:rsidRDefault="00520B9A" w:rsidP="002B1B1E">
      <w:pPr>
        <w:rPr>
          <w:rFonts w:ascii="Arial" w:hAnsi="Arial" w:cs="Arial"/>
          <w:color w:val="000000" w:themeColor="text1"/>
          <w:sz w:val="22"/>
          <w:szCs w:val="22"/>
        </w:rPr>
      </w:pPr>
    </w:p>
    <w:p w14:paraId="38E54EF0" w14:textId="77777777" w:rsidR="00520B9A" w:rsidRPr="00225C8E" w:rsidRDefault="00520B9A" w:rsidP="002B1B1E">
      <w:pPr>
        <w:rPr>
          <w:rFonts w:ascii="Arial" w:hAnsi="Arial" w:cs="Arial"/>
          <w:color w:val="000000" w:themeColor="text1"/>
          <w:sz w:val="22"/>
          <w:szCs w:val="22"/>
        </w:rPr>
      </w:pPr>
    </w:p>
    <w:p w14:paraId="5649AEE3" w14:textId="77777777" w:rsidR="00BD34B2" w:rsidRPr="00225C8E" w:rsidRDefault="00BD34B2" w:rsidP="00BD34B2">
      <w:pPr>
        <w:pStyle w:val="Heading1"/>
        <w:spacing w:before="200" w:after="100"/>
        <w:rPr>
          <w:rFonts w:ascii="Arial" w:hAnsi="Arial" w:cs="Arial"/>
          <w:b/>
          <w:bCs/>
          <w:color w:val="000000" w:themeColor="text1"/>
          <w:sz w:val="22"/>
          <w:szCs w:val="22"/>
        </w:rPr>
      </w:pPr>
      <w:bookmarkStart w:id="4" w:name="bm_ethics"/>
      <w:r w:rsidRPr="00225C8E">
        <w:rPr>
          <w:rFonts w:ascii="Arial" w:hAnsi="Arial" w:cs="Arial"/>
          <w:b/>
          <w:bCs/>
          <w:color w:val="000000" w:themeColor="text1"/>
          <w:sz w:val="22"/>
          <w:szCs w:val="22"/>
        </w:rPr>
        <w:lastRenderedPageBreak/>
        <w:t>4. Ethical Fundamentals</w:t>
      </w:r>
      <w:bookmarkEnd w:id="4"/>
    </w:p>
    <w:p w14:paraId="63C724C9" w14:textId="4A5890DE" w:rsidR="00BD34B2" w:rsidRPr="00225C8E" w:rsidRDefault="00BD34B2" w:rsidP="00BD34B2">
      <w:pPr>
        <w:pStyle w:val="Heading2"/>
        <w:spacing w:before="120" w:after="100"/>
        <w:rPr>
          <w:rFonts w:ascii="Arial" w:hAnsi="Arial" w:cs="Arial"/>
          <w:b/>
          <w:bCs/>
          <w:color w:val="000000" w:themeColor="text1"/>
          <w:sz w:val="22"/>
          <w:szCs w:val="22"/>
        </w:rPr>
      </w:pPr>
      <w:bookmarkStart w:id="5" w:name="bm_four"/>
      <w:r w:rsidRPr="00225C8E">
        <w:rPr>
          <w:rFonts w:ascii="Arial" w:hAnsi="Arial" w:cs="Arial"/>
          <w:b/>
          <w:bCs/>
          <w:color w:val="000000" w:themeColor="text1"/>
          <w:sz w:val="22"/>
          <w:szCs w:val="22"/>
        </w:rPr>
        <w:t xml:space="preserve">4.1 Applying the four </w:t>
      </w:r>
      <w:bookmarkEnd w:id="5"/>
      <w:r w:rsidR="00026D9F" w:rsidRPr="00225C8E">
        <w:rPr>
          <w:rFonts w:ascii="Arial" w:hAnsi="Arial" w:cs="Arial"/>
          <w:b/>
          <w:bCs/>
          <w:color w:val="000000" w:themeColor="text1"/>
          <w:sz w:val="22"/>
          <w:szCs w:val="22"/>
        </w:rPr>
        <w:t>principles.</w:t>
      </w:r>
    </w:p>
    <w:p w14:paraId="69DB298E" w14:textId="77777777" w:rsidR="00BD34B2" w:rsidRPr="00225C8E" w:rsidRDefault="00BD34B2" w:rsidP="00BD34B2">
      <w:pPr>
        <w:pStyle w:val="Heading2"/>
        <w:spacing w:before="120" w:after="100"/>
        <w:rPr>
          <w:rFonts w:ascii="Arial" w:eastAsiaTheme="minorEastAsia" w:hAnsi="Arial" w:cs="Arial"/>
          <w:b/>
          <w:bCs/>
          <w:color w:val="000000" w:themeColor="text1"/>
          <w:sz w:val="22"/>
          <w:szCs w:val="22"/>
        </w:rPr>
      </w:pPr>
      <w:bookmarkStart w:id="6" w:name="bm_dilemma"/>
      <w:r w:rsidRPr="00225C8E">
        <w:rPr>
          <w:rFonts w:ascii="Arial" w:eastAsiaTheme="minorEastAsia" w:hAnsi="Arial" w:cs="Arial"/>
          <w:color w:val="000000" w:themeColor="text1"/>
          <w:sz w:val="22"/>
          <w:szCs w:val="22"/>
        </w:rPr>
        <w:t>Beauchamp and Childress (2019) describe four principles of health care ethics: autonomy, beneficence, non-maleficence, and justice. Autonomy concerns informed and voluntary choice. Beneficence is positive action to assist. Non-maleficence is the avoidance of preventable harm. Justice describes the appropriate and even treatment, respect, and resource distribution. There may be conflicts between these principles.</w:t>
      </w:r>
    </w:p>
    <w:p w14:paraId="17D61411" w14:textId="05E85AAE" w:rsidR="00BD34B2" w:rsidRPr="00225C8E" w:rsidRDefault="00BD34B2" w:rsidP="00BD34B2">
      <w:pPr>
        <w:pStyle w:val="Heading2"/>
        <w:spacing w:before="12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In supported living, autonomy requires that people have the right to accessible information, be provided with the time and communication resources they </w:t>
      </w:r>
      <w:r w:rsidR="00026D9F" w:rsidRPr="00225C8E">
        <w:rPr>
          <w:rFonts w:ascii="Arial" w:eastAsiaTheme="minorEastAsia" w:hAnsi="Arial" w:cs="Arial"/>
          <w:color w:val="000000" w:themeColor="text1"/>
          <w:sz w:val="22"/>
          <w:szCs w:val="22"/>
        </w:rPr>
        <w:t>need and</w:t>
      </w:r>
      <w:r w:rsidRPr="00225C8E">
        <w:rPr>
          <w:rFonts w:ascii="Arial" w:eastAsiaTheme="minorEastAsia" w:hAnsi="Arial" w:cs="Arial"/>
          <w:color w:val="000000" w:themeColor="text1"/>
          <w:sz w:val="22"/>
          <w:szCs w:val="22"/>
        </w:rPr>
        <w:t xml:space="preserve"> be supported to make their own choices. It is not autonomy to leave the individual without assistance. We need to be mindful of the individual’s definition of beneficence. We may value their safety over their privacy and right to make their own choices. Non-maleficence is the avoidance of both physical harm and the harm that may be caused by an unnecessary burden. Justice applies the appropriate and even treatment, respect, and resource distribution. Ethical reasoning must be clear, applicable, and reviewable.</w:t>
      </w:r>
    </w:p>
    <w:p w14:paraId="0ACC7DBC" w14:textId="77777777" w:rsidR="00BD34B2" w:rsidRPr="00225C8E" w:rsidRDefault="00BD34B2" w:rsidP="00BD34B2">
      <w:pPr>
        <w:pStyle w:val="Heading2"/>
        <w:spacing w:before="120" w:after="100"/>
        <w:rPr>
          <w:rFonts w:ascii="Arial" w:hAnsi="Arial" w:cs="Arial"/>
          <w:b/>
          <w:bCs/>
          <w:color w:val="000000" w:themeColor="text1"/>
          <w:sz w:val="22"/>
          <w:szCs w:val="22"/>
        </w:rPr>
      </w:pPr>
      <w:r w:rsidRPr="00225C8E">
        <w:rPr>
          <w:rFonts w:ascii="Arial" w:hAnsi="Arial" w:cs="Arial"/>
          <w:b/>
          <w:bCs/>
          <w:color w:val="000000" w:themeColor="text1"/>
          <w:sz w:val="22"/>
          <w:szCs w:val="22"/>
        </w:rPr>
        <w:t>4.2 Ethical dilemma in supported living</w:t>
      </w:r>
      <w:bookmarkEnd w:id="6"/>
    </w:p>
    <w:p w14:paraId="6200598E" w14:textId="77777777" w:rsidR="00BD34B2" w:rsidRPr="00225C8E" w:rsidRDefault="00BD34B2" w:rsidP="00BD34B2">
      <w:pPr>
        <w:pStyle w:val="Heading1"/>
        <w:spacing w:before="200" w:after="100"/>
        <w:rPr>
          <w:rFonts w:ascii="Arial" w:eastAsiaTheme="minorEastAsia" w:hAnsi="Arial" w:cs="Arial"/>
          <w:b/>
          <w:bCs/>
          <w:color w:val="000000" w:themeColor="text1"/>
          <w:sz w:val="22"/>
          <w:szCs w:val="22"/>
        </w:rPr>
      </w:pPr>
      <w:bookmarkStart w:id="7" w:name="bm_pw"/>
      <w:r w:rsidRPr="00225C8E">
        <w:rPr>
          <w:rFonts w:ascii="Arial" w:eastAsiaTheme="minorEastAsia" w:hAnsi="Arial" w:cs="Arial"/>
          <w:color w:val="000000" w:themeColor="text1"/>
          <w:sz w:val="22"/>
          <w:szCs w:val="22"/>
        </w:rPr>
        <w:t>Imagine an adult who wants to cook independently. Imagine also that this adult has a history of falls. Staff and relatives believe this adult should not be allowed to cook at all. Staff and relatives believe that a complete ban will keep this adult 'safe.' There are, of course, short-term benefits to an outright ban on cooking. Potentially, the adult's risk will be reduced. However, this outright ban will have a negative impact on the adult's self-autonomy, self-confidence, and will inevitably have a negative impact on the adult's home life. The Mental Capacity Act of 2005 put an emphasis on the adult's right to make a choice, even if that choice is 'unwise.' The NHS guidelines strengthen the Mental Capacity Act by stating that the patient should be able to retain control and that the patient should not be 'protected' at the cost of all of their rights (NHS, 2023). In reality, McWilliams et al. (2024) state that the practice of assessing someone's mental capacity is actually very difficult and is heavily influenced by the factors of time, knowledge, and the particular organization.</w:t>
      </w:r>
    </w:p>
    <w:p w14:paraId="427888A2" w14:textId="77777777" w:rsidR="00BD34B2" w:rsidRPr="00225C8E" w:rsidRDefault="00BD34B2" w:rsidP="00BD34B2">
      <w:pPr>
        <w:pStyle w:val="Heading1"/>
        <w:spacing w:before="200" w:after="100"/>
        <w:rPr>
          <w:rFonts w:ascii="Arial" w:eastAsiaTheme="minorEastAsia" w:hAnsi="Arial" w:cs="Arial"/>
          <w:b/>
          <w:bCs/>
          <w:color w:val="000000" w:themeColor="text1"/>
          <w:sz w:val="22"/>
          <w:szCs w:val="22"/>
        </w:rPr>
      </w:pPr>
    </w:p>
    <w:p w14:paraId="251E85D8" w14:textId="0D8A693A"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Taking a middle of the road approach would require a capacity discussion focused specifically on the task of cooking, an assessment of the safety of the kitchen, the installation and use of safety equipment, and the provision of support during the times of day when the adult is at the greatest risk of injury from cooking, and an evaluation of these measures. Consent should govern the extent of information shared. In the absence of </w:t>
      </w:r>
      <w:r w:rsidR="00026D9F" w:rsidRPr="00225C8E">
        <w:rPr>
          <w:rFonts w:ascii="Arial" w:eastAsiaTheme="minorEastAsia" w:hAnsi="Arial" w:cs="Arial"/>
          <w:color w:val="000000" w:themeColor="text1"/>
          <w:sz w:val="22"/>
          <w:szCs w:val="22"/>
        </w:rPr>
        <w:t>decision-making</w:t>
      </w:r>
      <w:r w:rsidRPr="00225C8E">
        <w:rPr>
          <w:rFonts w:ascii="Arial" w:eastAsiaTheme="minorEastAsia" w:hAnsi="Arial" w:cs="Arial"/>
          <w:color w:val="000000" w:themeColor="text1"/>
          <w:sz w:val="22"/>
          <w:szCs w:val="22"/>
        </w:rPr>
        <w:t xml:space="preserve"> capacity,</w:t>
      </w:r>
    </w:p>
    <w:p w14:paraId="1B106E9C" w14:textId="77777777" w:rsidR="00BD34B2" w:rsidRPr="00225C8E" w:rsidRDefault="00BD34B2" w:rsidP="00BD34B2">
      <w:pPr>
        <w:pStyle w:val="Heading1"/>
        <w:spacing w:before="200" w:after="100"/>
        <w:rPr>
          <w:rFonts w:ascii="Arial" w:hAnsi="Arial" w:cs="Arial"/>
          <w:color w:val="000000" w:themeColor="text1"/>
          <w:sz w:val="22"/>
          <w:szCs w:val="22"/>
        </w:rPr>
      </w:pPr>
    </w:p>
    <w:p w14:paraId="48E29BB4" w14:textId="77777777" w:rsidR="00BD34B2" w:rsidRDefault="00BD34B2" w:rsidP="00BD34B2">
      <w:pPr>
        <w:pStyle w:val="Heading1"/>
        <w:spacing w:before="200" w:after="100"/>
        <w:rPr>
          <w:rFonts w:ascii="Arial" w:hAnsi="Arial" w:cs="Arial"/>
          <w:color w:val="000000" w:themeColor="text1"/>
          <w:sz w:val="22"/>
          <w:szCs w:val="22"/>
        </w:rPr>
      </w:pPr>
    </w:p>
    <w:p w14:paraId="2F649594" w14:textId="77777777" w:rsidR="00225C8E" w:rsidRPr="00225C8E" w:rsidRDefault="00225C8E" w:rsidP="00225C8E"/>
    <w:p w14:paraId="1F0184E4" w14:textId="60702259" w:rsidR="00BD34B2" w:rsidRPr="00225C8E" w:rsidRDefault="00BD34B2" w:rsidP="00BD34B2">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5. Evaluation of Partnership Working</w:t>
      </w:r>
      <w:bookmarkEnd w:id="7"/>
    </w:p>
    <w:p w14:paraId="1853D501" w14:textId="77777777" w:rsidR="00BD34B2" w:rsidRPr="00225C8E" w:rsidRDefault="00BD34B2" w:rsidP="00BD34B2">
      <w:pPr>
        <w:pStyle w:val="Heading2"/>
        <w:spacing w:before="120" w:after="100"/>
        <w:rPr>
          <w:rFonts w:ascii="Arial" w:hAnsi="Arial" w:cs="Arial"/>
          <w:b/>
          <w:bCs/>
          <w:color w:val="000000" w:themeColor="text1"/>
          <w:sz w:val="22"/>
          <w:szCs w:val="22"/>
        </w:rPr>
      </w:pPr>
      <w:bookmarkStart w:id="8" w:name="bm_pw_ben"/>
      <w:r w:rsidRPr="00225C8E">
        <w:rPr>
          <w:rFonts w:ascii="Arial" w:hAnsi="Arial" w:cs="Arial"/>
          <w:b/>
          <w:bCs/>
          <w:color w:val="000000" w:themeColor="text1"/>
          <w:sz w:val="22"/>
          <w:szCs w:val="22"/>
        </w:rPr>
        <w:t>5.1 Benefits of partnership working</w:t>
      </w:r>
      <w:bookmarkEnd w:id="8"/>
    </w:p>
    <w:p w14:paraId="631F475A" w14:textId="77777777" w:rsidR="00BD34B2" w:rsidRPr="00225C8E" w:rsidRDefault="00BD34B2" w:rsidP="00BD34B2">
      <w:pPr>
        <w:pStyle w:val="Heading2"/>
        <w:spacing w:before="120" w:after="100"/>
        <w:rPr>
          <w:rFonts w:ascii="Arial" w:eastAsiaTheme="minorEastAsia" w:hAnsi="Arial" w:cs="Arial"/>
          <w:b/>
          <w:bCs/>
          <w:color w:val="000000" w:themeColor="text1"/>
          <w:sz w:val="22"/>
          <w:szCs w:val="22"/>
        </w:rPr>
      </w:pPr>
      <w:bookmarkStart w:id="9" w:name="bm_pw_chal"/>
      <w:r w:rsidRPr="00225C8E">
        <w:rPr>
          <w:rFonts w:ascii="Arial" w:eastAsiaTheme="minorEastAsia" w:hAnsi="Arial" w:cs="Arial"/>
          <w:color w:val="000000" w:themeColor="text1"/>
          <w:sz w:val="22"/>
          <w:szCs w:val="22"/>
        </w:rPr>
        <w:t>PW is a collective effort of the person, their family or advocate, healthcare and social care staff, housing and community care providers, local authorities, and voluntary organizations. NHS England (2022) argues that regarding planning and decision-making practices, partnership with people and communities must go beyond solicitation of feedback on completed steps. In the context of supported living, one professional cannot serve care and support needs with respect to health, housing, equipment, work, and social participation.</w:t>
      </w:r>
    </w:p>
    <w:p w14:paraId="4201262E" w14:textId="77777777" w:rsidR="00BD34B2" w:rsidRPr="00225C8E" w:rsidRDefault="00BD34B2" w:rsidP="00BD34B2">
      <w:pPr>
        <w:pStyle w:val="Heading2"/>
        <w:spacing w:before="12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PW helps avoid the need for assessment multiple times, supports the identification of issues at an earlier point, and leads to clearer accountability. For instance, a shared plan may include a person’s clinical needs in the context of their wishes to return to work or keep social contacts. For this plan to be realized, the occupational therapist needs to recommend the right equipment, the GP needs to be willing to offer an ongoing care plan, the social worker needs to determine the supports he or she is eligible for, and the housing provider needs to ensure that the dwelling is physically accessible. Integrated Care Systems were made law to encourage cooperation among NHS bodies, local authorities, and others (Local Government Association, 2022). The result is consistency.</w:t>
      </w:r>
    </w:p>
    <w:p w14:paraId="41228E6C" w14:textId="77777777" w:rsidR="00BD34B2" w:rsidRPr="00225C8E" w:rsidRDefault="00BD34B2" w:rsidP="00BD34B2">
      <w:pPr>
        <w:pStyle w:val="Heading2"/>
        <w:spacing w:before="120" w:after="100"/>
        <w:rPr>
          <w:rFonts w:ascii="Arial" w:hAnsi="Arial" w:cs="Arial"/>
          <w:b/>
          <w:bCs/>
          <w:color w:val="000000" w:themeColor="text1"/>
          <w:sz w:val="22"/>
          <w:szCs w:val="22"/>
        </w:rPr>
      </w:pPr>
      <w:r w:rsidRPr="00225C8E">
        <w:rPr>
          <w:rFonts w:ascii="Arial" w:hAnsi="Arial" w:cs="Arial"/>
          <w:b/>
          <w:bCs/>
          <w:color w:val="000000" w:themeColor="text1"/>
          <w:sz w:val="22"/>
          <w:szCs w:val="22"/>
        </w:rPr>
        <w:t>5.2 Challenges and practical application</w:t>
      </w:r>
      <w:bookmarkEnd w:id="9"/>
    </w:p>
    <w:p w14:paraId="5ECC57D9" w14:textId="2EEF3E8A" w:rsidR="00BD34B2" w:rsidRPr="00225C8E" w:rsidRDefault="00BD34B2" w:rsidP="00BD34B2">
      <w:pPr>
        <w:pStyle w:val="Heading1"/>
        <w:spacing w:before="200" w:after="100"/>
        <w:rPr>
          <w:rFonts w:ascii="Arial" w:eastAsiaTheme="minorEastAsia" w:hAnsi="Arial" w:cs="Arial"/>
          <w:b/>
          <w:bCs/>
          <w:color w:val="000000" w:themeColor="text1"/>
          <w:sz w:val="22"/>
          <w:szCs w:val="22"/>
        </w:rPr>
      </w:pPr>
      <w:bookmarkStart w:id="10" w:name="bm_policy"/>
      <w:r w:rsidRPr="00225C8E">
        <w:rPr>
          <w:rFonts w:ascii="Arial" w:eastAsiaTheme="minorEastAsia" w:hAnsi="Arial" w:cs="Arial"/>
          <w:color w:val="000000" w:themeColor="text1"/>
          <w:sz w:val="22"/>
          <w:szCs w:val="22"/>
        </w:rPr>
        <w:t xml:space="preserve">A formal partnership structure does not necessarily lead to improved collaboration. Different organizations have different eligibility requirements, budgeting frameworks, wording, and documentation. When multiple organizations are involved, accountability can be diluted. Staff can withhold information due to uncertainty with their organization's framework for confidentiality or can overly disclose information without obtaining proper informed consent. According to the King’s Fund (2024), integrated systems </w:t>
      </w:r>
      <w:r w:rsidR="00225C8E" w:rsidRPr="00225C8E">
        <w:rPr>
          <w:rFonts w:ascii="Arial" w:eastAsiaTheme="minorEastAsia" w:hAnsi="Arial" w:cs="Arial"/>
          <w:color w:val="000000" w:themeColor="text1"/>
          <w:sz w:val="22"/>
          <w:szCs w:val="22"/>
        </w:rPr>
        <w:t>need</w:t>
      </w:r>
      <w:r w:rsidRPr="00225C8E">
        <w:rPr>
          <w:rFonts w:ascii="Arial" w:eastAsiaTheme="minorEastAsia" w:hAnsi="Arial" w:cs="Arial"/>
          <w:color w:val="000000" w:themeColor="text1"/>
          <w:sz w:val="22"/>
          <w:szCs w:val="22"/>
        </w:rPr>
        <w:t xml:space="preserve"> enhanced workforce and relationship building to transition from formal structural changes to functional changes.</w:t>
      </w:r>
    </w:p>
    <w:p w14:paraId="6052F76C" w14:textId="77777777"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As stated in the chosen setting, a named person, whose identity is known to all members, is required, as is a single accessible outcome-based plan. Each action is to be assigned an owner and a time for the plan to be reviewed. The person, and their advocate if they request one, are to be present at the meeting. Professionals are to write down the disagreement that is occurring instead of generalizing the disagreement as a “multidisciplinary decision.” Digital correspondence promotes integrative planning; however, access must be controlled and clearly defined. Staff turnover is a significant issue. According to Skills for Care (2025), there are ongoing challenges surrounding the recruitment and retention of staff in adult social care, affecting services and their ability to provide time for integrated planning. As a result, PW needs dependable staff, aligned systems, and a culture that treats the service user as an integrative planning partner, not a passive subject of professional discourse.</w:t>
      </w:r>
    </w:p>
    <w:p w14:paraId="202E46BC" w14:textId="77777777" w:rsidR="00BD34B2" w:rsidRPr="00225C8E" w:rsidRDefault="00BD34B2" w:rsidP="00BD34B2">
      <w:pPr>
        <w:pStyle w:val="Heading1"/>
        <w:spacing w:before="200" w:after="100"/>
        <w:rPr>
          <w:rFonts w:ascii="Arial" w:hAnsi="Arial" w:cs="Arial"/>
          <w:color w:val="000000" w:themeColor="text1"/>
          <w:sz w:val="22"/>
          <w:szCs w:val="22"/>
        </w:rPr>
      </w:pPr>
    </w:p>
    <w:p w14:paraId="35D7EBCC" w14:textId="77777777" w:rsidR="00BD34B2" w:rsidRPr="00225C8E" w:rsidRDefault="00BD34B2" w:rsidP="00BD34B2">
      <w:pPr>
        <w:pStyle w:val="Heading1"/>
        <w:spacing w:before="200" w:after="100"/>
        <w:rPr>
          <w:rFonts w:ascii="Arial" w:hAnsi="Arial" w:cs="Arial"/>
          <w:color w:val="000000" w:themeColor="text1"/>
          <w:sz w:val="22"/>
          <w:szCs w:val="22"/>
        </w:rPr>
      </w:pPr>
    </w:p>
    <w:p w14:paraId="6C9B2395" w14:textId="77777777" w:rsidR="00BD34B2" w:rsidRDefault="00BD34B2" w:rsidP="00BD34B2">
      <w:pPr>
        <w:pStyle w:val="Heading1"/>
        <w:spacing w:before="200" w:after="100"/>
        <w:rPr>
          <w:rFonts w:ascii="Arial" w:hAnsi="Arial" w:cs="Arial"/>
          <w:color w:val="000000" w:themeColor="text1"/>
          <w:sz w:val="22"/>
          <w:szCs w:val="22"/>
        </w:rPr>
      </w:pPr>
    </w:p>
    <w:p w14:paraId="483B8985" w14:textId="77777777" w:rsidR="00225C8E" w:rsidRPr="00225C8E" w:rsidRDefault="00225C8E" w:rsidP="00225C8E"/>
    <w:p w14:paraId="69EAD109" w14:textId="1CB9DF58" w:rsidR="00BD34B2" w:rsidRPr="00225C8E" w:rsidRDefault="00BD34B2" w:rsidP="00BD34B2">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6. Policy and Legislation</w:t>
      </w:r>
      <w:bookmarkEnd w:id="10"/>
    </w:p>
    <w:p w14:paraId="70622833" w14:textId="77777777" w:rsidR="00BD34B2" w:rsidRPr="00225C8E" w:rsidRDefault="00BD34B2" w:rsidP="00BD34B2">
      <w:pPr>
        <w:pStyle w:val="Heading2"/>
        <w:spacing w:before="120" w:after="100"/>
        <w:rPr>
          <w:rFonts w:ascii="Arial" w:hAnsi="Arial" w:cs="Arial"/>
          <w:b/>
          <w:bCs/>
          <w:color w:val="000000" w:themeColor="text1"/>
          <w:sz w:val="22"/>
          <w:szCs w:val="22"/>
        </w:rPr>
      </w:pPr>
      <w:bookmarkStart w:id="11" w:name="bm_care"/>
      <w:r w:rsidRPr="00225C8E">
        <w:rPr>
          <w:rFonts w:ascii="Arial" w:hAnsi="Arial" w:cs="Arial"/>
          <w:b/>
          <w:bCs/>
          <w:color w:val="000000" w:themeColor="text1"/>
          <w:sz w:val="22"/>
          <w:szCs w:val="22"/>
        </w:rPr>
        <w:t>6.1 Care, capacity and person-centred duties</w:t>
      </w:r>
      <w:bookmarkEnd w:id="11"/>
    </w:p>
    <w:p w14:paraId="00AD15E1" w14:textId="77777777" w:rsidR="00BD34B2" w:rsidRPr="00225C8E" w:rsidRDefault="00BD34B2" w:rsidP="00BD34B2">
      <w:pPr>
        <w:pStyle w:val="Heading2"/>
        <w:spacing w:before="120" w:after="100"/>
        <w:rPr>
          <w:rFonts w:ascii="Arial" w:eastAsiaTheme="minorEastAsia" w:hAnsi="Arial" w:cs="Arial"/>
          <w:b/>
          <w:bCs/>
          <w:color w:val="000000" w:themeColor="text1"/>
          <w:sz w:val="22"/>
          <w:szCs w:val="22"/>
        </w:rPr>
      </w:pPr>
      <w:bookmarkStart w:id="12" w:name="bm_equal"/>
      <w:r w:rsidRPr="00225C8E">
        <w:rPr>
          <w:rFonts w:ascii="Arial" w:eastAsiaTheme="minorEastAsia" w:hAnsi="Arial" w:cs="Arial"/>
          <w:color w:val="000000" w:themeColor="text1"/>
          <w:sz w:val="22"/>
          <w:szCs w:val="22"/>
        </w:rPr>
        <w:t>Wellbeing, prevention, and involvement, as articulated in the Care Act (2014), extend to all levels of adult care and support. Current guidance advises councils to consider dignity, control, and participation, as well as the relationships and accommodation, when applying the wellbeing principle (Department of Health and Social Care, 2025). In supported living, this will endorse the development of strengths-based assessment, and care plans concentrating on the outcomes of supported living and care, rather than the performance of day-to-day activities. However, the deprivation of legal rights may still occur if there are slow assessments, funding shortages, or a lack of services in the locality.</w:t>
      </w:r>
    </w:p>
    <w:p w14:paraId="0B2D1B0E" w14:textId="28958E58" w:rsidR="00BD34B2" w:rsidRPr="00225C8E" w:rsidRDefault="00BD34B2" w:rsidP="00BD34B2">
      <w:pPr>
        <w:pStyle w:val="Heading2"/>
        <w:spacing w:before="12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PCC is advanced by the Mental Capacity Act (2005) through the presumption of capacity, a case-by-case approach to capacity, the support of the person to </w:t>
      </w:r>
      <w:r w:rsidR="00225C8E" w:rsidRPr="00225C8E">
        <w:rPr>
          <w:rFonts w:ascii="Arial" w:eastAsiaTheme="minorEastAsia" w:hAnsi="Arial" w:cs="Arial"/>
          <w:color w:val="000000" w:themeColor="text1"/>
          <w:sz w:val="22"/>
          <w:szCs w:val="22"/>
        </w:rPr>
        <w:t>decide</w:t>
      </w:r>
      <w:r w:rsidRPr="00225C8E">
        <w:rPr>
          <w:rFonts w:ascii="Arial" w:eastAsiaTheme="minorEastAsia" w:hAnsi="Arial" w:cs="Arial"/>
          <w:color w:val="000000" w:themeColor="text1"/>
          <w:sz w:val="22"/>
          <w:szCs w:val="22"/>
        </w:rPr>
        <w:t>, and the respect of unwise decisions. Its application and value are in the least restrictive systems. Capacity should not rest on a person’s disability, the way in which they communicate, or a diagnosis. In the CQC’s consent framework, services must obtain valid consent and support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decisions (Care Quality Commission, 2024a). The safeguarding of choice in decision-making is undermined when risk-averse services limit the exercise of capacity.</w:t>
      </w:r>
    </w:p>
    <w:p w14:paraId="58B6B0E9" w14:textId="77777777" w:rsidR="00BD34B2" w:rsidRPr="00225C8E" w:rsidRDefault="00BD34B2" w:rsidP="00BD34B2">
      <w:pPr>
        <w:pStyle w:val="Heading2"/>
        <w:spacing w:before="120" w:after="100"/>
        <w:rPr>
          <w:rFonts w:ascii="Arial" w:hAnsi="Arial" w:cs="Arial"/>
          <w:b/>
          <w:bCs/>
          <w:color w:val="000000" w:themeColor="text1"/>
          <w:sz w:val="22"/>
          <w:szCs w:val="22"/>
        </w:rPr>
      </w:pPr>
      <w:r w:rsidRPr="00225C8E">
        <w:rPr>
          <w:rFonts w:ascii="Arial" w:hAnsi="Arial" w:cs="Arial"/>
          <w:b/>
          <w:bCs/>
          <w:color w:val="000000" w:themeColor="text1"/>
          <w:sz w:val="22"/>
          <w:szCs w:val="22"/>
        </w:rPr>
        <w:t>6.2 Equality, human rights and integrated care</w:t>
      </w:r>
      <w:bookmarkEnd w:id="12"/>
    </w:p>
    <w:p w14:paraId="73ADB501" w14:textId="6E8F11F8" w:rsidR="00BD34B2" w:rsidRPr="00225C8E" w:rsidRDefault="00BD34B2" w:rsidP="00BD34B2">
      <w:pPr>
        <w:pStyle w:val="Heading1"/>
        <w:spacing w:before="200" w:after="100"/>
        <w:rPr>
          <w:rFonts w:ascii="Arial" w:eastAsiaTheme="minorEastAsia" w:hAnsi="Arial" w:cs="Arial"/>
          <w:b/>
          <w:bCs/>
          <w:color w:val="000000" w:themeColor="text1"/>
          <w:sz w:val="22"/>
          <w:szCs w:val="22"/>
        </w:rPr>
      </w:pPr>
      <w:bookmarkStart w:id="13" w:name="bm_recs"/>
      <w:r w:rsidRPr="00225C8E">
        <w:rPr>
          <w:rFonts w:ascii="Arial" w:eastAsiaTheme="minorEastAsia" w:hAnsi="Arial" w:cs="Arial"/>
          <w:color w:val="000000" w:themeColor="text1"/>
          <w:sz w:val="22"/>
          <w:szCs w:val="22"/>
        </w:rPr>
        <w:t xml:space="preserve">The Equality Act 2010 mandates that services </w:t>
      </w:r>
      <w:r w:rsidR="00026D9F" w:rsidRPr="00225C8E">
        <w:rPr>
          <w:rFonts w:ascii="Arial" w:eastAsiaTheme="minorEastAsia" w:hAnsi="Arial" w:cs="Arial"/>
          <w:color w:val="000000" w:themeColor="text1"/>
          <w:sz w:val="22"/>
          <w:szCs w:val="22"/>
        </w:rPr>
        <w:t>do not discriminate</w:t>
      </w:r>
      <w:r w:rsidRPr="00225C8E">
        <w:rPr>
          <w:rFonts w:ascii="Arial" w:eastAsiaTheme="minorEastAsia" w:hAnsi="Arial" w:cs="Arial"/>
          <w:color w:val="000000" w:themeColor="text1"/>
          <w:sz w:val="22"/>
          <w:szCs w:val="22"/>
        </w:rPr>
        <w:t xml:space="preserve"> and make reasonable adjustments. Physical accessibility of buildings and the provision of accessible communication, flexible appointment systems and the provision of different/easier types of equipment may be reasonable adjustments. CQC (2024b) outlines that care plans must incorporate physical, mental, emotional and social needs, including those needs associated with protected characteristics. The goal of equality is to ensure that individuals with the same needs receive the same service. However, different support may be needed to achieve that goal.</w:t>
      </w:r>
    </w:p>
    <w:p w14:paraId="6A05E9D0" w14:textId="09834666"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The Human Rights Act 1998 concerns an individual’s rights to dignity, liberty, and privacy, as well as their rights to their home and family life. These have special significance to the provision of paid support within an individual’s home. CQC (2023) refers to the intersection of human rights and person-</w:t>
      </w:r>
      <w:r w:rsidR="00026D9F" w:rsidRPr="00225C8E">
        <w:rPr>
          <w:rFonts w:ascii="Arial" w:eastAsiaTheme="minorEastAsia" w:hAnsi="Arial" w:cs="Arial"/>
          <w:color w:val="000000" w:themeColor="text1"/>
          <w:sz w:val="22"/>
          <w:szCs w:val="22"/>
        </w:rPr>
        <w:t>centred</w:t>
      </w:r>
      <w:r w:rsidRPr="00225C8E">
        <w:rPr>
          <w:rFonts w:ascii="Arial" w:eastAsiaTheme="minorEastAsia" w:hAnsi="Arial" w:cs="Arial"/>
          <w:color w:val="000000" w:themeColor="text1"/>
          <w:sz w:val="22"/>
          <w:szCs w:val="22"/>
        </w:rPr>
        <w:t xml:space="preserve"> care in the context of the rights of an individual, as the provision of care support is necessarily concerned with the imposition of restrictions on an individual’s right to care. The Health and Care Act 2022 establishes multi-PW Integrated Care Boards and Integrated Care Partnerships. While it creates the basis and opportunity for interconnected planning, plurality of pathways, legislation in and of itself cannot address conflicting and inadequate workforce planning.</w:t>
      </w:r>
    </w:p>
    <w:p w14:paraId="7FE7B38A" w14:textId="77777777"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Policy is supportive of PCC and PW when legal obligations have been established in a practical, formal, and consistent manner.</w:t>
      </w:r>
    </w:p>
    <w:p w14:paraId="7CC47E65" w14:textId="77777777" w:rsidR="00BD34B2" w:rsidRPr="00225C8E" w:rsidRDefault="00BD34B2" w:rsidP="00BD34B2">
      <w:pPr>
        <w:pStyle w:val="Heading1"/>
        <w:spacing w:before="200" w:after="100"/>
        <w:rPr>
          <w:rFonts w:ascii="Arial" w:hAnsi="Arial" w:cs="Arial"/>
          <w:color w:val="000000" w:themeColor="text1"/>
          <w:sz w:val="22"/>
          <w:szCs w:val="22"/>
        </w:rPr>
      </w:pPr>
    </w:p>
    <w:p w14:paraId="29283D4E" w14:textId="77777777" w:rsidR="00BD34B2" w:rsidRPr="00225C8E" w:rsidRDefault="00BD34B2" w:rsidP="00BD34B2">
      <w:pPr>
        <w:pStyle w:val="Heading1"/>
        <w:spacing w:before="200" w:after="100"/>
        <w:rPr>
          <w:rFonts w:ascii="Arial" w:hAnsi="Arial" w:cs="Arial"/>
          <w:color w:val="000000" w:themeColor="text1"/>
          <w:sz w:val="22"/>
          <w:szCs w:val="22"/>
        </w:rPr>
      </w:pPr>
    </w:p>
    <w:p w14:paraId="7CCD7EC7" w14:textId="77777777" w:rsidR="00BD34B2" w:rsidRPr="00225C8E" w:rsidRDefault="00BD34B2" w:rsidP="00BD34B2">
      <w:pPr>
        <w:pStyle w:val="Heading1"/>
        <w:spacing w:before="200" w:after="100"/>
        <w:rPr>
          <w:rFonts w:ascii="Arial" w:hAnsi="Arial" w:cs="Arial"/>
          <w:color w:val="000000" w:themeColor="text1"/>
          <w:sz w:val="22"/>
          <w:szCs w:val="22"/>
        </w:rPr>
      </w:pPr>
    </w:p>
    <w:p w14:paraId="0AF2E968" w14:textId="77777777" w:rsidR="00BD34B2" w:rsidRPr="00225C8E" w:rsidRDefault="00BD34B2" w:rsidP="00BD34B2">
      <w:pPr>
        <w:pStyle w:val="Heading1"/>
        <w:spacing w:before="200" w:after="100"/>
        <w:rPr>
          <w:rFonts w:ascii="Arial" w:hAnsi="Arial" w:cs="Arial"/>
          <w:color w:val="000000" w:themeColor="text1"/>
          <w:sz w:val="22"/>
          <w:szCs w:val="22"/>
        </w:rPr>
      </w:pPr>
    </w:p>
    <w:p w14:paraId="76DFB34F" w14:textId="59AABADA" w:rsidR="00BD34B2" w:rsidRPr="00225C8E" w:rsidRDefault="00BD34B2" w:rsidP="00BD34B2">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7. Recommendations</w:t>
      </w:r>
      <w:bookmarkEnd w:id="13"/>
    </w:p>
    <w:p w14:paraId="7EEED967" w14:textId="77777777" w:rsidR="00BD34B2" w:rsidRPr="00225C8E" w:rsidRDefault="00BD34B2" w:rsidP="00BD34B2">
      <w:pPr>
        <w:pStyle w:val="Heading1"/>
        <w:spacing w:before="200" w:after="100"/>
        <w:rPr>
          <w:rFonts w:ascii="Arial" w:eastAsiaTheme="minorEastAsia" w:hAnsi="Arial" w:cs="Arial"/>
          <w:b/>
          <w:bCs/>
          <w:color w:val="000000" w:themeColor="text1"/>
          <w:sz w:val="22"/>
          <w:szCs w:val="22"/>
        </w:rPr>
      </w:pPr>
      <w:bookmarkStart w:id="14" w:name="bm_conc"/>
      <w:r w:rsidRPr="00225C8E">
        <w:rPr>
          <w:rFonts w:ascii="Arial" w:eastAsiaTheme="minorEastAsia" w:hAnsi="Arial" w:cs="Arial"/>
          <w:color w:val="000000" w:themeColor="text1"/>
          <w:sz w:val="22"/>
          <w:szCs w:val="22"/>
        </w:rPr>
        <w:t>First, supported living providers and commissioners should develop a single care and support plan that people can co-produce. The plan can be accessed, edited, and shared with consent. A person should be assigned the responsibility of tracking the actions across health, social care, and housing. This would solve the issues of unclear responsibility and the need for people to continually describe their situation. However, this would require funded developments of systems that are secure and compatible.</w:t>
      </w:r>
    </w:p>
    <w:p w14:paraId="130F60C1" w14:textId="3A81D468"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Second, there should be joint training delivered that includes supported decision making, positive risk taking, disability equality, and the provision of accessible communication. The training should include the supervision of staff in a reflective </w:t>
      </w:r>
      <w:r w:rsidR="00026D9F" w:rsidRPr="00225C8E">
        <w:rPr>
          <w:rFonts w:ascii="Arial" w:eastAsiaTheme="minorEastAsia" w:hAnsi="Arial" w:cs="Arial"/>
          <w:color w:val="000000" w:themeColor="text1"/>
          <w:sz w:val="22"/>
          <w:szCs w:val="22"/>
        </w:rPr>
        <w:t>way and</w:t>
      </w:r>
      <w:r w:rsidRPr="00225C8E">
        <w:rPr>
          <w:rFonts w:ascii="Arial" w:eastAsiaTheme="minorEastAsia" w:hAnsi="Arial" w:cs="Arial"/>
          <w:color w:val="000000" w:themeColor="text1"/>
          <w:sz w:val="22"/>
          <w:szCs w:val="22"/>
        </w:rPr>
        <w:t xml:space="preserve"> should include the review of real cases. This is in contrast to brief online training that staff are often required to complete. The consistent staffing of teams should support the provision of training. This should also include the provision of training opportunities and the creation of time to engage in partnership work.</w:t>
      </w:r>
    </w:p>
    <w:p w14:paraId="4FFF86B5" w14:textId="20A71492" w:rsidR="00BD34B2" w:rsidRPr="00225C8E" w:rsidRDefault="00BD34B2" w:rsidP="00BD34B2">
      <w:pPr>
        <w:pStyle w:val="Heading1"/>
        <w:spacing w:before="200" w:after="100"/>
        <w:rPr>
          <w:rFonts w:ascii="Arial" w:eastAsiaTheme="minorEastAsia" w:hAnsi="Arial" w:cs="Arial"/>
          <w:b/>
          <w:bCs/>
          <w:color w:val="000000" w:themeColor="text1"/>
          <w:sz w:val="22"/>
          <w:szCs w:val="22"/>
        </w:rPr>
      </w:pPr>
      <w:r w:rsidRPr="00225C8E">
        <w:rPr>
          <w:rFonts w:ascii="Arial" w:eastAsiaTheme="minorEastAsia" w:hAnsi="Arial" w:cs="Arial"/>
          <w:color w:val="000000" w:themeColor="text1"/>
          <w:sz w:val="22"/>
          <w:szCs w:val="22"/>
        </w:rPr>
        <w:t xml:space="preserve">Third, services should incorporate goals related to control, participation, relationships, and confidence of those using the service, in addition to the goals pertaining to the safety of service users. Services should routinely review if adjustments were made, and if the person attended the review. This set of recommendations would require funding and </w:t>
      </w:r>
      <w:r w:rsidR="00026D9F" w:rsidRPr="00225C8E">
        <w:rPr>
          <w:rFonts w:ascii="Arial" w:eastAsiaTheme="minorEastAsia" w:hAnsi="Arial" w:cs="Arial"/>
          <w:color w:val="000000" w:themeColor="text1"/>
          <w:sz w:val="22"/>
          <w:szCs w:val="22"/>
        </w:rPr>
        <w:t>leadership and</w:t>
      </w:r>
      <w:r w:rsidRPr="00225C8E">
        <w:rPr>
          <w:rFonts w:ascii="Arial" w:eastAsiaTheme="minorEastAsia" w:hAnsi="Arial" w:cs="Arial"/>
          <w:color w:val="000000" w:themeColor="text1"/>
          <w:sz w:val="22"/>
          <w:szCs w:val="22"/>
        </w:rPr>
        <w:t xml:space="preserve"> are likely to be less of a burden than the additional paperwork that does not improve PCC.</w:t>
      </w:r>
    </w:p>
    <w:p w14:paraId="18DFA93E" w14:textId="77777777" w:rsidR="00BD34B2" w:rsidRPr="00225C8E" w:rsidRDefault="00BD34B2" w:rsidP="00BD34B2">
      <w:pPr>
        <w:rPr>
          <w:rFonts w:ascii="Arial" w:hAnsi="Arial" w:cs="Arial"/>
          <w:color w:val="000000" w:themeColor="text1"/>
          <w:sz w:val="22"/>
          <w:szCs w:val="22"/>
        </w:rPr>
      </w:pPr>
    </w:p>
    <w:p w14:paraId="6C51F1BC" w14:textId="77777777" w:rsidR="00BD34B2" w:rsidRPr="00225C8E" w:rsidRDefault="00BD34B2" w:rsidP="00BD34B2">
      <w:pPr>
        <w:pStyle w:val="Heading1"/>
        <w:spacing w:before="200" w:after="100"/>
        <w:rPr>
          <w:rFonts w:ascii="Arial" w:hAnsi="Arial" w:cs="Arial"/>
          <w:color w:val="000000" w:themeColor="text1"/>
          <w:sz w:val="22"/>
          <w:szCs w:val="22"/>
        </w:rPr>
      </w:pPr>
    </w:p>
    <w:p w14:paraId="6CD2586C" w14:textId="77777777" w:rsidR="00BD34B2" w:rsidRPr="00225C8E" w:rsidRDefault="00BD34B2" w:rsidP="00BD34B2">
      <w:pPr>
        <w:pStyle w:val="Heading1"/>
        <w:spacing w:before="200" w:after="100"/>
        <w:rPr>
          <w:rFonts w:ascii="Arial" w:hAnsi="Arial" w:cs="Arial"/>
          <w:color w:val="000000" w:themeColor="text1"/>
          <w:sz w:val="22"/>
          <w:szCs w:val="22"/>
        </w:rPr>
      </w:pPr>
    </w:p>
    <w:p w14:paraId="74F27152" w14:textId="77777777" w:rsidR="00BD34B2" w:rsidRPr="00225C8E" w:rsidRDefault="00BD34B2" w:rsidP="00BD34B2">
      <w:pPr>
        <w:pStyle w:val="Heading1"/>
        <w:spacing w:before="200" w:after="100"/>
        <w:rPr>
          <w:rFonts w:ascii="Arial" w:hAnsi="Arial" w:cs="Arial"/>
          <w:color w:val="000000" w:themeColor="text1"/>
          <w:sz w:val="22"/>
          <w:szCs w:val="22"/>
        </w:rPr>
      </w:pPr>
    </w:p>
    <w:p w14:paraId="4F59E9FA" w14:textId="77777777" w:rsidR="00BD34B2" w:rsidRPr="00225C8E" w:rsidRDefault="00BD34B2" w:rsidP="00BD34B2">
      <w:pPr>
        <w:pStyle w:val="Heading1"/>
        <w:spacing w:before="200" w:after="100"/>
        <w:rPr>
          <w:rFonts w:ascii="Arial" w:hAnsi="Arial" w:cs="Arial"/>
          <w:color w:val="000000" w:themeColor="text1"/>
          <w:sz w:val="22"/>
          <w:szCs w:val="22"/>
        </w:rPr>
      </w:pPr>
    </w:p>
    <w:p w14:paraId="79578CA9" w14:textId="77777777" w:rsidR="00BD34B2" w:rsidRPr="00225C8E" w:rsidRDefault="00BD34B2" w:rsidP="00BD34B2">
      <w:pPr>
        <w:pStyle w:val="Heading1"/>
        <w:spacing w:before="200" w:after="100"/>
        <w:rPr>
          <w:rFonts w:ascii="Arial" w:hAnsi="Arial" w:cs="Arial"/>
          <w:color w:val="000000" w:themeColor="text1"/>
          <w:sz w:val="22"/>
          <w:szCs w:val="22"/>
        </w:rPr>
      </w:pPr>
    </w:p>
    <w:p w14:paraId="016A1590" w14:textId="77777777" w:rsidR="00BD34B2" w:rsidRPr="00225C8E" w:rsidRDefault="00BD34B2" w:rsidP="00BD34B2">
      <w:pPr>
        <w:pStyle w:val="Heading1"/>
        <w:spacing w:before="200" w:after="100"/>
        <w:rPr>
          <w:rFonts w:ascii="Arial" w:hAnsi="Arial" w:cs="Arial"/>
          <w:color w:val="000000" w:themeColor="text1"/>
          <w:sz w:val="22"/>
          <w:szCs w:val="22"/>
        </w:rPr>
      </w:pPr>
    </w:p>
    <w:p w14:paraId="7C74D2F8" w14:textId="77777777" w:rsidR="00BD34B2" w:rsidRPr="00225C8E" w:rsidRDefault="00BD34B2" w:rsidP="00BD34B2">
      <w:pPr>
        <w:pStyle w:val="Heading1"/>
        <w:spacing w:before="200" w:after="100"/>
        <w:rPr>
          <w:rFonts w:ascii="Arial" w:hAnsi="Arial" w:cs="Arial"/>
          <w:color w:val="000000" w:themeColor="text1"/>
          <w:sz w:val="22"/>
          <w:szCs w:val="22"/>
        </w:rPr>
      </w:pPr>
    </w:p>
    <w:p w14:paraId="31B0AED6" w14:textId="77777777" w:rsidR="00225C8E" w:rsidRDefault="00225C8E" w:rsidP="00BD34B2">
      <w:pPr>
        <w:pStyle w:val="Heading1"/>
        <w:spacing w:before="200" w:after="100"/>
        <w:rPr>
          <w:rFonts w:ascii="Arial" w:hAnsi="Arial" w:cs="Arial"/>
          <w:color w:val="000000" w:themeColor="text1"/>
          <w:sz w:val="22"/>
          <w:szCs w:val="22"/>
        </w:rPr>
      </w:pPr>
    </w:p>
    <w:p w14:paraId="6729D4FA" w14:textId="77777777" w:rsidR="00225C8E" w:rsidRDefault="00225C8E" w:rsidP="00BD34B2">
      <w:pPr>
        <w:pStyle w:val="Heading1"/>
        <w:spacing w:before="200" w:after="100"/>
        <w:rPr>
          <w:rFonts w:ascii="Arial" w:hAnsi="Arial" w:cs="Arial"/>
          <w:color w:val="000000" w:themeColor="text1"/>
          <w:sz w:val="22"/>
          <w:szCs w:val="22"/>
        </w:rPr>
      </w:pPr>
    </w:p>
    <w:p w14:paraId="09DD1040" w14:textId="77777777" w:rsidR="00225C8E" w:rsidRDefault="00225C8E" w:rsidP="00BD34B2">
      <w:pPr>
        <w:pStyle w:val="Heading1"/>
        <w:spacing w:before="200" w:after="100"/>
        <w:rPr>
          <w:rFonts w:ascii="Arial" w:hAnsi="Arial" w:cs="Arial"/>
          <w:color w:val="000000" w:themeColor="text1"/>
          <w:sz w:val="22"/>
          <w:szCs w:val="22"/>
        </w:rPr>
      </w:pPr>
    </w:p>
    <w:p w14:paraId="68F0411D" w14:textId="77777777" w:rsidR="00AF3EFD" w:rsidRPr="00AF3EFD" w:rsidRDefault="00AF3EFD" w:rsidP="00AF3EFD"/>
    <w:p w14:paraId="57D6AC00" w14:textId="77777777" w:rsidR="00225C8E" w:rsidRDefault="00225C8E" w:rsidP="00BD34B2">
      <w:pPr>
        <w:pStyle w:val="Heading1"/>
        <w:spacing w:before="200" w:after="100"/>
        <w:rPr>
          <w:rFonts w:ascii="Arial" w:hAnsi="Arial" w:cs="Arial"/>
          <w:color w:val="000000" w:themeColor="text1"/>
          <w:sz w:val="22"/>
          <w:szCs w:val="22"/>
        </w:rPr>
      </w:pPr>
    </w:p>
    <w:p w14:paraId="2B1075E5" w14:textId="77777777" w:rsidR="00AF3EFD" w:rsidRPr="00AF3EFD" w:rsidRDefault="00AF3EFD" w:rsidP="00AF3EFD"/>
    <w:p w14:paraId="576C810B" w14:textId="5D9FD5B7" w:rsidR="00BD34B2" w:rsidRPr="00225C8E" w:rsidRDefault="00BD34B2" w:rsidP="00BD34B2">
      <w:pPr>
        <w:pStyle w:val="Heading1"/>
        <w:spacing w:before="200" w:after="100"/>
        <w:rPr>
          <w:rFonts w:ascii="Arial" w:hAnsi="Arial" w:cs="Arial"/>
          <w:b/>
          <w:bCs/>
          <w:color w:val="000000" w:themeColor="text1"/>
          <w:sz w:val="22"/>
          <w:szCs w:val="22"/>
        </w:rPr>
      </w:pPr>
      <w:r w:rsidRPr="00225C8E">
        <w:rPr>
          <w:rFonts w:ascii="Arial" w:hAnsi="Arial" w:cs="Arial"/>
          <w:b/>
          <w:bCs/>
          <w:color w:val="000000" w:themeColor="text1"/>
          <w:sz w:val="22"/>
          <w:szCs w:val="22"/>
        </w:rPr>
        <w:lastRenderedPageBreak/>
        <w:t>8. Conclusion</w:t>
      </w:r>
      <w:bookmarkEnd w:id="14"/>
    </w:p>
    <w:p w14:paraId="789F74CF" w14:textId="77777777" w:rsidR="00BD34B2" w:rsidRPr="00225C8E" w:rsidRDefault="00BD34B2" w:rsidP="00BD34B2">
      <w:pPr>
        <w:rPr>
          <w:rFonts w:ascii="Arial" w:hAnsi="Arial" w:cs="Arial"/>
          <w:color w:val="000000" w:themeColor="text1"/>
          <w:sz w:val="22"/>
          <w:szCs w:val="22"/>
        </w:rPr>
      </w:pPr>
      <w:r w:rsidRPr="00225C8E">
        <w:rPr>
          <w:rFonts w:ascii="Arial" w:hAnsi="Arial" w:cs="Arial"/>
          <w:color w:val="000000" w:themeColor="text1"/>
          <w:sz w:val="22"/>
          <w:szCs w:val="22"/>
        </w:rPr>
        <w:t>PCC and PW have a strong relationship in the field of supported living. PCC focuses on capturing the individual, identity, values, and goals in the decision-making process. PW works to bring together all the relevant entities to the goals of the individual. The social model works to diminish the disabling barriers and the use of professional power and, although clinical knowledge is required, it works well with the social model. The provision of ethical practice demands a more reasoned and less instinctive approach to the safety versus choice issue. UK policies have developed into a strong framework under the duties of well-being, capacity, equality, and human rights, along with integrated care, but fragmentation, workforce shortages, and risk-averse cultures have limited the scope of new policies. The most viable and credible means of moving forward is planning in co-production with named coordination, accessible communication, and dedicated, stable staff, with evaluation against meaningful outcomes for the individual.</w:t>
      </w:r>
      <w:r w:rsidRPr="00225C8E">
        <w:rPr>
          <w:rFonts w:ascii="Arial" w:hAnsi="Arial" w:cs="Arial"/>
          <w:color w:val="000000" w:themeColor="text1"/>
          <w:sz w:val="22"/>
          <w:szCs w:val="22"/>
        </w:rPr>
        <w:br w:type="page"/>
      </w:r>
    </w:p>
    <w:p w14:paraId="18512608" w14:textId="77777777" w:rsidR="00BD34B2" w:rsidRDefault="00BD34B2" w:rsidP="00BD34B2">
      <w:pPr>
        <w:pStyle w:val="Heading1"/>
        <w:spacing w:before="200" w:after="100"/>
      </w:pPr>
      <w:bookmarkStart w:id="15" w:name="bm_refs"/>
      <w:r>
        <w:rPr>
          <w:rFonts w:ascii="Arial" w:hAnsi="Arial"/>
        </w:rPr>
        <w:lastRenderedPageBreak/>
        <w:t>Reference List</w:t>
      </w:r>
      <w:bookmarkEnd w:id="15"/>
    </w:p>
    <w:p w14:paraId="7C2CCBE8" w14:textId="77777777" w:rsidR="00BD34B2" w:rsidRDefault="00BD34B2" w:rsidP="00BD34B2">
      <w:pPr>
        <w:pStyle w:val="ListParagraph"/>
        <w:numPr>
          <w:ilvl w:val="0"/>
          <w:numId w:val="2"/>
        </w:numPr>
        <w:spacing w:after="140" w:line="360" w:lineRule="auto"/>
      </w:pPr>
      <w:r>
        <w:t xml:space="preserve">Beauchamp, T.L. and Childress, J.F. (2019) Principles of biomedical ethics. 8th edn. New York: Oxford University Press. Available at: </w:t>
      </w:r>
      <w:hyperlink r:id="rId7" w:history="1">
        <w:r w:rsidRPr="00786C09">
          <w:rPr>
            <w:rStyle w:val="Hyperlink"/>
          </w:rPr>
          <w:t>https://global.oup.com/ukhe/product/principles-of-biomedical-ethics-9780190640873</w:t>
        </w:r>
      </w:hyperlink>
      <w:r>
        <w:rPr>
          <w:u w:val="single"/>
        </w:rPr>
        <w:t xml:space="preserve"> </w:t>
      </w:r>
      <w:r>
        <w:t xml:space="preserve"> (Accessed: 18 July 2026).</w:t>
      </w:r>
    </w:p>
    <w:p w14:paraId="5D977CAA" w14:textId="77777777" w:rsidR="00BD34B2" w:rsidRDefault="00BD34B2" w:rsidP="00BD34B2">
      <w:pPr>
        <w:pStyle w:val="ListParagraph"/>
        <w:numPr>
          <w:ilvl w:val="0"/>
          <w:numId w:val="2"/>
        </w:numPr>
        <w:spacing w:after="140" w:line="360" w:lineRule="auto"/>
      </w:pPr>
      <w:r>
        <w:t xml:space="preserve">Care Quality Commission (2023) Human rights Articles relevant to health and social care. Available at: </w:t>
      </w:r>
      <w:hyperlink r:id="rId8" w:history="1">
        <w:r w:rsidRPr="00786C09">
          <w:rPr>
            <w:rStyle w:val="Hyperlink"/>
          </w:rPr>
          <w:t>https://www.cqc.org.uk/about-us/our-updated-human-rights-approach/human-rights-articles-relevant-health-and-social-care</w:t>
        </w:r>
      </w:hyperlink>
      <w:r>
        <w:t xml:space="preserve"> (Accessed: 18 July 2026).</w:t>
      </w:r>
    </w:p>
    <w:p w14:paraId="1796697D" w14:textId="77777777" w:rsidR="00BD34B2" w:rsidRDefault="00BD34B2" w:rsidP="00BD34B2">
      <w:pPr>
        <w:pStyle w:val="ListParagraph"/>
        <w:numPr>
          <w:ilvl w:val="0"/>
          <w:numId w:val="2"/>
        </w:numPr>
        <w:spacing w:after="140" w:line="360" w:lineRule="auto"/>
      </w:pPr>
      <w:r>
        <w:t xml:space="preserve">Care Quality Commission (2024a) Consent to care and treatment - Assessment framework. Available at: </w:t>
      </w:r>
      <w:hyperlink r:id="rId9" w:history="1">
        <w:r w:rsidRPr="00786C09">
          <w:rPr>
            <w:rStyle w:val="Hyperlink"/>
          </w:rPr>
          <w:t>https://www.cqc.org.uk/guidance-regulation/providers/assessment/single-assessment-framework/effective/consent-care-treatment</w:t>
        </w:r>
      </w:hyperlink>
      <w:r>
        <w:rPr>
          <w:u w:val="single"/>
        </w:rPr>
        <w:t xml:space="preserve"> </w:t>
      </w:r>
      <w:r>
        <w:t xml:space="preserve"> (Accessed: 18 July 2026).</w:t>
      </w:r>
    </w:p>
    <w:p w14:paraId="0059B130" w14:textId="77777777" w:rsidR="00BD34B2" w:rsidRDefault="00BD34B2" w:rsidP="00BD34B2">
      <w:pPr>
        <w:pStyle w:val="ListParagraph"/>
        <w:numPr>
          <w:ilvl w:val="0"/>
          <w:numId w:val="2"/>
        </w:numPr>
        <w:spacing w:after="140" w:line="360" w:lineRule="auto"/>
      </w:pPr>
      <w:r>
        <w:t xml:space="preserve">Care Quality Commission (2024b) Person-centred care - Assessment framework. Available at: </w:t>
      </w:r>
      <w:hyperlink r:id="rId10" w:history="1">
        <w:r w:rsidRPr="00786C09">
          <w:rPr>
            <w:rStyle w:val="Hyperlink"/>
          </w:rPr>
          <w:t>https://www.cqc.org.uk/guidance-regulation/providers/assessment/single-assessment-framework/responsive/person-centred-care</w:t>
        </w:r>
      </w:hyperlink>
      <w:r>
        <w:rPr>
          <w:u w:val="single"/>
        </w:rPr>
        <w:t xml:space="preserve"> </w:t>
      </w:r>
      <w:r>
        <w:t xml:space="preserve"> (Accessed: 18 July 2026).</w:t>
      </w:r>
    </w:p>
    <w:p w14:paraId="0BEF2A93" w14:textId="77777777" w:rsidR="00BD34B2" w:rsidRDefault="00BD34B2" w:rsidP="00BD34B2">
      <w:pPr>
        <w:pStyle w:val="ListParagraph"/>
        <w:numPr>
          <w:ilvl w:val="0"/>
          <w:numId w:val="2"/>
        </w:numPr>
        <w:spacing w:after="140" w:line="360" w:lineRule="auto"/>
      </w:pPr>
      <w:r>
        <w:t xml:space="preserve">Department of Health and Social Care (2025) Care and support statutory guidance. Available at: </w:t>
      </w:r>
      <w:hyperlink r:id="rId11" w:history="1">
        <w:r w:rsidRPr="00786C09">
          <w:rPr>
            <w:rStyle w:val="Hyperlink"/>
          </w:rPr>
          <w:t>https://www.gov.uk/government/publications/care-act-statutory-guidance/care-and-support-statutory-guidance</w:t>
        </w:r>
      </w:hyperlink>
      <w:r>
        <w:rPr>
          <w:u w:val="single"/>
        </w:rPr>
        <w:t xml:space="preserve"> </w:t>
      </w:r>
      <w:r>
        <w:t xml:space="preserve"> (Accessed: 18 July 2026).</w:t>
      </w:r>
    </w:p>
    <w:p w14:paraId="7140FC5A" w14:textId="77777777" w:rsidR="00BD34B2" w:rsidRDefault="00BD34B2" w:rsidP="00BD34B2">
      <w:pPr>
        <w:pStyle w:val="ListParagraph"/>
        <w:numPr>
          <w:ilvl w:val="0"/>
          <w:numId w:val="2"/>
        </w:numPr>
        <w:spacing w:after="140" w:line="360" w:lineRule="auto"/>
      </w:pPr>
      <w:r>
        <w:t xml:space="preserve">Fix, G.M., VanDeusen Lukas, C., Bolton, R.E., Hill, J.N., Mueller, N., LaVela, S.L. and Bokhour, B.G. (2018) ‘Patient-centred care is a way of doing things: how healthcare employees conceptualize patient-centred care’, Health Expectations, 21(1), pp. 300-307. Available at: </w:t>
      </w:r>
      <w:hyperlink r:id="rId12" w:history="1">
        <w:r w:rsidRPr="00786C09">
          <w:rPr>
            <w:rStyle w:val="Hyperlink"/>
          </w:rPr>
          <w:t>https://doi.org/10.1111/hex.12615</w:t>
        </w:r>
      </w:hyperlink>
      <w:r>
        <w:rPr>
          <w:u w:val="single"/>
        </w:rPr>
        <w:t xml:space="preserve"> </w:t>
      </w:r>
      <w:r>
        <w:t xml:space="preserve"> (Accessed: 18 July 2026).</w:t>
      </w:r>
    </w:p>
    <w:p w14:paraId="651E04B1" w14:textId="46F65DDC" w:rsidR="00BD34B2" w:rsidRDefault="00BD34B2" w:rsidP="00BD34B2">
      <w:pPr>
        <w:pStyle w:val="ListParagraph"/>
        <w:numPr>
          <w:ilvl w:val="0"/>
          <w:numId w:val="2"/>
        </w:numPr>
        <w:spacing w:after="140" w:line="360" w:lineRule="auto"/>
      </w:pPr>
      <w:r>
        <w:t>Håkansson Eklund, J., Holmström, I.K., Kumlin, T., Kaminsky, E., Skoglund, K., Höglander, J., Sundler, A.J., Condén, E. and Summer Meranius, M. (2019) ‘Same same or different? A review of reviews of person-</w:t>
      </w:r>
      <w:r w:rsidR="0099240E">
        <w:t>centred</w:t>
      </w:r>
      <w:r>
        <w:t xml:space="preserve"> and patient-centered care’, Patient Education and </w:t>
      </w:r>
      <w:r w:rsidR="0099240E">
        <w:t>Counselling</w:t>
      </w:r>
      <w:r>
        <w:t xml:space="preserve">, 102(1), pp. 3-11. Available at: </w:t>
      </w:r>
      <w:hyperlink r:id="rId13" w:history="1">
        <w:r w:rsidRPr="00786C09">
          <w:rPr>
            <w:rStyle w:val="Hyperlink"/>
          </w:rPr>
          <w:t>https://doi.org/10.1016/j.pec.2018.08.029</w:t>
        </w:r>
      </w:hyperlink>
      <w:r>
        <w:rPr>
          <w:u w:val="single"/>
        </w:rPr>
        <w:t xml:space="preserve"> </w:t>
      </w:r>
      <w:r>
        <w:t xml:space="preserve"> (Accessed: 18 July 2026).</w:t>
      </w:r>
    </w:p>
    <w:p w14:paraId="4BA6DC88" w14:textId="77777777" w:rsidR="00BD34B2" w:rsidRDefault="00BD34B2" w:rsidP="00BD34B2">
      <w:pPr>
        <w:pStyle w:val="ListParagraph"/>
        <w:numPr>
          <w:ilvl w:val="0"/>
          <w:numId w:val="2"/>
        </w:numPr>
        <w:spacing w:after="140" w:line="360" w:lineRule="auto"/>
      </w:pPr>
      <w:r>
        <w:lastRenderedPageBreak/>
        <w:t xml:space="preserve">Lawson, A. and Beckett, A.E. (2021) ‘The social and human rights models of disability: towards a complementarity thesis’, The International Journal of Human Rights, 25(2), pp. 348-379. Available at: </w:t>
      </w:r>
      <w:hyperlink r:id="rId14" w:history="1">
        <w:r w:rsidRPr="00786C09">
          <w:rPr>
            <w:rStyle w:val="Hyperlink"/>
          </w:rPr>
          <w:t>https://doi.org/10.1080/13642987.2020.1783533</w:t>
        </w:r>
      </w:hyperlink>
      <w:r>
        <w:rPr>
          <w:u w:val="single"/>
        </w:rPr>
        <w:t xml:space="preserve"> </w:t>
      </w:r>
      <w:r>
        <w:t xml:space="preserve"> (Accessed: 18 July 2026).</w:t>
      </w:r>
    </w:p>
    <w:p w14:paraId="5B672C44" w14:textId="77777777" w:rsidR="00BD34B2" w:rsidRDefault="00BD34B2" w:rsidP="00BD34B2">
      <w:pPr>
        <w:pStyle w:val="ListParagraph"/>
        <w:numPr>
          <w:ilvl w:val="0"/>
          <w:numId w:val="2"/>
        </w:numPr>
        <w:spacing w:after="140" w:line="360" w:lineRule="auto"/>
      </w:pPr>
      <w:r>
        <w:t xml:space="preserve">Local Government Association (2022) Get in on the Act: Health and Care Act 2022. Available at: </w:t>
      </w:r>
      <w:hyperlink r:id="rId15" w:history="1">
        <w:r w:rsidRPr="00786C09">
          <w:rPr>
            <w:rStyle w:val="Hyperlink"/>
          </w:rPr>
          <w:t>https://www.local.gov.uk/publications/get-act-health-and-care-act-2022</w:t>
        </w:r>
      </w:hyperlink>
      <w:r>
        <w:rPr>
          <w:u w:val="single"/>
        </w:rPr>
        <w:t xml:space="preserve"> </w:t>
      </w:r>
      <w:r>
        <w:t xml:space="preserve"> (Accessed: 18 July 2026).</w:t>
      </w:r>
    </w:p>
    <w:p w14:paraId="201A04E5" w14:textId="77777777" w:rsidR="00BD34B2" w:rsidRDefault="00BD34B2" w:rsidP="00BD34B2">
      <w:pPr>
        <w:pStyle w:val="ListParagraph"/>
        <w:numPr>
          <w:ilvl w:val="0"/>
          <w:numId w:val="2"/>
        </w:numPr>
        <w:spacing w:after="140" w:line="360" w:lineRule="auto"/>
      </w:pPr>
      <w:r>
        <w:t xml:space="preserve">McCormack, B. and McCance, T. (eds) (2017) Person-centred practice in nursing and health care: theory and practice. 2nd edn. Chichester: Wiley-Blackwell. Available at: </w:t>
      </w:r>
      <w:hyperlink r:id="rId16" w:history="1">
        <w:r w:rsidRPr="00786C09">
          <w:rPr>
            <w:rStyle w:val="Hyperlink"/>
          </w:rPr>
          <w:t>https://www.wiley.com/en-us/Person-Centred%2BPractice%2Bin%2BNursing%2Band%2BHealth%2BCare%3A%2BTheory%2Band%2BPractice%2C%2B2nd%2BEdition-p-9781118990568</w:t>
        </w:r>
      </w:hyperlink>
      <w:r>
        <w:rPr>
          <w:u w:val="single"/>
        </w:rPr>
        <w:t xml:space="preserve"> </w:t>
      </w:r>
      <w:r>
        <w:t xml:space="preserve"> (Accessed: 19 July 2026).</w:t>
      </w:r>
    </w:p>
    <w:p w14:paraId="213A9704" w14:textId="77777777" w:rsidR="00BD34B2" w:rsidRDefault="00BD34B2" w:rsidP="00BD34B2">
      <w:pPr>
        <w:pStyle w:val="ListParagraph"/>
        <w:numPr>
          <w:ilvl w:val="0"/>
          <w:numId w:val="2"/>
        </w:numPr>
        <w:spacing w:after="140" w:line="360" w:lineRule="auto"/>
      </w:pPr>
      <w:r>
        <w:t xml:space="preserve">McWilliams, A., Ariyo, K., David, A.S. and Owen, G.S. (2024) ‘Mental capacity assessment in the multi-professional real world: a qualitative study of six areas of uncertainty’, Wellcome Open Research, 9, 221. Available at: </w:t>
      </w:r>
      <w:hyperlink r:id="rId17" w:history="1">
        <w:r w:rsidRPr="00786C09">
          <w:rPr>
            <w:rStyle w:val="Hyperlink"/>
          </w:rPr>
          <w:t>https://doi.org/10.12688/wellcomeopenres.20952.1</w:t>
        </w:r>
      </w:hyperlink>
      <w:r>
        <w:rPr>
          <w:u w:val="single"/>
        </w:rPr>
        <w:t xml:space="preserve"> </w:t>
      </w:r>
      <w:r>
        <w:t xml:space="preserve"> (Accessed: 19 July 2026).</w:t>
      </w:r>
    </w:p>
    <w:p w14:paraId="5FC0356A" w14:textId="77777777" w:rsidR="00BD34B2" w:rsidRDefault="00BD34B2" w:rsidP="00BD34B2">
      <w:pPr>
        <w:pStyle w:val="ListParagraph"/>
        <w:numPr>
          <w:ilvl w:val="0"/>
          <w:numId w:val="2"/>
        </w:numPr>
        <w:spacing w:after="140" w:line="360" w:lineRule="auto"/>
      </w:pPr>
      <w:r>
        <w:t xml:space="preserve">NHS (2023) Mental Capacity Act. Available at: </w:t>
      </w:r>
      <w:hyperlink r:id="rId18" w:history="1">
        <w:r w:rsidRPr="00786C09">
          <w:rPr>
            <w:rStyle w:val="Hyperlink"/>
          </w:rPr>
          <w:t>https://www.nhs.uk/social-care-and-support/making-decisions-for-someone-else/mental-capacity-act/</w:t>
        </w:r>
      </w:hyperlink>
      <w:r>
        <w:rPr>
          <w:u w:val="single"/>
        </w:rPr>
        <w:t xml:space="preserve">  </w:t>
      </w:r>
      <w:r>
        <w:t xml:space="preserve"> (Accessed: 19 July 2026).</w:t>
      </w:r>
    </w:p>
    <w:p w14:paraId="6BCE0FDA" w14:textId="77777777" w:rsidR="00BD34B2" w:rsidRDefault="00BD34B2" w:rsidP="00BD34B2">
      <w:pPr>
        <w:pStyle w:val="ListParagraph"/>
        <w:numPr>
          <w:ilvl w:val="0"/>
          <w:numId w:val="2"/>
        </w:numPr>
        <w:spacing w:after="140" w:line="360" w:lineRule="auto"/>
      </w:pPr>
      <w:r>
        <w:t xml:space="preserve">NHS England (2019) Universal personalised care: implementing the comprehensive model. Available at: </w:t>
      </w:r>
      <w:hyperlink r:id="rId19" w:history="1">
        <w:r w:rsidRPr="00786C09">
          <w:rPr>
            <w:rStyle w:val="Hyperlink"/>
          </w:rPr>
          <w:t>https://www.england.nhs.uk/publication/universal-personalised-care-implementing-the-comprehensive-model/</w:t>
        </w:r>
      </w:hyperlink>
      <w:r>
        <w:rPr>
          <w:u w:val="single"/>
        </w:rPr>
        <w:t xml:space="preserve"> </w:t>
      </w:r>
      <w:r>
        <w:t xml:space="preserve"> (Accessed: 19 July 2026).</w:t>
      </w:r>
    </w:p>
    <w:p w14:paraId="5B43110F" w14:textId="77777777" w:rsidR="00BD34B2" w:rsidRDefault="00BD34B2" w:rsidP="00BD34B2">
      <w:pPr>
        <w:pStyle w:val="ListParagraph"/>
        <w:numPr>
          <w:ilvl w:val="0"/>
          <w:numId w:val="2"/>
        </w:numPr>
        <w:spacing w:after="140" w:line="360" w:lineRule="auto"/>
      </w:pPr>
      <w:r>
        <w:t xml:space="preserve">NHS England (2022) Working in partnership with people and communities: statutory guidance. Available at: </w:t>
      </w:r>
      <w:hyperlink r:id="rId20" w:history="1">
        <w:r w:rsidRPr="00786C09">
          <w:rPr>
            <w:rStyle w:val="Hyperlink"/>
          </w:rPr>
          <w:t>https://www.england.nhs.uk/publication/working-in-partnership-with-people-and-communities-statutory-guidance/</w:t>
        </w:r>
      </w:hyperlink>
      <w:r>
        <w:rPr>
          <w:u w:val="single"/>
        </w:rPr>
        <w:t xml:space="preserve"> </w:t>
      </w:r>
      <w:r>
        <w:t xml:space="preserve"> (Accessed: 19 July 2026).</w:t>
      </w:r>
    </w:p>
    <w:p w14:paraId="36F257D3" w14:textId="77777777" w:rsidR="00BD34B2" w:rsidRDefault="00BD34B2" w:rsidP="00BD34B2">
      <w:pPr>
        <w:pStyle w:val="ListParagraph"/>
        <w:numPr>
          <w:ilvl w:val="0"/>
          <w:numId w:val="2"/>
        </w:numPr>
        <w:spacing w:after="140" w:line="360" w:lineRule="auto"/>
      </w:pPr>
      <w:r>
        <w:t xml:space="preserve">National Institute for Health and Care Excellence (2021) Shared decision making. NICE guideline NG197. Available at: </w:t>
      </w:r>
      <w:hyperlink r:id="rId21" w:history="1">
        <w:r w:rsidRPr="00786C09">
          <w:rPr>
            <w:rStyle w:val="Hyperlink"/>
          </w:rPr>
          <w:t>https://www.nice.org.uk/guidance/ng197</w:t>
        </w:r>
      </w:hyperlink>
      <w:r>
        <w:rPr>
          <w:u w:val="single"/>
        </w:rPr>
        <w:t xml:space="preserve"> </w:t>
      </w:r>
      <w:r>
        <w:t xml:space="preserve"> (Accessed: 19 July 2026).</w:t>
      </w:r>
    </w:p>
    <w:p w14:paraId="0A1FF84C" w14:textId="77777777" w:rsidR="00BD34B2" w:rsidRDefault="00BD34B2" w:rsidP="00BD34B2">
      <w:pPr>
        <w:pStyle w:val="ListParagraph"/>
        <w:numPr>
          <w:ilvl w:val="0"/>
          <w:numId w:val="2"/>
        </w:numPr>
        <w:spacing w:after="140" w:line="360" w:lineRule="auto"/>
      </w:pPr>
      <w:r>
        <w:lastRenderedPageBreak/>
        <w:t xml:space="preserve">Retief, M. and Letšosa, R. (2018) ‘Models of disability: a brief overview’, HTS Teologiese Studies/Theological Studies, 74(1), a4738.                                                                                  Available at: </w:t>
      </w:r>
      <w:hyperlink r:id="rId22" w:history="1">
        <w:r w:rsidRPr="00786C09">
          <w:rPr>
            <w:rStyle w:val="Hyperlink"/>
          </w:rPr>
          <w:t>https://doi.org/10.4102/hts.v74i1.4738</w:t>
        </w:r>
      </w:hyperlink>
      <w:r>
        <w:rPr>
          <w:u w:val="single"/>
        </w:rPr>
        <w:t xml:space="preserve"> </w:t>
      </w:r>
      <w:r>
        <w:t xml:space="preserve"> (Accessed: 19 July 2026).</w:t>
      </w:r>
    </w:p>
    <w:p w14:paraId="07852965" w14:textId="77777777" w:rsidR="00BD34B2" w:rsidRDefault="00BD34B2" w:rsidP="00BD34B2">
      <w:pPr>
        <w:pStyle w:val="ListParagraph"/>
        <w:numPr>
          <w:ilvl w:val="0"/>
          <w:numId w:val="2"/>
        </w:numPr>
        <w:spacing w:after="140" w:line="360" w:lineRule="auto"/>
      </w:pPr>
      <w:r>
        <w:t xml:space="preserve">Santana, M.J., Manalili, K., Jolley, R.J., Zelinsky, S., Quan, H. and Lu, M. (2018) ‘How to practice person-centred care: a conceptual framework’, Health Expectations, 21(2), pp. 429-440. Available at: </w:t>
      </w:r>
      <w:hyperlink r:id="rId23" w:history="1">
        <w:r w:rsidRPr="00786C09">
          <w:rPr>
            <w:rStyle w:val="Hyperlink"/>
          </w:rPr>
          <w:t>https://doi.org/10.1111/hex.12640</w:t>
        </w:r>
      </w:hyperlink>
      <w:r>
        <w:rPr>
          <w:u w:val="single"/>
        </w:rPr>
        <w:t xml:space="preserve"> </w:t>
      </w:r>
      <w:r>
        <w:t xml:space="preserve"> (Accessed: 19 July 2026).</w:t>
      </w:r>
    </w:p>
    <w:p w14:paraId="1A91BA7F" w14:textId="77777777" w:rsidR="00BD34B2" w:rsidRDefault="00BD34B2" w:rsidP="00BD34B2">
      <w:pPr>
        <w:pStyle w:val="ListParagraph"/>
        <w:numPr>
          <w:ilvl w:val="0"/>
          <w:numId w:val="2"/>
        </w:numPr>
        <w:spacing w:after="140" w:line="360" w:lineRule="auto"/>
      </w:pPr>
      <w:r>
        <w:t xml:space="preserve">Skills for Care (2025) The state of the adult social care sector and workforce in England 2025. Available at: </w:t>
      </w:r>
      <w:hyperlink r:id="rId24" w:history="1">
        <w:r w:rsidRPr="00786C09">
          <w:rPr>
            <w:rStyle w:val="Hyperlink"/>
          </w:rPr>
          <w:t>https://www.skillsforcare.org.uk/Adult-Social-Care-Workforce-Data/workforceintelligence/Reports-and-visualisations/National-information/The-State-of-report.aspx</w:t>
        </w:r>
      </w:hyperlink>
      <w:r>
        <w:rPr>
          <w:u w:val="single"/>
        </w:rPr>
        <w:t xml:space="preserve"> </w:t>
      </w:r>
      <w:r>
        <w:t xml:space="preserve"> (Accessed: 19 July 2026).</w:t>
      </w:r>
    </w:p>
    <w:p w14:paraId="63AC5374" w14:textId="77777777" w:rsidR="00BD34B2" w:rsidRDefault="00BD34B2" w:rsidP="00BD34B2">
      <w:pPr>
        <w:pStyle w:val="ListParagraph"/>
        <w:numPr>
          <w:ilvl w:val="0"/>
          <w:numId w:val="2"/>
        </w:numPr>
        <w:spacing w:after="140" w:line="360" w:lineRule="auto"/>
      </w:pPr>
      <w:r>
        <w:t xml:space="preserve">The King’s Fund (2024) Realising the potential of integrated care systems.                         Available at: </w:t>
      </w:r>
      <w:hyperlink r:id="rId25" w:history="1">
        <w:r w:rsidRPr="00786C09">
          <w:rPr>
            <w:rStyle w:val="Hyperlink"/>
          </w:rPr>
          <w:t>https://www.kingsfund.org.uk/insight-and-analysis/reports/integrated-care-systems-workforce</w:t>
        </w:r>
      </w:hyperlink>
      <w:r>
        <w:t xml:space="preserve"> (Accessed: 19 July 2026).</w:t>
      </w:r>
    </w:p>
    <w:p w14:paraId="6081CAF8" w14:textId="77777777" w:rsidR="00520B9A" w:rsidRPr="000915C7" w:rsidRDefault="00520B9A" w:rsidP="002B1B1E">
      <w:pPr>
        <w:rPr>
          <w:rFonts w:ascii="Arial" w:hAnsi="Arial" w:cs="Arial"/>
          <w:sz w:val="22"/>
          <w:szCs w:val="22"/>
        </w:rPr>
      </w:pPr>
    </w:p>
    <w:sectPr w:rsidR="00520B9A" w:rsidRPr="000915C7">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34883" w14:textId="77777777" w:rsidR="00D2277A" w:rsidRDefault="00D2277A" w:rsidP="00D2277A">
      <w:pPr>
        <w:spacing w:after="0" w:line="240" w:lineRule="auto"/>
      </w:pPr>
      <w:r>
        <w:separator/>
      </w:r>
    </w:p>
  </w:endnote>
  <w:endnote w:type="continuationSeparator" w:id="0">
    <w:p w14:paraId="18349313" w14:textId="77777777" w:rsidR="00D2277A" w:rsidRDefault="00D2277A" w:rsidP="00D22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5727750"/>
      <w:docPartObj>
        <w:docPartGallery w:val="Page Numbers (Bottom of Page)"/>
        <w:docPartUnique/>
      </w:docPartObj>
    </w:sdtPr>
    <w:sdtContent>
      <w:p w14:paraId="6B6431E5" w14:textId="5644673D" w:rsidR="00D2277A" w:rsidRDefault="00D2277A" w:rsidP="00F674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CD3B2E" w14:textId="77777777" w:rsidR="00D2277A" w:rsidRDefault="00D2277A" w:rsidP="00D227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4487737"/>
      <w:docPartObj>
        <w:docPartGallery w:val="Page Numbers (Bottom of Page)"/>
        <w:docPartUnique/>
      </w:docPartObj>
    </w:sdtPr>
    <w:sdtContent>
      <w:p w14:paraId="38F2C0BA" w14:textId="00712972" w:rsidR="00D2277A" w:rsidRDefault="00D2277A" w:rsidP="00F674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8B66C8" w14:textId="77777777" w:rsidR="00D2277A" w:rsidRDefault="00D2277A" w:rsidP="00D227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A6CEA" w14:textId="77777777" w:rsidR="00D2277A" w:rsidRDefault="00D2277A" w:rsidP="00D2277A">
      <w:pPr>
        <w:spacing w:after="0" w:line="240" w:lineRule="auto"/>
      </w:pPr>
      <w:r>
        <w:separator/>
      </w:r>
    </w:p>
  </w:footnote>
  <w:footnote w:type="continuationSeparator" w:id="0">
    <w:p w14:paraId="6F060D1E" w14:textId="77777777" w:rsidR="00D2277A" w:rsidRDefault="00D2277A" w:rsidP="00D22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32A8"/>
    <w:multiLevelType w:val="hybridMultilevel"/>
    <w:tmpl w:val="3C6C5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D45835"/>
    <w:multiLevelType w:val="multilevel"/>
    <w:tmpl w:val="4F3AF894"/>
    <w:lvl w:ilvl="0">
      <w:start w:val="1"/>
      <w:numFmt w:val="decimal"/>
      <w:lvlText w:val="%1."/>
      <w:lvlJc w:val="left"/>
      <w:pPr>
        <w:ind w:left="72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392579720">
    <w:abstractNumId w:val="1"/>
  </w:num>
  <w:num w:numId="2" w16cid:durableId="273682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F6E"/>
    <w:rsid w:val="00026D9F"/>
    <w:rsid w:val="000915C7"/>
    <w:rsid w:val="00225C8E"/>
    <w:rsid w:val="002B1B1E"/>
    <w:rsid w:val="00342314"/>
    <w:rsid w:val="004A0BCB"/>
    <w:rsid w:val="00520B9A"/>
    <w:rsid w:val="007A75AE"/>
    <w:rsid w:val="00953E5A"/>
    <w:rsid w:val="00990C0A"/>
    <w:rsid w:val="0099240E"/>
    <w:rsid w:val="009E6853"/>
    <w:rsid w:val="00AF3EFD"/>
    <w:rsid w:val="00BD34B2"/>
    <w:rsid w:val="00D2277A"/>
    <w:rsid w:val="00F15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E726A"/>
  <w15:chartTrackingRefBased/>
  <w15:docId w15:val="{3C475C34-C1C7-D64E-9F32-DF6D67CD6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F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F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F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F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F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F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F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F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F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F6E"/>
    <w:rPr>
      <w:rFonts w:eastAsiaTheme="majorEastAsia" w:cstheme="majorBidi"/>
      <w:color w:val="272727" w:themeColor="text1" w:themeTint="D8"/>
    </w:rPr>
  </w:style>
  <w:style w:type="paragraph" w:styleId="Title">
    <w:name w:val="Title"/>
    <w:basedOn w:val="Normal"/>
    <w:next w:val="Normal"/>
    <w:link w:val="TitleChar"/>
    <w:uiPriority w:val="10"/>
    <w:qFormat/>
    <w:rsid w:val="00F15F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F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F6E"/>
    <w:pPr>
      <w:spacing w:before="160"/>
      <w:jc w:val="center"/>
    </w:pPr>
    <w:rPr>
      <w:i/>
      <w:iCs/>
      <w:color w:val="404040" w:themeColor="text1" w:themeTint="BF"/>
    </w:rPr>
  </w:style>
  <w:style w:type="character" w:customStyle="1" w:styleId="QuoteChar">
    <w:name w:val="Quote Char"/>
    <w:basedOn w:val="DefaultParagraphFont"/>
    <w:link w:val="Quote"/>
    <w:uiPriority w:val="29"/>
    <w:rsid w:val="00F15F6E"/>
    <w:rPr>
      <w:i/>
      <w:iCs/>
      <w:color w:val="404040" w:themeColor="text1" w:themeTint="BF"/>
    </w:rPr>
  </w:style>
  <w:style w:type="paragraph" w:styleId="ListParagraph">
    <w:name w:val="List Paragraph"/>
    <w:basedOn w:val="Normal"/>
    <w:uiPriority w:val="34"/>
    <w:qFormat/>
    <w:rsid w:val="00F15F6E"/>
    <w:pPr>
      <w:ind w:left="720"/>
      <w:contextualSpacing/>
    </w:pPr>
  </w:style>
  <w:style w:type="character" w:styleId="IntenseEmphasis">
    <w:name w:val="Intense Emphasis"/>
    <w:basedOn w:val="DefaultParagraphFont"/>
    <w:uiPriority w:val="21"/>
    <w:qFormat/>
    <w:rsid w:val="00F15F6E"/>
    <w:rPr>
      <w:i/>
      <w:iCs/>
      <w:color w:val="0F4761" w:themeColor="accent1" w:themeShade="BF"/>
    </w:rPr>
  </w:style>
  <w:style w:type="paragraph" w:styleId="IntenseQuote">
    <w:name w:val="Intense Quote"/>
    <w:basedOn w:val="Normal"/>
    <w:next w:val="Normal"/>
    <w:link w:val="IntenseQuoteChar"/>
    <w:uiPriority w:val="30"/>
    <w:qFormat/>
    <w:rsid w:val="00F15F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F6E"/>
    <w:rPr>
      <w:i/>
      <w:iCs/>
      <w:color w:val="0F4761" w:themeColor="accent1" w:themeShade="BF"/>
    </w:rPr>
  </w:style>
  <w:style w:type="character" w:styleId="IntenseReference">
    <w:name w:val="Intense Reference"/>
    <w:basedOn w:val="DefaultParagraphFont"/>
    <w:uiPriority w:val="32"/>
    <w:qFormat/>
    <w:rsid w:val="00F15F6E"/>
    <w:rPr>
      <w:b/>
      <w:bCs/>
      <w:smallCaps/>
      <w:color w:val="0F4761" w:themeColor="accent1" w:themeShade="BF"/>
      <w:spacing w:val="5"/>
    </w:rPr>
  </w:style>
  <w:style w:type="paragraph" w:styleId="Footer">
    <w:name w:val="footer"/>
    <w:basedOn w:val="Normal"/>
    <w:link w:val="FooterChar"/>
    <w:uiPriority w:val="99"/>
    <w:unhideWhenUsed/>
    <w:rsid w:val="00D22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77A"/>
  </w:style>
  <w:style w:type="character" w:styleId="PageNumber">
    <w:name w:val="page number"/>
    <w:basedOn w:val="DefaultParagraphFont"/>
    <w:uiPriority w:val="99"/>
    <w:semiHidden/>
    <w:unhideWhenUsed/>
    <w:rsid w:val="00D2277A"/>
  </w:style>
  <w:style w:type="paragraph" w:styleId="NormalWeb">
    <w:name w:val="Normal (Web)"/>
    <w:basedOn w:val="Normal"/>
    <w:uiPriority w:val="99"/>
    <w:semiHidden/>
    <w:unhideWhenUsed/>
    <w:rsid w:val="00520B9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BD34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our-updated-human-rights-approach/human-rights-articles-relevant-health-and-social-care" TargetMode="External"/><Relationship Id="rId13" Type="http://schemas.openxmlformats.org/officeDocument/2006/relationships/hyperlink" Target="https://doi.org/10.1016/j.pec.2018.08.029" TargetMode="External"/><Relationship Id="rId18" Type="http://schemas.openxmlformats.org/officeDocument/2006/relationships/hyperlink" Target="https://www.nhs.uk/social-care-and-support/making-decisions-for-someone-else/mental-capacity-ac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ice.org.uk/guidance/ng197" TargetMode="External"/><Relationship Id="rId7" Type="http://schemas.openxmlformats.org/officeDocument/2006/relationships/hyperlink" Target="https://global.oup.com/ukhe/product/principles-of-biomedical-ethics-9780190640873" TargetMode="External"/><Relationship Id="rId12" Type="http://schemas.openxmlformats.org/officeDocument/2006/relationships/hyperlink" Target="https://doi.org/10.1111/hex.12615" TargetMode="External"/><Relationship Id="rId17" Type="http://schemas.openxmlformats.org/officeDocument/2006/relationships/hyperlink" Target="https://doi.org/10.12688/wellcomeopenres.20952.1" TargetMode="External"/><Relationship Id="rId25" Type="http://schemas.openxmlformats.org/officeDocument/2006/relationships/hyperlink" Target="https://www.kingsfund.org.uk/insight-and-analysis/reports/integrated-care-systems-workforce" TargetMode="External"/><Relationship Id="rId2" Type="http://schemas.openxmlformats.org/officeDocument/2006/relationships/styles" Target="styles.xml"/><Relationship Id="rId16" Type="http://schemas.openxmlformats.org/officeDocument/2006/relationships/hyperlink" Target="https://www.wiley.com/en-us/Person-Centred%2BPractice%2Bin%2BNursing%2Band%2BHealth%2BCare%3A%2BTheory%2Band%2BPractice%2C%2B2nd%2BEdition-p-9781118990568" TargetMode="External"/><Relationship Id="rId20" Type="http://schemas.openxmlformats.org/officeDocument/2006/relationships/hyperlink" Target="https://www.england.nhs.uk/publication/working-in-partnership-with-people-and-communities-statutory-guidanc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 TargetMode="External"/><Relationship Id="rId24" Type="http://schemas.openxmlformats.org/officeDocument/2006/relationships/hyperlink" Target="https://www.skillsforcare.org.uk/Adult-Social-Care-Workforce-Data/workforceintelligence/Reports-and-visualisations/National-information/The-State-of-report.aspx" TargetMode="External"/><Relationship Id="rId5" Type="http://schemas.openxmlformats.org/officeDocument/2006/relationships/footnotes" Target="footnotes.xml"/><Relationship Id="rId15" Type="http://schemas.openxmlformats.org/officeDocument/2006/relationships/hyperlink" Target="https://www.local.gov.uk/publications/get-act-health-and-care-act-2022" TargetMode="External"/><Relationship Id="rId23" Type="http://schemas.openxmlformats.org/officeDocument/2006/relationships/hyperlink" Target="https://doi.org/10.1111/hex.12640" TargetMode="External"/><Relationship Id="rId28" Type="http://schemas.openxmlformats.org/officeDocument/2006/relationships/fontTable" Target="fontTable.xml"/><Relationship Id="rId10" Type="http://schemas.openxmlformats.org/officeDocument/2006/relationships/hyperlink" Target="https://www.cqc.org.uk/guidance-regulation/providers/assessment/single-assessment-framework/responsive/person-centred-care" TargetMode="External"/><Relationship Id="rId19" Type="http://schemas.openxmlformats.org/officeDocument/2006/relationships/hyperlink" Target="https://www.england.nhs.uk/publication/universal-personalised-care-implementing-the-comprehensive-model/" TargetMode="External"/><Relationship Id="rId4" Type="http://schemas.openxmlformats.org/officeDocument/2006/relationships/webSettings" Target="webSettings.xml"/><Relationship Id="rId9" Type="http://schemas.openxmlformats.org/officeDocument/2006/relationships/hyperlink" Target="https://www.cqc.org.uk/guidance-regulation/providers/assessment/single-assessment-framework/effective/consent-care-treatment" TargetMode="External"/><Relationship Id="rId14" Type="http://schemas.openxmlformats.org/officeDocument/2006/relationships/hyperlink" Target="https://doi.org/10.1080/13642987.2020.1783533" TargetMode="External"/><Relationship Id="rId22" Type="http://schemas.openxmlformats.org/officeDocument/2006/relationships/hyperlink" Target="https://doi.org/10.4102/hts.v74i1.4738"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14</Pages>
  <Words>4191</Words>
  <Characters>23895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Mahrul Nisa (2326474)</dc:creator>
  <cp:keywords/>
  <dc:description/>
  <cp:lastModifiedBy>Mahrul Nisa (2326474)</cp:lastModifiedBy>
  <cp:revision>13</cp:revision>
  <dcterms:created xsi:type="dcterms:W3CDTF">2026-07-25T20:39:00Z</dcterms:created>
  <dcterms:modified xsi:type="dcterms:W3CDTF">2026-07-25T21:12:00Z</dcterms:modified>
</cp:coreProperties>
</file>