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EF865BF">
      <w:pPr>
        <w:jc w:val="center"/>
      </w:pPr>
      <w:r>
        <w:rPr>
          <w:lang w:val="en-US" w:eastAsia="en-US" w:bidi="hi-IN"/>
        </w:rPr>
        <w:drawing>
          <wp:inline distT="0" distB="0" distL="0" distR="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A641ADE">
      <w:pPr>
        <w:jc w:val="center"/>
        <w:rPr>
          <w:rFonts w:ascii="Arial Nova" w:hAnsi="Arial Nova" w:eastAsia="Arial Nova" w:cs="Arial Nova"/>
        </w:rPr>
      </w:pPr>
    </w:p>
    <w:p w14:paraId="62E1711D">
      <w:pPr>
        <w:jc w:val="center"/>
        <w:rPr>
          <w:rFonts w:hint="default" w:ascii="Arial Nova" w:hAnsi="Arial Nova" w:eastAsia="Arial Nova" w:cs="Arial Nova"/>
          <w:sz w:val="56"/>
          <w:szCs w:val="56"/>
        </w:rPr>
      </w:pPr>
      <w:r>
        <w:rPr>
          <w:rFonts w:hint="default" w:ascii="Arial Nova" w:hAnsi="Arial Nova" w:eastAsia="Arial Nova" w:cs="Arial Nova"/>
          <w:sz w:val="56"/>
          <w:szCs w:val="56"/>
        </w:rPr>
        <w:br w:type="textWrapping"/>
      </w:r>
      <w:r>
        <w:rPr>
          <w:rFonts w:hint="default" w:ascii="Arial Nova" w:hAnsi="Arial Nova" w:eastAsia="Arial Nova" w:cs="Arial Nova"/>
          <w:sz w:val="56"/>
          <w:szCs w:val="56"/>
        </w:rPr>
        <w:t>Changemakers: Building your Personal Brand for Sustainable</w:t>
      </w:r>
    </w:p>
    <w:p w14:paraId="4689BAD4">
      <w:pPr>
        <w:jc w:val="center"/>
        <w:rPr>
          <w:rFonts w:ascii="Arial Nova" w:hAnsi="Arial Nova" w:eastAsia="Arial Nova" w:cs="Arial Nova"/>
          <w:sz w:val="56"/>
          <w:szCs w:val="56"/>
        </w:rPr>
      </w:pPr>
      <w:r>
        <w:rPr>
          <w:rFonts w:hint="default" w:ascii="Arial Nova" w:hAnsi="Arial Nova" w:eastAsia="Arial Nova" w:cs="Arial Nova"/>
          <w:sz w:val="56"/>
          <w:szCs w:val="56"/>
        </w:rPr>
        <w:t>Employment – Assessment 2 Report</w:t>
      </w:r>
    </w:p>
    <w:p w14:paraId="2CD1252B">
      <w:pPr>
        <w:jc w:val="center"/>
        <w:rPr>
          <w:rFonts w:ascii="Arial Nova" w:hAnsi="Arial Nova" w:eastAsia="Arial Nova" w:cs="Arial Nova"/>
          <w:sz w:val="72"/>
          <w:szCs w:val="72"/>
        </w:rPr>
      </w:pPr>
    </w:p>
    <w:p w14:paraId="639F5B05">
      <w:pPr>
        <w:jc w:val="center"/>
        <w:rPr>
          <w:rFonts w:hint="default" w:ascii="Arial Nova" w:hAnsi="Arial Nova" w:eastAsia="Arial Nova" w:cs="Arial Nova"/>
          <w:sz w:val="36"/>
          <w:szCs w:val="36"/>
        </w:rPr>
      </w:pPr>
      <w:r>
        <w:rPr>
          <w:rFonts w:hint="default" w:ascii="Arial Nova" w:hAnsi="Arial Nova" w:eastAsia="Arial Nova" w:cs="Arial Nova"/>
          <w:sz w:val="36"/>
          <w:szCs w:val="36"/>
        </w:rPr>
        <w:br w:type="textWrapping"/>
      </w:r>
      <w:r>
        <w:rPr>
          <w:rFonts w:hint="default" w:ascii="Arial Nova" w:hAnsi="Arial Nova" w:eastAsia="Arial Nova" w:cs="Arial Nova"/>
          <w:sz w:val="36"/>
          <w:szCs w:val="36"/>
        </w:rPr>
        <w:br w:type="textWrapping"/>
      </w:r>
      <w:r>
        <w:rPr>
          <w:rFonts w:hint="default" w:ascii="Arial Nova" w:hAnsi="Arial Nova" w:eastAsia="Arial Nova" w:cs="Arial Nova"/>
          <w:sz w:val="36"/>
          <w:szCs w:val="36"/>
        </w:rPr>
        <w:br w:type="textWrapping"/>
      </w:r>
    </w:p>
    <w:p w14:paraId="2E346AC8">
      <w:pPr>
        <w:jc w:val="both"/>
        <w:rPr>
          <w:rFonts w:hint="default" w:ascii="Arial Nova" w:hAnsi="Arial Nova" w:eastAsia="Arial Nova" w:cs="Arial Nova"/>
          <w:sz w:val="36"/>
          <w:szCs w:val="36"/>
        </w:rPr>
      </w:pPr>
      <w:r>
        <w:rPr>
          <w:rFonts w:hint="default" w:ascii="Arial Nova" w:hAnsi="Arial Nova" w:eastAsia="Arial Nova" w:cs="Arial Nova"/>
          <w:sz w:val="36"/>
          <w:szCs w:val="36"/>
        </w:rPr>
        <w:br w:type="textWrapping"/>
      </w:r>
      <w:r>
        <w:rPr>
          <w:rFonts w:hint="default" w:ascii="Arial Nova" w:hAnsi="Arial Nova" w:eastAsia="Arial Nova" w:cs="Arial Nova"/>
          <w:sz w:val="36"/>
          <w:szCs w:val="36"/>
        </w:rPr>
        <w:br w:type="textWrapping"/>
      </w:r>
      <w:bookmarkStart w:id="8" w:name="_GoBack"/>
      <w:bookmarkEnd w:id="8"/>
      <w:r>
        <w:rPr>
          <w:rFonts w:hint="default" w:ascii="Arial Nova" w:hAnsi="Arial Nova" w:eastAsia="Arial Nova" w:cs="Arial Nova"/>
          <w:sz w:val="36"/>
          <w:szCs w:val="36"/>
        </w:rPr>
        <w:t xml:space="preserve">Name Abraham Andom </w:t>
      </w:r>
    </w:p>
    <w:p w14:paraId="069B5813">
      <w:pPr>
        <w:jc w:val="center"/>
        <w:rPr>
          <w:rFonts w:hint="default" w:ascii="Arial Nova" w:hAnsi="Arial Nova" w:eastAsia="Arial Nova" w:cs="Arial Nova"/>
          <w:sz w:val="36"/>
          <w:szCs w:val="36"/>
        </w:rPr>
      </w:pPr>
    </w:p>
    <w:p w14:paraId="6E8BA767">
      <w:pPr>
        <w:jc w:val="both"/>
        <w:rPr>
          <w:rFonts w:ascii="Arial Nova" w:hAnsi="Arial Nova" w:eastAsia="Arial Nova" w:cs="Arial Nova"/>
          <w:sz w:val="36"/>
          <w:szCs w:val="36"/>
        </w:rPr>
      </w:pPr>
      <w:r>
        <w:rPr>
          <w:rFonts w:hint="default" w:ascii="Arial Nova" w:hAnsi="Arial Nova" w:eastAsia="Arial Nova" w:cs="Arial Nova"/>
          <w:sz w:val="36"/>
          <w:szCs w:val="36"/>
        </w:rPr>
        <w:t>Student number: 2414479</w:t>
      </w:r>
    </w:p>
    <w:p w14:paraId="7EA210E0">
      <w:pPr>
        <w:jc w:val="center"/>
        <w:rPr>
          <w:rFonts w:ascii="Arial Nova" w:hAnsi="Arial Nova" w:eastAsia="Arial Nova" w:cs="Arial Nova"/>
          <w:sz w:val="72"/>
          <w:szCs w:val="72"/>
        </w:rPr>
      </w:pPr>
    </w:p>
    <w:p w14:paraId="2A6E6853">
      <w:pPr>
        <w:jc w:val="center"/>
        <w:rPr>
          <w:rFonts w:ascii="Arial Nova" w:hAnsi="Arial Nova" w:eastAsia="Arial Nova" w:cs="Arial Nova"/>
          <w:sz w:val="72"/>
          <w:szCs w:val="72"/>
        </w:rPr>
      </w:pPr>
    </w:p>
    <w:p w14:paraId="68A4F0DF">
      <w:pPr>
        <w:jc w:val="center"/>
        <w:rPr>
          <w:rFonts w:ascii="Arial Nova" w:hAnsi="Arial Nova" w:eastAsia="Arial Nova" w:cs="Arial Nova"/>
          <w:sz w:val="72"/>
          <w:szCs w:val="72"/>
        </w:rPr>
      </w:pPr>
    </w:p>
    <w:p w14:paraId="1AB9881C">
      <w:pPr>
        <w:jc w:val="center"/>
        <w:rPr>
          <w:rFonts w:ascii="Arial Nova" w:hAnsi="Arial Nova" w:eastAsia="Arial Nova" w:cs="Arial Nova"/>
          <w:sz w:val="72"/>
          <w:szCs w:val="72"/>
        </w:rPr>
      </w:pPr>
    </w:p>
    <w:p w14:paraId="04A73AF2">
      <w:pPr>
        <w:spacing w:before="160" w:line="360" w:lineRule="auto"/>
      </w:pPr>
      <w:r>
        <w:br w:type="page"/>
      </w:r>
    </w:p>
    <w:sdt>
      <w:sdtPr>
        <w:rPr>
          <w:rFonts w:ascii="Times New Roman" w:hAnsi="Times New Roman" w:eastAsiaTheme="minorEastAsia" w:cstheme="minorBidi"/>
          <w:color w:val="auto"/>
          <w:kern w:val="2"/>
          <w:sz w:val="24"/>
          <w:szCs w:val="22"/>
          <w:lang w:val="en-IN" w:eastAsia="zh-CN"/>
          <w14:ligatures w14:val="standardContextual"/>
        </w:rPr>
        <w:id w:val="2116933314"/>
        <w:docPartObj>
          <w:docPartGallery w:val="Table of Contents"/>
          <w:docPartUnique/>
        </w:docPartObj>
      </w:sdtPr>
      <w:sdtEndPr>
        <w:rPr>
          <w:rFonts w:ascii="Times New Roman" w:hAnsi="Times New Roman" w:eastAsiaTheme="minorEastAsia" w:cstheme="minorBidi"/>
          <w:b/>
          <w:bCs/>
          <w:color w:val="auto"/>
          <w:kern w:val="2"/>
          <w:sz w:val="24"/>
          <w:szCs w:val="22"/>
          <w:lang w:val="en-IN" w:eastAsia="zh-CN"/>
          <w14:ligatures w14:val="standardContextual"/>
        </w:rPr>
      </w:sdtEndPr>
      <w:sdtContent>
        <w:p w14:paraId="001C7740">
          <w:pPr>
            <w:pStyle w:val="43"/>
            <w:jc w:val="center"/>
            <w:rPr>
              <w:rFonts w:ascii="Times New Roman" w:hAnsi="Times New Roman" w:cs="Times New Roman"/>
              <w:b/>
              <w:bCs/>
              <w:color w:val="auto"/>
            </w:rPr>
          </w:pPr>
          <w:r>
            <w:rPr>
              <w:rFonts w:ascii="Times New Roman" w:hAnsi="Times New Roman" w:cs="Times New Roman"/>
              <w:b/>
              <w:bCs/>
              <w:color w:val="auto"/>
            </w:rPr>
            <w:t>Table of Contents</w:t>
          </w:r>
        </w:p>
        <w:p w14:paraId="65522B01">
          <w:pPr>
            <w:pStyle w:val="23"/>
            <w:tabs>
              <w:tab w:val="right" w:leader="dot" w:pos="9016"/>
            </w:tabs>
            <w:rPr>
              <w:rFonts w:asciiTheme="minorHAnsi" w:hAnsiTheme="minorHAnsi"/>
              <w:szCs w:val="21"/>
              <w:lang w:bidi="hi-IN"/>
            </w:rPr>
          </w:pPr>
          <w:r>
            <w:fldChar w:fldCharType="begin"/>
          </w:r>
          <w:r>
            <w:instrText xml:space="preserve"> TOC \o "1-3" \h \z \u </w:instrText>
          </w:r>
          <w:r>
            <w:fldChar w:fldCharType="separate"/>
          </w:r>
          <w:r>
            <w:fldChar w:fldCharType="begin"/>
          </w:r>
          <w:r>
            <w:instrText xml:space="preserve"> HYPERLINK \l "_Toc242901113" </w:instrText>
          </w:r>
          <w:r>
            <w:fldChar w:fldCharType="separate"/>
          </w:r>
          <w:r>
            <w:rPr>
              <w:rStyle w:val="19"/>
            </w:rPr>
            <w:t>Task 1 – Personal Brand</w:t>
          </w:r>
          <w:r>
            <w:tab/>
          </w:r>
          <w:r>
            <w:fldChar w:fldCharType="begin"/>
          </w:r>
          <w:r>
            <w:instrText xml:space="preserve"> PAGEREF _Toc242901113 \h </w:instrText>
          </w:r>
          <w:r>
            <w:fldChar w:fldCharType="separate"/>
          </w:r>
          <w:r>
            <w:t>3</w:t>
          </w:r>
          <w:r>
            <w:fldChar w:fldCharType="end"/>
          </w:r>
          <w:r>
            <w:fldChar w:fldCharType="end"/>
          </w:r>
        </w:p>
        <w:p w14:paraId="1C48BFA6">
          <w:pPr>
            <w:pStyle w:val="23"/>
            <w:tabs>
              <w:tab w:val="right" w:leader="dot" w:pos="9016"/>
            </w:tabs>
            <w:rPr>
              <w:rFonts w:asciiTheme="minorHAnsi" w:hAnsiTheme="minorHAnsi"/>
              <w:szCs w:val="21"/>
              <w:lang w:bidi="hi-IN"/>
            </w:rPr>
          </w:pPr>
          <w:r>
            <w:fldChar w:fldCharType="begin"/>
          </w:r>
          <w:r>
            <w:instrText xml:space="preserve"> HYPERLINK \l "_Toc242901114" </w:instrText>
          </w:r>
          <w:r>
            <w:fldChar w:fldCharType="separate"/>
          </w:r>
          <w:r>
            <w:rPr>
              <w:rStyle w:val="19"/>
            </w:rPr>
            <w:t>Task 2 – Network Map and Rationale</w:t>
          </w:r>
          <w:r>
            <w:tab/>
          </w:r>
          <w:r>
            <w:fldChar w:fldCharType="begin"/>
          </w:r>
          <w:r>
            <w:instrText xml:space="preserve"> PAGEREF _Toc242901114 \h </w:instrText>
          </w:r>
          <w:r>
            <w:fldChar w:fldCharType="separate"/>
          </w:r>
          <w:r>
            <w:t>4</w:t>
          </w:r>
          <w:r>
            <w:fldChar w:fldCharType="end"/>
          </w:r>
          <w:r>
            <w:fldChar w:fldCharType="end"/>
          </w:r>
        </w:p>
        <w:p w14:paraId="2DED0791">
          <w:pPr>
            <w:pStyle w:val="23"/>
            <w:tabs>
              <w:tab w:val="right" w:leader="dot" w:pos="9016"/>
            </w:tabs>
            <w:rPr>
              <w:rFonts w:asciiTheme="minorHAnsi" w:hAnsiTheme="minorHAnsi"/>
              <w:szCs w:val="21"/>
              <w:lang w:bidi="hi-IN"/>
            </w:rPr>
          </w:pPr>
          <w:r>
            <w:fldChar w:fldCharType="begin"/>
          </w:r>
          <w:r>
            <w:instrText xml:space="preserve"> HYPERLINK \l "_Toc242901115" </w:instrText>
          </w:r>
          <w:r>
            <w:fldChar w:fldCharType="separate"/>
          </w:r>
          <w:r>
            <w:rPr>
              <w:rStyle w:val="19"/>
            </w:rPr>
            <w:t>Task 3 – Blog: Why Mental Health Matters in UK Health and Social Care</w:t>
          </w:r>
          <w:r>
            <w:tab/>
          </w:r>
          <w:r>
            <w:fldChar w:fldCharType="begin"/>
          </w:r>
          <w:r>
            <w:instrText xml:space="preserve"> PAGEREF _Toc242901115 \h </w:instrText>
          </w:r>
          <w:r>
            <w:fldChar w:fldCharType="separate"/>
          </w:r>
          <w:r>
            <w:t>6</w:t>
          </w:r>
          <w:r>
            <w:fldChar w:fldCharType="end"/>
          </w:r>
          <w:r>
            <w:fldChar w:fldCharType="end"/>
          </w:r>
        </w:p>
        <w:p w14:paraId="79480B5B">
          <w:pPr>
            <w:pStyle w:val="23"/>
            <w:tabs>
              <w:tab w:val="right" w:leader="dot" w:pos="9016"/>
            </w:tabs>
            <w:rPr>
              <w:rFonts w:asciiTheme="minorHAnsi" w:hAnsiTheme="minorHAnsi"/>
              <w:szCs w:val="21"/>
              <w:lang w:bidi="hi-IN"/>
            </w:rPr>
          </w:pPr>
          <w:r>
            <w:fldChar w:fldCharType="begin"/>
          </w:r>
          <w:r>
            <w:instrText xml:space="preserve"> HYPERLINK \l "_Toc242901116" </w:instrText>
          </w:r>
          <w:r>
            <w:fldChar w:fldCharType="separate"/>
          </w:r>
          <w:r>
            <w:rPr>
              <w:rStyle w:val="19"/>
            </w:rPr>
            <w:t>Task 4 – NHS Equality, Diversity and Inclusion Improvement Plan</w:t>
          </w:r>
          <w:r>
            <w:tab/>
          </w:r>
          <w:r>
            <w:fldChar w:fldCharType="begin"/>
          </w:r>
          <w:r>
            <w:instrText xml:space="preserve"> PAGEREF _Toc242901116 \h </w:instrText>
          </w:r>
          <w:r>
            <w:fldChar w:fldCharType="separate"/>
          </w:r>
          <w:r>
            <w:t>8</w:t>
          </w:r>
          <w:r>
            <w:fldChar w:fldCharType="end"/>
          </w:r>
          <w:r>
            <w:fldChar w:fldCharType="end"/>
          </w:r>
        </w:p>
        <w:p w14:paraId="5BE89F6A">
          <w:pPr>
            <w:pStyle w:val="23"/>
            <w:tabs>
              <w:tab w:val="right" w:leader="dot" w:pos="9016"/>
            </w:tabs>
            <w:rPr>
              <w:rFonts w:asciiTheme="minorHAnsi" w:hAnsiTheme="minorHAnsi"/>
              <w:szCs w:val="21"/>
              <w:lang w:bidi="hi-IN"/>
            </w:rPr>
          </w:pPr>
          <w:r>
            <w:fldChar w:fldCharType="begin"/>
          </w:r>
          <w:r>
            <w:instrText xml:space="preserve"> HYPERLINK \l "_Toc242901117" </w:instrText>
          </w:r>
          <w:r>
            <w:fldChar w:fldCharType="separate"/>
          </w:r>
          <w:r>
            <w:rPr>
              <w:rStyle w:val="19"/>
            </w:rPr>
            <w:t>Task 5 – A Letter to Yourself</w:t>
          </w:r>
          <w:r>
            <w:tab/>
          </w:r>
          <w:r>
            <w:fldChar w:fldCharType="begin"/>
          </w:r>
          <w:r>
            <w:instrText xml:space="preserve"> PAGEREF _Toc242901117 \h </w:instrText>
          </w:r>
          <w:r>
            <w:fldChar w:fldCharType="separate"/>
          </w:r>
          <w:r>
            <w:t>10</w:t>
          </w:r>
          <w:r>
            <w:fldChar w:fldCharType="end"/>
          </w:r>
          <w:r>
            <w:fldChar w:fldCharType="end"/>
          </w:r>
        </w:p>
        <w:p w14:paraId="06387B01">
          <w:pPr>
            <w:pStyle w:val="23"/>
            <w:tabs>
              <w:tab w:val="right" w:leader="dot" w:pos="9016"/>
            </w:tabs>
            <w:rPr>
              <w:rFonts w:asciiTheme="minorHAnsi" w:hAnsiTheme="minorHAnsi"/>
              <w:szCs w:val="21"/>
              <w:lang w:bidi="hi-IN"/>
            </w:rPr>
          </w:pPr>
          <w:r>
            <w:fldChar w:fldCharType="begin"/>
          </w:r>
          <w:r>
            <w:instrText xml:space="preserve"> HYPERLINK \l "_Toc242901118" </w:instrText>
          </w:r>
          <w:r>
            <w:fldChar w:fldCharType="separate"/>
          </w:r>
          <w:r>
            <w:rPr>
              <w:rStyle w:val="19"/>
            </w:rPr>
            <w:t>Task 6 – Gantt Chart: Achieving Future Employment Goals</w:t>
          </w:r>
          <w:r>
            <w:tab/>
          </w:r>
          <w:r>
            <w:fldChar w:fldCharType="begin"/>
          </w:r>
          <w:r>
            <w:instrText xml:space="preserve"> PAGEREF _Toc242901118 \h </w:instrText>
          </w:r>
          <w:r>
            <w:fldChar w:fldCharType="separate"/>
          </w:r>
          <w:r>
            <w:t>11</w:t>
          </w:r>
          <w:r>
            <w:fldChar w:fldCharType="end"/>
          </w:r>
          <w:r>
            <w:fldChar w:fldCharType="end"/>
          </w:r>
        </w:p>
        <w:p w14:paraId="3FD39281">
          <w:pPr>
            <w:pStyle w:val="23"/>
            <w:tabs>
              <w:tab w:val="right" w:leader="dot" w:pos="9016"/>
            </w:tabs>
            <w:rPr>
              <w:rFonts w:asciiTheme="minorHAnsi" w:hAnsiTheme="minorHAnsi"/>
              <w:szCs w:val="21"/>
              <w:lang w:bidi="hi-IN"/>
            </w:rPr>
          </w:pPr>
          <w:r>
            <w:fldChar w:fldCharType="begin"/>
          </w:r>
          <w:r>
            <w:instrText xml:space="preserve"> HYPERLINK \l "_Toc242901119" </w:instrText>
          </w:r>
          <w:r>
            <w:fldChar w:fldCharType="separate"/>
          </w:r>
          <w:r>
            <w:rPr>
              <w:rStyle w:val="19"/>
            </w:rPr>
            <w:t>Task 7 – Making Changes Report</w:t>
          </w:r>
          <w:r>
            <w:tab/>
          </w:r>
          <w:r>
            <w:fldChar w:fldCharType="begin"/>
          </w:r>
          <w:r>
            <w:instrText xml:space="preserve"> PAGEREF _Toc242901119 \h </w:instrText>
          </w:r>
          <w:r>
            <w:fldChar w:fldCharType="separate"/>
          </w:r>
          <w:r>
            <w:t>13</w:t>
          </w:r>
          <w:r>
            <w:fldChar w:fldCharType="end"/>
          </w:r>
          <w:r>
            <w:fldChar w:fldCharType="end"/>
          </w:r>
        </w:p>
        <w:p w14:paraId="32A84118">
          <w:pPr>
            <w:pStyle w:val="23"/>
            <w:tabs>
              <w:tab w:val="right" w:leader="dot" w:pos="9016"/>
            </w:tabs>
            <w:rPr>
              <w:rFonts w:asciiTheme="minorHAnsi" w:hAnsiTheme="minorHAnsi"/>
              <w:szCs w:val="21"/>
              <w:lang w:bidi="hi-IN"/>
            </w:rPr>
          </w:pPr>
          <w:r>
            <w:fldChar w:fldCharType="begin"/>
          </w:r>
          <w:r>
            <w:instrText xml:space="preserve"> HYPERLINK \l "_Toc242901120" </w:instrText>
          </w:r>
          <w:r>
            <w:fldChar w:fldCharType="separate"/>
          </w:r>
          <w:r>
            <w:rPr>
              <w:rStyle w:val="19"/>
            </w:rPr>
            <w:t>Reference List</w:t>
          </w:r>
          <w:r>
            <w:tab/>
          </w:r>
          <w:r>
            <w:fldChar w:fldCharType="begin"/>
          </w:r>
          <w:r>
            <w:instrText xml:space="preserve"> PAGEREF _Toc242901120 \h </w:instrText>
          </w:r>
          <w:r>
            <w:fldChar w:fldCharType="separate"/>
          </w:r>
          <w:r>
            <w:t>15</w:t>
          </w:r>
          <w:r>
            <w:fldChar w:fldCharType="end"/>
          </w:r>
          <w:r>
            <w:fldChar w:fldCharType="end"/>
          </w:r>
        </w:p>
        <w:p w14:paraId="5F17892C">
          <w:r>
            <w:rPr>
              <w:b/>
              <w:bCs/>
            </w:rPr>
            <w:fldChar w:fldCharType="end"/>
          </w:r>
        </w:p>
      </w:sdtContent>
    </w:sdt>
    <w:p w14:paraId="7FBB39ED">
      <w:pPr>
        <w:pStyle w:val="2"/>
      </w:pPr>
    </w:p>
    <w:p w14:paraId="13B5658D">
      <w:pPr>
        <w:spacing w:before="160"/>
        <w:jc w:val="left"/>
        <w:rPr>
          <w:b/>
          <w:sz w:val="28"/>
        </w:rPr>
      </w:pPr>
      <w:r>
        <w:br w:type="page"/>
      </w:r>
    </w:p>
    <w:p w14:paraId="55C92DEB">
      <w:pPr>
        <w:pStyle w:val="2"/>
      </w:pPr>
      <w:bookmarkStart w:id="0" w:name="_Toc242901113"/>
      <w:r>
        <w:t>Task 1 – Personal Brand</w:t>
      </w:r>
      <w:bookmarkEnd w:id="0"/>
    </w:p>
    <w:p w14:paraId="3050DD6E">
      <w:pPr>
        <w:spacing w:line="360" w:lineRule="auto"/>
      </w:pPr>
      <w:r>
        <w:t>A personal brand is the professional image that is shared with an employer; it conveys an individual's values, strengths, skills and achievements (Sylvester and Donald, 2023). My personal brand is based on reliability, communication, adaptability and a commitment to developing knowledge in health and social care.</w:t>
      </w:r>
    </w:p>
    <w:p w14:paraId="52746E89">
      <w:pPr>
        <w:spacing w:line="360" w:lineRule="auto"/>
      </w:pPr>
      <w:r>
        <w:t xml:space="preserve">I am now studying BSc Health and Social Care at the University of Wales Trinity Saint David. My previous qualification in Sociology gives me a background in understanding the individual, the community and social issues. Working at Amazon UK Services has honed his teamwork, problem-solving, accuracy and ability to work quickly. Such experiences develop a professional identity that is focused on responsibility, inclusive communication and helping others. However, to progress towards a career in health and social care, I should demonstrate how my existing skills apply to person-centred care, safeguarding, confidentiality and professional boundaries. </w:t>
      </w:r>
    </w:p>
    <w:p w14:paraId="57C16086">
      <w:pPr>
        <w:spacing w:line="360" w:lineRule="auto"/>
      </w:pPr>
      <w:r>
        <w:t>This can be done by being active in the online community and maintaining a professional profile online. Medina Garrido (2025) describes the significance of professional identity narratives for career development. I could enhance my profile by refreshing my CV, stating transferable skills in a realistic way, and looking for appropriate placement or volunteering opportunities.</w:t>
      </w:r>
    </w:p>
    <w:p w14:paraId="01D2809D">
      <w:pPr>
        <w:spacing w:before="160"/>
        <w:jc w:val="left"/>
        <w:rPr>
          <w:b/>
          <w:bCs/>
        </w:rPr>
      </w:pPr>
      <w:r>
        <w:rPr>
          <w:b/>
          <w:bCs/>
        </w:rPr>
        <w:br w:type="page"/>
      </w:r>
    </w:p>
    <w:p w14:paraId="516140B9">
      <w:pPr>
        <w:pStyle w:val="2"/>
      </w:pPr>
      <w:bookmarkStart w:id="1" w:name="_Toc242901114"/>
      <w:r>
        <w:t>Task 2 – Network Map and Rationale</w:t>
      </w:r>
      <w:bookmarkEnd w:id="1"/>
    </w:p>
    <w:p w14:paraId="6B888DFA">
      <w:pPr>
        <w:spacing w:line="360" w:lineRule="auto"/>
        <w:jc w:val="center"/>
        <w:rPr>
          <w:lang w:val="en-US"/>
        </w:rPr>
      </w:pPr>
      <w:r>
        <w:rPr>
          <w:b/>
          <w:lang w:val="en-US"/>
        </w:rPr>
        <w:t>Abraham Kiros Andom</w:t>
      </w:r>
    </w:p>
    <w:p w14:paraId="70BB8E3A">
      <w:pPr>
        <w:spacing w:line="360" w:lineRule="auto"/>
        <w:jc w:val="center"/>
        <w:rPr>
          <w:lang w:val="en-US"/>
        </w:rPr>
      </w:pPr>
      <w:r>
        <w:rPr>
          <w:i/>
          <w:lang w:val="en-US"/>
        </w:rPr>
        <w:t>Career development in health and social care</w:t>
      </w:r>
    </w:p>
    <w:tbl>
      <w:tblPr>
        <w:tblStyle w:val="12"/>
        <w:tblW w:w="0" w:type="auto"/>
        <w:jc w:val="center"/>
        <w:tblLayout w:type="fixed"/>
        <w:tblCellMar>
          <w:top w:w="0" w:type="dxa"/>
          <w:left w:w="108" w:type="dxa"/>
          <w:bottom w:w="0" w:type="dxa"/>
          <w:right w:w="108" w:type="dxa"/>
        </w:tblCellMar>
      </w:tblPr>
      <w:tblGrid>
        <w:gridCol w:w="4968"/>
        <w:gridCol w:w="4968"/>
      </w:tblGrid>
      <w:tr w14:paraId="423E6709">
        <w:tblPrEx>
          <w:tblCellMar>
            <w:top w:w="0" w:type="dxa"/>
            <w:left w:w="108" w:type="dxa"/>
            <w:bottom w:w="0" w:type="dxa"/>
            <w:right w:w="108" w:type="dxa"/>
          </w:tblCellMar>
        </w:tblPrEx>
        <w:trPr>
          <w:trHeight w:val="2880" w:hRule="atLeast"/>
          <w:jc w:val="center"/>
        </w:trPr>
        <w:tc>
          <w:tcPr>
            <w:tcW w:w="4968" w:type="dxa"/>
            <w:tcBorders>
              <w:top w:val="single" w:color="1F4E79" w:sz="12" w:space="0"/>
              <w:left w:val="single" w:color="1F4E79" w:sz="12" w:space="0"/>
              <w:bottom w:val="single" w:color="1F4E79" w:sz="12" w:space="0"/>
              <w:right w:val="single" w:color="1F4E79" w:sz="12" w:space="0"/>
            </w:tcBorders>
            <w:shd w:val="clear" w:color="auto" w:fill="D9EAF7"/>
            <w:vAlign w:val="center"/>
          </w:tcPr>
          <w:p w14:paraId="664C422D">
            <w:pPr>
              <w:spacing w:line="360" w:lineRule="auto"/>
              <w:jc w:val="center"/>
              <w:rPr>
                <w:lang w:val="en-US"/>
              </w:rPr>
            </w:pPr>
            <w:r>
              <w:rPr>
                <w:b/>
                <w:lang w:val="en-US"/>
              </w:rPr>
              <w:t>CAREER NETWORK</w:t>
            </w:r>
          </w:p>
          <w:p w14:paraId="1693A2F9">
            <w:pPr>
              <w:pStyle w:val="37"/>
              <w:numPr>
                <w:ilvl w:val="0"/>
                <w:numId w:val="1"/>
              </w:numPr>
              <w:spacing w:line="360" w:lineRule="auto"/>
              <w:rPr>
                <w:lang w:val="en-US"/>
              </w:rPr>
            </w:pPr>
            <w:r>
              <w:rPr>
                <w:lang w:val="en-US"/>
              </w:rPr>
              <w:t>Amazon colleagues and managers</w:t>
            </w:r>
          </w:p>
          <w:p w14:paraId="38DFF024">
            <w:pPr>
              <w:pStyle w:val="37"/>
              <w:numPr>
                <w:ilvl w:val="0"/>
                <w:numId w:val="1"/>
              </w:numPr>
              <w:spacing w:line="360" w:lineRule="auto"/>
              <w:rPr>
                <w:lang w:val="en-US"/>
              </w:rPr>
            </w:pPr>
            <w:r>
              <w:rPr>
                <w:lang w:val="en-US"/>
              </w:rPr>
              <w:t>Peer trainers and workplace contacts</w:t>
            </w:r>
          </w:p>
          <w:p w14:paraId="020C6C13">
            <w:pPr>
              <w:pStyle w:val="37"/>
              <w:numPr>
                <w:ilvl w:val="0"/>
                <w:numId w:val="1"/>
              </w:numPr>
              <w:spacing w:line="360" w:lineRule="auto"/>
              <w:rPr>
                <w:lang w:val="en-US"/>
              </w:rPr>
            </w:pPr>
            <w:r>
              <w:rPr>
                <w:lang w:val="en-US"/>
              </w:rPr>
              <w:t>University tutors and lecturers</w:t>
            </w:r>
          </w:p>
          <w:p w14:paraId="319AC3F5">
            <w:pPr>
              <w:pStyle w:val="37"/>
              <w:numPr>
                <w:ilvl w:val="0"/>
                <w:numId w:val="1"/>
              </w:numPr>
              <w:spacing w:line="360" w:lineRule="auto"/>
              <w:rPr>
                <w:lang w:val="en-US"/>
              </w:rPr>
            </w:pPr>
            <w:r>
              <w:rPr>
                <w:lang w:val="en-US"/>
              </w:rPr>
              <w:t>Potential health and social care employers</w:t>
            </w:r>
          </w:p>
        </w:tc>
        <w:tc>
          <w:tcPr>
            <w:tcW w:w="4968" w:type="dxa"/>
            <w:tcBorders>
              <w:top w:val="single" w:color="38761D" w:sz="12" w:space="0"/>
              <w:left w:val="single" w:color="38761D" w:sz="12" w:space="0"/>
              <w:bottom w:val="single" w:color="38761D" w:sz="12" w:space="0"/>
              <w:right w:val="single" w:color="38761D" w:sz="12" w:space="0"/>
            </w:tcBorders>
            <w:shd w:val="clear" w:color="auto" w:fill="E2F0D9"/>
            <w:vAlign w:val="center"/>
          </w:tcPr>
          <w:p w14:paraId="195C6A8C">
            <w:pPr>
              <w:spacing w:line="360" w:lineRule="auto"/>
              <w:jc w:val="center"/>
              <w:rPr>
                <w:lang w:val="en-US"/>
              </w:rPr>
            </w:pPr>
            <w:r>
              <w:rPr>
                <w:b/>
                <w:lang w:val="en-US"/>
              </w:rPr>
              <w:t>SUPPORT NETWORK</w:t>
            </w:r>
          </w:p>
          <w:p w14:paraId="09702D7E">
            <w:pPr>
              <w:pStyle w:val="37"/>
              <w:numPr>
                <w:ilvl w:val="0"/>
                <w:numId w:val="2"/>
              </w:numPr>
              <w:spacing w:line="360" w:lineRule="auto"/>
              <w:rPr>
                <w:lang w:val="en-US"/>
              </w:rPr>
            </w:pPr>
            <w:r>
              <w:rPr>
                <w:lang w:val="en-US"/>
              </w:rPr>
              <w:t>Academic advisers and supervisors</w:t>
            </w:r>
          </w:p>
          <w:p w14:paraId="2F8DE9D4">
            <w:pPr>
              <w:pStyle w:val="37"/>
              <w:numPr>
                <w:ilvl w:val="0"/>
                <w:numId w:val="2"/>
              </w:numPr>
              <w:spacing w:line="360" w:lineRule="auto"/>
              <w:rPr>
                <w:lang w:val="en-US"/>
              </w:rPr>
            </w:pPr>
            <w:r>
              <w:rPr>
                <w:lang w:val="en-US"/>
              </w:rPr>
              <w:t>Mentors and careers guidance services</w:t>
            </w:r>
          </w:p>
          <w:p w14:paraId="7250468D">
            <w:pPr>
              <w:pStyle w:val="37"/>
              <w:numPr>
                <w:ilvl w:val="0"/>
                <w:numId w:val="2"/>
              </w:numPr>
              <w:spacing w:line="360" w:lineRule="auto"/>
              <w:rPr>
                <w:lang w:val="en-US"/>
              </w:rPr>
            </w:pPr>
            <w:r>
              <w:rPr>
                <w:lang w:val="en-US"/>
              </w:rPr>
              <w:t xml:space="preserve">Trusted family members and friends </w:t>
            </w:r>
          </w:p>
          <w:p w14:paraId="0CAF7594">
            <w:pPr>
              <w:pStyle w:val="37"/>
              <w:numPr>
                <w:ilvl w:val="0"/>
                <w:numId w:val="2"/>
              </w:numPr>
              <w:spacing w:line="360" w:lineRule="auto"/>
              <w:rPr>
                <w:lang w:val="en-US"/>
              </w:rPr>
            </w:pPr>
            <w:r>
              <w:rPr>
                <w:lang w:val="en-US"/>
              </w:rPr>
              <w:t>People who provide encouragement and advice</w:t>
            </w:r>
          </w:p>
        </w:tc>
      </w:tr>
      <w:tr w14:paraId="722B47BE">
        <w:tblPrEx>
          <w:tblCellMar>
            <w:top w:w="0" w:type="dxa"/>
            <w:left w:w="108" w:type="dxa"/>
            <w:bottom w:w="0" w:type="dxa"/>
            <w:right w:w="108" w:type="dxa"/>
          </w:tblCellMar>
        </w:tblPrEx>
        <w:trPr>
          <w:trHeight w:val="2880" w:hRule="atLeast"/>
          <w:jc w:val="center"/>
        </w:trPr>
        <w:tc>
          <w:tcPr>
            <w:tcW w:w="4968" w:type="dxa"/>
            <w:tcBorders>
              <w:top w:val="single" w:color="674EA7" w:sz="12" w:space="0"/>
              <w:left w:val="single" w:color="674EA7" w:sz="12" w:space="0"/>
              <w:bottom w:val="single" w:color="674EA7" w:sz="12" w:space="0"/>
              <w:right w:val="single" w:color="674EA7" w:sz="12" w:space="0"/>
            </w:tcBorders>
            <w:shd w:val="clear" w:color="auto" w:fill="E4DFEC"/>
            <w:vAlign w:val="center"/>
          </w:tcPr>
          <w:p w14:paraId="6F03ADEA">
            <w:pPr>
              <w:spacing w:line="360" w:lineRule="auto"/>
              <w:jc w:val="center"/>
              <w:rPr>
                <w:lang w:val="en-US"/>
              </w:rPr>
            </w:pPr>
            <w:r>
              <w:rPr>
                <w:b/>
                <w:lang w:val="en-US"/>
              </w:rPr>
              <w:t>SOCIAL NETWORK</w:t>
            </w:r>
          </w:p>
          <w:p w14:paraId="7B33EE8D">
            <w:pPr>
              <w:pStyle w:val="37"/>
              <w:numPr>
                <w:ilvl w:val="0"/>
                <w:numId w:val="3"/>
              </w:numPr>
              <w:spacing w:line="360" w:lineRule="auto"/>
              <w:rPr>
                <w:lang w:val="en-US"/>
              </w:rPr>
            </w:pPr>
            <w:r>
              <w:rPr>
                <w:lang w:val="en-US"/>
              </w:rPr>
              <w:t>Friends and acquaintances</w:t>
            </w:r>
          </w:p>
          <w:p w14:paraId="1253A3DE">
            <w:pPr>
              <w:pStyle w:val="37"/>
              <w:numPr>
                <w:ilvl w:val="0"/>
                <w:numId w:val="3"/>
              </w:numPr>
              <w:spacing w:line="360" w:lineRule="auto"/>
              <w:rPr>
                <w:lang w:val="en-US"/>
              </w:rPr>
            </w:pPr>
            <w:r>
              <w:rPr>
                <w:lang w:val="en-US"/>
              </w:rPr>
              <w:t>Current and former colleagues</w:t>
            </w:r>
          </w:p>
          <w:p w14:paraId="2DC22CE1">
            <w:pPr>
              <w:pStyle w:val="37"/>
              <w:numPr>
                <w:ilvl w:val="0"/>
                <w:numId w:val="3"/>
              </w:numPr>
              <w:spacing w:line="360" w:lineRule="auto"/>
              <w:rPr>
                <w:lang w:val="en-US"/>
              </w:rPr>
            </w:pPr>
            <w:r>
              <w:rPr>
                <w:lang w:val="en-US"/>
              </w:rPr>
              <w:t>University peers</w:t>
            </w:r>
          </w:p>
          <w:p w14:paraId="0D40742E">
            <w:pPr>
              <w:pStyle w:val="37"/>
              <w:numPr>
                <w:ilvl w:val="0"/>
                <w:numId w:val="3"/>
              </w:numPr>
              <w:spacing w:line="360" w:lineRule="auto"/>
              <w:rPr>
                <w:lang w:val="en-US"/>
              </w:rPr>
            </w:pPr>
            <w:r>
              <w:rPr>
                <w:lang w:val="en-US"/>
              </w:rPr>
              <w:t>Professional online communities</w:t>
            </w:r>
          </w:p>
        </w:tc>
        <w:tc>
          <w:tcPr>
            <w:tcW w:w="4968" w:type="dxa"/>
            <w:tcBorders>
              <w:top w:val="single" w:color="C65911" w:sz="12" w:space="0"/>
              <w:left w:val="single" w:color="C65911" w:sz="12" w:space="0"/>
              <w:bottom w:val="single" w:color="C65911" w:sz="12" w:space="0"/>
              <w:right w:val="single" w:color="C65911" w:sz="12" w:space="0"/>
            </w:tcBorders>
            <w:shd w:val="clear" w:color="auto" w:fill="FCE4D6"/>
            <w:vAlign w:val="center"/>
          </w:tcPr>
          <w:p w14:paraId="7CB5C447">
            <w:pPr>
              <w:spacing w:line="360" w:lineRule="auto"/>
              <w:jc w:val="center"/>
              <w:rPr>
                <w:lang w:val="en-US"/>
              </w:rPr>
            </w:pPr>
            <w:r>
              <w:rPr>
                <w:b/>
                <w:lang w:val="en-US"/>
              </w:rPr>
              <w:t>COMMUNITY NETWORK</w:t>
            </w:r>
          </w:p>
          <w:p w14:paraId="6437C124">
            <w:pPr>
              <w:pStyle w:val="37"/>
              <w:numPr>
                <w:ilvl w:val="0"/>
                <w:numId w:val="4"/>
              </w:numPr>
              <w:spacing w:line="360" w:lineRule="auto"/>
              <w:rPr>
                <w:lang w:val="en-US"/>
              </w:rPr>
            </w:pPr>
            <w:r>
              <w:rPr>
                <w:lang w:val="en-US"/>
              </w:rPr>
              <w:t>British Red Cross Refugee Services</w:t>
            </w:r>
          </w:p>
          <w:p w14:paraId="49F96AE7">
            <w:pPr>
              <w:pStyle w:val="37"/>
              <w:numPr>
                <w:ilvl w:val="0"/>
                <w:numId w:val="4"/>
              </w:numPr>
              <w:spacing w:line="360" w:lineRule="auto"/>
              <w:rPr>
                <w:lang w:val="en-US"/>
              </w:rPr>
            </w:pPr>
            <w:r>
              <w:rPr>
                <w:lang w:val="en-US"/>
              </w:rPr>
              <w:t>Local community organisations</w:t>
            </w:r>
          </w:p>
          <w:p w14:paraId="0086FE2F">
            <w:pPr>
              <w:pStyle w:val="37"/>
              <w:numPr>
                <w:ilvl w:val="0"/>
                <w:numId w:val="4"/>
              </w:numPr>
              <w:spacing w:line="360" w:lineRule="auto"/>
              <w:rPr>
                <w:lang w:val="en-US"/>
              </w:rPr>
            </w:pPr>
            <w:r>
              <w:rPr>
                <w:lang w:val="en-US"/>
              </w:rPr>
              <w:t>Volunteering and support groups</w:t>
            </w:r>
          </w:p>
          <w:p w14:paraId="55D1F184">
            <w:pPr>
              <w:pStyle w:val="37"/>
              <w:numPr>
                <w:ilvl w:val="0"/>
                <w:numId w:val="4"/>
              </w:numPr>
              <w:spacing w:line="360" w:lineRule="auto"/>
              <w:rPr>
                <w:lang w:val="en-US"/>
              </w:rPr>
            </w:pPr>
            <w:r>
              <w:rPr>
                <w:lang w:val="en-US"/>
              </w:rPr>
              <w:t>Relevant cultural or community networks (if applicable)</w:t>
            </w:r>
          </w:p>
        </w:tc>
      </w:tr>
    </w:tbl>
    <w:p w14:paraId="6D4A74EF">
      <w:pPr>
        <w:spacing w:line="360" w:lineRule="auto"/>
      </w:pPr>
    </w:p>
    <w:p w14:paraId="7F5B8D8C">
      <w:pPr>
        <w:spacing w:line="360" w:lineRule="auto"/>
      </w:pPr>
      <w:r>
        <w:t>Access to advice, information, encouragement and employment opportunities through a professional network (Suarez and McGrath, 2022). At Amazon, there are opportunities to enhance communication and teamwork skills with colleagues and managers. He might also receive feedback from his peers when he is involved in peer training. University tutors can help him with his academic learning and give him advice with regard to relevant placements and career paths.</w:t>
      </w:r>
    </w:p>
    <w:p w14:paraId="76522E4A">
      <w:pPr>
        <w:spacing w:line="360" w:lineRule="auto"/>
      </w:pPr>
      <w:r>
        <w:t>His previous volunteering with British Red Cross Refugee Services represents an important community connection. Interpretation and support for vulnerable people can be drawn on for inclusive communication and understanding of diverse needs. Social contacts can offer encouragement and support him to balance education and employment and stay motivated.</w:t>
      </w:r>
    </w:p>
    <w:p w14:paraId="699723AB">
      <w:pPr>
        <w:spacing w:line="360" w:lineRule="auto"/>
      </w:pPr>
      <w:r>
        <w:t xml:space="preserve">But it's only beneficial to have a network if you keep in touch with them and use it responsibly. Working mostly in the workplace may restrict the type of health and social care workers that Abraham interacts with. He should build relationships with placement supervisors, professional organisations and care practitioners. Reissner, and Armitage-Chan (2024) point to the development of professional identity as a result of interaction and experiences in the world of work. </w:t>
      </w:r>
    </w:p>
    <w:p w14:paraId="54A57DE3">
      <w:pPr>
        <w:spacing w:before="160"/>
        <w:jc w:val="left"/>
        <w:rPr>
          <w:b/>
          <w:bCs/>
        </w:rPr>
      </w:pPr>
      <w:r>
        <w:rPr>
          <w:b/>
          <w:bCs/>
        </w:rPr>
        <w:br w:type="page"/>
      </w:r>
    </w:p>
    <w:p w14:paraId="08CE4BB6">
      <w:pPr>
        <w:pStyle w:val="2"/>
      </w:pPr>
      <w:bookmarkStart w:id="2" w:name="_Toc242901115"/>
      <w:r>
        <w:t>Task 3 – Blog: Why Mental Health Matters in UK Health and Social Care</w:t>
      </w:r>
      <w:bookmarkEnd w:id="2"/>
    </w:p>
    <w:p w14:paraId="16FF0DFA">
      <w:pPr>
        <w:spacing w:line="360" w:lineRule="auto"/>
        <w:jc w:val="center"/>
        <w:rPr>
          <w:b/>
          <w:bCs/>
        </w:rPr>
      </w:pPr>
      <w:r>
        <w:rPr>
          <w:b/>
          <w:bCs/>
        </w:rPr>
        <w:t>Mental Health Matters: Building a More Supportive UK Care System</w:t>
      </w:r>
    </w:p>
    <w:p w14:paraId="51C7E2B2">
      <w:pPr>
        <w:spacing w:line="360" w:lineRule="auto"/>
      </w:pPr>
      <w:r>
        <w:rPr>
          <w:b/>
          <w:bCs/>
        </w:rPr>
        <w:t>Target audience: Young adults, families and people working in health and social care</w:t>
      </w:r>
    </w:p>
    <w:p w14:paraId="61542879">
      <w:pPr>
        <w:spacing w:line="360" w:lineRule="auto"/>
      </w:pPr>
      <w:r>
        <w:t>Mental health is a crucial aspect of wellbeing. It impacts thinking, feeling, coping with normal stress, and relationships. Mental health problems may occur in individuals from various backgrounds and ages in the UK. It is therefore crucial that access to support services and a reduction in stigma are addressed.</w:t>
      </w:r>
    </w:p>
    <w:p w14:paraId="74A19CF8">
      <w:pPr>
        <w:spacing w:line="360" w:lineRule="auto"/>
        <w:rPr>
          <w:b/>
          <w:bCs/>
        </w:rPr>
      </w:pPr>
      <w:r>
        <w:rPr>
          <w:b/>
          <w:bCs/>
        </w:rPr>
        <w:t>Why does mental health support matter?</w:t>
      </w:r>
    </w:p>
    <w:p w14:paraId="34919F76">
      <w:pPr>
        <w:spacing w:line="360" w:lineRule="auto"/>
      </w:pPr>
      <w:r>
        <w:t>Mental health problems can impact learning, work, relationships and everyday functioning. People could feel anxious, depressed, lonely or troubled because of financial difficulties, bereavement and physical illness.  The NHS has information on mental health disorders, treatment and support. But some people may postpone seeking help due to fear of being judged or not knowing how to access help. Encouraging access to appropriate support and listening without criticism from families, friends and care professionals can all have a positive impact (NHS, 2026).</w:t>
      </w:r>
    </w:p>
    <w:p w14:paraId="519F3288">
      <w:pPr>
        <w:spacing w:line="360" w:lineRule="auto"/>
        <w:rPr>
          <w:b/>
          <w:bCs/>
        </w:rPr>
      </w:pPr>
      <w:r>
        <w:rPr>
          <w:b/>
          <w:bCs/>
        </w:rPr>
        <w:t>The role of health and social care professionals</w:t>
      </w:r>
    </w:p>
    <w:p w14:paraId="4F6BA3B9">
      <w:pPr>
        <w:spacing w:line="360" w:lineRule="auto"/>
      </w:pPr>
      <w:r>
        <w:t xml:space="preserve">The importance of mental health should also be taken seriously and respected by health and social care workers. Person-centred support is listening to people, supporting their choices and understanding their unique situations. Staff need to be clear and concise in their communication, respect the person's right to confidentiality and not make assumptions about their experience. Evidence-based guidance is given by the National Institute for Health and Care Excellence to help ensure that assessment and care are appropriate (NICE 2026). </w:t>
      </w:r>
    </w:p>
    <w:p w14:paraId="70DC447B">
      <w:pPr>
        <w:spacing w:line="360" w:lineRule="auto"/>
        <w:rPr>
          <w:b/>
          <w:bCs/>
        </w:rPr>
      </w:pPr>
      <w:r>
        <w:rPr>
          <w:b/>
          <w:bCs/>
        </w:rPr>
        <w:t>What can families and communities do?</w:t>
      </w:r>
    </w:p>
    <w:p w14:paraId="4D3C2715">
      <w:pPr>
        <w:spacing w:line="360" w:lineRule="auto"/>
      </w:pPr>
      <w:r>
        <w:t>Families, friends and communities can help to minimise stigma by talking respectfully about mental health and challenging attitudes and beliefs that discriminate against it. Being socially connected, engaging in activities that matter, and reaching out for assistance early on can contribute to wellbeing. It is also important that people are aware that mental health problems are not a failure.</w:t>
      </w:r>
    </w:p>
    <w:p w14:paraId="17B428F9">
      <w:pPr>
        <w:spacing w:line="360" w:lineRule="auto"/>
      </w:pPr>
      <w:r>
        <w:t>Anyone who has concerns about their mental health should speak to their GP or use the NHS mental health information to find mental health services that are suitable. Urgent mental health support could be provided in England via NHS 111. If there is anyone in immediate danger, they should call emergency services.</w:t>
      </w:r>
    </w:p>
    <w:p w14:paraId="759491D9">
      <w:pPr>
        <w:spacing w:line="360" w:lineRule="auto"/>
        <w:rPr>
          <w:b/>
          <w:bCs/>
        </w:rPr>
      </w:pPr>
      <w:r>
        <w:rPr>
          <w:b/>
          <w:bCs/>
        </w:rPr>
        <w:t>Moving forward</w:t>
      </w:r>
    </w:p>
    <w:p w14:paraId="2921894F">
      <w:pPr>
        <w:spacing w:line="360" w:lineRule="auto"/>
      </w:pPr>
      <w:r>
        <w:t>A supportive care system must be available to provide services, be trained to provide mental health care, and communities must be more concerned with mental health. This can help people to get support when they need it, respect their experiences and be more aware of their needs generally. Mental health is a vital aspect of person-centred health and social care.</w:t>
      </w:r>
    </w:p>
    <w:p w14:paraId="72EA29C8">
      <w:pPr>
        <w:spacing w:before="160"/>
        <w:jc w:val="left"/>
        <w:rPr>
          <w:b/>
          <w:bCs/>
        </w:rPr>
      </w:pPr>
      <w:r>
        <w:rPr>
          <w:b/>
          <w:bCs/>
        </w:rPr>
        <w:br w:type="page"/>
      </w:r>
    </w:p>
    <w:p w14:paraId="069D7671">
      <w:pPr>
        <w:pStyle w:val="2"/>
      </w:pPr>
      <w:bookmarkStart w:id="3" w:name="_Toc242901116"/>
      <w:r>
        <w:t>Task 4 – NHS Equality, Diversity and Inclusion Improvement Plan</w:t>
      </w:r>
      <w:bookmarkEnd w:id="3"/>
    </w:p>
    <w:p w14:paraId="2DDDD754">
      <w:pPr>
        <w:spacing w:line="360" w:lineRule="auto"/>
        <w:rPr>
          <w:b/>
          <w:bCs/>
        </w:rPr>
      </w:pPr>
      <w:r>
        <w:rPr>
          <w:b/>
          <w:bCs/>
        </w:rPr>
        <w:t>1. What is the primary goal of the NHS Equality, Diversity, and Inclusion Improvement Plan?</w:t>
      </w:r>
    </w:p>
    <w:p w14:paraId="0791663D">
      <w:pPr>
        <w:spacing w:line="360" w:lineRule="auto"/>
      </w:pPr>
      <w:r>
        <w:t>It is mainly about tackling discrimination, prejudice and inequalities in the NHS workforce. It is designed to provide an inclusive environment where staff feel respected, supported, and able to advance fairly.</w:t>
      </w:r>
    </w:p>
    <w:p w14:paraId="700BEABA">
      <w:pPr>
        <w:spacing w:line="360" w:lineRule="auto"/>
        <w:rPr>
          <w:b/>
          <w:bCs/>
        </w:rPr>
      </w:pPr>
      <w:r>
        <w:rPr>
          <w:b/>
          <w:bCs/>
        </w:rPr>
        <w:t>2. How does the NHS EDI Improvement Plan propose to tackle the gender pay gap?</w:t>
      </w:r>
    </w:p>
    <w:p w14:paraId="1438E718">
      <w:pPr>
        <w:spacing w:line="360" w:lineRule="auto"/>
      </w:pPr>
      <w:r>
        <w:t>It encourages fair recruitment, development and progression for workers, with monitoring of workforce inequalities. These are steps taken to identify and address obstacles to women's progress and pay (NHS, 2026).</w:t>
      </w:r>
    </w:p>
    <w:p w14:paraId="66065191">
      <w:pPr>
        <w:spacing w:line="360" w:lineRule="auto"/>
        <w:rPr>
          <w:b/>
          <w:bCs/>
        </w:rPr>
      </w:pPr>
      <w:r>
        <w:rPr>
          <w:b/>
          <w:bCs/>
        </w:rPr>
        <w:t>3. What is meant by the term ‘intersectionality’ as used in the NHS EDI Improvement Plan?</w:t>
      </w:r>
    </w:p>
    <w:p w14:paraId="1B741D51">
      <w:pPr>
        <w:spacing w:line="360" w:lineRule="auto"/>
      </w:pPr>
      <w:r>
        <w:t>Intersectionality acknowledges that multiple forms of identity may intersect and result in unique experiences of disadvantage. Gender or ethnicity could, for instance, interact with one another to impact work experiences (NHS England, 2026).</w:t>
      </w:r>
    </w:p>
    <w:p w14:paraId="509566A5">
      <w:pPr>
        <w:spacing w:line="360" w:lineRule="auto"/>
        <w:rPr>
          <w:b/>
          <w:bCs/>
        </w:rPr>
      </w:pPr>
      <w:r>
        <w:rPr>
          <w:b/>
          <w:bCs/>
        </w:rPr>
        <w:t>4. Why is it important for the NHS to create a psychologically safe work environment?</w:t>
      </w:r>
    </w:p>
    <w:p w14:paraId="0E8FA6F4">
      <w:pPr>
        <w:spacing w:line="360" w:lineRule="auto"/>
      </w:pPr>
      <w:r>
        <w:t>Psychological safety allows employees to speak up when something is not right, make mistakes without being humiliated or retaliated against, and share ideas. This helps to maintain staff wellbeing, teamwork and patient safety.</w:t>
      </w:r>
    </w:p>
    <w:p w14:paraId="2E55506F">
      <w:pPr>
        <w:spacing w:line="360" w:lineRule="auto"/>
        <w:rPr>
          <w:b/>
          <w:bCs/>
        </w:rPr>
      </w:pPr>
      <w:r>
        <w:rPr>
          <w:b/>
          <w:bCs/>
        </w:rPr>
        <w:t>5. How does the NHS EDI Improvement Plan suggest improving the experience of internationally recruited staff?</w:t>
      </w:r>
    </w:p>
    <w:p w14:paraId="243DC55D">
      <w:pPr>
        <w:spacing w:line="360" w:lineRule="auto"/>
      </w:pPr>
      <w:r>
        <w:t>It suggests full induction and equal opportunities for training, development and career development opportunities. This is to welcome and support recruited staff from abroad.</w:t>
      </w:r>
    </w:p>
    <w:p w14:paraId="70C9427F">
      <w:pPr>
        <w:spacing w:line="360" w:lineRule="auto"/>
        <w:rPr>
          <w:b/>
          <w:bCs/>
        </w:rPr>
      </w:pPr>
      <w:r>
        <w:rPr>
          <w:b/>
          <w:bCs/>
        </w:rPr>
        <w:t>6. What role does leadership play in advancing EDI objectives according to the NHS Improvement Plan?</w:t>
      </w:r>
    </w:p>
    <w:p w14:paraId="7408E770">
      <w:pPr>
        <w:spacing w:line="360" w:lineRule="auto"/>
      </w:pPr>
      <w:r>
        <w:t>Leaders should lead the way in demonstrating inclusive behaviour, take steps to improve and be held to account for improvements. They are responsible for tackling discrimination and ensuring fair treatment.</w:t>
      </w:r>
    </w:p>
    <w:p w14:paraId="14A3A3B5">
      <w:pPr>
        <w:spacing w:line="360" w:lineRule="auto"/>
        <w:rPr>
          <w:b/>
          <w:bCs/>
        </w:rPr>
      </w:pPr>
      <w:r>
        <w:rPr>
          <w:b/>
          <w:bCs/>
        </w:rPr>
        <w:t>7. Identify one way the NHS EDI Improvement Plan aims to reduce health inequalities within the workforce.</w:t>
      </w:r>
    </w:p>
    <w:p w14:paraId="64CC1F82">
      <w:pPr>
        <w:spacing w:line="360" w:lineRule="auto"/>
      </w:pPr>
      <w:r>
        <w:t>It provides organisations with an opportunity to review their workforce information and tackle inequalities in staff experiences. Individual or specific interventions can promote better working conditions and access to opportunity.</w:t>
      </w:r>
    </w:p>
    <w:p w14:paraId="05E1A661">
      <w:pPr>
        <w:spacing w:line="360" w:lineRule="auto"/>
        <w:rPr>
          <w:b/>
          <w:bCs/>
        </w:rPr>
      </w:pPr>
      <w:r>
        <w:rPr>
          <w:b/>
          <w:bCs/>
        </w:rPr>
        <w:t>8. Why does the NHS EDI Improvement Plan emphasise the importance of collecting and analysing data on protected characteristics?</w:t>
      </w:r>
    </w:p>
    <w:p w14:paraId="3CB89D26">
      <w:pPr>
        <w:spacing w:line="360" w:lineRule="auto"/>
      </w:pPr>
      <w:r>
        <w:t>The data assists in identifying patterns of discrimination and unequal outcomes. The results can be utilised to foresee specific enhancements and track progress at the organisation (NHS Employers, 2023).</w:t>
      </w:r>
    </w:p>
    <w:p w14:paraId="11718057">
      <w:pPr>
        <w:spacing w:line="360" w:lineRule="auto"/>
        <w:rPr>
          <w:b/>
          <w:bCs/>
        </w:rPr>
      </w:pPr>
      <w:r>
        <w:rPr>
          <w:b/>
          <w:bCs/>
        </w:rPr>
        <w:t>9. Explain how flexible working policies can contribute to equality and inclusion in the NHS workforce.</w:t>
      </w:r>
    </w:p>
    <w:p w14:paraId="4A5552A9">
      <w:pPr>
        <w:spacing w:line="360" w:lineRule="auto"/>
      </w:pPr>
      <w:r>
        <w:t>Flexible working can assist staff in achieving a balance between work and caring and/or disability-related needs and other personal needs. Suitable arrangements which can support inclusion and retention can be achieved with fair access.</w:t>
      </w:r>
    </w:p>
    <w:p w14:paraId="4650FB0E">
      <w:pPr>
        <w:spacing w:line="360" w:lineRule="auto"/>
        <w:rPr>
          <w:b/>
          <w:bCs/>
        </w:rPr>
      </w:pPr>
      <w:r>
        <w:rPr>
          <w:b/>
          <w:bCs/>
        </w:rPr>
        <w:t>10. What is one strategy mentioned in the NHS EDI Improvement Plan to combat bullying and harassment in the workplace?</w:t>
      </w:r>
    </w:p>
    <w:p w14:paraId="0BC590E1">
      <w:pPr>
        <w:spacing w:line="360" w:lineRule="auto"/>
      </w:pPr>
      <w:r>
        <w:t>Organisations must monitor reports of bullying, harassment, discrimination and violence, establish reduction targets and enhance employment processes relating to these issues. Staff need to be able to report concerns safely.</w:t>
      </w:r>
    </w:p>
    <w:p w14:paraId="6B94D85F">
      <w:pPr>
        <w:spacing w:line="360" w:lineRule="auto"/>
      </w:pPr>
    </w:p>
    <w:p w14:paraId="6EA5C89C">
      <w:pPr>
        <w:spacing w:before="160"/>
        <w:jc w:val="left"/>
        <w:rPr>
          <w:b/>
          <w:bCs/>
        </w:rPr>
      </w:pPr>
      <w:r>
        <w:rPr>
          <w:b/>
          <w:bCs/>
        </w:rPr>
        <w:br w:type="page"/>
      </w:r>
    </w:p>
    <w:p w14:paraId="2E5F2CB2">
      <w:pPr>
        <w:pStyle w:val="2"/>
      </w:pPr>
      <w:bookmarkStart w:id="4" w:name="_Toc242901117"/>
      <w:r>
        <w:t>Task 5 – A Letter to Yourself</w:t>
      </w:r>
      <w:bookmarkEnd w:id="4"/>
    </w:p>
    <w:p w14:paraId="53FA7E8A">
      <w:pPr>
        <w:spacing w:line="360" w:lineRule="auto"/>
      </w:pPr>
      <w:r>
        <w:t>Dear Younger Abraham,</w:t>
      </w:r>
    </w:p>
    <w:p w14:paraId="76CC5AEE">
      <w:pPr>
        <w:spacing w:line="360" w:lineRule="auto"/>
      </w:pPr>
      <w:r>
        <w:t>At times, the demands of responsibilities, change or uncertainty were challenging. Looking back, remember that difficult experiences can provide opportunities to learn, develop confidence and understand yourself better. Do not be ready with all the answers and feel that this is a prerequisite to progress.</w:t>
      </w:r>
    </w:p>
    <w:p w14:paraId="18C94D15">
      <w:pPr>
        <w:spacing w:line="360" w:lineRule="auto"/>
      </w:pPr>
      <w:r>
        <w:t xml:space="preserve">Emotional intelligence is the ability to recognise and manage emotions and understand how other people feel. This is a skill that can be developed to handle pressure with a cool head. When making decisions, don't let frustration or worry get in the way, but take time to learn about the situation and think about how to solve it. </w:t>
      </w:r>
    </w:p>
    <w:p w14:paraId="3AE41AC9">
      <w:pPr>
        <w:spacing w:line="360" w:lineRule="auto"/>
      </w:pPr>
      <w:r>
        <w:t xml:space="preserve">Resilience is the capacity to cope and persist in achieving objectives in the face of challenges. It's not about ignoring issues or being a man of steel at all times. It involves identifying problems, asking for assistance if needed, and taking advantage of failures.  You can learn these qualities through your education, work and/or volunteer experiences. Must be patient, a team player and understand different viewpoints when working with different people. </w:t>
      </w:r>
    </w:p>
    <w:p w14:paraId="33A46E75">
      <w:pPr>
        <w:spacing w:line="360" w:lineRule="auto"/>
      </w:pPr>
      <w:r>
        <w:t xml:space="preserve">Above all, understand that seeking assistance is not a sign of weakness but of awareness of self. You can enhance relationships with emotional intelligence and deal with change and stay focused on your goals with your resilience. Continue to educate yourself, be patient, and be understanding of others. </w:t>
      </w:r>
    </w:p>
    <w:p w14:paraId="462E5772">
      <w:pPr>
        <w:spacing w:line="360" w:lineRule="auto"/>
      </w:pPr>
      <w:r>
        <w:t>Best wishes,</w:t>
      </w:r>
    </w:p>
    <w:p w14:paraId="7ADD7B30">
      <w:pPr>
        <w:spacing w:line="360" w:lineRule="auto"/>
      </w:pPr>
      <w:r>
        <w:t>Your older self</w:t>
      </w:r>
    </w:p>
    <w:p w14:paraId="287EC274">
      <w:pPr>
        <w:spacing w:before="160"/>
        <w:jc w:val="left"/>
        <w:rPr>
          <w:b/>
          <w:bCs/>
        </w:rPr>
      </w:pPr>
      <w:r>
        <w:rPr>
          <w:b/>
          <w:bCs/>
        </w:rPr>
        <w:br w:type="page"/>
      </w:r>
    </w:p>
    <w:p w14:paraId="483FCD22">
      <w:pPr>
        <w:pStyle w:val="2"/>
      </w:pPr>
      <w:bookmarkStart w:id="5" w:name="_Toc242901118"/>
      <w:r>
        <w:t>Task 6 – Gantt Chart: Achieving Future Employment Goals</w:t>
      </w:r>
      <w:bookmarkEnd w:id="5"/>
    </w:p>
    <w:tbl>
      <w:tblPr>
        <w:tblStyle w:val="21"/>
        <w:tblW w:w="0" w:type="auto"/>
        <w:tblInd w:w="-9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76"/>
        <w:gridCol w:w="1086"/>
        <w:gridCol w:w="1086"/>
        <w:gridCol w:w="1086"/>
        <w:gridCol w:w="1086"/>
        <w:gridCol w:w="1136"/>
        <w:gridCol w:w="1181"/>
      </w:tblGrid>
      <w:tr w14:paraId="499364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0FAB0B28">
            <w:pPr>
              <w:spacing w:after="160" w:line="360" w:lineRule="auto"/>
              <w:rPr>
                <w:b/>
                <w:bCs/>
              </w:rPr>
            </w:pPr>
            <w:r>
              <w:rPr>
                <w:b/>
                <w:bCs/>
              </w:rPr>
              <w:t>Tasks and Activities</w:t>
            </w:r>
          </w:p>
        </w:tc>
        <w:tc>
          <w:tcPr>
            <w:tcW w:w="0" w:type="auto"/>
          </w:tcPr>
          <w:p w14:paraId="2FD7C9CF">
            <w:pPr>
              <w:spacing w:after="160" w:line="360" w:lineRule="auto"/>
              <w:rPr>
                <w:b/>
                <w:bCs/>
              </w:rPr>
            </w:pPr>
            <w:r>
              <w:rPr>
                <w:b/>
                <w:bCs/>
              </w:rPr>
              <w:t>Month 1–2</w:t>
            </w:r>
          </w:p>
        </w:tc>
        <w:tc>
          <w:tcPr>
            <w:tcW w:w="0" w:type="auto"/>
          </w:tcPr>
          <w:p w14:paraId="0465E098">
            <w:pPr>
              <w:spacing w:after="160" w:line="360" w:lineRule="auto"/>
              <w:rPr>
                <w:b/>
                <w:bCs/>
              </w:rPr>
            </w:pPr>
            <w:r>
              <w:rPr>
                <w:b/>
                <w:bCs/>
              </w:rPr>
              <w:t>Month 3–4</w:t>
            </w:r>
          </w:p>
        </w:tc>
        <w:tc>
          <w:tcPr>
            <w:tcW w:w="0" w:type="auto"/>
          </w:tcPr>
          <w:p w14:paraId="5365EB41">
            <w:pPr>
              <w:spacing w:after="160" w:line="360" w:lineRule="auto"/>
              <w:rPr>
                <w:b/>
                <w:bCs/>
              </w:rPr>
            </w:pPr>
            <w:r>
              <w:rPr>
                <w:b/>
                <w:bCs/>
              </w:rPr>
              <w:t>Month 5–6</w:t>
            </w:r>
          </w:p>
        </w:tc>
        <w:tc>
          <w:tcPr>
            <w:tcW w:w="0" w:type="auto"/>
          </w:tcPr>
          <w:p w14:paraId="07FEF3C2">
            <w:pPr>
              <w:spacing w:after="160" w:line="360" w:lineRule="auto"/>
              <w:rPr>
                <w:b/>
                <w:bCs/>
              </w:rPr>
            </w:pPr>
            <w:r>
              <w:rPr>
                <w:b/>
                <w:bCs/>
              </w:rPr>
              <w:t>Month 7–8</w:t>
            </w:r>
          </w:p>
        </w:tc>
        <w:tc>
          <w:tcPr>
            <w:tcW w:w="0" w:type="auto"/>
          </w:tcPr>
          <w:p w14:paraId="5ADA1678">
            <w:pPr>
              <w:spacing w:after="160" w:line="360" w:lineRule="auto"/>
              <w:rPr>
                <w:b/>
                <w:bCs/>
              </w:rPr>
            </w:pPr>
            <w:r>
              <w:rPr>
                <w:b/>
                <w:bCs/>
              </w:rPr>
              <w:t>Month 9–10</w:t>
            </w:r>
          </w:p>
        </w:tc>
        <w:tc>
          <w:tcPr>
            <w:tcW w:w="0" w:type="auto"/>
          </w:tcPr>
          <w:p w14:paraId="7B9CCDE3">
            <w:pPr>
              <w:spacing w:after="160" w:line="360" w:lineRule="auto"/>
              <w:rPr>
                <w:b/>
                <w:bCs/>
              </w:rPr>
            </w:pPr>
            <w:r>
              <w:rPr>
                <w:b/>
                <w:bCs/>
              </w:rPr>
              <w:t>Month 11–12</w:t>
            </w:r>
          </w:p>
        </w:tc>
      </w:tr>
      <w:tr w14:paraId="17FDC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3685E61E">
            <w:pPr>
              <w:spacing w:after="160" w:line="360" w:lineRule="auto"/>
            </w:pPr>
            <w:r>
              <w:t>Review health and social care career options.</w:t>
            </w:r>
          </w:p>
        </w:tc>
        <w:tc>
          <w:tcPr>
            <w:tcW w:w="0" w:type="auto"/>
            <w:shd w:val="clear" w:color="auto" w:fill="A8D08D" w:themeFill="accent6" w:themeFillTint="99"/>
          </w:tcPr>
          <w:p w14:paraId="49D9E5C3">
            <w:pPr>
              <w:spacing w:after="160" w:line="360" w:lineRule="auto"/>
            </w:pPr>
          </w:p>
        </w:tc>
        <w:tc>
          <w:tcPr>
            <w:tcW w:w="0" w:type="auto"/>
          </w:tcPr>
          <w:p w14:paraId="47505403">
            <w:pPr>
              <w:spacing w:after="160" w:line="360" w:lineRule="auto"/>
            </w:pPr>
          </w:p>
        </w:tc>
        <w:tc>
          <w:tcPr>
            <w:tcW w:w="0" w:type="auto"/>
          </w:tcPr>
          <w:p w14:paraId="6FB3DFB0">
            <w:pPr>
              <w:spacing w:after="160" w:line="360" w:lineRule="auto"/>
            </w:pPr>
          </w:p>
        </w:tc>
        <w:tc>
          <w:tcPr>
            <w:tcW w:w="0" w:type="auto"/>
          </w:tcPr>
          <w:p w14:paraId="629952A7">
            <w:pPr>
              <w:spacing w:after="160" w:line="360" w:lineRule="auto"/>
            </w:pPr>
          </w:p>
        </w:tc>
        <w:tc>
          <w:tcPr>
            <w:tcW w:w="0" w:type="auto"/>
          </w:tcPr>
          <w:p w14:paraId="2F04CA47">
            <w:pPr>
              <w:spacing w:after="160" w:line="360" w:lineRule="auto"/>
            </w:pPr>
          </w:p>
        </w:tc>
        <w:tc>
          <w:tcPr>
            <w:tcW w:w="0" w:type="auto"/>
          </w:tcPr>
          <w:p w14:paraId="65D0D810">
            <w:pPr>
              <w:spacing w:after="160" w:line="360" w:lineRule="auto"/>
            </w:pPr>
          </w:p>
        </w:tc>
      </w:tr>
      <w:tr w14:paraId="74084D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7E04F61C">
            <w:pPr>
              <w:spacing w:after="160" w:line="360" w:lineRule="auto"/>
            </w:pPr>
            <w:r>
              <w:t>Update CV and develop personal brand.</w:t>
            </w:r>
          </w:p>
        </w:tc>
        <w:tc>
          <w:tcPr>
            <w:tcW w:w="0" w:type="auto"/>
            <w:shd w:val="clear" w:color="auto" w:fill="9CC2E5" w:themeFill="accent5" w:themeFillTint="99"/>
          </w:tcPr>
          <w:p w14:paraId="1F62854A">
            <w:pPr>
              <w:spacing w:after="160" w:line="360" w:lineRule="auto"/>
            </w:pPr>
          </w:p>
        </w:tc>
        <w:tc>
          <w:tcPr>
            <w:tcW w:w="0" w:type="auto"/>
            <w:shd w:val="clear" w:color="auto" w:fill="9CC2E5" w:themeFill="accent5" w:themeFillTint="99"/>
          </w:tcPr>
          <w:p w14:paraId="21A017C4">
            <w:pPr>
              <w:spacing w:after="160" w:line="360" w:lineRule="auto"/>
            </w:pPr>
          </w:p>
        </w:tc>
        <w:tc>
          <w:tcPr>
            <w:tcW w:w="0" w:type="auto"/>
          </w:tcPr>
          <w:p w14:paraId="15BC704E">
            <w:pPr>
              <w:spacing w:after="160" w:line="360" w:lineRule="auto"/>
            </w:pPr>
          </w:p>
        </w:tc>
        <w:tc>
          <w:tcPr>
            <w:tcW w:w="0" w:type="auto"/>
          </w:tcPr>
          <w:p w14:paraId="792D195A">
            <w:pPr>
              <w:spacing w:after="160" w:line="360" w:lineRule="auto"/>
            </w:pPr>
          </w:p>
        </w:tc>
        <w:tc>
          <w:tcPr>
            <w:tcW w:w="0" w:type="auto"/>
          </w:tcPr>
          <w:p w14:paraId="52329AAA">
            <w:pPr>
              <w:spacing w:after="160" w:line="360" w:lineRule="auto"/>
            </w:pPr>
          </w:p>
        </w:tc>
        <w:tc>
          <w:tcPr>
            <w:tcW w:w="0" w:type="auto"/>
          </w:tcPr>
          <w:p w14:paraId="7A644718">
            <w:pPr>
              <w:spacing w:after="160" w:line="360" w:lineRule="auto"/>
            </w:pPr>
          </w:p>
        </w:tc>
      </w:tr>
      <w:tr w14:paraId="62807E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7D986CF6">
            <w:pPr>
              <w:spacing w:after="160" w:line="360" w:lineRule="auto"/>
            </w:pPr>
            <w:r>
              <w:t>Identify training and development needs.</w:t>
            </w:r>
          </w:p>
        </w:tc>
        <w:tc>
          <w:tcPr>
            <w:tcW w:w="0" w:type="auto"/>
            <w:shd w:val="clear" w:color="auto" w:fill="FFE599" w:themeFill="accent4" w:themeFillTint="66"/>
          </w:tcPr>
          <w:p w14:paraId="5B992375">
            <w:pPr>
              <w:spacing w:after="160" w:line="360" w:lineRule="auto"/>
            </w:pPr>
          </w:p>
        </w:tc>
        <w:tc>
          <w:tcPr>
            <w:tcW w:w="0" w:type="auto"/>
            <w:shd w:val="clear" w:color="auto" w:fill="FFE599" w:themeFill="accent4" w:themeFillTint="66"/>
          </w:tcPr>
          <w:p w14:paraId="1CF236B8">
            <w:pPr>
              <w:spacing w:after="160" w:line="360" w:lineRule="auto"/>
            </w:pPr>
          </w:p>
        </w:tc>
        <w:tc>
          <w:tcPr>
            <w:tcW w:w="0" w:type="auto"/>
            <w:shd w:val="clear" w:color="auto" w:fill="FFE599" w:themeFill="accent4" w:themeFillTint="66"/>
          </w:tcPr>
          <w:p w14:paraId="1329E3F3">
            <w:pPr>
              <w:spacing w:after="160" w:line="360" w:lineRule="auto"/>
            </w:pPr>
          </w:p>
        </w:tc>
        <w:tc>
          <w:tcPr>
            <w:tcW w:w="0" w:type="auto"/>
          </w:tcPr>
          <w:p w14:paraId="491A901B">
            <w:pPr>
              <w:spacing w:after="160" w:line="360" w:lineRule="auto"/>
            </w:pPr>
          </w:p>
        </w:tc>
        <w:tc>
          <w:tcPr>
            <w:tcW w:w="0" w:type="auto"/>
          </w:tcPr>
          <w:p w14:paraId="1B1749CE">
            <w:pPr>
              <w:spacing w:after="160" w:line="360" w:lineRule="auto"/>
            </w:pPr>
          </w:p>
        </w:tc>
        <w:tc>
          <w:tcPr>
            <w:tcW w:w="0" w:type="auto"/>
          </w:tcPr>
          <w:p w14:paraId="67773030">
            <w:pPr>
              <w:spacing w:after="160" w:line="360" w:lineRule="auto"/>
            </w:pPr>
          </w:p>
        </w:tc>
      </w:tr>
      <w:tr w14:paraId="369964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768D3E62">
            <w:pPr>
              <w:spacing w:after="160" w:line="360" w:lineRule="auto"/>
            </w:pPr>
            <w:r>
              <w:t>Search for relevant placements or volunteering.</w:t>
            </w:r>
          </w:p>
        </w:tc>
        <w:tc>
          <w:tcPr>
            <w:tcW w:w="0" w:type="auto"/>
          </w:tcPr>
          <w:p w14:paraId="239F337C">
            <w:pPr>
              <w:spacing w:after="160" w:line="360" w:lineRule="auto"/>
            </w:pPr>
          </w:p>
        </w:tc>
        <w:tc>
          <w:tcPr>
            <w:tcW w:w="0" w:type="auto"/>
            <w:shd w:val="clear" w:color="auto" w:fill="DADADA" w:themeFill="accent3" w:themeFillTint="66"/>
          </w:tcPr>
          <w:p w14:paraId="2D86D585">
            <w:pPr>
              <w:spacing w:after="160" w:line="360" w:lineRule="auto"/>
            </w:pPr>
          </w:p>
        </w:tc>
        <w:tc>
          <w:tcPr>
            <w:tcW w:w="0" w:type="auto"/>
            <w:shd w:val="clear" w:color="auto" w:fill="DADADA" w:themeFill="accent3" w:themeFillTint="66"/>
          </w:tcPr>
          <w:p w14:paraId="28BA0F02">
            <w:pPr>
              <w:spacing w:after="160" w:line="360" w:lineRule="auto"/>
            </w:pPr>
          </w:p>
        </w:tc>
        <w:tc>
          <w:tcPr>
            <w:tcW w:w="0" w:type="auto"/>
            <w:shd w:val="clear" w:color="auto" w:fill="DADADA" w:themeFill="accent3" w:themeFillTint="66"/>
          </w:tcPr>
          <w:p w14:paraId="04DE8257">
            <w:pPr>
              <w:spacing w:after="160" w:line="360" w:lineRule="auto"/>
            </w:pPr>
          </w:p>
        </w:tc>
        <w:tc>
          <w:tcPr>
            <w:tcW w:w="0" w:type="auto"/>
          </w:tcPr>
          <w:p w14:paraId="673B0970">
            <w:pPr>
              <w:spacing w:after="160" w:line="360" w:lineRule="auto"/>
            </w:pPr>
          </w:p>
        </w:tc>
        <w:tc>
          <w:tcPr>
            <w:tcW w:w="0" w:type="auto"/>
          </w:tcPr>
          <w:p w14:paraId="5EE5F29D">
            <w:pPr>
              <w:spacing w:after="160" w:line="360" w:lineRule="auto"/>
            </w:pPr>
          </w:p>
        </w:tc>
      </w:tr>
      <w:tr w14:paraId="67F7BF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35B438B0">
            <w:pPr>
              <w:spacing w:after="160" w:line="360" w:lineRule="auto"/>
            </w:pPr>
            <w:r>
              <w:t>Build professional networks and seek feedback.</w:t>
            </w:r>
          </w:p>
        </w:tc>
        <w:tc>
          <w:tcPr>
            <w:tcW w:w="0" w:type="auto"/>
          </w:tcPr>
          <w:p w14:paraId="5DEF973F">
            <w:pPr>
              <w:spacing w:after="160" w:line="360" w:lineRule="auto"/>
            </w:pPr>
          </w:p>
        </w:tc>
        <w:tc>
          <w:tcPr>
            <w:tcW w:w="0" w:type="auto"/>
            <w:shd w:val="clear" w:color="auto" w:fill="F7CAAC" w:themeFill="accent2" w:themeFillTint="66"/>
          </w:tcPr>
          <w:p w14:paraId="4B8A2786">
            <w:pPr>
              <w:spacing w:after="160" w:line="360" w:lineRule="auto"/>
            </w:pPr>
          </w:p>
        </w:tc>
        <w:tc>
          <w:tcPr>
            <w:tcW w:w="0" w:type="auto"/>
            <w:shd w:val="clear" w:color="auto" w:fill="F7CAAC" w:themeFill="accent2" w:themeFillTint="66"/>
          </w:tcPr>
          <w:p w14:paraId="0E1B1F24">
            <w:pPr>
              <w:spacing w:after="160" w:line="360" w:lineRule="auto"/>
            </w:pPr>
          </w:p>
        </w:tc>
        <w:tc>
          <w:tcPr>
            <w:tcW w:w="0" w:type="auto"/>
            <w:shd w:val="clear" w:color="auto" w:fill="F7CAAC" w:themeFill="accent2" w:themeFillTint="66"/>
          </w:tcPr>
          <w:p w14:paraId="41866B4A">
            <w:pPr>
              <w:spacing w:after="160" w:line="360" w:lineRule="auto"/>
            </w:pPr>
          </w:p>
        </w:tc>
        <w:tc>
          <w:tcPr>
            <w:tcW w:w="0" w:type="auto"/>
            <w:shd w:val="clear" w:color="auto" w:fill="F7CAAC" w:themeFill="accent2" w:themeFillTint="66"/>
          </w:tcPr>
          <w:p w14:paraId="5CCECD19">
            <w:pPr>
              <w:spacing w:after="160" w:line="360" w:lineRule="auto"/>
            </w:pPr>
          </w:p>
        </w:tc>
        <w:tc>
          <w:tcPr>
            <w:tcW w:w="0" w:type="auto"/>
          </w:tcPr>
          <w:p w14:paraId="049F2269">
            <w:pPr>
              <w:spacing w:after="160" w:line="360" w:lineRule="auto"/>
            </w:pPr>
          </w:p>
        </w:tc>
      </w:tr>
      <w:tr w14:paraId="7C0E8D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268BDB1E">
            <w:pPr>
              <w:spacing w:after="160" w:line="360" w:lineRule="auto"/>
            </w:pPr>
            <w:r>
              <w:t>Apply for suitable health and social care roles.</w:t>
            </w:r>
          </w:p>
        </w:tc>
        <w:tc>
          <w:tcPr>
            <w:tcW w:w="0" w:type="auto"/>
          </w:tcPr>
          <w:p w14:paraId="5E61E1D1">
            <w:pPr>
              <w:spacing w:after="160" w:line="360" w:lineRule="auto"/>
            </w:pPr>
          </w:p>
        </w:tc>
        <w:tc>
          <w:tcPr>
            <w:tcW w:w="0" w:type="auto"/>
          </w:tcPr>
          <w:p w14:paraId="6C20F98C">
            <w:pPr>
              <w:spacing w:after="160" w:line="360" w:lineRule="auto"/>
            </w:pPr>
          </w:p>
        </w:tc>
        <w:tc>
          <w:tcPr>
            <w:tcW w:w="0" w:type="auto"/>
            <w:shd w:val="clear" w:color="auto" w:fill="B4C6E7" w:themeFill="accent1" w:themeFillTint="66"/>
          </w:tcPr>
          <w:p w14:paraId="48125BE8">
            <w:pPr>
              <w:spacing w:after="160" w:line="360" w:lineRule="auto"/>
            </w:pPr>
          </w:p>
        </w:tc>
        <w:tc>
          <w:tcPr>
            <w:tcW w:w="0" w:type="auto"/>
            <w:shd w:val="clear" w:color="auto" w:fill="B4C6E7" w:themeFill="accent1" w:themeFillTint="66"/>
          </w:tcPr>
          <w:p w14:paraId="035CAA6D">
            <w:pPr>
              <w:spacing w:after="160" w:line="360" w:lineRule="auto"/>
            </w:pPr>
          </w:p>
        </w:tc>
        <w:tc>
          <w:tcPr>
            <w:tcW w:w="0" w:type="auto"/>
            <w:shd w:val="clear" w:color="auto" w:fill="B4C6E7" w:themeFill="accent1" w:themeFillTint="66"/>
          </w:tcPr>
          <w:p w14:paraId="1502D498">
            <w:pPr>
              <w:spacing w:after="160" w:line="360" w:lineRule="auto"/>
            </w:pPr>
          </w:p>
        </w:tc>
        <w:tc>
          <w:tcPr>
            <w:tcW w:w="0" w:type="auto"/>
          </w:tcPr>
          <w:p w14:paraId="28A27927">
            <w:pPr>
              <w:spacing w:after="160" w:line="360" w:lineRule="auto"/>
            </w:pPr>
          </w:p>
        </w:tc>
      </w:tr>
      <w:tr w14:paraId="37618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5566D4B9">
            <w:pPr>
              <w:spacing w:after="160" w:line="360" w:lineRule="auto"/>
            </w:pPr>
            <w:r>
              <w:t>Prepare for interviews and attend interviews.</w:t>
            </w:r>
          </w:p>
        </w:tc>
        <w:tc>
          <w:tcPr>
            <w:tcW w:w="0" w:type="auto"/>
          </w:tcPr>
          <w:p w14:paraId="64FB9625">
            <w:pPr>
              <w:spacing w:after="160" w:line="360" w:lineRule="auto"/>
            </w:pPr>
          </w:p>
        </w:tc>
        <w:tc>
          <w:tcPr>
            <w:tcW w:w="0" w:type="auto"/>
          </w:tcPr>
          <w:p w14:paraId="22BBFA96">
            <w:pPr>
              <w:spacing w:after="160" w:line="360" w:lineRule="auto"/>
            </w:pPr>
          </w:p>
        </w:tc>
        <w:tc>
          <w:tcPr>
            <w:tcW w:w="0" w:type="auto"/>
          </w:tcPr>
          <w:p w14:paraId="20890A9C">
            <w:pPr>
              <w:spacing w:after="160" w:line="360" w:lineRule="auto"/>
            </w:pPr>
          </w:p>
        </w:tc>
        <w:tc>
          <w:tcPr>
            <w:tcW w:w="0" w:type="auto"/>
            <w:shd w:val="clear" w:color="auto" w:fill="ADB9CA" w:themeFill="text2" w:themeFillTint="66"/>
          </w:tcPr>
          <w:p w14:paraId="4468CC67">
            <w:pPr>
              <w:spacing w:after="160" w:line="360" w:lineRule="auto"/>
            </w:pPr>
          </w:p>
        </w:tc>
        <w:tc>
          <w:tcPr>
            <w:tcW w:w="0" w:type="auto"/>
            <w:shd w:val="clear" w:color="auto" w:fill="ADB9CA" w:themeFill="text2" w:themeFillTint="66"/>
          </w:tcPr>
          <w:p w14:paraId="03765B12">
            <w:pPr>
              <w:spacing w:after="160" w:line="360" w:lineRule="auto"/>
            </w:pPr>
          </w:p>
        </w:tc>
        <w:tc>
          <w:tcPr>
            <w:tcW w:w="0" w:type="auto"/>
            <w:shd w:val="clear" w:color="auto" w:fill="ADB9CA" w:themeFill="text2" w:themeFillTint="66"/>
          </w:tcPr>
          <w:p w14:paraId="6E90783C">
            <w:pPr>
              <w:spacing w:after="160" w:line="360" w:lineRule="auto"/>
            </w:pPr>
          </w:p>
        </w:tc>
      </w:tr>
      <w:tr w14:paraId="6F48D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75" w:type="dxa"/>
          </w:tcPr>
          <w:p w14:paraId="33742A64">
            <w:pPr>
              <w:spacing w:after="160" w:line="360" w:lineRule="auto"/>
            </w:pPr>
            <w:r>
              <w:t>Evaluate progress and plan next steps.</w:t>
            </w:r>
          </w:p>
        </w:tc>
        <w:tc>
          <w:tcPr>
            <w:tcW w:w="0" w:type="auto"/>
          </w:tcPr>
          <w:p w14:paraId="0A8AFD45">
            <w:pPr>
              <w:spacing w:after="160" w:line="360" w:lineRule="auto"/>
            </w:pPr>
          </w:p>
        </w:tc>
        <w:tc>
          <w:tcPr>
            <w:tcW w:w="0" w:type="auto"/>
          </w:tcPr>
          <w:p w14:paraId="112309B9">
            <w:pPr>
              <w:spacing w:after="160" w:line="360" w:lineRule="auto"/>
            </w:pPr>
          </w:p>
        </w:tc>
        <w:tc>
          <w:tcPr>
            <w:tcW w:w="0" w:type="auto"/>
          </w:tcPr>
          <w:p w14:paraId="0838C6E4">
            <w:pPr>
              <w:spacing w:after="160" w:line="360" w:lineRule="auto"/>
            </w:pPr>
          </w:p>
        </w:tc>
        <w:tc>
          <w:tcPr>
            <w:tcW w:w="0" w:type="auto"/>
          </w:tcPr>
          <w:p w14:paraId="0532D3A7">
            <w:pPr>
              <w:spacing w:after="160" w:line="360" w:lineRule="auto"/>
            </w:pPr>
          </w:p>
        </w:tc>
        <w:tc>
          <w:tcPr>
            <w:tcW w:w="0" w:type="auto"/>
          </w:tcPr>
          <w:p w14:paraId="09EE5156">
            <w:pPr>
              <w:spacing w:after="160" w:line="360" w:lineRule="auto"/>
            </w:pPr>
          </w:p>
        </w:tc>
        <w:tc>
          <w:tcPr>
            <w:tcW w:w="0" w:type="auto"/>
            <w:shd w:val="clear" w:color="auto" w:fill="AEAAAA" w:themeFill="background2" w:themeFillShade="BF"/>
          </w:tcPr>
          <w:p w14:paraId="16B31567">
            <w:pPr>
              <w:spacing w:after="160" w:line="360" w:lineRule="auto"/>
            </w:pPr>
          </w:p>
        </w:tc>
      </w:tr>
    </w:tbl>
    <w:p w14:paraId="1F3C037A">
      <w:pPr>
        <w:spacing w:line="360" w:lineRule="auto"/>
      </w:pPr>
    </w:p>
    <w:p w14:paraId="5C5E22D4">
      <w:pPr>
        <w:spacing w:line="360" w:lineRule="auto"/>
      </w:pPr>
      <w:r>
        <w:t xml:space="preserve">Progress will be monitored monthly. The first step is to determine the skills and experience gaps to determine the requirements of a job. Updating the CV and professional profile will assist in the communication of transferable skills. The training, placement search, and networking should then foster the development of hands-on knowledge and confidence in the professional arena. </w:t>
      </w:r>
    </w:p>
    <w:p w14:paraId="74A723C5">
      <w:pPr>
        <w:spacing w:before="160"/>
        <w:jc w:val="left"/>
        <w:rPr>
          <w:b/>
          <w:bCs/>
        </w:rPr>
      </w:pPr>
      <w:r>
        <w:rPr>
          <w:b/>
          <w:bCs/>
        </w:rPr>
        <w:br w:type="page"/>
      </w:r>
    </w:p>
    <w:p w14:paraId="2F2BB684">
      <w:pPr>
        <w:pStyle w:val="2"/>
      </w:pPr>
      <w:bookmarkStart w:id="6" w:name="_Toc242901119"/>
      <w:r>
        <w:t>Task 7 – Making Changes Report</w:t>
      </w:r>
      <w:bookmarkEnd w:id="6"/>
    </w:p>
    <w:p w14:paraId="64E6B413">
      <w:pPr>
        <w:spacing w:line="360" w:lineRule="auto"/>
        <w:rPr>
          <w:b/>
          <w:bCs/>
        </w:rPr>
      </w:pPr>
      <w:r>
        <w:rPr>
          <w:b/>
          <w:bCs/>
        </w:rPr>
        <w:t>Report: Implementing a Falls Prevention Programme in a Care Home</w:t>
      </w:r>
    </w:p>
    <w:p w14:paraId="019722E2">
      <w:pPr>
        <w:spacing w:line="360" w:lineRule="auto"/>
      </w:pPr>
      <w:r>
        <w:rPr>
          <w:b/>
          <w:bCs/>
        </w:rPr>
        <w:t>To:</w:t>
      </w:r>
      <w:r>
        <w:t xml:space="preserve"> Care Home Management Team</w:t>
      </w:r>
    </w:p>
    <w:p w14:paraId="1E21F3BF">
      <w:pPr>
        <w:spacing w:line="360" w:lineRule="auto"/>
      </w:pPr>
      <w:r>
        <w:rPr>
          <w:b/>
          <w:bCs/>
        </w:rPr>
        <w:t>Subject:</w:t>
      </w:r>
      <w:r>
        <w:t xml:space="preserve"> Improving resident safety through falls prevention</w:t>
      </w:r>
    </w:p>
    <w:p w14:paraId="1790B058">
      <w:pPr>
        <w:spacing w:line="360" w:lineRule="auto"/>
        <w:rPr>
          <w:b/>
          <w:bCs/>
        </w:rPr>
      </w:pPr>
      <w:r>
        <w:rPr>
          <w:b/>
          <w:bCs/>
        </w:rPr>
        <w:t>Introduction and proposed change</w:t>
      </w:r>
    </w:p>
    <w:p w14:paraId="0D750FE6">
      <w:pPr>
        <w:spacing w:line="360" w:lineRule="auto"/>
      </w:pPr>
      <w:r>
        <w:t xml:space="preserve">This report recommends implementing a falls prevention programme which will make residents safer and reduce avoidable injury. Prevention of falls is an important aspect of person-centred care and can impact mobility, confidence and independence. </w:t>
      </w:r>
    </w:p>
    <w:p w14:paraId="5EEFA9DE">
      <w:pPr>
        <w:spacing w:line="360" w:lineRule="auto"/>
        <w:rPr>
          <w:b/>
          <w:bCs/>
        </w:rPr>
      </w:pPr>
      <w:r>
        <w:rPr>
          <w:b/>
          <w:bCs/>
        </w:rPr>
        <w:t>Implementation approach</w:t>
      </w:r>
    </w:p>
    <w:p w14:paraId="2B549625">
      <w:pPr>
        <w:spacing w:line="360" w:lineRule="auto"/>
      </w:pPr>
      <w:r>
        <w:t>Lewin's three-stage change model offers a useful framework for implementation: unfreeze, change and refreeze (Isiche and Mandere, 2024).</w:t>
      </w:r>
    </w:p>
    <w:p w14:paraId="6710E3E1">
      <w:pPr>
        <w:spacing w:line="360" w:lineRule="auto"/>
      </w:pPr>
      <w:r>
        <w:t>The manager will need to examine the incident records, speak to staff and residents and discuss the need for improvement during the unfreeze stage. This will help to identify any existing issues and motivate staff involvement.</w:t>
      </w:r>
    </w:p>
    <w:p w14:paraId="26CE7788">
      <w:pPr>
        <w:spacing w:line="360" w:lineRule="auto"/>
      </w:pPr>
      <w:r>
        <w:t xml:space="preserve">The care home should implement individualised falls assessments and review identified falls risks and interventions through the change stage (Majka, 2024). Staff should check routes are clear and ensure that the use of walking aids and mobility equipment is appropriate. </w:t>
      </w:r>
    </w:p>
    <w:p w14:paraId="59CC6DA1">
      <w:pPr>
        <w:spacing w:line="360" w:lineRule="auto"/>
        <w:rPr>
          <w:b/>
          <w:bCs/>
        </w:rPr>
      </w:pPr>
      <w:r>
        <w:rPr>
          <w:b/>
          <w:bCs/>
        </w:rPr>
        <w:t>Skills required and barriers</w:t>
      </w:r>
    </w:p>
    <w:p w14:paraId="350955EA">
      <w:pPr>
        <w:spacing w:line="360" w:lineRule="auto"/>
      </w:pPr>
      <w:r>
        <w:t xml:space="preserve">The implementation needs to be led and coordinated, with communication, teamwork, problem-solving and organisation skills. The manager will share the reason for the change and will assign responsibilities for the change and oversee adherence to the change. Staff should also be appropriately trained in providing safe and individual care (McGuier et al. 2024). Factors that could be a barrier are staffing shortages, not enough training time, not wanting to use new procedures, or financial concerns. </w:t>
      </w:r>
    </w:p>
    <w:p w14:paraId="4231BB83">
      <w:pPr>
        <w:spacing w:line="360" w:lineRule="auto"/>
        <w:rPr>
          <w:b/>
          <w:bCs/>
        </w:rPr>
      </w:pPr>
      <w:r>
        <w:rPr>
          <w:b/>
          <w:bCs/>
        </w:rPr>
        <w:t>Evaluation and conclusion</w:t>
      </w:r>
    </w:p>
    <w:p w14:paraId="08F371B3">
      <w:pPr>
        <w:spacing w:line="360" w:lineRule="auto"/>
      </w:pPr>
      <w:r>
        <w:t>Success should be measured through tracking falls and injuries, watching incident reports, and reviewing assessments completed and feedback received from residents and staff. Changes in resident needs and activity should be considered in conjunction with results, not in isolation.</w:t>
      </w:r>
    </w:p>
    <w:p w14:paraId="4DC89BCD">
      <w:pPr>
        <w:pStyle w:val="2"/>
        <w:rPr>
          <w:bCs/>
        </w:rPr>
      </w:pPr>
      <w:r>
        <w:rPr>
          <w:bCs/>
        </w:rPr>
        <w:br w:type="page"/>
      </w:r>
      <w:bookmarkStart w:id="7" w:name="_Toc242901120"/>
      <w:r>
        <w:t>Reference List</w:t>
      </w:r>
      <w:bookmarkEnd w:id="7"/>
    </w:p>
    <w:p w14:paraId="5D01623F">
      <w:pPr>
        <w:spacing w:line="360" w:lineRule="auto"/>
      </w:pPr>
      <w:r>
        <w:t xml:space="preserve">Isiche, V. and Mandere, E.N. (2024). Analysıs Of Refreezıng Change Model On Performance Of Kenya Broadcastıng Corporatıon. </w:t>
      </w:r>
      <w:r>
        <w:rPr>
          <w:i/>
          <w:iCs/>
        </w:rPr>
        <w:t>Asian Journal of Management, Entrepreneurship and Social Science</w:t>
      </w:r>
      <w:r>
        <w:t xml:space="preserve">, </w:t>
      </w:r>
      <w:r>
        <w:rPr>
          <w:i/>
          <w:iCs/>
        </w:rPr>
        <w:t>4</w:t>
      </w:r>
      <w:r>
        <w:t xml:space="preserve">(04), pp.21-46. </w:t>
      </w:r>
      <w:r>
        <w:fldChar w:fldCharType="begin"/>
      </w:r>
      <w:r>
        <w:instrText xml:space="preserve"> HYPERLINK "https://mail.ajmesc.com/index.php/ajmesc/article/view/965" </w:instrText>
      </w:r>
      <w:r>
        <w:fldChar w:fldCharType="separate"/>
      </w:r>
      <w:r>
        <w:rPr>
          <w:rStyle w:val="19"/>
        </w:rPr>
        <w:t>https://mail.ajmesc.com/index.php/ajmesc/article/view/965</w:t>
      </w:r>
      <w:r>
        <w:rPr>
          <w:rStyle w:val="19"/>
        </w:rPr>
        <w:fldChar w:fldCharType="end"/>
      </w:r>
      <w:r>
        <w:t xml:space="preserve"> </w:t>
      </w:r>
    </w:p>
    <w:p w14:paraId="1922FAD5">
      <w:pPr>
        <w:spacing w:line="360" w:lineRule="auto"/>
      </w:pPr>
      <w:r>
        <w:t xml:space="preserve">Majka, M., (2024). Navigating Change with Precision: Unpacking Lewin's Change Management Model. </w:t>
      </w:r>
      <w:r>
        <w:rPr>
          <w:i/>
          <w:iCs/>
        </w:rPr>
        <w:t>ResearchGate, June</w:t>
      </w:r>
      <w:r>
        <w:t xml:space="preserve">. </w:t>
      </w:r>
      <w:r>
        <w:fldChar w:fldCharType="begin"/>
      </w:r>
      <w:r>
        <w:instrText xml:space="preserve"> HYPERLINK "https://www.researchgate.net/profile/Marcin-Majka-2/publication/381280925_Navigating_Change_with_Precision_Unpacking_Lewin's_Change_Management_Model/links/6664d85a85a4ee7261b13b4e/Navigating-Change-with-Precision-Unpacking-Lewins-Change-Management-Model.pdf" </w:instrText>
      </w:r>
      <w:r>
        <w:fldChar w:fldCharType="separate"/>
      </w:r>
      <w:r>
        <w:rPr>
          <w:rStyle w:val="19"/>
        </w:rPr>
        <w:t>https://www.researchgate.net/profile/Marcin-Majka-2/publication/381280925_Navigating_Change_with_Precision_Unpacking_Lewin's_Change_Management_Model/links/6664d85a85a4ee7261b13b4e/Navigating-Change-with-Precision-Unpacking-Lewins-Change-Management-Model.pdf</w:t>
      </w:r>
      <w:r>
        <w:rPr>
          <w:rStyle w:val="19"/>
        </w:rPr>
        <w:fldChar w:fldCharType="end"/>
      </w:r>
      <w:r>
        <w:t xml:space="preserve"> </w:t>
      </w:r>
    </w:p>
    <w:p w14:paraId="6DFD7F17">
      <w:pPr>
        <w:spacing w:line="360" w:lineRule="auto"/>
      </w:pPr>
      <w:r>
        <w:t xml:space="preserve">McGuier, E.A., Kolko, D.J., Aarons, G.A., Schachter, A., Klem, M.L., Diabes, M.A., Weingart, L.R., Salas, E. and Wolk, C.B. (2024). Teamwork and implementation of innovations in healthcare and human service settings: a systematic review. </w:t>
      </w:r>
      <w:r>
        <w:rPr>
          <w:i/>
          <w:iCs/>
        </w:rPr>
        <w:t>Implementation Science</w:t>
      </w:r>
      <w:r>
        <w:t xml:space="preserve">, </w:t>
      </w:r>
      <w:r>
        <w:rPr>
          <w:i/>
          <w:iCs/>
        </w:rPr>
        <w:t>19</w:t>
      </w:r>
      <w:r>
        <w:t xml:space="preserve">(1), p.49. </w:t>
      </w:r>
      <w:r>
        <w:fldChar w:fldCharType="begin"/>
      </w:r>
      <w:r>
        <w:instrText xml:space="preserve"> HYPERLINK "https://link.springer.com/article/10.1186/s13012-024-01381-9" </w:instrText>
      </w:r>
      <w:r>
        <w:fldChar w:fldCharType="separate"/>
      </w:r>
      <w:r>
        <w:rPr>
          <w:rStyle w:val="19"/>
        </w:rPr>
        <w:t>https://link.springer.com/article/10.1186/s13012-024-01381-9</w:t>
      </w:r>
      <w:r>
        <w:rPr>
          <w:rStyle w:val="19"/>
        </w:rPr>
        <w:fldChar w:fldCharType="end"/>
      </w:r>
      <w:r>
        <w:t xml:space="preserve"> </w:t>
      </w:r>
    </w:p>
    <w:p w14:paraId="31017AA9">
      <w:pPr>
        <w:spacing w:line="360" w:lineRule="auto"/>
      </w:pPr>
      <w:r>
        <w:t xml:space="preserve">Medina Garrido, J.A. (2025). Steps to develop your professional personal brand. </w:t>
      </w:r>
      <w:r>
        <w:fldChar w:fldCharType="begin"/>
      </w:r>
      <w:r>
        <w:instrText xml:space="preserve"> HYPERLINK "https://rodin.uca.es/handle/10498/36241" </w:instrText>
      </w:r>
      <w:r>
        <w:fldChar w:fldCharType="separate"/>
      </w:r>
      <w:r>
        <w:rPr>
          <w:rStyle w:val="19"/>
        </w:rPr>
        <w:t>https://rodin.uca.es/handle/10498/36241</w:t>
      </w:r>
      <w:r>
        <w:rPr>
          <w:rStyle w:val="19"/>
        </w:rPr>
        <w:fldChar w:fldCharType="end"/>
      </w:r>
      <w:r>
        <w:t xml:space="preserve"> </w:t>
      </w:r>
    </w:p>
    <w:p w14:paraId="20CB6F0D">
      <w:pPr>
        <w:spacing w:line="360" w:lineRule="auto"/>
      </w:pPr>
      <w:r>
        <w:t xml:space="preserve">NHS (2026). Accessed from &lt; </w:t>
      </w:r>
      <w:r>
        <w:fldChar w:fldCharType="begin"/>
      </w:r>
      <w:r>
        <w:instrText xml:space="preserve"> HYPERLINK "https://www.nhs.uk/mental-health/" </w:instrText>
      </w:r>
      <w:r>
        <w:fldChar w:fldCharType="separate"/>
      </w:r>
      <w:r>
        <w:rPr>
          <w:rStyle w:val="19"/>
        </w:rPr>
        <w:t>https://www.nhs.uk/mental-health/</w:t>
      </w:r>
      <w:r>
        <w:rPr>
          <w:rStyle w:val="19"/>
        </w:rPr>
        <w:fldChar w:fldCharType="end"/>
      </w:r>
      <w:r>
        <w:t xml:space="preserve"> &gt;. Accessed on 15/10/2026.</w:t>
      </w:r>
    </w:p>
    <w:p w14:paraId="37700E67">
      <w:pPr>
        <w:spacing w:line="360" w:lineRule="auto"/>
      </w:pPr>
      <w:r>
        <w:t xml:space="preserve">NHS Employers (2023). Accessed from &lt; </w:t>
      </w:r>
      <w:r>
        <w:fldChar w:fldCharType="begin"/>
      </w:r>
      <w:r>
        <w:instrText xml:space="preserve"> HYPERLINK "https://www.nhsemployers.org/articles/nhs-equality-diversity-and-inclusion-edi-improvement-plan" </w:instrText>
      </w:r>
      <w:r>
        <w:fldChar w:fldCharType="separate"/>
      </w:r>
      <w:r>
        <w:rPr>
          <w:rStyle w:val="19"/>
        </w:rPr>
        <w:t>https://www.nhsemployers.org/articles/nhs-equality-diversity-and-inclusion-edi-improvement-plan</w:t>
      </w:r>
      <w:r>
        <w:rPr>
          <w:rStyle w:val="19"/>
        </w:rPr>
        <w:fldChar w:fldCharType="end"/>
      </w:r>
      <w:r>
        <w:t xml:space="preserve">  &gt;. Accessed on 15/10/2026.</w:t>
      </w:r>
    </w:p>
    <w:p w14:paraId="60E56699">
      <w:pPr>
        <w:spacing w:line="360" w:lineRule="auto"/>
      </w:pPr>
      <w:r>
        <w:t xml:space="preserve">NHS England (2026). Accessed from &lt; </w:t>
      </w:r>
      <w:r>
        <w:fldChar w:fldCharType="begin"/>
      </w:r>
      <w:r>
        <w:instrText xml:space="preserve"> HYPERLINK "https://www.england.nhs.uk/wp-content/uploads/2023/06/B2044_NHS_EDI_Workforce_Plan.pdf" </w:instrText>
      </w:r>
      <w:r>
        <w:fldChar w:fldCharType="separate"/>
      </w:r>
      <w:r>
        <w:rPr>
          <w:rStyle w:val="19"/>
        </w:rPr>
        <w:t>https://www.england.nhs.uk/wp-content/uploads/2023/06/B2044_NHS_EDI_Workforce_Plan.pdf</w:t>
      </w:r>
      <w:r>
        <w:rPr>
          <w:rStyle w:val="19"/>
        </w:rPr>
        <w:fldChar w:fldCharType="end"/>
      </w:r>
      <w:r>
        <w:t xml:space="preserve"> &gt;. Accessed on 15/10/2026.</w:t>
      </w:r>
    </w:p>
    <w:p w14:paraId="5B9DEBF9">
      <w:pPr>
        <w:spacing w:line="360" w:lineRule="auto"/>
      </w:pPr>
      <w:r>
        <w:t xml:space="preserve">NICE (2026). Accessed from &lt; </w:t>
      </w:r>
      <w:r>
        <w:fldChar w:fldCharType="begin"/>
      </w:r>
      <w:r>
        <w:instrText xml:space="preserve"> HYPERLINK "https://www.nice.org.uk/what-nice-does/our-guidance/about-nice-guidelines" </w:instrText>
      </w:r>
      <w:r>
        <w:fldChar w:fldCharType="separate"/>
      </w:r>
      <w:r>
        <w:rPr>
          <w:rStyle w:val="19"/>
        </w:rPr>
        <w:t>https://www.nice.org.uk/what-nice-does/our-guidance/about-nice-guidelines</w:t>
      </w:r>
      <w:r>
        <w:rPr>
          <w:rStyle w:val="19"/>
        </w:rPr>
        <w:fldChar w:fldCharType="end"/>
      </w:r>
      <w:r>
        <w:t xml:space="preserve"> &gt;. Accessed on 15/10/2026.</w:t>
      </w:r>
    </w:p>
    <w:p w14:paraId="54729AFA">
      <w:pPr>
        <w:spacing w:line="360" w:lineRule="auto"/>
      </w:pPr>
      <w:r>
        <w:t xml:space="preserve">Reissner, S. and Armitage-Chan, E. (2024). Manifestations of professional identity work: an integrative review of research in professional identity formation. </w:t>
      </w:r>
      <w:r>
        <w:rPr>
          <w:i/>
          <w:iCs/>
        </w:rPr>
        <w:t>Studies in Higher Education</w:t>
      </w:r>
      <w:r>
        <w:t xml:space="preserve">, </w:t>
      </w:r>
      <w:r>
        <w:rPr>
          <w:i/>
          <w:iCs/>
        </w:rPr>
        <w:t>49</w:t>
      </w:r>
      <w:r>
        <w:t xml:space="preserve">(12), pp.2707-2722. </w:t>
      </w:r>
      <w:r>
        <w:fldChar w:fldCharType="begin"/>
      </w:r>
      <w:r>
        <w:instrText xml:space="preserve"> HYPERLINK "https://www.tandfonline.com/doi/abs/10.1080/03075079.2024.2322093" </w:instrText>
      </w:r>
      <w:r>
        <w:fldChar w:fldCharType="separate"/>
      </w:r>
      <w:r>
        <w:rPr>
          <w:rStyle w:val="19"/>
        </w:rPr>
        <w:t>https://www.tandfonline.com/doi/abs/10.1080/03075079.2024.2322093</w:t>
      </w:r>
      <w:r>
        <w:rPr>
          <w:rStyle w:val="19"/>
        </w:rPr>
        <w:fldChar w:fldCharType="end"/>
      </w:r>
      <w:r>
        <w:t xml:space="preserve"> </w:t>
      </w:r>
    </w:p>
    <w:p w14:paraId="4BB05BC3">
      <w:pPr>
        <w:spacing w:line="360" w:lineRule="auto"/>
      </w:pPr>
      <w:r>
        <w:t xml:space="preserve">Suarez, V. and McGrath, J. (2022). Teacher professional identity: How to develop and support it in times of change. </w:t>
      </w:r>
      <w:r>
        <w:rPr>
          <w:i/>
          <w:iCs/>
        </w:rPr>
        <w:t>OECD Education Working Papers</w:t>
      </w:r>
      <w:r>
        <w:t xml:space="preserve">. </w:t>
      </w:r>
      <w:r>
        <w:fldChar w:fldCharType="begin"/>
      </w:r>
      <w:r>
        <w:instrText xml:space="preserve"> HYPERLINK "https://www.oecd.org/en/publications/teacher-professional-identity_b19f5af7-en.html" </w:instrText>
      </w:r>
      <w:r>
        <w:fldChar w:fldCharType="separate"/>
      </w:r>
      <w:r>
        <w:rPr>
          <w:rStyle w:val="19"/>
        </w:rPr>
        <w:t>https://www.oecd.org/en/publications/teacher-professional-identity_b19f5af7-en.html</w:t>
      </w:r>
      <w:r>
        <w:rPr>
          <w:rStyle w:val="19"/>
        </w:rPr>
        <w:fldChar w:fldCharType="end"/>
      </w:r>
      <w:r>
        <w:t xml:space="preserve"> </w:t>
      </w:r>
    </w:p>
    <w:p w14:paraId="47BD13BE">
      <w:pPr>
        <w:spacing w:line="360" w:lineRule="auto"/>
      </w:pPr>
      <w:r>
        <w:t xml:space="preserve">Sylvester, R. and Donald, W.E. (2023). The personal brand VALUE Career development tool: A multi-perspective and interdisciplinary framework. In </w:t>
      </w:r>
      <w:r>
        <w:rPr>
          <w:i/>
          <w:iCs/>
        </w:rPr>
        <w:t>Handbook of research on sustainable career ecosystems for university students and graduates</w:t>
      </w:r>
      <w:r>
        <w:t xml:space="preserve"> (pp. 238-257). IGI Global Scientific Publishing. </w:t>
      </w:r>
      <w:r>
        <w:fldChar w:fldCharType="begin"/>
      </w:r>
      <w:r>
        <w:instrText xml:space="preserve"> HYPERLINK "https://www.igi-global.com/chapter/the-personal-brand-value-career-development-tool/324256" </w:instrText>
      </w:r>
      <w:r>
        <w:fldChar w:fldCharType="separate"/>
      </w:r>
      <w:r>
        <w:rPr>
          <w:rStyle w:val="19"/>
        </w:rPr>
        <w:t>https://www.igi-global.com/chapter/the-personal-brand-value-career-development-tool/324256</w:t>
      </w:r>
      <w:r>
        <w:rPr>
          <w:rStyle w:val="19"/>
        </w:rPr>
        <w:fldChar w:fldCharType="end"/>
      </w:r>
      <w:r>
        <w:t xml:space="preserve"> </w:t>
      </w:r>
    </w:p>
    <w:p w14:paraId="0C978ADF">
      <w:pPr>
        <w:spacing w:line="360" w:lineRule="auto"/>
      </w:pPr>
    </w:p>
    <w:sectPr>
      <w:footerReference r:id="rId5"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angal">
    <w:altName w:val="DejaVu Math TeX Gyre"/>
    <w:panose1 w:val="02040503050203030202"/>
    <w:charset w:val="00"/>
    <w:family w:val="roman"/>
    <w:pitch w:val="default"/>
    <w:sig w:usb0="00000000" w:usb1="00000000" w:usb2="00000000" w:usb3="00000000" w:csb0="00000001"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Arial Nova">
    <w:altName w:val="Arial"/>
    <w:panose1 w:val="00000000000000000000"/>
    <w:charset w:val="00"/>
    <w:family w:val="swiss"/>
    <w:pitch w:val="default"/>
    <w:sig w:usb0="00000000" w:usb1="00000000" w:usb2="00000000" w:usb3="00000000" w:csb0="0000019F"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62859106"/>
      <w:docPartObj>
        <w:docPartGallery w:val="AutoText"/>
      </w:docPartObj>
    </w:sdtPr>
    <w:sdtContent>
      <w:p w14:paraId="22B45BF0">
        <w:pPr>
          <w:pStyle w:val="17"/>
          <w:jc w:val="center"/>
        </w:pPr>
        <w:r>
          <w:fldChar w:fldCharType="begin"/>
        </w:r>
        <w:r>
          <w:instrText xml:space="preserve"> PAGE   \* MERGEFORMAT </w:instrText>
        </w:r>
        <w:r>
          <w:fldChar w:fldCharType="separate"/>
        </w:r>
        <w:r>
          <w:t>14</w:t>
        </w:r>
        <w:r>
          <w:fldChar w:fldCharType="end"/>
        </w:r>
      </w:p>
    </w:sdtContent>
  </w:sdt>
  <w:p w14:paraId="67020AFB">
    <w:pPr>
      <w:pStyle w:val="1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563040"/>
    <w:multiLevelType w:val="multilevel"/>
    <w:tmpl w:val="3E563040"/>
    <w:lvl w:ilvl="0" w:tentative="0">
      <w:start w:val="1"/>
      <w:numFmt w:val="bullet"/>
      <w:lvlText w:val=""/>
      <w:lvlJc w:val="left"/>
      <w:pPr>
        <w:ind w:left="540" w:hanging="360"/>
      </w:pPr>
      <w:rPr>
        <w:rFonts w:hint="default" w:ascii="Symbol" w:hAnsi="Symbol"/>
      </w:rPr>
    </w:lvl>
    <w:lvl w:ilvl="1" w:tentative="0">
      <w:start w:val="1"/>
      <w:numFmt w:val="bullet"/>
      <w:lvlText w:val="o"/>
      <w:lvlJc w:val="left"/>
      <w:pPr>
        <w:ind w:left="1260" w:hanging="360"/>
      </w:pPr>
      <w:rPr>
        <w:rFonts w:hint="default" w:ascii="Courier New" w:hAnsi="Courier New" w:cs="Courier New"/>
      </w:rPr>
    </w:lvl>
    <w:lvl w:ilvl="2" w:tentative="0">
      <w:start w:val="1"/>
      <w:numFmt w:val="bullet"/>
      <w:lvlText w:val=""/>
      <w:lvlJc w:val="left"/>
      <w:pPr>
        <w:ind w:left="1980" w:hanging="360"/>
      </w:pPr>
      <w:rPr>
        <w:rFonts w:hint="default" w:ascii="Wingdings" w:hAnsi="Wingdings"/>
      </w:rPr>
    </w:lvl>
    <w:lvl w:ilvl="3" w:tentative="0">
      <w:start w:val="1"/>
      <w:numFmt w:val="bullet"/>
      <w:lvlText w:val=""/>
      <w:lvlJc w:val="left"/>
      <w:pPr>
        <w:ind w:left="2700" w:hanging="360"/>
      </w:pPr>
      <w:rPr>
        <w:rFonts w:hint="default" w:ascii="Symbol" w:hAnsi="Symbol"/>
      </w:rPr>
    </w:lvl>
    <w:lvl w:ilvl="4" w:tentative="0">
      <w:start w:val="1"/>
      <w:numFmt w:val="bullet"/>
      <w:lvlText w:val="o"/>
      <w:lvlJc w:val="left"/>
      <w:pPr>
        <w:ind w:left="3420" w:hanging="360"/>
      </w:pPr>
      <w:rPr>
        <w:rFonts w:hint="default" w:ascii="Courier New" w:hAnsi="Courier New" w:cs="Courier New"/>
      </w:rPr>
    </w:lvl>
    <w:lvl w:ilvl="5" w:tentative="0">
      <w:start w:val="1"/>
      <w:numFmt w:val="bullet"/>
      <w:lvlText w:val=""/>
      <w:lvlJc w:val="left"/>
      <w:pPr>
        <w:ind w:left="4140" w:hanging="360"/>
      </w:pPr>
      <w:rPr>
        <w:rFonts w:hint="default" w:ascii="Wingdings" w:hAnsi="Wingdings"/>
      </w:rPr>
    </w:lvl>
    <w:lvl w:ilvl="6" w:tentative="0">
      <w:start w:val="1"/>
      <w:numFmt w:val="bullet"/>
      <w:lvlText w:val=""/>
      <w:lvlJc w:val="left"/>
      <w:pPr>
        <w:ind w:left="4860" w:hanging="360"/>
      </w:pPr>
      <w:rPr>
        <w:rFonts w:hint="default" w:ascii="Symbol" w:hAnsi="Symbol"/>
      </w:rPr>
    </w:lvl>
    <w:lvl w:ilvl="7" w:tentative="0">
      <w:start w:val="1"/>
      <w:numFmt w:val="bullet"/>
      <w:lvlText w:val="o"/>
      <w:lvlJc w:val="left"/>
      <w:pPr>
        <w:ind w:left="5580" w:hanging="360"/>
      </w:pPr>
      <w:rPr>
        <w:rFonts w:hint="default" w:ascii="Courier New" w:hAnsi="Courier New" w:cs="Courier New"/>
      </w:rPr>
    </w:lvl>
    <w:lvl w:ilvl="8" w:tentative="0">
      <w:start w:val="1"/>
      <w:numFmt w:val="bullet"/>
      <w:lvlText w:val=""/>
      <w:lvlJc w:val="left"/>
      <w:pPr>
        <w:ind w:left="6300" w:hanging="360"/>
      </w:pPr>
      <w:rPr>
        <w:rFonts w:hint="default" w:ascii="Wingdings" w:hAnsi="Wingdings"/>
      </w:rPr>
    </w:lvl>
  </w:abstractNum>
  <w:abstractNum w:abstractNumId="1">
    <w:nsid w:val="6ADD68A8"/>
    <w:multiLevelType w:val="multilevel"/>
    <w:tmpl w:val="6ADD68A8"/>
    <w:lvl w:ilvl="0" w:tentative="0">
      <w:start w:val="1"/>
      <w:numFmt w:val="bullet"/>
      <w:lvlText w:val=""/>
      <w:lvlJc w:val="left"/>
      <w:pPr>
        <w:ind w:left="54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6E71313B"/>
    <w:multiLevelType w:val="multilevel"/>
    <w:tmpl w:val="6E71313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BDC09F6"/>
    <w:multiLevelType w:val="multilevel"/>
    <w:tmpl w:val="7BDC09F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665"/>
    <w:rsid w:val="00013A7C"/>
    <w:rsid w:val="00024764"/>
    <w:rsid w:val="00095AFC"/>
    <w:rsid w:val="000A786A"/>
    <w:rsid w:val="000E2EC0"/>
    <w:rsid w:val="000E5965"/>
    <w:rsid w:val="000F5B50"/>
    <w:rsid w:val="00141F69"/>
    <w:rsid w:val="001A6627"/>
    <w:rsid w:val="001C0010"/>
    <w:rsid w:val="001D75C5"/>
    <w:rsid w:val="001E7DBE"/>
    <w:rsid w:val="00216BC2"/>
    <w:rsid w:val="002316AB"/>
    <w:rsid w:val="002763F4"/>
    <w:rsid w:val="00292CA2"/>
    <w:rsid w:val="002D7E05"/>
    <w:rsid w:val="00361174"/>
    <w:rsid w:val="003E6665"/>
    <w:rsid w:val="003F4460"/>
    <w:rsid w:val="004118F1"/>
    <w:rsid w:val="00424D12"/>
    <w:rsid w:val="004831D5"/>
    <w:rsid w:val="00491DEE"/>
    <w:rsid w:val="0049707E"/>
    <w:rsid w:val="00497338"/>
    <w:rsid w:val="004A6786"/>
    <w:rsid w:val="004B58F8"/>
    <w:rsid w:val="004F0292"/>
    <w:rsid w:val="00524AAD"/>
    <w:rsid w:val="00565598"/>
    <w:rsid w:val="005773A7"/>
    <w:rsid w:val="00584FB5"/>
    <w:rsid w:val="005C3913"/>
    <w:rsid w:val="00634D91"/>
    <w:rsid w:val="006C0E3D"/>
    <w:rsid w:val="006E1C27"/>
    <w:rsid w:val="006E2394"/>
    <w:rsid w:val="00725687"/>
    <w:rsid w:val="00750CEA"/>
    <w:rsid w:val="007E52EC"/>
    <w:rsid w:val="007F2D2A"/>
    <w:rsid w:val="00810984"/>
    <w:rsid w:val="008C62B5"/>
    <w:rsid w:val="008D4FA8"/>
    <w:rsid w:val="009370D4"/>
    <w:rsid w:val="00952001"/>
    <w:rsid w:val="009A5B17"/>
    <w:rsid w:val="009B1459"/>
    <w:rsid w:val="00B706D1"/>
    <w:rsid w:val="00BD575B"/>
    <w:rsid w:val="00DC5BA5"/>
    <w:rsid w:val="00E173C7"/>
    <w:rsid w:val="00E36948"/>
    <w:rsid w:val="00E378C7"/>
    <w:rsid w:val="00E41ECE"/>
    <w:rsid w:val="00EB1E81"/>
    <w:rsid w:val="00F34B69"/>
    <w:rsid w:val="00F84C20"/>
    <w:rsid w:val="00FE4BF0"/>
    <w:rsid w:val="00FF03D8"/>
    <w:rsid w:val="00FF7AE0"/>
    <w:rsid w:val="12635C4D"/>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0" w:after="160" w:line="259" w:lineRule="auto"/>
      <w:jc w:val="both"/>
    </w:pPr>
    <w:rPr>
      <w:rFonts w:ascii="Times New Roman" w:hAnsi="Times New Roman" w:eastAsiaTheme="minorEastAsia" w:cstheme="minorBidi"/>
      <w:kern w:val="2"/>
      <w:sz w:val="24"/>
      <w:szCs w:val="22"/>
      <w:lang w:val="en-IN" w:eastAsia="zh-CN" w:bidi="ar-SA"/>
      <w14:ligatures w14:val="standardContextual"/>
    </w:rPr>
  </w:style>
  <w:style w:type="paragraph" w:styleId="2">
    <w:name w:val="heading 1"/>
    <w:basedOn w:val="1"/>
    <w:next w:val="1"/>
    <w:link w:val="24"/>
    <w:autoRedefine/>
    <w:qFormat/>
    <w:uiPriority w:val="9"/>
    <w:pPr>
      <w:spacing w:line="360" w:lineRule="auto"/>
      <w:outlineLvl w:val="0"/>
    </w:pPr>
    <w:rPr>
      <w:b/>
      <w:sz w:val="28"/>
    </w:rPr>
  </w:style>
  <w:style w:type="paragraph" w:styleId="3">
    <w:name w:val="heading 2"/>
    <w:basedOn w:val="1"/>
    <w:next w:val="1"/>
    <w:link w:val="25"/>
    <w:autoRedefine/>
    <w:semiHidden/>
    <w:unhideWhenUsed/>
    <w:qFormat/>
    <w:uiPriority w:val="9"/>
    <w:pPr>
      <w:keepNext/>
      <w:keepLines/>
      <w:spacing w:after="80"/>
      <w:outlineLvl w:val="1"/>
    </w:pPr>
    <w:rPr>
      <w:rFonts w:eastAsiaTheme="majorEastAsia" w:cstheme="majorBidi"/>
      <w:sz w:val="26"/>
      <w:szCs w:val="32"/>
      <w:u w:val="single"/>
    </w:rPr>
  </w:style>
  <w:style w:type="paragraph" w:styleId="4">
    <w:name w:val="heading 3"/>
    <w:basedOn w:val="1"/>
    <w:next w:val="1"/>
    <w:link w:val="26"/>
    <w:semiHidden/>
    <w:unhideWhenUsed/>
    <w:qFormat/>
    <w:uiPriority w:val="9"/>
    <w:pPr>
      <w:keepNext/>
      <w:keepLines/>
      <w:spacing w:before="160" w:after="80"/>
      <w:outlineLvl w:val="2"/>
    </w:pPr>
    <w:rPr>
      <w:rFonts w:asciiTheme="minorHAnsi" w:hAnsiTheme="minorHAnsi" w:eastAsiaTheme="majorEastAsia" w:cstheme="majorBidi"/>
      <w:color w:val="2F5597"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48"/>
    <w:semiHidden/>
    <w:unhideWhenUsed/>
    <w:qFormat/>
    <w:uiPriority w:val="99"/>
    <w:pPr>
      <w:spacing w:after="0" w:line="240" w:lineRule="auto"/>
    </w:pPr>
    <w:rPr>
      <w:rFonts w:ascii="Segoe UI" w:hAnsi="Segoe UI" w:cs="Segoe UI"/>
      <w:sz w:val="18"/>
      <w:szCs w:val="18"/>
    </w:rPr>
  </w:style>
  <w:style w:type="character" w:styleId="14">
    <w:name w:val="annotation reference"/>
    <w:basedOn w:val="11"/>
    <w:semiHidden/>
    <w:unhideWhenUsed/>
    <w:qFormat/>
    <w:uiPriority w:val="99"/>
    <w:rPr>
      <w:sz w:val="16"/>
      <w:szCs w:val="16"/>
    </w:rPr>
  </w:style>
  <w:style w:type="paragraph" w:styleId="15">
    <w:name w:val="annotation text"/>
    <w:basedOn w:val="1"/>
    <w:link w:val="46"/>
    <w:semiHidden/>
    <w:unhideWhenUsed/>
    <w:qFormat/>
    <w:uiPriority w:val="99"/>
    <w:pPr>
      <w:spacing w:line="240" w:lineRule="auto"/>
    </w:pPr>
    <w:rPr>
      <w:sz w:val="20"/>
      <w:szCs w:val="20"/>
    </w:rPr>
  </w:style>
  <w:style w:type="paragraph" w:styleId="16">
    <w:name w:val="annotation subject"/>
    <w:basedOn w:val="15"/>
    <w:next w:val="15"/>
    <w:link w:val="47"/>
    <w:semiHidden/>
    <w:unhideWhenUsed/>
    <w:qFormat/>
    <w:uiPriority w:val="99"/>
    <w:rPr>
      <w:b/>
      <w:bCs/>
    </w:rPr>
  </w:style>
  <w:style w:type="paragraph" w:styleId="17">
    <w:name w:val="footer"/>
    <w:basedOn w:val="1"/>
    <w:link w:val="45"/>
    <w:unhideWhenUsed/>
    <w:qFormat/>
    <w:uiPriority w:val="99"/>
    <w:pPr>
      <w:tabs>
        <w:tab w:val="center" w:pos="4513"/>
        <w:tab w:val="right" w:pos="9026"/>
      </w:tabs>
      <w:spacing w:after="0" w:line="240" w:lineRule="auto"/>
    </w:pPr>
  </w:style>
  <w:style w:type="paragraph" w:styleId="18">
    <w:name w:val="header"/>
    <w:basedOn w:val="1"/>
    <w:link w:val="44"/>
    <w:unhideWhenUsed/>
    <w:qFormat/>
    <w:uiPriority w:val="99"/>
    <w:pPr>
      <w:tabs>
        <w:tab w:val="center" w:pos="4513"/>
        <w:tab w:val="right" w:pos="9026"/>
      </w:tabs>
      <w:spacing w:after="0" w:line="240" w:lineRule="auto"/>
    </w:pPr>
  </w:style>
  <w:style w:type="character" w:styleId="19">
    <w:name w:val="Hyperlink"/>
    <w:basedOn w:val="11"/>
    <w:unhideWhenUsed/>
    <w:qFormat/>
    <w:uiPriority w:val="99"/>
    <w:rPr>
      <w:color w:val="0563C1" w:themeColor="hyperlink"/>
      <w:u w:val="single"/>
      <w14:textFill>
        <w14:solidFill>
          <w14:schemeClr w14:val="hlink"/>
        </w14:solidFill>
      </w14:textFill>
    </w:rPr>
  </w:style>
  <w:style w:type="paragraph" w:styleId="20">
    <w:name w:val="Subtitle"/>
    <w:basedOn w:val="1"/>
    <w:next w:val="1"/>
    <w:link w:val="34"/>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1">
    <w:name w:val="Table Grid"/>
    <w:basedOn w:val="12"/>
    <w:qFormat/>
    <w:uiPriority w:val="39"/>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2">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3">
    <w:name w:val="toc 1"/>
    <w:basedOn w:val="1"/>
    <w:next w:val="1"/>
    <w:autoRedefine/>
    <w:unhideWhenUsed/>
    <w:qFormat/>
    <w:uiPriority w:val="39"/>
    <w:pPr>
      <w:spacing w:after="100"/>
    </w:pPr>
  </w:style>
  <w:style w:type="character" w:customStyle="1" w:styleId="24">
    <w:name w:val="Heading 1 Char"/>
    <w:basedOn w:val="11"/>
    <w:link w:val="2"/>
    <w:qFormat/>
    <w:uiPriority w:val="9"/>
    <w:rPr>
      <w:rFonts w:ascii="Times New Roman" w:hAnsi="Times New Roman"/>
      <w:b/>
      <w:sz w:val="28"/>
    </w:rPr>
  </w:style>
  <w:style w:type="character" w:customStyle="1" w:styleId="25">
    <w:name w:val="Heading 2 Char"/>
    <w:basedOn w:val="11"/>
    <w:link w:val="3"/>
    <w:semiHidden/>
    <w:qFormat/>
    <w:uiPriority w:val="9"/>
    <w:rPr>
      <w:rFonts w:ascii="Times New Roman" w:hAnsi="Times New Roman" w:eastAsiaTheme="majorEastAsia" w:cstheme="majorBidi"/>
      <w:sz w:val="26"/>
      <w:szCs w:val="32"/>
      <w:u w:val="single"/>
    </w:rPr>
  </w:style>
  <w:style w:type="character" w:customStyle="1" w:styleId="26">
    <w:name w:val="Heading 3 Char"/>
    <w:basedOn w:val="11"/>
    <w:link w:val="4"/>
    <w:semiHidden/>
    <w:qFormat/>
    <w:uiPriority w:val="9"/>
    <w:rPr>
      <w:rFonts w:eastAsiaTheme="majorEastAsia" w:cstheme="majorBidi"/>
      <w:color w:val="2F5597"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2F5597" w:themeColor="accent1" w:themeShade="BF"/>
      <w:sz w:val="24"/>
    </w:rPr>
  </w:style>
  <w:style w:type="character" w:customStyle="1" w:styleId="28">
    <w:name w:val="Heading 5 Char"/>
    <w:basedOn w:val="11"/>
    <w:link w:val="6"/>
    <w:semiHidden/>
    <w:qFormat/>
    <w:uiPriority w:val="9"/>
    <w:rPr>
      <w:rFonts w:eastAsiaTheme="majorEastAsia" w:cstheme="majorBidi"/>
      <w:color w:val="2F5597" w:themeColor="accent1" w:themeShade="BF"/>
      <w:sz w:val="24"/>
    </w:rPr>
  </w:style>
  <w:style w:type="character" w:customStyle="1" w:styleId="29">
    <w:name w:val="Heading 6 Char"/>
    <w:basedOn w:val="11"/>
    <w:link w:val="7"/>
    <w:semiHidden/>
    <w:qFormat/>
    <w:uiPriority w:val="9"/>
    <w:rPr>
      <w:rFonts w:eastAsiaTheme="majorEastAsia" w:cstheme="majorBidi"/>
      <w:i/>
      <w:iCs/>
      <w:color w:val="595959" w:themeColor="text1" w:themeTint="A6"/>
      <w:sz w:val="24"/>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sz w:val="24"/>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sz w:val="24"/>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sz w:val="24"/>
      <w14:textFill>
        <w14:solidFill>
          <w14:schemeClr w14:val="tx1">
            <w14:lumMod w14:val="85000"/>
            <w14:lumOff w14:val="15000"/>
          </w14:schemeClr>
        </w14:solidFill>
      </w14:textFill>
    </w:rPr>
  </w:style>
  <w:style w:type="character" w:customStyle="1" w:styleId="33">
    <w:name w:val="Title Char"/>
    <w:basedOn w:val="11"/>
    <w:link w:val="22"/>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20"/>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rFonts w:ascii="Times New Roman" w:hAnsi="Times New Roman"/>
      <w:i/>
      <w:iCs/>
      <w:color w:val="404040" w:themeColor="text1" w:themeTint="BF"/>
      <w:sz w:val="24"/>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2F5597" w:themeColor="accent1" w:themeShade="BF"/>
    </w:rPr>
  </w:style>
  <w:style w:type="paragraph" w:styleId="39">
    <w:name w:val="Intense Quote"/>
    <w:basedOn w:val="1"/>
    <w:next w:val="1"/>
    <w:link w:val="40"/>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0">
    <w:name w:val="Intense Quote Char"/>
    <w:basedOn w:val="11"/>
    <w:link w:val="39"/>
    <w:qFormat/>
    <w:uiPriority w:val="30"/>
    <w:rPr>
      <w:rFonts w:ascii="Times New Roman" w:hAnsi="Times New Roman"/>
      <w:i/>
      <w:iCs/>
      <w:color w:val="2F5597" w:themeColor="accent1" w:themeShade="BF"/>
      <w:sz w:val="24"/>
    </w:rPr>
  </w:style>
  <w:style w:type="character" w:customStyle="1" w:styleId="41">
    <w:name w:val="Intense Reference"/>
    <w:basedOn w:val="11"/>
    <w:qFormat/>
    <w:uiPriority w:val="32"/>
    <w:rPr>
      <w:b/>
      <w:bCs/>
      <w:smallCaps/>
      <w:color w:val="2F5597" w:themeColor="accent1" w:themeShade="BF"/>
      <w:spacing w:val="5"/>
    </w:rPr>
  </w:style>
  <w:style w:type="character" w:customStyle="1" w:styleId="42">
    <w:name w:val="Unresolved Mention1"/>
    <w:basedOn w:val="11"/>
    <w:semiHidden/>
    <w:unhideWhenUsed/>
    <w:qFormat/>
    <w:uiPriority w:val="99"/>
    <w:rPr>
      <w:color w:val="605E5C"/>
      <w:shd w:val="clear" w:color="auto" w:fill="E1DFDD"/>
    </w:rPr>
  </w:style>
  <w:style w:type="paragraph" w:customStyle="1" w:styleId="43">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color w:val="2F5597" w:themeColor="accent1" w:themeShade="BF"/>
      <w:kern w:val="0"/>
      <w:sz w:val="32"/>
      <w:szCs w:val="32"/>
      <w:lang w:val="en-US" w:eastAsia="en-US"/>
      <w14:ligatures w14:val="none"/>
    </w:rPr>
  </w:style>
  <w:style w:type="character" w:customStyle="1" w:styleId="44">
    <w:name w:val="Header Char"/>
    <w:basedOn w:val="11"/>
    <w:link w:val="18"/>
    <w:qFormat/>
    <w:uiPriority w:val="99"/>
    <w:rPr>
      <w:rFonts w:ascii="Times New Roman" w:hAnsi="Times New Roman"/>
      <w:sz w:val="24"/>
    </w:rPr>
  </w:style>
  <w:style w:type="character" w:customStyle="1" w:styleId="45">
    <w:name w:val="Footer Char"/>
    <w:basedOn w:val="11"/>
    <w:link w:val="17"/>
    <w:qFormat/>
    <w:uiPriority w:val="99"/>
    <w:rPr>
      <w:rFonts w:ascii="Times New Roman" w:hAnsi="Times New Roman"/>
      <w:sz w:val="24"/>
    </w:rPr>
  </w:style>
  <w:style w:type="character" w:customStyle="1" w:styleId="46">
    <w:name w:val="Comment Text Char"/>
    <w:basedOn w:val="11"/>
    <w:link w:val="15"/>
    <w:semiHidden/>
    <w:qFormat/>
    <w:uiPriority w:val="99"/>
    <w:rPr>
      <w:rFonts w:ascii="Times New Roman" w:hAnsi="Times New Roman"/>
      <w:sz w:val="20"/>
      <w:szCs w:val="20"/>
    </w:rPr>
  </w:style>
  <w:style w:type="character" w:customStyle="1" w:styleId="47">
    <w:name w:val="Comment Subject Char"/>
    <w:basedOn w:val="46"/>
    <w:link w:val="16"/>
    <w:semiHidden/>
    <w:qFormat/>
    <w:uiPriority w:val="99"/>
    <w:rPr>
      <w:rFonts w:ascii="Times New Roman" w:hAnsi="Times New Roman"/>
      <w:b/>
      <w:bCs/>
      <w:sz w:val="20"/>
      <w:szCs w:val="20"/>
    </w:rPr>
  </w:style>
  <w:style w:type="character" w:customStyle="1" w:styleId="48">
    <w:name w:val="Balloon Text Char"/>
    <w:basedOn w:val="11"/>
    <w:link w:val="13"/>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CC5ED-D170-4AEA-ADD7-2F6CCA269F62}">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16</Pages>
  <Words>2351</Words>
  <Characters>14341</Characters>
  <DocSecurity>0</DocSecurity>
  <Lines>130</Lines>
  <Paragraphs>36</Paragraphs>
  <ScaleCrop>false</ScaleCrop>
  <LinksUpToDate>false</LinksUpToDate>
  <CharactersWithSpaces>16604</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2026-10-14T13:57:00Z</dcterms:created>
  <dcterms:modified xsi:type="dcterms:W3CDTF">2026-10-25T17:06:37Z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d0e8e86d-d1da-4612-b39d-0a832f9f25e4</vt:lpwstr>
  </property>
  <property fmtid="{D5CDD505-2E9C-101B-9397-08002B2CF9AE}" pid="3" name="KSOTemplateDocerSaveRecord">
    <vt:lpwstr>eyJoZGlkIjoiZGJjNGE2NzhjNTdjOGVmY2EyNzJkMTMzMWFjZGVkYTMiLCJ1c2VySWQiOiI1NDk3NzI0NTgwMTYifQ==</vt:lpwstr>
  </property>
  <property fmtid="{D5CDD505-2E9C-101B-9397-08002B2CF9AE}" pid="4" name="KSOProductBuildVer">
    <vt:lpwstr>1033-12.1.0.29162</vt:lpwstr>
  </property>
  <property fmtid="{D5CDD505-2E9C-101B-9397-08002B2CF9AE}" pid="5" name="ICV">
    <vt:lpwstr>9CB95C5C5668430EA30A006354ECB8EC_13</vt:lpwstr>
  </property>
</Properties>
</file>