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EEEDA" w14:textId="79CDA002" w:rsidR="003A2FF4" w:rsidRDefault="003A2FF4" w:rsidP="003A2FF4">
      <w:pPr>
        <w:rPr>
          <w:b/>
          <w:bCs/>
        </w:rPr>
      </w:pPr>
      <w:r>
        <w:rPr>
          <w:noProof/>
        </w:rPr>
        <w:drawing>
          <wp:inline distT="0" distB="0" distL="0" distR="0" wp14:anchorId="60806835" wp14:editId="392AA048">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43E0CCB" w14:textId="77777777" w:rsidR="003A2FF4" w:rsidRDefault="003A2FF4" w:rsidP="003A2FF4">
      <w:pPr>
        <w:rPr>
          <w:b/>
          <w:bCs/>
        </w:rPr>
      </w:pPr>
    </w:p>
    <w:p w14:paraId="3B7DA9AE" w14:textId="77777777" w:rsidR="003A2FF4" w:rsidRDefault="003A2FF4" w:rsidP="003A2FF4">
      <w:pPr>
        <w:rPr>
          <w:b/>
          <w:bCs/>
        </w:rPr>
      </w:pPr>
    </w:p>
    <w:p w14:paraId="5EE33B32" w14:textId="77777777" w:rsidR="003A2FF4" w:rsidRDefault="003A2FF4" w:rsidP="003A2FF4">
      <w:pPr>
        <w:rPr>
          <w:b/>
          <w:bCs/>
        </w:rPr>
      </w:pPr>
    </w:p>
    <w:p w14:paraId="4E62D5D7" w14:textId="77777777" w:rsidR="003A2FF4" w:rsidRDefault="003A2FF4" w:rsidP="003A2FF4">
      <w:pPr>
        <w:rPr>
          <w:b/>
          <w:bCs/>
        </w:rPr>
      </w:pPr>
    </w:p>
    <w:p w14:paraId="31E0F040" w14:textId="77777777" w:rsidR="003A2FF4" w:rsidRDefault="003A2FF4" w:rsidP="003A2FF4">
      <w:pPr>
        <w:jc w:val="center"/>
        <w:rPr>
          <w:rFonts w:ascii="Calibri" w:hAnsi="Calibri" w:cs="Calibri"/>
          <w:b/>
          <w:bCs/>
          <w:sz w:val="32"/>
          <w:szCs w:val="32"/>
        </w:rPr>
      </w:pPr>
    </w:p>
    <w:p w14:paraId="4EFBDEF2" w14:textId="1CE13CBE" w:rsidR="003A2FF4" w:rsidRPr="003A2FF4" w:rsidRDefault="003A2FF4" w:rsidP="003A2FF4">
      <w:pPr>
        <w:spacing w:before="120" w:after="120"/>
        <w:jc w:val="center"/>
        <w:rPr>
          <w:rFonts w:ascii="Arial" w:hAnsi="Arial" w:cs="Arial"/>
          <w:b/>
          <w:sz w:val="32"/>
          <w:szCs w:val="32"/>
        </w:rPr>
      </w:pPr>
      <w:r w:rsidRPr="003A2FF4">
        <w:rPr>
          <w:rFonts w:ascii="Arial" w:hAnsi="Arial" w:cs="Arial"/>
          <w:b/>
          <w:sz w:val="32"/>
          <w:szCs w:val="32"/>
        </w:rPr>
        <w:t>Assignment Title</w:t>
      </w:r>
      <w:r w:rsidRPr="003A2FF4">
        <w:rPr>
          <w:rFonts w:ascii="Arial" w:hAnsi="Arial" w:cs="Arial"/>
          <w:b/>
          <w:sz w:val="32"/>
          <w:szCs w:val="32"/>
        </w:rPr>
        <w:t xml:space="preserve"> - </w:t>
      </w:r>
      <w:r w:rsidRPr="003A2FF4">
        <w:rPr>
          <w:rFonts w:ascii="Arial" w:hAnsi="Arial" w:cs="Arial"/>
          <w:b/>
          <w:sz w:val="32"/>
          <w:szCs w:val="32"/>
        </w:rPr>
        <w:t xml:space="preserve">A Project </w:t>
      </w:r>
      <w:r>
        <w:rPr>
          <w:rFonts w:ascii="Arial" w:hAnsi="Arial" w:cs="Arial"/>
          <w:b/>
          <w:sz w:val="32"/>
          <w:szCs w:val="32"/>
        </w:rPr>
        <w:t>Portfolio</w:t>
      </w:r>
      <w:r w:rsidRPr="003A2FF4">
        <w:rPr>
          <w:rFonts w:ascii="Arial" w:hAnsi="Arial" w:cs="Arial"/>
          <w:b/>
          <w:sz w:val="32"/>
          <w:szCs w:val="32"/>
        </w:rPr>
        <w:t>.</w:t>
      </w:r>
    </w:p>
    <w:p w14:paraId="0DD67AA0" w14:textId="567B2777" w:rsidR="003A2FF4" w:rsidRDefault="003A2FF4" w:rsidP="003A2FF4">
      <w:pPr>
        <w:spacing w:before="120" w:after="120"/>
        <w:rPr>
          <w:rFonts w:ascii="Arial" w:hAnsi="Arial" w:cs="Arial"/>
          <w:b/>
          <w:sz w:val="22"/>
          <w:szCs w:val="22"/>
        </w:rPr>
      </w:pPr>
    </w:p>
    <w:p w14:paraId="17837003" w14:textId="77777777" w:rsidR="003A2FF4" w:rsidRPr="005C2EA1" w:rsidRDefault="003A2FF4" w:rsidP="003A2FF4">
      <w:pPr>
        <w:rPr>
          <w:rFonts w:ascii="Calibri" w:hAnsi="Calibri" w:cs="Calibri"/>
          <w:sz w:val="32"/>
          <w:szCs w:val="32"/>
        </w:rPr>
      </w:pPr>
    </w:p>
    <w:p w14:paraId="286CEEC5" w14:textId="77777777" w:rsidR="003A2FF4" w:rsidRPr="005C2EA1" w:rsidRDefault="003A2FF4" w:rsidP="003A2FF4">
      <w:pPr>
        <w:rPr>
          <w:rFonts w:ascii="Calibri" w:hAnsi="Calibri" w:cs="Calibri"/>
          <w:sz w:val="32"/>
          <w:szCs w:val="32"/>
        </w:rPr>
      </w:pPr>
    </w:p>
    <w:p w14:paraId="7610C093" w14:textId="77777777" w:rsidR="003A2FF4" w:rsidRPr="005C2EA1" w:rsidRDefault="003A2FF4" w:rsidP="003A2FF4">
      <w:pPr>
        <w:rPr>
          <w:rFonts w:ascii="Calibri" w:hAnsi="Calibri" w:cs="Calibri"/>
          <w:sz w:val="32"/>
          <w:szCs w:val="32"/>
        </w:rPr>
      </w:pPr>
    </w:p>
    <w:p w14:paraId="7BB8AC67" w14:textId="67475DAD" w:rsidR="003A2FF4" w:rsidRPr="003A2FF4" w:rsidRDefault="003A2FF4" w:rsidP="003A2FF4">
      <w:pPr>
        <w:jc w:val="left"/>
        <w:rPr>
          <w:rFonts w:ascii="Calibri" w:hAnsi="Calibri" w:cs="Calibri"/>
          <w:sz w:val="32"/>
          <w:szCs w:val="32"/>
        </w:rPr>
      </w:pPr>
      <w:r w:rsidRPr="003A2FF4">
        <w:rPr>
          <w:rFonts w:ascii="Calibri" w:hAnsi="Calibri" w:cs="Calibri"/>
          <w:sz w:val="32"/>
          <w:szCs w:val="32"/>
        </w:rPr>
        <w:t>Name: Amalia Elena Tarente</w:t>
      </w:r>
    </w:p>
    <w:p w14:paraId="76BAE5EC" w14:textId="77777777" w:rsidR="003A2FF4" w:rsidRPr="003A2FF4" w:rsidRDefault="003A2FF4" w:rsidP="003A2FF4">
      <w:pPr>
        <w:jc w:val="left"/>
        <w:rPr>
          <w:rFonts w:ascii="Calibri" w:hAnsi="Calibri" w:cs="Calibri"/>
          <w:sz w:val="32"/>
          <w:szCs w:val="32"/>
        </w:rPr>
      </w:pPr>
      <w:r w:rsidRPr="003A2FF4">
        <w:rPr>
          <w:rFonts w:ascii="Calibri" w:hAnsi="Calibri" w:cs="Calibri"/>
          <w:sz w:val="32"/>
          <w:szCs w:val="32"/>
        </w:rPr>
        <w:t>Student ID: 2329447</w:t>
      </w:r>
    </w:p>
    <w:p w14:paraId="7B138E55" w14:textId="37E1A5CB" w:rsidR="003A2FF4" w:rsidRPr="003A2FF4" w:rsidRDefault="003A2FF4" w:rsidP="003A2FF4">
      <w:pPr>
        <w:jc w:val="left"/>
        <w:rPr>
          <w:rFonts w:ascii="Calibri" w:hAnsi="Calibri" w:cs="Calibri"/>
          <w:sz w:val="32"/>
          <w:szCs w:val="32"/>
        </w:rPr>
      </w:pPr>
      <w:r w:rsidRPr="003A2FF4">
        <w:rPr>
          <w:rFonts w:ascii="Calibri" w:hAnsi="Calibri" w:cs="Calibri"/>
          <w:sz w:val="32"/>
          <w:szCs w:val="32"/>
        </w:rPr>
        <w:t>Module: Project Management</w:t>
      </w:r>
    </w:p>
    <w:p w14:paraId="0FD93E13" w14:textId="66A21E75" w:rsidR="003A2FF4" w:rsidRPr="003A2FF4" w:rsidRDefault="003A2FF4" w:rsidP="003A2FF4">
      <w:pPr>
        <w:spacing w:before="120" w:after="120"/>
        <w:jc w:val="left"/>
        <w:rPr>
          <w:rFonts w:ascii="Calibri" w:hAnsi="Calibri" w:cs="Calibri"/>
          <w:sz w:val="32"/>
          <w:szCs w:val="32"/>
        </w:rPr>
      </w:pPr>
      <w:r w:rsidRPr="003A2FF4">
        <w:rPr>
          <w:rFonts w:ascii="Calibri" w:hAnsi="Calibri" w:cs="Calibri"/>
          <w:sz w:val="32"/>
          <w:szCs w:val="32"/>
        </w:rPr>
        <w:t>Module Code: LCLM5003</w:t>
      </w:r>
    </w:p>
    <w:p w14:paraId="4B968822" w14:textId="378C708F" w:rsidR="003A2FF4" w:rsidRPr="003A2FF4" w:rsidRDefault="003A2FF4" w:rsidP="003A2FF4">
      <w:pPr>
        <w:jc w:val="left"/>
        <w:rPr>
          <w:rFonts w:ascii="Calibri" w:hAnsi="Calibri" w:cs="Calibri"/>
          <w:sz w:val="32"/>
          <w:szCs w:val="32"/>
        </w:rPr>
      </w:pPr>
      <w:r w:rsidRPr="003A2FF4">
        <w:rPr>
          <w:rFonts w:ascii="Calibri" w:hAnsi="Calibri" w:cs="Calibri"/>
          <w:sz w:val="32"/>
          <w:szCs w:val="32"/>
        </w:rPr>
        <w:t>Lecturer Name:</w:t>
      </w:r>
      <w:r>
        <w:rPr>
          <w:rFonts w:ascii="Calibri" w:hAnsi="Calibri" w:cs="Calibri"/>
          <w:sz w:val="32"/>
          <w:szCs w:val="32"/>
        </w:rPr>
        <w:t xml:space="preserve">  </w:t>
      </w:r>
      <w:r w:rsidRPr="003A2FF4">
        <w:rPr>
          <w:rFonts w:ascii="Calibri" w:hAnsi="Calibri" w:cs="Calibri"/>
          <w:sz w:val="32"/>
          <w:szCs w:val="32"/>
        </w:rPr>
        <w:t xml:space="preserve">Seyed Navid </w:t>
      </w:r>
      <w:proofErr w:type="spellStart"/>
      <w:r w:rsidRPr="003A2FF4">
        <w:rPr>
          <w:rFonts w:ascii="Calibri" w:hAnsi="Calibri" w:cs="Calibri"/>
          <w:sz w:val="32"/>
          <w:szCs w:val="32"/>
        </w:rPr>
        <w:t>Nasirpourosgoei</w:t>
      </w:r>
      <w:proofErr w:type="spellEnd"/>
    </w:p>
    <w:p w14:paraId="5ACE5CA2" w14:textId="004455DF" w:rsidR="00CF4C58" w:rsidRDefault="00CF4C58"/>
    <w:p w14:paraId="74BB12B2" w14:textId="47C9331F" w:rsidR="00357F91" w:rsidRDefault="00357F91">
      <w:r>
        <w:br w:type="page"/>
      </w:r>
    </w:p>
    <w:sdt>
      <w:sdtPr>
        <w:id w:val="1287544819"/>
        <w:docPartObj>
          <w:docPartGallery w:val="Table of Contents"/>
          <w:docPartUnique/>
        </w:docPartObj>
      </w:sdtPr>
      <w:sdtEndPr>
        <w:rPr>
          <w:rFonts w:ascii="Times New Roman" w:eastAsiaTheme="minorHAnsi" w:hAnsi="Times New Roman" w:cstheme="minorBidi"/>
          <w:b/>
          <w:bCs/>
          <w:color w:val="333333"/>
          <w:kern w:val="2"/>
          <w:sz w:val="24"/>
          <w:szCs w:val="21"/>
          <w:lang w:eastAsia="en-US"/>
          <w14:ligatures w14:val="standardContextual"/>
        </w:rPr>
      </w:sdtEndPr>
      <w:sdtContent>
        <w:p w14:paraId="63100B67" w14:textId="055EF164" w:rsidR="00E15D6C" w:rsidRDefault="00E15D6C">
          <w:pPr>
            <w:pStyle w:val="TOCHeading"/>
          </w:pPr>
          <w:r>
            <w:t>Table of Contents</w:t>
          </w:r>
        </w:p>
        <w:p w14:paraId="19F9382B" w14:textId="106AA06F" w:rsidR="007A5A68" w:rsidRDefault="00E15D6C">
          <w:pPr>
            <w:pStyle w:val="TOC1"/>
            <w:tabs>
              <w:tab w:val="right" w:leader="dot" w:pos="9016"/>
            </w:tabs>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214622870" w:history="1">
            <w:r w:rsidR="007A5A68" w:rsidRPr="0095000F">
              <w:rPr>
                <w:rStyle w:val="Hyperlink"/>
                <w:noProof/>
              </w:rPr>
              <w:t>Part A- Project proposal poster</w:t>
            </w:r>
            <w:r w:rsidR="007A5A68">
              <w:rPr>
                <w:noProof/>
                <w:webHidden/>
              </w:rPr>
              <w:tab/>
            </w:r>
            <w:r w:rsidR="007A5A68">
              <w:rPr>
                <w:noProof/>
                <w:webHidden/>
              </w:rPr>
              <w:fldChar w:fldCharType="begin"/>
            </w:r>
            <w:r w:rsidR="007A5A68">
              <w:rPr>
                <w:noProof/>
                <w:webHidden/>
              </w:rPr>
              <w:instrText xml:space="preserve"> PAGEREF _Toc214622870 \h </w:instrText>
            </w:r>
            <w:r w:rsidR="007A5A68">
              <w:rPr>
                <w:noProof/>
                <w:webHidden/>
              </w:rPr>
            </w:r>
            <w:r w:rsidR="007A5A68">
              <w:rPr>
                <w:noProof/>
                <w:webHidden/>
              </w:rPr>
              <w:fldChar w:fldCharType="separate"/>
            </w:r>
            <w:r w:rsidR="007A5A68">
              <w:rPr>
                <w:noProof/>
                <w:webHidden/>
              </w:rPr>
              <w:t>2</w:t>
            </w:r>
            <w:r w:rsidR="007A5A68">
              <w:rPr>
                <w:noProof/>
                <w:webHidden/>
              </w:rPr>
              <w:fldChar w:fldCharType="end"/>
            </w:r>
          </w:hyperlink>
        </w:p>
        <w:p w14:paraId="08EC766F" w14:textId="4B548AA0"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71" w:history="1">
            <w:r w:rsidRPr="0095000F">
              <w:rPr>
                <w:rStyle w:val="Hyperlink"/>
                <w:noProof/>
              </w:rPr>
              <w:t>Part B- Reflective Report</w:t>
            </w:r>
            <w:r>
              <w:rPr>
                <w:noProof/>
                <w:webHidden/>
              </w:rPr>
              <w:tab/>
            </w:r>
            <w:r>
              <w:rPr>
                <w:noProof/>
                <w:webHidden/>
              </w:rPr>
              <w:fldChar w:fldCharType="begin"/>
            </w:r>
            <w:r>
              <w:rPr>
                <w:noProof/>
                <w:webHidden/>
              </w:rPr>
              <w:instrText xml:space="preserve"> PAGEREF _Toc214622871 \h </w:instrText>
            </w:r>
            <w:r>
              <w:rPr>
                <w:noProof/>
                <w:webHidden/>
              </w:rPr>
            </w:r>
            <w:r>
              <w:rPr>
                <w:noProof/>
                <w:webHidden/>
              </w:rPr>
              <w:fldChar w:fldCharType="separate"/>
            </w:r>
            <w:r>
              <w:rPr>
                <w:noProof/>
                <w:webHidden/>
              </w:rPr>
              <w:t>3</w:t>
            </w:r>
            <w:r>
              <w:rPr>
                <w:noProof/>
                <w:webHidden/>
              </w:rPr>
              <w:fldChar w:fldCharType="end"/>
            </w:r>
          </w:hyperlink>
        </w:p>
        <w:p w14:paraId="72882543" w14:textId="775CF169" w:rsidR="007A5A68" w:rsidRDefault="007A5A68">
          <w:pPr>
            <w:pStyle w:val="TOC2"/>
            <w:tabs>
              <w:tab w:val="right" w:leader="dot" w:pos="9016"/>
            </w:tabs>
            <w:rPr>
              <w:rFonts w:asciiTheme="minorHAnsi" w:eastAsiaTheme="minorEastAsia" w:hAnsiTheme="minorHAnsi"/>
              <w:noProof/>
              <w:color w:val="auto"/>
              <w:szCs w:val="24"/>
              <w:lang w:eastAsia="en-GB"/>
            </w:rPr>
          </w:pPr>
          <w:hyperlink w:anchor="_Toc214622872" w:history="1">
            <w:r w:rsidRPr="0095000F">
              <w:rPr>
                <w:rStyle w:val="Hyperlink"/>
                <w:noProof/>
              </w:rPr>
              <w:t>Reflection on Feedback from Tutor and Peers</w:t>
            </w:r>
            <w:r>
              <w:rPr>
                <w:noProof/>
                <w:webHidden/>
              </w:rPr>
              <w:tab/>
            </w:r>
            <w:r>
              <w:rPr>
                <w:noProof/>
                <w:webHidden/>
              </w:rPr>
              <w:fldChar w:fldCharType="begin"/>
            </w:r>
            <w:r>
              <w:rPr>
                <w:noProof/>
                <w:webHidden/>
              </w:rPr>
              <w:instrText xml:space="preserve"> PAGEREF _Toc214622872 \h </w:instrText>
            </w:r>
            <w:r>
              <w:rPr>
                <w:noProof/>
                <w:webHidden/>
              </w:rPr>
            </w:r>
            <w:r>
              <w:rPr>
                <w:noProof/>
                <w:webHidden/>
              </w:rPr>
              <w:fldChar w:fldCharType="separate"/>
            </w:r>
            <w:r>
              <w:rPr>
                <w:noProof/>
                <w:webHidden/>
              </w:rPr>
              <w:t>3</w:t>
            </w:r>
            <w:r>
              <w:rPr>
                <w:noProof/>
                <w:webHidden/>
              </w:rPr>
              <w:fldChar w:fldCharType="end"/>
            </w:r>
          </w:hyperlink>
        </w:p>
        <w:p w14:paraId="6C0A6A3B" w14:textId="5EDF9B7D"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73" w:history="1">
            <w:r w:rsidRPr="0095000F">
              <w:rPr>
                <w:rStyle w:val="Hyperlink"/>
                <w:noProof/>
              </w:rPr>
              <w:t>Part C- Project Management Plan</w:t>
            </w:r>
            <w:r>
              <w:rPr>
                <w:noProof/>
                <w:webHidden/>
              </w:rPr>
              <w:tab/>
            </w:r>
            <w:r>
              <w:rPr>
                <w:noProof/>
                <w:webHidden/>
              </w:rPr>
              <w:fldChar w:fldCharType="begin"/>
            </w:r>
            <w:r>
              <w:rPr>
                <w:noProof/>
                <w:webHidden/>
              </w:rPr>
              <w:instrText xml:space="preserve"> PAGEREF _Toc214622873 \h </w:instrText>
            </w:r>
            <w:r>
              <w:rPr>
                <w:noProof/>
                <w:webHidden/>
              </w:rPr>
            </w:r>
            <w:r>
              <w:rPr>
                <w:noProof/>
                <w:webHidden/>
              </w:rPr>
              <w:fldChar w:fldCharType="separate"/>
            </w:r>
            <w:r>
              <w:rPr>
                <w:noProof/>
                <w:webHidden/>
              </w:rPr>
              <w:t>5</w:t>
            </w:r>
            <w:r>
              <w:rPr>
                <w:noProof/>
                <w:webHidden/>
              </w:rPr>
              <w:fldChar w:fldCharType="end"/>
            </w:r>
          </w:hyperlink>
        </w:p>
        <w:p w14:paraId="669A530A" w14:textId="60E637CE" w:rsidR="007A5A68" w:rsidRDefault="007A5A68">
          <w:pPr>
            <w:pStyle w:val="TOC2"/>
            <w:tabs>
              <w:tab w:val="right" w:leader="dot" w:pos="9016"/>
            </w:tabs>
            <w:rPr>
              <w:rFonts w:asciiTheme="minorHAnsi" w:eastAsiaTheme="minorEastAsia" w:hAnsiTheme="minorHAnsi"/>
              <w:noProof/>
              <w:color w:val="auto"/>
              <w:szCs w:val="24"/>
              <w:lang w:eastAsia="en-GB"/>
            </w:rPr>
          </w:pPr>
          <w:hyperlink w:anchor="_Toc214622874" w:history="1">
            <w:r w:rsidRPr="0095000F">
              <w:rPr>
                <w:rStyle w:val="Hyperlink"/>
                <w:noProof/>
              </w:rPr>
              <w:t>PROJECT MANAGEMENT PLAN: REOPENING OF HIGHWAY 5 (COQUIHALLA HIGHWAY)</w:t>
            </w:r>
            <w:r>
              <w:rPr>
                <w:noProof/>
                <w:webHidden/>
              </w:rPr>
              <w:tab/>
            </w:r>
            <w:r>
              <w:rPr>
                <w:noProof/>
                <w:webHidden/>
              </w:rPr>
              <w:fldChar w:fldCharType="begin"/>
            </w:r>
            <w:r>
              <w:rPr>
                <w:noProof/>
                <w:webHidden/>
              </w:rPr>
              <w:instrText xml:space="preserve"> PAGEREF _Toc214622874 \h </w:instrText>
            </w:r>
            <w:r>
              <w:rPr>
                <w:noProof/>
                <w:webHidden/>
              </w:rPr>
            </w:r>
            <w:r>
              <w:rPr>
                <w:noProof/>
                <w:webHidden/>
              </w:rPr>
              <w:fldChar w:fldCharType="separate"/>
            </w:r>
            <w:r>
              <w:rPr>
                <w:noProof/>
                <w:webHidden/>
              </w:rPr>
              <w:t>5</w:t>
            </w:r>
            <w:r>
              <w:rPr>
                <w:noProof/>
                <w:webHidden/>
              </w:rPr>
              <w:fldChar w:fldCharType="end"/>
            </w:r>
          </w:hyperlink>
        </w:p>
        <w:p w14:paraId="49709F58" w14:textId="0C9D9B0C" w:rsidR="007A5A68" w:rsidRDefault="007A5A68">
          <w:pPr>
            <w:pStyle w:val="TOC3"/>
            <w:tabs>
              <w:tab w:val="right" w:leader="dot" w:pos="9016"/>
            </w:tabs>
            <w:rPr>
              <w:rFonts w:asciiTheme="minorHAnsi" w:eastAsiaTheme="minorEastAsia" w:hAnsiTheme="minorHAnsi"/>
              <w:noProof/>
              <w:color w:val="auto"/>
              <w:szCs w:val="24"/>
              <w:lang w:eastAsia="en-GB"/>
            </w:rPr>
          </w:pPr>
          <w:hyperlink w:anchor="_Toc214622875" w:history="1">
            <w:r w:rsidRPr="0095000F">
              <w:rPr>
                <w:rStyle w:val="Hyperlink"/>
                <w:noProof/>
              </w:rPr>
              <w:t>Introduction</w:t>
            </w:r>
            <w:r>
              <w:rPr>
                <w:noProof/>
                <w:webHidden/>
              </w:rPr>
              <w:tab/>
            </w:r>
            <w:r>
              <w:rPr>
                <w:noProof/>
                <w:webHidden/>
              </w:rPr>
              <w:fldChar w:fldCharType="begin"/>
            </w:r>
            <w:r>
              <w:rPr>
                <w:noProof/>
                <w:webHidden/>
              </w:rPr>
              <w:instrText xml:space="preserve"> PAGEREF _Toc214622875 \h </w:instrText>
            </w:r>
            <w:r>
              <w:rPr>
                <w:noProof/>
                <w:webHidden/>
              </w:rPr>
            </w:r>
            <w:r>
              <w:rPr>
                <w:noProof/>
                <w:webHidden/>
              </w:rPr>
              <w:fldChar w:fldCharType="separate"/>
            </w:r>
            <w:r>
              <w:rPr>
                <w:noProof/>
                <w:webHidden/>
              </w:rPr>
              <w:t>5</w:t>
            </w:r>
            <w:r>
              <w:rPr>
                <w:noProof/>
                <w:webHidden/>
              </w:rPr>
              <w:fldChar w:fldCharType="end"/>
            </w:r>
          </w:hyperlink>
        </w:p>
        <w:p w14:paraId="009DBE5A" w14:textId="00222647"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76" w:history="1">
            <w:r w:rsidRPr="0095000F">
              <w:rPr>
                <w:rStyle w:val="Hyperlink"/>
                <w:noProof/>
              </w:rPr>
              <w:t>Project Description</w:t>
            </w:r>
            <w:r>
              <w:rPr>
                <w:noProof/>
                <w:webHidden/>
              </w:rPr>
              <w:tab/>
            </w:r>
            <w:r>
              <w:rPr>
                <w:noProof/>
                <w:webHidden/>
              </w:rPr>
              <w:fldChar w:fldCharType="begin"/>
            </w:r>
            <w:r>
              <w:rPr>
                <w:noProof/>
                <w:webHidden/>
              </w:rPr>
              <w:instrText xml:space="preserve"> PAGEREF _Toc214622876 \h </w:instrText>
            </w:r>
            <w:r>
              <w:rPr>
                <w:noProof/>
                <w:webHidden/>
              </w:rPr>
            </w:r>
            <w:r>
              <w:rPr>
                <w:noProof/>
                <w:webHidden/>
              </w:rPr>
              <w:fldChar w:fldCharType="separate"/>
            </w:r>
            <w:r>
              <w:rPr>
                <w:noProof/>
                <w:webHidden/>
              </w:rPr>
              <w:t>6</w:t>
            </w:r>
            <w:r>
              <w:rPr>
                <w:noProof/>
                <w:webHidden/>
              </w:rPr>
              <w:fldChar w:fldCharType="end"/>
            </w:r>
          </w:hyperlink>
        </w:p>
        <w:p w14:paraId="3E9C2BD5" w14:textId="14DDD3CB"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77" w:history="1">
            <w:r w:rsidRPr="0095000F">
              <w:rPr>
                <w:rStyle w:val="Hyperlink"/>
                <w:noProof/>
              </w:rPr>
              <w:t>Work Breakdown Structure (WBS)</w:t>
            </w:r>
            <w:r>
              <w:rPr>
                <w:noProof/>
                <w:webHidden/>
              </w:rPr>
              <w:tab/>
            </w:r>
            <w:r>
              <w:rPr>
                <w:noProof/>
                <w:webHidden/>
              </w:rPr>
              <w:fldChar w:fldCharType="begin"/>
            </w:r>
            <w:r>
              <w:rPr>
                <w:noProof/>
                <w:webHidden/>
              </w:rPr>
              <w:instrText xml:space="preserve"> PAGEREF _Toc214622877 \h </w:instrText>
            </w:r>
            <w:r>
              <w:rPr>
                <w:noProof/>
                <w:webHidden/>
              </w:rPr>
            </w:r>
            <w:r>
              <w:rPr>
                <w:noProof/>
                <w:webHidden/>
              </w:rPr>
              <w:fldChar w:fldCharType="separate"/>
            </w:r>
            <w:r>
              <w:rPr>
                <w:noProof/>
                <w:webHidden/>
              </w:rPr>
              <w:t>9</w:t>
            </w:r>
            <w:r>
              <w:rPr>
                <w:noProof/>
                <w:webHidden/>
              </w:rPr>
              <w:fldChar w:fldCharType="end"/>
            </w:r>
          </w:hyperlink>
        </w:p>
        <w:p w14:paraId="084A5982" w14:textId="76B82E71"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78" w:history="1">
            <w:r w:rsidRPr="0095000F">
              <w:rPr>
                <w:rStyle w:val="Hyperlink"/>
                <w:noProof/>
              </w:rPr>
              <w:t>Quad Chart</w:t>
            </w:r>
            <w:r>
              <w:rPr>
                <w:noProof/>
                <w:webHidden/>
              </w:rPr>
              <w:tab/>
            </w:r>
            <w:r>
              <w:rPr>
                <w:noProof/>
                <w:webHidden/>
              </w:rPr>
              <w:fldChar w:fldCharType="begin"/>
            </w:r>
            <w:r>
              <w:rPr>
                <w:noProof/>
                <w:webHidden/>
              </w:rPr>
              <w:instrText xml:space="preserve"> PAGEREF _Toc214622878 \h </w:instrText>
            </w:r>
            <w:r>
              <w:rPr>
                <w:noProof/>
                <w:webHidden/>
              </w:rPr>
            </w:r>
            <w:r>
              <w:rPr>
                <w:noProof/>
                <w:webHidden/>
              </w:rPr>
              <w:fldChar w:fldCharType="separate"/>
            </w:r>
            <w:r>
              <w:rPr>
                <w:noProof/>
                <w:webHidden/>
              </w:rPr>
              <w:t>11</w:t>
            </w:r>
            <w:r>
              <w:rPr>
                <w:noProof/>
                <w:webHidden/>
              </w:rPr>
              <w:fldChar w:fldCharType="end"/>
            </w:r>
          </w:hyperlink>
        </w:p>
        <w:p w14:paraId="275887FA" w14:textId="67C64E95"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79" w:history="1">
            <w:r w:rsidRPr="0095000F">
              <w:rPr>
                <w:rStyle w:val="Hyperlink"/>
                <w:noProof/>
              </w:rPr>
              <w:t>Gant Chart</w:t>
            </w:r>
            <w:r>
              <w:rPr>
                <w:noProof/>
                <w:webHidden/>
              </w:rPr>
              <w:tab/>
            </w:r>
            <w:r>
              <w:rPr>
                <w:noProof/>
                <w:webHidden/>
              </w:rPr>
              <w:fldChar w:fldCharType="begin"/>
            </w:r>
            <w:r>
              <w:rPr>
                <w:noProof/>
                <w:webHidden/>
              </w:rPr>
              <w:instrText xml:space="preserve"> PAGEREF _Toc214622879 \h </w:instrText>
            </w:r>
            <w:r>
              <w:rPr>
                <w:noProof/>
                <w:webHidden/>
              </w:rPr>
            </w:r>
            <w:r>
              <w:rPr>
                <w:noProof/>
                <w:webHidden/>
              </w:rPr>
              <w:fldChar w:fldCharType="separate"/>
            </w:r>
            <w:r>
              <w:rPr>
                <w:noProof/>
                <w:webHidden/>
              </w:rPr>
              <w:t>12</w:t>
            </w:r>
            <w:r>
              <w:rPr>
                <w:noProof/>
                <w:webHidden/>
              </w:rPr>
              <w:fldChar w:fldCharType="end"/>
            </w:r>
          </w:hyperlink>
        </w:p>
        <w:p w14:paraId="0A653AB2" w14:textId="499C3175"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80" w:history="1">
            <w:r w:rsidRPr="0095000F">
              <w:rPr>
                <w:rStyle w:val="Hyperlink"/>
                <w:noProof/>
              </w:rPr>
              <w:t>Stakeholder Involvement</w:t>
            </w:r>
            <w:r>
              <w:rPr>
                <w:noProof/>
                <w:webHidden/>
              </w:rPr>
              <w:tab/>
            </w:r>
            <w:r>
              <w:rPr>
                <w:noProof/>
                <w:webHidden/>
              </w:rPr>
              <w:fldChar w:fldCharType="begin"/>
            </w:r>
            <w:r>
              <w:rPr>
                <w:noProof/>
                <w:webHidden/>
              </w:rPr>
              <w:instrText xml:space="preserve"> PAGEREF _Toc214622880 \h </w:instrText>
            </w:r>
            <w:r>
              <w:rPr>
                <w:noProof/>
                <w:webHidden/>
              </w:rPr>
            </w:r>
            <w:r>
              <w:rPr>
                <w:noProof/>
                <w:webHidden/>
              </w:rPr>
              <w:fldChar w:fldCharType="separate"/>
            </w:r>
            <w:r>
              <w:rPr>
                <w:noProof/>
                <w:webHidden/>
              </w:rPr>
              <w:t>13</w:t>
            </w:r>
            <w:r>
              <w:rPr>
                <w:noProof/>
                <w:webHidden/>
              </w:rPr>
              <w:fldChar w:fldCharType="end"/>
            </w:r>
          </w:hyperlink>
        </w:p>
        <w:p w14:paraId="68896CF8" w14:textId="2100C5D8"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81" w:history="1">
            <w:r w:rsidRPr="0095000F">
              <w:rPr>
                <w:rStyle w:val="Hyperlink"/>
                <w:noProof/>
              </w:rPr>
              <w:t>Stakeholder Engagement Strategy</w:t>
            </w:r>
            <w:r>
              <w:rPr>
                <w:noProof/>
                <w:webHidden/>
              </w:rPr>
              <w:tab/>
            </w:r>
            <w:r>
              <w:rPr>
                <w:noProof/>
                <w:webHidden/>
              </w:rPr>
              <w:fldChar w:fldCharType="begin"/>
            </w:r>
            <w:r>
              <w:rPr>
                <w:noProof/>
                <w:webHidden/>
              </w:rPr>
              <w:instrText xml:space="preserve"> PAGEREF _Toc214622881 \h </w:instrText>
            </w:r>
            <w:r>
              <w:rPr>
                <w:noProof/>
                <w:webHidden/>
              </w:rPr>
            </w:r>
            <w:r>
              <w:rPr>
                <w:noProof/>
                <w:webHidden/>
              </w:rPr>
              <w:fldChar w:fldCharType="separate"/>
            </w:r>
            <w:r>
              <w:rPr>
                <w:noProof/>
                <w:webHidden/>
              </w:rPr>
              <w:t>14</w:t>
            </w:r>
            <w:r>
              <w:rPr>
                <w:noProof/>
                <w:webHidden/>
              </w:rPr>
              <w:fldChar w:fldCharType="end"/>
            </w:r>
          </w:hyperlink>
        </w:p>
        <w:p w14:paraId="7B2649AC" w14:textId="22B73D5A"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82" w:history="1">
            <w:r w:rsidRPr="0095000F">
              <w:rPr>
                <w:rStyle w:val="Hyperlink"/>
                <w:noProof/>
              </w:rPr>
              <w:t>Conclusion</w:t>
            </w:r>
            <w:r>
              <w:rPr>
                <w:noProof/>
                <w:webHidden/>
              </w:rPr>
              <w:tab/>
            </w:r>
            <w:r>
              <w:rPr>
                <w:noProof/>
                <w:webHidden/>
              </w:rPr>
              <w:fldChar w:fldCharType="begin"/>
            </w:r>
            <w:r>
              <w:rPr>
                <w:noProof/>
                <w:webHidden/>
              </w:rPr>
              <w:instrText xml:space="preserve"> PAGEREF _Toc214622882 \h </w:instrText>
            </w:r>
            <w:r>
              <w:rPr>
                <w:noProof/>
                <w:webHidden/>
              </w:rPr>
            </w:r>
            <w:r>
              <w:rPr>
                <w:noProof/>
                <w:webHidden/>
              </w:rPr>
              <w:fldChar w:fldCharType="separate"/>
            </w:r>
            <w:r>
              <w:rPr>
                <w:noProof/>
                <w:webHidden/>
              </w:rPr>
              <w:t>17</w:t>
            </w:r>
            <w:r>
              <w:rPr>
                <w:noProof/>
                <w:webHidden/>
              </w:rPr>
              <w:fldChar w:fldCharType="end"/>
            </w:r>
          </w:hyperlink>
        </w:p>
        <w:p w14:paraId="06E534B0" w14:textId="6875A6EA" w:rsidR="007A5A68" w:rsidRDefault="007A5A68">
          <w:pPr>
            <w:pStyle w:val="TOC1"/>
            <w:tabs>
              <w:tab w:val="right" w:leader="dot" w:pos="9016"/>
            </w:tabs>
            <w:rPr>
              <w:rFonts w:asciiTheme="minorHAnsi" w:eastAsiaTheme="minorEastAsia" w:hAnsiTheme="minorHAnsi"/>
              <w:noProof/>
              <w:color w:val="auto"/>
              <w:szCs w:val="24"/>
              <w:lang w:eastAsia="en-GB"/>
            </w:rPr>
          </w:pPr>
          <w:hyperlink w:anchor="_Toc214622883" w:history="1">
            <w:r w:rsidRPr="0095000F">
              <w:rPr>
                <w:rStyle w:val="Hyperlink"/>
                <w:noProof/>
              </w:rPr>
              <w:t>References</w:t>
            </w:r>
            <w:r>
              <w:rPr>
                <w:noProof/>
                <w:webHidden/>
              </w:rPr>
              <w:tab/>
            </w:r>
            <w:r>
              <w:rPr>
                <w:noProof/>
                <w:webHidden/>
              </w:rPr>
              <w:fldChar w:fldCharType="begin"/>
            </w:r>
            <w:r>
              <w:rPr>
                <w:noProof/>
                <w:webHidden/>
              </w:rPr>
              <w:instrText xml:space="preserve"> PAGEREF _Toc214622883 \h </w:instrText>
            </w:r>
            <w:r>
              <w:rPr>
                <w:noProof/>
                <w:webHidden/>
              </w:rPr>
            </w:r>
            <w:r>
              <w:rPr>
                <w:noProof/>
                <w:webHidden/>
              </w:rPr>
              <w:fldChar w:fldCharType="separate"/>
            </w:r>
            <w:r>
              <w:rPr>
                <w:noProof/>
                <w:webHidden/>
              </w:rPr>
              <w:t>18</w:t>
            </w:r>
            <w:r>
              <w:rPr>
                <w:noProof/>
                <w:webHidden/>
              </w:rPr>
              <w:fldChar w:fldCharType="end"/>
            </w:r>
          </w:hyperlink>
        </w:p>
        <w:p w14:paraId="799252D2" w14:textId="2222F851" w:rsidR="00E15D6C" w:rsidRDefault="00E15D6C">
          <w:r>
            <w:rPr>
              <w:b/>
              <w:bCs/>
            </w:rPr>
            <w:fldChar w:fldCharType="end"/>
          </w:r>
        </w:p>
      </w:sdtContent>
    </w:sdt>
    <w:p w14:paraId="0CBAFADD" w14:textId="42140EDD" w:rsidR="00357F91" w:rsidRDefault="00357F91"/>
    <w:p w14:paraId="7E7CDE76" w14:textId="176F45C9" w:rsidR="00357F91" w:rsidRDefault="00357F91">
      <w:r>
        <w:br w:type="page"/>
      </w:r>
    </w:p>
    <w:p w14:paraId="22D4FFAC" w14:textId="32CABFAD" w:rsidR="00357F91" w:rsidRDefault="00357F91" w:rsidP="00E15D6C">
      <w:pPr>
        <w:pStyle w:val="Heading1"/>
      </w:pPr>
      <w:bookmarkStart w:id="0" w:name="_Toc214622870"/>
      <w:r>
        <w:lastRenderedPageBreak/>
        <w:t xml:space="preserve">Part A- </w:t>
      </w:r>
      <w:r w:rsidRPr="00357F91">
        <w:t>Project proposal poster</w:t>
      </w:r>
      <w:bookmarkEnd w:id="0"/>
    </w:p>
    <w:p w14:paraId="75615AA2" w14:textId="50DCDA22" w:rsidR="00357F91" w:rsidRDefault="006C4E13">
      <w:r w:rsidRPr="006C4E13">
        <w:rPr>
          <w:noProof/>
        </w:rPr>
        <w:drawing>
          <wp:inline distT="0" distB="0" distL="0" distR="0" wp14:anchorId="43A936FF" wp14:editId="69F2F6E7">
            <wp:extent cx="5696745" cy="8021169"/>
            <wp:effectExtent l="0" t="0" r="0" b="0"/>
            <wp:docPr id="1049382174" name="Picture 1" descr="A diagram of a ro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82174" name="Picture 1" descr="A diagram of a road with text&#10;&#10;AI-generated content may be incorrect."/>
                    <pic:cNvPicPr/>
                  </pic:nvPicPr>
                  <pic:blipFill>
                    <a:blip r:embed="rId10"/>
                    <a:stretch>
                      <a:fillRect/>
                    </a:stretch>
                  </pic:blipFill>
                  <pic:spPr>
                    <a:xfrm>
                      <a:off x="0" y="0"/>
                      <a:ext cx="5696745" cy="8021169"/>
                    </a:xfrm>
                    <a:prstGeom prst="rect">
                      <a:avLst/>
                    </a:prstGeom>
                  </pic:spPr>
                </pic:pic>
              </a:graphicData>
            </a:graphic>
          </wp:inline>
        </w:drawing>
      </w:r>
      <w:r w:rsidR="00357F91">
        <w:br w:type="page"/>
      </w:r>
    </w:p>
    <w:p w14:paraId="0FE7B1E0" w14:textId="61F99F7A" w:rsidR="00357F91" w:rsidRDefault="00357F91" w:rsidP="00E15D6C">
      <w:pPr>
        <w:pStyle w:val="Heading1"/>
      </w:pPr>
      <w:bookmarkStart w:id="1" w:name="_Toc214622871"/>
      <w:r>
        <w:lastRenderedPageBreak/>
        <w:t>Part B- Reflective Report</w:t>
      </w:r>
      <w:bookmarkEnd w:id="1"/>
    </w:p>
    <w:p w14:paraId="65409302" w14:textId="77777777" w:rsidR="00292464" w:rsidRDefault="00292464"/>
    <w:p w14:paraId="31C9801B" w14:textId="77777777" w:rsidR="00EF16EB" w:rsidRPr="00EF16EB" w:rsidRDefault="00EF16EB" w:rsidP="00E15D6C">
      <w:pPr>
        <w:pStyle w:val="Heading2"/>
      </w:pPr>
      <w:bookmarkStart w:id="2" w:name="_Toc214622872"/>
      <w:r w:rsidRPr="00EF16EB">
        <w:t>Reflection on Feedback from Tutor and Peers</w:t>
      </w:r>
      <w:bookmarkEnd w:id="2"/>
    </w:p>
    <w:p w14:paraId="1A446593" w14:textId="77777777" w:rsidR="00EF16EB" w:rsidRPr="00EF16EB" w:rsidRDefault="00EF16EB" w:rsidP="00EF16EB">
      <w:pPr>
        <w:rPr>
          <w:rFonts w:ascii="Calibri" w:hAnsi="Calibri" w:cs="Calibri"/>
          <w:sz w:val="22"/>
          <w:szCs w:val="22"/>
        </w:rPr>
      </w:pPr>
      <w:r w:rsidRPr="00EF16EB">
        <w:rPr>
          <w:rFonts w:ascii="Calibri" w:hAnsi="Calibri" w:cs="Calibri"/>
          <w:sz w:val="22"/>
          <w:szCs w:val="22"/>
        </w:rPr>
        <w:t>Receiving feedback from both my tutor and peers has been an essential part of refining my project poster and shaping the direction of my final project plan. The comments I received enabled me to identify both the strengths of my work and the key areas requiring enhancement, particularly academic integration, structural organisation, and the application of project management tools.</w:t>
      </w:r>
    </w:p>
    <w:p w14:paraId="4CF9831B" w14:textId="77777777" w:rsidR="00EF16EB" w:rsidRPr="00EF16EB" w:rsidRDefault="00EF16EB" w:rsidP="00EF16EB">
      <w:pPr>
        <w:rPr>
          <w:rFonts w:ascii="Calibri" w:hAnsi="Calibri" w:cs="Calibri"/>
          <w:sz w:val="22"/>
          <w:szCs w:val="22"/>
        </w:rPr>
      </w:pPr>
      <w:r w:rsidRPr="00EF16EB">
        <w:rPr>
          <w:rFonts w:ascii="Calibri" w:hAnsi="Calibri" w:cs="Calibri"/>
          <w:sz w:val="22"/>
          <w:szCs w:val="22"/>
        </w:rPr>
        <w:t xml:space="preserve">A significant strength highlighted in the feedback was the clarity and readability of the poster. My tutor noted that the file was visually clear and well-organised, which confirms that the design choices I made supported effective communication. Furthermore, the feedback acknowledged that I presented the content with confidence. Although I often feel apprehensive when speaking in front of groups, this observation reassured me that I </w:t>
      </w:r>
      <w:proofErr w:type="gramStart"/>
      <w:r w:rsidRPr="00EF16EB">
        <w:rPr>
          <w:rFonts w:ascii="Calibri" w:hAnsi="Calibri" w:cs="Calibri"/>
          <w:sz w:val="22"/>
          <w:szCs w:val="22"/>
        </w:rPr>
        <w:t>am able to</w:t>
      </w:r>
      <w:proofErr w:type="gramEnd"/>
      <w:r w:rsidRPr="00EF16EB">
        <w:rPr>
          <w:rFonts w:ascii="Calibri" w:hAnsi="Calibri" w:cs="Calibri"/>
          <w:sz w:val="22"/>
          <w:szCs w:val="22"/>
        </w:rPr>
        <w:t xml:space="preserve"> articulate my ideas clearly. These strengths form a solid foundation on which I can build the final project plan, as clarity and confident communication are vital elements of successful project management practice.</w:t>
      </w:r>
    </w:p>
    <w:p w14:paraId="1B278052" w14:textId="77777777" w:rsidR="00EF16EB" w:rsidRPr="00EF16EB" w:rsidRDefault="00EF16EB" w:rsidP="00EF16EB">
      <w:pPr>
        <w:rPr>
          <w:rFonts w:ascii="Calibri" w:hAnsi="Calibri" w:cs="Calibri"/>
          <w:sz w:val="22"/>
          <w:szCs w:val="22"/>
        </w:rPr>
      </w:pPr>
      <w:r w:rsidRPr="00EF16EB">
        <w:rPr>
          <w:rFonts w:ascii="Calibri" w:hAnsi="Calibri" w:cs="Calibri"/>
          <w:sz w:val="22"/>
          <w:szCs w:val="22"/>
        </w:rPr>
        <w:t>Despite these positive aspects, the feedback also highlighted several areas for improvement. One of the most notable issues was the absence of an introduction. My poster began directly with project information, without providing contextual background or outlining the purpose and scope of the project. This omission limited the academic framing of my work. The feedback also highlighted a lack of academic underpinning, as I did not incorporate project management theories or models. Recognising this gap has made me aware of the need to integrate frameworks such as SMART objectives, the project life cycle, a triple constraint, and risk management models. Including these concepts will strengthen the analytical foundation of my final project plan and demonstrate engagement with academic literature.</w:t>
      </w:r>
    </w:p>
    <w:p w14:paraId="557297A3" w14:textId="77777777" w:rsidR="00EF16EB" w:rsidRPr="00EF16EB" w:rsidRDefault="00EF16EB" w:rsidP="00EF16EB">
      <w:pPr>
        <w:rPr>
          <w:rFonts w:ascii="Calibri" w:hAnsi="Calibri" w:cs="Calibri"/>
          <w:sz w:val="22"/>
          <w:szCs w:val="22"/>
        </w:rPr>
      </w:pPr>
      <w:r w:rsidRPr="00EF16EB">
        <w:rPr>
          <w:rFonts w:ascii="Calibri" w:hAnsi="Calibri" w:cs="Calibri"/>
          <w:sz w:val="22"/>
          <w:szCs w:val="22"/>
        </w:rPr>
        <w:t>In addition, the feedback noted the absence of essential project management tools. Although I identified stakeholders, I did not develop a stakeholder map using tools such as the power–interest grid, which is a fundamental component of project planning. Similarly, while I included a timeline, I did not present a Gantt chart to illustrate task sequencing, duration, or dependencies. These omissions decreased the methodological rigour of the poster. For the final plan, I will ensure that a detailed Gantt chart, stakeholder analysis, and a clear breakdown of project phases are incorporated to demonstrate a more profound understanding of project management processes.</w:t>
      </w:r>
    </w:p>
    <w:p w14:paraId="28303DDB" w14:textId="77777777" w:rsidR="00EF16EB" w:rsidRPr="00EF16EB" w:rsidRDefault="00EF16EB" w:rsidP="00EF16EB">
      <w:pPr>
        <w:rPr>
          <w:rFonts w:ascii="Calibri" w:hAnsi="Calibri" w:cs="Calibri"/>
          <w:sz w:val="22"/>
          <w:szCs w:val="22"/>
        </w:rPr>
      </w:pPr>
      <w:r w:rsidRPr="00EF16EB">
        <w:rPr>
          <w:rFonts w:ascii="Calibri" w:hAnsi="Calibri" w:cs="Calibri"/>
          <w:sz w:val="22"/>
          <w:szCs w:val="22"/>
        </w:rPr>
        <w:t xml:space="preserve">The absence of in-text citations raised another critical point. While I included references at the end of the poster, I did not follow academic conventions by citing sources within the content itself. This </w:t>
      </w:r>
      <w:r w:rsidRPr="00EF16EB">
        <w:rPr>
          <w:rFonts w:ascii="Calibri" w:hAnsi="Calibri" w:cs="Calibri"/>
          <w:sz w:val="22"/>
          <w:szCs w:val="22"/>
        </w:rPr>
        <w:lastRenderedPageBreak/>
        <w:t>affected the credibility and academic quality of the work. In the final project plan, I will ensure that all theoretical concepts and project decisions are supported with appropriate citations from credible sources.</w:t>
      </w:r>
    </w:p>
    <w:p w14:paraId="5DC1B4C7" w14:textId="77777777" w:rsidR="00EF16EB" w:rsidRPr="00EF16EB" w:rsidRDefault="00EF16EB" w:rsidP="00EF16EB">
      <w:pPr>
        <w:rPr>
          <w:rFonts w:ascii="Calibri" w:hAnsi="Calibri" w:cs="Calibri"/>
          <w:sz w:val="22"/>
          <w:szCs w:val="22"/>
        </w:rPr>
      </w:pPr>
      <w:r w:rsidRPr="00EF16EB">
        <w:rPr>
          <w:rFonts w:ascii="Calibri" w:hAnsi="Calibri" w:cs="Calibri"/>
          <w:sz w:val="22"/>
          <w:szCs w:val="22"/>
        </w:rPr>
        <w:t>Finally, peer feedback indicated that the image I selected did not represent the impact of the floods. This was a valuable observation, and I will replace it with a more relevant and contextually appropriate image.</w:t>
      </w:r>
    </w:p>
    <w:p w14:paraId="2B56F85E" w14:textId="6B41154D" w:rsidR="00D36523" w:rsidRPr="00D36523" w:rsidRDefault="00EF16EB" w:rsidP="00EF16EB">
      <w:pPr>
        <w:rPr>
          <w:rFonts w:ascii="Calibri" w:hAnsi="Calibri" w:cs="Calibri"/>
          <w:sz w:val="22"/>
          <w:szCs w:val="22"/>
        </w:rPr>
      </w:pPr>
      <w:r w:rsidRPr="00EF16EB">
        <w:rPr>
          <w:rFonts w:ascii="Calibri" w:hAnsi="Calibri" w:cs="Calibri"/>
          <w:sz w:val="22"/>
          <w:szCs w:val="22"/>
        </w:rPr>
        <w:t>Overall, the feedback has provided a clear direction for improvement. Moving forward, I will prioritise academic depth, include all required project management tools, enhance the analytical content, and ensure strict use of academic conventions. These improvements will significantly strengthen the quality of my final project plan.</w:t>
      </w:r>
    </w:p>
    <w:p w14:paraId="4E30B3A4" w14:textId="77777777" w:rsidR="00292464" w:rsidRDefault="00292464"/>
    <w:p w14:paraId="4067FC50" w14:textId="77777777" w:rsidR="00357F91" w:rsidRDefault="00357F91">
      <w:r>
        <w:br w:type="page"/>
      </w:r>
    </w:p>
    <w:p w14:paraId="3EF54234" w14:textId="6F4FCC52" w:rsidR="00357F91" w:rsidRPr="00B17444" w:rsidRDefault="00357F91" w:rsidP="00E15D6C">
      <w:pPr>
        <w:pStyle w:val="Heading1"/>
      </w:pPr>
      <w:bookmarkStart w:id="3" w:name="_Toc214622873"/>
      <w:r w:rsidRPr="00B17444">
        <w:lastRenderedPageBreak/>
        <w:t>Part C- Project Management Plan</w:t>
      </w:r>
      <w:bookmarkEnd w:id="3"/>
    </w:p>
    <w:p w14:paraId="384308F5" w14:textId="77777777" w:rsidR="00EF16EB" w:rsidRPr="00B17444" w:rsidRDefault="00EF16EB" w:rsidP="00E15D6C">
      <w:pPr>
        <w:pStyle w:val="Heading2"/>
      </w:pPr>
      <w:bookmarkStart w:id="4" w:name="_Toc214622874"/>
      <w:r w:rsidRPr="00B17444">
        <w:t>PROJECT MANAGEMENT PLAN: REOPENING OF HIGHWAY 5 (COQUIHALLA HIGHWAY)</w:t>
      </w:r>
      <w:bookmarkEnd w:id="4"/>
    </w:p>
    <w:p w14:paraId="7EBB7851" w14:textId="77777777" w:rsidR="00EF16EB" w:rsidRPr="00B17444" w:rsidRDefault="00EF16EB" w:rsidP="00B17444">
      <w:pPr>
        <w:rPr>
          <w:rFonts w:ascii="Calibri" w:hAnsi="Calibri" w:cs="Calibri"/>
          <w:sz w:val="22"/>
          <w:szCs w:val="22"/>
        </w:rPr>
      </w:pPr>
    </w:p>
    <w:p w14:paraId="7903A90B" w14:textId="29866DC4" w:rsidR="00EF16EB" w:rsidRPr="003A2FF4" w:rsidRDefault="00EF16EB" w:rsidP="00E15D6C">
      <w:pPr>
        <w:pStyle w:val="Heading3"/>
      </w:pPr>
      <w:bookmarkStart w:id="5" w:name="_Toc214622875"/>
      <w:r w:rsidRPr="003A2FF4">
        <w:t>Introduction</w:t>
      </w:r>
      <w:bookmarkEnd w:id="5"/>
    </w:p>
    <w:p w14:paraId="1C79014F" w14:textId="77777777" w:rsidR="00EF16EB" w:rsidRPr="00B17444" w:rsidRDefault="00EF16EB" w:rsidP="00B17444">
      <w:pPr>
        <w:rPr>
          <w:rFonts w:ascii="Calibri" w:hAnsi="Calibri" w:cs="Calibri"/>
          <w:sz w:val="22"/>
          <w:szCs w:val="22"/>
        </w:rPr>
      </w:pPr>
    </w:p>
    <w:p w14:paraId="69340658"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Effective project management is essential for the successful delivery of complex infrastructure reconstruction projects, particularly those undertaken in the aftermath of extreme natural disasters. High uncertainty, intense stakeholder involvement, accelerated timelines, and substantial financial commitments characterise such projects. Under these challenging conditions, a structured and academically grounded project management plan (PMP) provides the framework required to coordinate actions, support informed decision-making, manage risks, and ensure rebuilding efforts are executed efficiently, safely, and in alignment with strategic objectives.</w:t>
      </w:r>
    </w:p>
    <w:p w14:paraId="0BE44539" w14:textId="77777777" w:rsidR="00EF16EB" w:rsidRPr="00B17444" w:rsidRDefault="00EF16EB" w:rsidP="00B17444">
      <w:pPr>
        <w:rPr>
          <w:rFonts w:ascii="Calibri" w:hAnsi="Calibri" w:cs="Calibri"/>
          <w:sz w:val="22"/>
          <w:szCs w:val="22"/>
        </w:rPr>
      </w:pPr>
    </w:p>
    <w:p w14:paraId="4F405AB9"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The reopening of Highway 5 (Coquihalla Highway) following the devastating British Columbia floods of 2022 exemplifies such a complex and time-sensitive undertaking. According to the project poster (2025), the extreme weather event caused extensive structural damage, including multiple bridge collapses, washed-out asphalt surfaces, unstable slopes, and heavily eroded road foundations. This level of destruction severed the primary transportation link between British Columbia’s Lower Mainland and the interior regions, resulting in significant socio-economic impacts, including severe supply chain disruptions, restricted community mobility, delayed emergency response, and large-scale commercial losses. The magnitude and multidimensional consequences of the disaster make it imperative to adopt a comprehensive, academically informed project management approach.</w:t>
      </w:r>
    </w:p>
    <w:p w14:paraId="72E53BD4" w14:textId="77777777" w:rsidR="00EF16EB" w:rsidRPr="00B17444" w:rsidRDefault="00EF16EB" w:rsidP="00B17444">
      <w:pPr>
        <w:rPr>
          <w:rFonts w:ascii="Calibri" w:hAnsi="Calibri" w:cs="Calibri"/>
          <w:sz w:val="22"/>
          <w:szCs w:val="22"/>
        </w:rPr>
      </w:pPr>
    </w:p>
    <w:p w14:paraId="5F351EF0"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This PMP applies established theoretical frameworks, including the Project Management Institute’s PMBOK (PMI, 2021), Turner’s (2014) principles of project governance, Kerzner’s (2017) systems-based management methods, and Freeman’s (1984) stakeholder theory. Collectively, these models offer a structured methodology for breaking down tasks, coordinating resources, assessing risks, and aligning diverse stakeholder expectations. Their application ensures that the reconstruction project adheres to internationally recognised best practices.</w:t>
      </w:r>
    </w:p>
    <w:p w14:paraId="13F0BED2" w14:textId="77777777" w:rsidR="00EF16EB" w:rsidRPr="00B17444" w:rsidRDefault="00EF16EB" w:rsidP="00B17444">
      <w:pPr>
        <w:rPr>
          <w:rFonts w:ascii="Calibri" w:hAnsi="Calibri" w:cs="Calibri"/>
          <w:sz w:val="22"/>
          <w:szCs w:val="22"/>
        </w:rPr>
      </w:pPr>
    </w:p>
    <w:p w14:paraId="15D54BC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lastRenderedPageBreak/>
        <w:t>The purpose of this document is to present a complete Project Management Plan that translates the insights from the original project poster (Project Poster, 2025) into an academically structured and operationally actionable plan. This expanded PMP addresses tutor and peer feedback, particularly the need to strengthen academic underpinning, introduce project management tools (e.g., Gantt chart, stakeholder analysis grid), incorporate in-text citations, and provide deeper analytical content.</w:t>
      </w:r>
    </w:p>
    <w:p w14:paraId="32C87100" w14:textId="77777777" w:rsidR="00EF16EB" w:rsidRPr="00B17444" w:rsidRDefault="00EF16EB" w:rsidP="00B17444">
      <w:pPr>
        <w:rPr>
          <w:rFonts w:ascii="Calibri" w:hAnsi="Calibri" w:cs="Calibri"/>
          <w:sz w:val="22"/>
          <w:szCs w:val="22"/>
        </w:rPr>
      </w:pPr>
    </w:p>
    <w:p w14:paraId="4EA3DBD3"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Additionally, the PMP situates the reconstruction within the broader context of environmental resilience. Climate change has intensified the frequency and severity of extreme weather disasters, requiring modern infrastructure to be more adaptive and durable. Transport Canada (2022) highlights the importance of climate resilience engineering, sustainable construction, and proactive risk management. By integrating these principles, the reconstruction becomes both a recovery effort and a long-term strategy for strengthening regional resilience.</w:t>
      </w:r>
    </w:p>
    <w:p w14:paraId="7F350AC9" w14:textId="77777777" w:rsidR="00EF16EB" w:rsidRPr="00B17444" w:rsidRDefault="00EF16EB" w:rsidP="00B17444">
      <w:pPr>
        <w:rPr>
          <w:rFonts w:ascii="Calibri" w:hAnsi="Calibri" w:cs="Calibri"/>
          <w:sz w:val="22"/>
          <w:szCs w:val="22"/>
        </w:rPr>
      </w:pPr>
    </w:p>
    <w:p w14:paraId="30EBB8C2"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In summary, this introduction establishes a strategic, environmental and methodological foundation for the PMP. It stresses how important it is to have a structured, academically supported project management approach and sets the stage for the detailed analysis that follows.</w:t>
      </w:r>
    </w:p>
    <w:p w14:paraId="5F21156F" w14:textId="77777777" w:rsidR="003A2FF4" w:rsidRDefault="003A2FF4" w:rsidP="00B17444">
      <w:pPr>
        <w:rPr>
          <w:rFonts w:ascii="Calibri" w:hAnsi="Calibri" w:cs="Calibri"/>
          <w:sz w:val="22"/>
          <w:szCs w:val="22"/>
        </w:rPr>
      </w:pPr>
    </w:p>
    <w:p w14:paraId="660E59B9" w14:textId="15DD1FFE" w:rsidR="00EF16EB" w:rsidRPr="003A2FF4" w:rsidRDefault="00EF16EB" w:rsidP="00E15D6C">
      <w:pPr>
        <w:pStyle w:val="Heading1"/>
      </w:pPr>
      <w:bookmarkStart w:id="6" w:name="_Toc214622876"/>
      <w:r w:rsidRPr="003A2FF4">
        <w:t>Project Description</w:t>
      </w:r>
      <w:bookmarkEnd w:id="6"/>
    </w:p>
    <w:p w14:paraId="4F94F695" w14:textId="77777777" w:rsidR="00EF16EB" w:rsidRPr="00B17444" w:rsidRDefault="00EF16EB" w:rsidP="00B17444">
      <w:pPr>
        <w:rPr>
          <w:rFonts w:ascii="Calibri" w:hAnsi="Calibri" w:cs="Calibri"/>
          <w:sz w:val="22"/>
          <w:szCs w:val="22"/>
        </w:rPr>
      </w:pPr>
    </w:p>
    <w:p w14:paraId="20C48CF2"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The Highway 5 (Coquihalla Highway) reconstruction project aims to fully restore the route’s operational capacity following catastrophic flood damage in 2022. According to the project poster (2025), the floods destroyed several critical structural components, including bridges, retaining walls, drainage systems, slopes, and paved surfaces. Rapid water flow accelerated erosion and scouring, destabilising roadbeds and causing multiple points of failure. As a result, the highway was rendered impassable, creating extensive logistical and economic challenges across the province.</w:t>
      </w:r>
    </w:p>
    <w:p w14:paraId="2F5FD916" w14:textId="77777777" w:rsidR="00EF16EB" w:rsidRPr="00B17444" w:rsidRDefault="00EF16EB" w:rsidP="00B17444">
      <w:pPr>
        <w:rPr>
          <w:rFonts w:ascii="Calibri" w:hAnsi="Calibri" w:cs="Calibri"/>
          <w:sz w:val="22"/>
          <w:szCs w:val="22"/>
        </w:rPr>
      </w:pPr>
    </w:p>
    <w:p w14:paraId="0B17EB2D"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Highway 5 is one of Canada’s most essential trade and transportation corridors, supporting billions in freight movement each year. It's closure significantly disrupted agricultural distribution, commercial logistics, retail supply chains, and community access. Given the highway’s strategic importance, the reconstruction project serves not only as a technical repair initiative but also as a socio-economic recovery mechanism. Timely restoration is vital for re-establishing regional mobility, stabilising supply chains, and strengthening long-term resilience.</w:t>
      </w:r>
    </w:p>
    <w:p w14:paraId="2FA5CA15" w14:textId="77777777" w:rsidR="00EF16EB" w:rsidRPr="00B17444" w:rsidRDefault="00EF16EB" w:rsidP="00B17444">
      <w:pPr>
        <w:rPr>
          <w:rFonts w:ascii="Calibri" w:hAnsi="Calibri" w:cs="Calibri"/>
          <w:sz w:val="22"/>
          <w:szCs w:val="22"/>
        </w:rPr>
      </w:pPr>
    </w:p>
    <w:p w14:paraId="06464BF8"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lastRenderedPageBreak/>
        <w:t>Project Goal</w:t>
      </w:r>
    </w:p>
    <w:p w14:paraId="51DD0F62" w14:textId="77777777" w:rsidR="00EF16EB" w:rsidRPr="00B17444" w:rsidRDefault="00EF16EB" w:rsidP="00B17444">
      <w:pPr>
        <w:rPr>
          <w:rFonts w:ascii="Calibri" w:hAnsi="Calibri" w:cs="Calibri"/>
          <w:sz w:val="22"/>
          <w:szCs w:val="22"/>
        </w:rPr>
      </w:pPr>
    </w:p>
    <w:p w14:paraId="28A3F579"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The primary goal is to reconstruct all damaged segments of Highway 5 to ensure safety, functionality, and climate resilience. This includes modernising engineering solutions, reinforcing slopes and drainage systems, improving road durability, and implementing sustainable construction methods consistent with national resilience guidelines (Transport Canada, 2022).</w:t>
      </w:r>
    </w:p>
    <w:p w14:paraId="350CF8C0" w14:textId="77777777" w:rsidR="00EF16EB" w:rsidRPr="00B17444" w:rsidRDefault="00EF16EB" w:rsidP="00B17444">
      <w:pPr>
        <w:rPr>
          <w:rFonts w:ascii="Calibri" w:hAnsi="Calibri" w:cs="Calibri"/>
          <w:sz w:val="22"/>
          <w:szCs w:val="22"/>
        </w:rPr>
      </w:pPr>
    </w:p>
    <w:p w14:paraId="4DAFB6C4"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Project Life Cycle (PMBOK Framework)</w:t>
      </w:r>
    </w:p>
    <w:p w14:paraId="69034EF3" w14:textId="77777777" w:rsidR="00EF16EB" w:rsidRPr="00B17444" w:rsidRDefault="00EF16EB" w:rsidP="00B17444">
      <w:pPr>
        <w:rPr>
          <w:rFonts w:ascii="Calibri" w:hAnsi="Calibri" w:cs="Calibri"/>
          <w:sz w:val="22"/>
          <w:szCs w:val="22"/>
        </w:rPr>
      </w:pPr>
    </w:p>
    <w:p w14:paraId="3EF8A0A3"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This PMP follows the five-phase project life cycle outlined by PMI (2021):</w:t>
      </w:r>
    </w:p>
    <w:p w14:paraId="5F26F5C5" w14:textId="77777777" w:rsidR="003A2FF4" w:rsidRDefault="003A2FF4" w:rsidP="00B17444">
      <w:pPr>
        <w:rPr>
          <w:rFonts w:ascii="Calibri" w:hAnsi="Calibri" w:cs="Calibri"/>
          <w:sz w:val="22"/>
          <w:szCs w:val="22"/>
        </w:rPr>
      </w:pPr>
    </w:p>
    <w:p w14:paraId="1B3AB80D" w14:textId="15C5C518" w:rsidR="00EF16EB" w:rsidRPr="00B17444" w:rsidRDefault="00EF16EB" w:rsidP="00B17444">
      <w:pPr>
        <w:rPr>
          <w:rFonts w:ascii="Calibri" w:hAnsi="Calibri" w:cs="Calibri"/>
          <w:sz w:val="22"/>
          <w:szCs w:val="22"/>
        </w:rPr>
      </w:pPr>
      <w:r w:rsidRPr="00B17444">
        <w:rPr>
          <w:rFonts w:ascii="Calibri" w:hAnsi="Calibri" w:cs="Calibri"/>
          <w:sz w:val="22"/>
          <w:szCs w:val="22"/>
        </w:rPr>
        <w:t xml:space="preserve"> Initiation</w:t>
      </w:r>
    </w:p>
    <w:p w14:paraId="77C61931" w14:textId="74E5B0CF" w:rsidR="00EF16EB" w:rsidRPr="00B17444" w:rsidRDefault="00EF16EB" w:rsidP="00B17444">
      <w:pPr>
        <w:rPr>
          <w:rFonts w:ascii="Calibri" w:hAnsi="Calibri" w:cs="Calibri"/>
          <w:sz w:val="22"/>
          <w:szCs w:val="22"/>
        </w:rPr>
      </w:pPr>
      <w:r w:rsidRPr="00B17444">
        <w:rPr>
          <w:rFonts w:ascii="Calibri" w:hAnsi="Calibri" w:cs="Calibri"/>
          <w:sz w:val="22"/>
          <w:szCs w:val="22"/>
        </w:rPr>
        <w:t>Conduct damage and feasibility assessments</w:t>
      </w:r>
    </w:p>
    <w:p w14:paraId="09CA50F2" w14:textId="2ABCE345" w:rsidR="00EF16EB" w:rsidRPr="00B17444" w:rsidRDefault="00EF16EB" w:rsidP="00B17444">
      <w:pPr>
        <w:rPr>
          <w:rFonts w:ascii="Calibri" w:hAnsi="Calibri" w:cs="Calibri"/>
          <w:sz w:val="22"/>
          <w:szCs w:val="22"/>
        </w:rPr>
      </w:pPr>
      <w:r w:rsidRPr="00B17444">
        <w:rPr>
          <w:rFonts w:ascii="Calibri" w:hAnsi="Calibri" w:cs="Calibri"/>
          <w:sz w:val="22"/>
          <w:szCs w:val="22"/>
        </w:rPr>
        <w:t>Identify project objectives and stakeholder groups</w:t>
      </w:r>
    </w:p>
    <w:p w14:paraId="31901C2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Establish project governance and obtain authorisation.</w:t>
      </w:r>
    </w:p>
    <w:p w14:paraId="0094952E" w14:textId="77777777" w:rsidR="00EF16EB" w:rsidRPr="00B17444" w:rsidRDefault="00EF16EB" w:rsidP="00B17444">
      <w:pPr>
        <w:rPr>
          <w:rFonts w:ascii="Calibri" w:hAnsi="Calibri" w:cs="Calibri"/>
          <w:sz w:val="22"/>
          <w:szCs w:val="22"/>
        </w:rPr>
      </w:pPr>
    </w:p>
    <w:p w14:paraId="439AAF55" w14:textId="70BB6028" w:rsidR="00EF16EB" w:rsidRPr="00B17444" w:rsidRDefault="00EF16EB" w:rsidP="00B17444">
      <w:pPr>
        <w:rPr>
          <w:rFonts w:ascii="Calibri" w:hAnsi="Calibri" w:cs="Calibri"/>
          <w:sz w:val="22"/>
          <w:szCs w:val="22"/>
        </w:rPr>
      </w:pPr>
      <w:r w:rsidRPr="00B17444">
        <w:rPr>
          <w:rFonts w:ascii="Calibri" w:hAnsi="Calibri" w:cs="Calibri"/>
          <w:sz w:val="22"/>
          <w:szCs w:val="22"/>
        </w:rPr>
        <w:t>Planning</w:t>
      </w:r>
    </w:p>
    <w:p w14:paraId="2D06A6EC" w14:textId="52F5D1B1" w:rsidR="00EF16EB" w:rsidRPr="00B17444" w:rsidRDefault="00EF16EB" w:rsidP="00B17444">
      <w:pPr>
        <w:rPr>
          <w:rFonts w:ascii="Calibri" w:hAnsi="Calibri" w:cs="Calibri"/>
          <w:sz w:val="22"/>
          <w:szCs w:val="22"/>
        </w:rPr>
      </w:pPr>
      <w:r w:rsidRPr="00B17444">
        <w:rPr>
          <w:rFonts w:ascii="Calibri" w:hAnsi="Calibri" w:cs="Calibri"/>
          <w:sz w:val="22"/>
          <w:szCs w:val="22"/>
        </w:rPr>
        <w:t>Define scope and deliverables</w:t>
      </w:r>
    </w:p>
    <w:p w14:paraId="0BE4D181" w14:textId="3B7A615F" w:rsidR="00EF16EB" w:rsidRPr="00B17444" w:rsidRDefault="00EF16EB" w:rsidP="00B17444">
      <w:pPr>
        <w:rPr>
          <w:rFonts w:ascii="Calibri" w:hAnsi="Calibri" w:cs="Calibri"/>
          <w:sz w:val="22"/>
          <w:szCs w:val="22"/>
        </w:rPr>
      </w:pPr>
      <w:r w:rsidRPr="00B17444">
        <w:rPr>
          <w:rFonts w:ascii="Calibri" w:hAnsi="Calibri" w:cs="Calibri"/>
          <w:sz w:val="22"/>
          <w:szCs w:val="22"/>
        </w:rPr>
        <w:t>D</w:t>
      </w:r>
      <w:r w:rsidR="00B17444">
        <w:rPr>
          <w:rFonts w:ascii="Calibri" w:hAnsi="Calibri" w:cs="Calibri"/>
          <w:sz w:val="22"/>
          <w:szCs w:val="22"/>
        </w:rPr>
        <w:t>e</w:t>
      </w:r>
      <w:r w:rsidRPr="00B17444">
        <w:rPr>
          <w:rFonts w:ascii="Calibri" w:hAnsi="Calibri" w:cs="Calibri"/>
          <w:sz w:val="22"/>
          <w:szCs w:val="22"/>
        </w:rPr>
        <w:t>velop a WBS and a Gantt chart.</w:t>
      </w:r>
    </w:p>
    <w:p w14:paraId="5C6640B2" w14:textId="60F64CD5" w:rsidR="00EF16EB" w:rsidRPr="00B17444" w:rsidRDefault="00EF16EB" w:rsidP="00B17444">
      <w:pPr>
        <w:rPr>
          <w:rFonts w:ascii="Calibri" w:hAnsi="Calibri" w:cs="Calibri"/>
          <w:sz w:val="22"/>
          <w:szCs w:val="22"/>
        </w:rPr>
      </w:pPr>
      <w:r w:rsidRPr="00B17444">
        <w:rPr>
          <w:rFonts w:ascii="Calibri" w:hAnsi="Calibri" w:cs="Calibri"/>
          <w:sz w:val="22"/>
          <w:szCs w:val="22"/>
        </w:rPr>
        <w:t>Prepare communication, procurement, risk and resource plans.</w:t>
      </w:r>
    </w:p>
    <w:p w14:paraId="59CCC7DA"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Engage environmental regulators</w:t>
      </w:r>
    </w:p>
    <w:p w14:paraId="201BD236" w14:textId="77777777" w:rsidR="00EF16EB" w:rsidRPr="00B17444" w:rsidRDefault="00EF16EB" w:rsidP="00B17444">
      <w:pPr>
        <w:rPr>
          <w:rFonts w:ascii="Calibri" w:hAnsi="Calibri" w:cs="Calibri"/>
          <w:sz w:val="22"/>
          <w:szCs w:val="22"/>
        </w:rPr>
      </w:pPr>
    </w:p>
    <w:p w14:paraId="07E1B75E" w14:textId="0333C4FF" w:rsidR="00EF16EB" w:rsidRPr="00B17444" w:rsidRDefault="00EF16EB" w:rsidP="00B17444">
      <w:pPr>
        <w:rPr>
          <w:rFonts w:ascii="Calibri" w:hAnsi="Calibri" w:cs="Calibri"/>
          <w:sz w:val="22"/>
          <w:szCs w:val="22"/>
        </w:rPr>
      </w:pPr>
      <w:r w:rsidRPr="00B17444">
        <w:rPr>
          <w:rFonts w:ascii="Calibri" w:hAnsi="Calibri" w:cs="Calibri"/>
          <w:sz w:val="22"/>
          <w:szCs w:val="22"/>
        </w:rPr>
        <w:t>Execution</w:t>
      </w:r>
    </w:p>
    <w:p w14:paraId="172E0183" w14:textId="4AFD740D" w:rsidR="00EF16EB" w:rsidRPr="00B17444" w:rsidRDefault="00EF16EB" w:rsidP="00B17444">
      <w:pPr>
        <w:rPr>
          <w:rFonts w:ascii="Calibri" w:hAnsi="Calibri" w:cs="Calibri"/>
          <w:sz w:val="22"/>
          <w:szCs w:val="22"/>
        </w:rPr>
      </w:pPr>
      <w:r w:rsidRPr="00B17444">
        <w:rPr>
          <w:rFonts w:ascii="Calibri" w:hAnsi="Calibri" w:cs="Calibri"/>
          <w:sz w:val="22"/>
          <w:szCs w:val="22"/>
        </w:rPr>
        <w:t>Rebuild bridges and roads</w:t>
      </w:r>
    </w:p>
    <w:p w14:paraId="64B86A80" w14:textId="7859EAB7" w:rsidR="00EF16EB" w:rsidRPr="00B17444" w:rsidRDefault="00EF16EB" w:rsidP="00B17444">
      <w:pPr>
        <w:rPr>
          <w:rFonts w:ascii="Calibri" w:hAnsi="Calibri" w:cs="Calibri"/>
          <w:sz w:val="22"/>
          <w:szCs w:val="22"/>
        </w:rPr>
      </w:pPr>
      <w:r w:rsidRPr="00B17444">
        <w:rPr>
          <w:rFonts w:ascii="Calibri" w:hAnsi="Calibri" w:cs="Calibri"/>
          <w:sz w:val="22"/>
          <w:szCs w:val="22"/>
        </w:rPr>
        <w:t>Install drainage and slope-stabilising systems.</w:t>
      </w:r>
    </w:p>
    <w:p w14:paraId="11DAAE7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Manage labour, contractors, and site operations.</w:t>
      </w:r>
    </w:p>
    <w:p w14:paraId="0D637EF2" w14:textId="77777777" w:rsidR="00EF16EB" w:rsidRPr="00B17444" w:rsidRDefault="00EF16EB" w:rsidP="00B17444">
      <w:pPr>
        <w:rPr>
          <w:rFonts w:ascii="Calibri" w:hAnsi="Calibri" w:cs="Calibri"/>
          <w:sz w:val="22"/>
          <w:szCs w:val="22"/>
        </w:rPr>
      </w:pPr>
    </w:p>
    <w:p w14:paraId="2F91F47B" w14:textId="2CC6D942" w:rsidR="00EF16EB" w:rsidRPr="00B17444" w:rsidRDefault="00EF16EB" w:rsidP="00B17444">
      <w:pPr>
        <w:rPr>
          <w:rFonts w:ascii="Calibri" w:hAnsi="Calibri" w:cs="Calibri"/>
          <w:sz w:val="22"/>
          <w:szCs w:val="22"/>
        </w:rPr>
      </w:pPr>
      <w:r w:rsidRPr="00B17444">
        <w:rPr>
          <w:rFonts w:ascii="Calibri" w:hAnsi="Calibri" w:cs="Calibri"/>
          <w:sz w:val="22"/>
          <w:szCs w:val="22"/>
        </w:rPr>
        <w:t>Monitoring and controlling.</w:t>
      </w:r>
    </w:p>
    <w:p w14:paraId="5DF21241" w14:textId="6D087A76" w:rsidR="00EF16EB" w:rsidRPr="00B17444" w:rsidRDefault="00EF16EB" w:rsidP="00B17444">
      <w:pPr>
        <w:rPr>
          <w:rFonts w:ascii="Calibri" w:hAnsi="Calibri" w:cs="Calibri"/>
          <w:sz w:val="22"/>
          <w:szCs w:val="22"/>
        </w:rPr>
      </w:pPr>
      <w:r w:rsidRPr="00B17444">
        <w:rPr>
          <w:rFonts w:ascii="Calibri" w:hAnsi="Calibri" w:cs="Calibri"/>
          <w:sz w:val="22"/>
          <w:szCs w:val="22"/>
        </w:rPr>
        <w:t>Use EVM and dashboards to track progress</w:t>
      </w:r>
    </w:p>
    <w:p w14:paraId="6BA67F9F" w14:textId="794EFE98" w:rsidR="00EF16EB" w:rsidRPr="00B17444" w:rsidRDefault="00EF16EB" w:rsidP="00B17444">
      <w:pPr>
        <w:rPr>
          <w:rFonts w:ascii="Calibri" w:hAnsi="Calibri" w:cs="Calibri"/>
          <w:sz w:val="22"/>
          <w:szCs w:val="22"/>
        </w:rPr>
      </w:pPr>
      <w:r w:rsidRPr="00B17444">
        <w:rPr>
          <w:rFonts w:ascii="Calibri" w:hAnsi="Calibri" w:cs="Calibri"/>
          <w:sz w:val="22"/>
          <w:szCs w:val="22"/>
        </w:rPr>
        <w:t>Review risk, cost, and schedule performance.</w:t>
      </w:r>
    </w:p>
    <w:p w14:paraId="6D7AD47F"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Maintain communication with key stakeholders</w:t>
      </w:r>
    </w:p>
    <w:p w14:paraId="1C36EEF8" w14:textId="77777777" w:rsidR="00EF16EB" w:rsidRPr="00B17444" w:rsidRDefault="00EF16EB" w:rsidP="00B17444">
      <w:pPr>
        <w:rPr>
          <w:rFonts w:ascii="Calibri" w:hAnsi="Calibri" w:cs="Calibri"/>
          <w:sz w:val="22"/>
          <w:szCs w:val="22"/>
        </w:rPr>
      </w:pPr>
    </w:p>
    <w:p w14:paraId="027A6A0D" w14:textId="54CA6BA3" w:rsidR="00EF16EB" w:rsidRPr="00B17444" w:rsidRDefault="00EF16EB" w:rsidP="00B17444">
      <w:pPr>
        <w:rPr>
          <w:rFonts w:ascii="Calibri" w:hAnsi="Calibri" w:cs="Calibri"/>
          <w:sz w:val="22"/>
          <w:szCs w:val="22"/>
        </w:rPr>
      </w:pPr>
      <w:r w:rsidRPr="00B17444">
        <w:rPr>
          <w:rFonts w:ascii="Calibri" w:hAnsi="Calibri" w:cs="Calibri"/>
          <w:sz w:val="22"/>
          <w:szCs w:val="22"/>
        </w:rPr>
        <w:t>Closure</w:t>
      </w:r>
    </w:p>
    <w:p w14:paraId="415B2E17"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Conduct final inspections and certifications</w:t>
      </w:r>
    </w:p>
    <w:p w14:paraId="6ECBD4F4"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lastRenderedPageBreak/>
        <w:t>Complete handover processes</w:t>
      </w:r>
    </w:p>
    <w:p w14:paraId="51BACC2A"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Document lessons learnt.</w:t>
      </w:r>
    </w:p>
    <w:p w14:paraId="60F18806" w14:textId="77777777" w:rsidR="00B17444" w:rsidRDefault="00EF16EB" w:rsidP="00B17444">
      <w:pPr>
        <w:rPr>
          <w:rFonts w:ascii="Calibri" w:hAnsi="Calibri" w:cs="Calibri"/>
          <w:sz w:val="22"/>
          <w:szCs w:val="22"/>
        </w:rPr>
      </w:pPr>
      <w:r w:rsidRPr="00B17444">
        <w:rPr>
          <w:rFonts w:ascii="Calibri" w:hAnsi="Calibri" w:cs="Calibri"/>
          <w:sz w:val="22"/>
          <w:szCs w:val="22"/>
        </w:rPr>
        <w:t>The project is scheduled for completion within 12 months (January–December 2023) at an estimated cost of CAD $1.2 billion (Project Poster, 2025).</w:t>
      </w:r>
    </w:p>
    <w:p w14:paraId="4A439EEE" w14:textId="0CA9B157" w:rsidR="00EF16EB" w:rsidRPr="003A2FF4" w:rsidRDefault="00EF16EB" w:rsidP="00B17444">
      <w:pPr>
        <w:rPr>
          <w:rFonts w:ascii="Calibri" w:hAnsi="Calibri" w:cs="Calibri"/>
          <w:b/>
          <w:bCs/>
          <w:sz w:val="22"/>
          <w:szCs w:val="22"/>
        </w:rPr>
      </w:pPr>
      <w:r w:rsidRPr="003A2FF4">
        <w:rPr>
          <w:rFonts w:ascii="Calibri" w:hAnsi="Calibri" w:cs="Calibri"/>
          <w:b/>
          <w:bCs/>
          <w:sz w:val="22"/>
          <w:szCs w:val="22"/>
        </w:rPr>
        <w:t>Project Scope</w:t>
      </w:r>
    </w:p>
    <w:p w14:paraId="4ECABE17" w14:textId="7720F409" w:rsidR="00EF16EB" w:rsidRPr="00B17444" w:rsidRDefault="00EF16EB" w:rsidP="00B17444">
      <w:pPr>
        <w:rPr>
          <w:rFonts w:ascii="Calibri" w:hAnsi="Calibri" w:cs="Calibri"/>
          <w:sz w:val="22"/>
          <w:szCs w:val="22"/>
        </w:rPr>
      </w:pPr>
      <w:r w:rsidRPr="00B17444">
        <w:rPr>
          <w:rFonts w:ascii="Calibri" w:hAnsi="Calibri" w:cs="Calibri"/>
          <w:sz w:val="22"/>
          <w:szCs w:val="22"/>
        </w:rPr>
        <w:t>Scope Statement</w:t>
      </w:r>
    </w:p>
    <w:p w14:paraId="52EB49A7" w14:textId="77777777" w:rsidR="00EF16EB" w:rsidRPr="00B17444" w:rsidRDefault="00EF16EB" w:rsidP="00B17444">
      <w:pPr>
        <w:rPr>
          <w:rFonts w:ascii="Calibri" w:hAnsi="Calibri" w:cs="Calibri"/>
          <w:sz w:val="22"/>
          <w:szCs w:val="22"/>
        </w:rPr>
      </w:pPr>
    </w:p>
    <w:p w14:paraId="2775689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The project covers all the technical, administrative, environmental, and stakeholder-oriented activities required to restore Highway 5 to full operational and climate-resilient functionality. This includes structural reconstruction, drainage upgrades, environmental compliance, stakeholder engagement, quality assurance, and final handover.</w:t>
      </w:r>
    </w:p>
    <w:p w14:paraId="5E39D898" w14:textId="77777777" w:rsidR="00EF16EB" w:rsidRPr="00B17444" w:rsidRDefault="00EF16EB" w:rsidP="00B17444">
      <w:pPr>
        <w:rPr>
          <w:rFonts w:ascii="Calibri" w:hAnsi="Calibri" w:cs="Calibri"/>
          <w:sz w:val="22"/>
          <w:szCs w:val="22"/>
        </w:rPr>
      </w:pPr>
    </w:p>
    <w:p w14:paraId="6C372F75" w14:textId="0469A59C" w:rsidR="00EF16EB" w:rsidRPr="00B17444" w:rsidRDefault="00EF16EB" w:rsidP="00B17444">
      <w:pPr>
        <w:rPr>
          <w:rFonts w:ascii="Calibri" w:hAnsi="Calibri" w:cs="Calibri"/>
          <w:sz w:val="22"/>
          <w:szCs w:val="22"/>
        </w:rPr>
      </w:pPr>
      <w:r w:rsidRPr="00B17444">
        <w:rPr>
          <w:rFonts w:ascii="Calibri" w:hAnsi="Calibri" w:cs="Calibri"/>
          <w:sz w:val="22"/>
          <w:szCs w:val="22"/>
        </w:rPr>
        <w:t>In-Scope Activities</w:t>
      </w:r>
    </w:p>
    <w:p w14:paraId="4238F043"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Geotechnical, hydrological and topographical assessments.</w:t>
      </w:r>
    </w:p>
    <w:p w14:paraId="0A8FF9E8"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Bridge reconstruction</w:t>
      </w:r>
    </w:p>
    <w:p w14:paraId="3BFBF103"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Roadbed and pavement reinforcement</w:t>
      </w:r>
    </w:p>
    <w:p w14:paraId="15A14A6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Drainage and erosion control upgrades</w:t>
      </w:r>
    </w:p>
    <w:p w14:paraId="12DDAE1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Material procurement and logistics</w:t>
      </w:r>
    </w:p>
    <w:p w14:paraId="1003523F"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Stakeholder consultation and community communication</w:t>
      </w:r>
    </w:p>
    <w:p w14:paraId="4A3B552B"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Traffic management planning</w:t>
      </w:r>
    </w:p>
    <w:p w14:paraId="19873746"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Quality inspections and testing</w:t>
      </w:r>
    </w:p>
    <w:p w14:paraId="240E54F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Environmental monitoring and compliance</w:t>
      </w:r>
    </w:p>
    <w:p w14:paraId="54DE0927" w14:textId="77777777" w:rsidR="00EF16EB" w:rsidRPr="00B17444" w:rsidRDefault="00EF16EB" w:rsidP="00B17444">
      <w:pPr>
        <w:rPr>
          <w:rFonts w:ascii="Calibri" w:hAnsi="Calibri" w:cs="Calibri"/>
          <w:sz w:val="22"/>
          <w:szCs w:val="22"/>
        </w:rPr>
      </w:pPr>
    </w:p>
    <w:p w14:paraId="65120850" w14:textId="64D09173" w:rsidR="00EF16EB" w:rsidRPr="00B17444" w:rsidRDefault="00EF16EB" w:rsidP="00B17444">
      <w:pPr>
        <w:rPr>
          <w:rFonts w:ascii="Calibri" w:hAnsi="Calibri" w:cs="Calibri"/>
          <w:sz w:val="22"/>
          <w:szCs w:val="22"/>
        </w:rPr>
      </w:pPr>
      <w:r w:rsidRPr="00B17444">
        <w:rPr>
          <w:rFonts w:ascii="Calibri" w:hAnsi="Calibri" w:cs="Calibri"/>
          <w:sz w:val="22"/>
          <w:szCs w:val="22"/>
        </w:rPr>
        <w:t>Out-of-Scope Activities</w:t>
      </w:r>
    </w:p>
    <w:p w14:paraId="1F093696"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Repairs to unrelated regional infrastructure</w:t>
      </w:r>
    </w:p>
    <w:p w14:paraId="21E4651F" w14:textId="2CFC3356" w:rsidR="00EF16EB" w:rsidRPr="00B17444" w:rsidRDefault="00EF16EB" w:rsidP="00B17444">
      <w:pPr>
        <w:rPr>
          <w:rFonts w:ascii="Calibri" w:hAnsi="Calibri" w:cs="Calibri"/>
          <w:sz w:val="22"/>
          <w:szCs w:val="22"/>
        </w:rPr>
      </w:pPr>
      <w:r w:rsidRPr="00B17444">
        <w:rPr>
          <w:rFonts w:ascii="Calibri" w:hAnsi="Calibri" w:cs="Calibri"/>
          <w:sz w:val="22"/>
          <w:szCs w:val="22"/>
        </w:rPr>
        <w:t>Post-project long-term maintenance</w:t>
      </w:r>
    </w:p>
    <w:p w14:paraId="520824F0"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Broader environmental restoration outside the corridor</w:t>
      </w:r>
    </w:p>
    <w:p w14:paraId="0900AFF3"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Legislative or policy reforms</w:t>
      </w:r>
    </w:p>
    <w:p w14:paraId="7A6AB266" w14:textId="77777777" w:rsidR="00EF16EB" w:rsidRPr="00B17444" w:rsidRDefault="00EF16EB" w:rsidP="00B17444">
      <w:pPr>
        <w:rPr>
          <w:rFonts w:ascii="Calibri" w:hAnsi="Calibri" w:cs="Calibri"/>
          <w:sz w:val="22"/>
          <w:szCs w:val="22"/>
        </w:rPr>
      </w:pPr>
    </w:p>
    <w:p w14:paraId="6A4AEAF0" w14:textId="433C1456" w:rsidR="00EF16EB" w:rsidRPr="00B17444" w:rsidRDefault="00EF16EB" w:rsidP="00B17444">
      <w:pPr>
        <w:rPr>
          <w:rFonts w:ascii="Calibri" w:hAnsi="Calibri" w:cs="Calibri"/>
          <w:sz w:val="22"/>
          <w:szCs w:val="22"/>
        </w:rPr>
      </w:pPr>
      <w:r w:rsidRPr="00B17444">
        <w:rPr>
          <w:rFonts w:ascii="Calibri" w:hAnsi="Calibri" w:cs="Calibri"/>
          <w:sz w:val="22"/>
          <w:szCs w:val="22"/>
        </w:rPr>
        <w:t>Assumptions</w:t>
      </w:r>
    </w:p>
    <w:p w14:paraId="0E15188D"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Weather will permit year-round construction</w:t>
      </w:r>
    </w:p>
    <w:p w14:paraId="60803A50" w14:textId="77777777" w:rsidR="00B17444" w:rsidRDefault="00EF16EB" w:rsidP="00B17444">
      <w:pPr>
        <w:rPr>
          <w:rFonts w:ascii="Calibri" w:hAnsi="Calibri" w:cs="Calibri"/>
          <w:sz w:val="22"/>
          <w:szCs w:val="22"/>
        </w:rPr>
      </w:pPr>
      <w:r w:rsidRPr="00B17444">
        <w:rPr>
          <w:rFonts w:ascii="Calibri" w:hAnsi="Calibri" w:cs="Calibri"/>
          <w:sz w:val="22"/>
          <w:szCs w:val="22"/>
        </w:rPr>
        <w:t>Funding will remain secured and uninterrupted.</w:t>
      </w:r>
    </w:p>
    <w:p w14:paraId="4C5DC2A0" w14:textId="519F1F4A" w:rsidR="00EF16EB" w:rsidRPr="00B17444" w:rsidRDefault="00EF16EB" w:rsidP="00B17444">
      <w:pPr>
        <w:rPr>
          <w:rFonts w:ascii="Calibri" w:hAnsi="Calibri" w:cs="Calibri"/>
          <w:sz w:val="22"/>
          <w:szCs w:val="22"/>
        </w:rPr>
      </w:pPr>
      <w:r w:rsidRPr="00B17444">
        <w:rPr>
          <w:rFonts w:ascii="Calibri" w:hAnsi="Calibri" w:cs="Calibri"/>
          <w:sz w:val="22"/>
          <w:szCs w:val="22"/>
        </w:rPr>
        <w:t>Materials will be available without severe shortages</w:t>
      </w:r>
    </w:p>
    <w:p w14:paraId="6FD00C22"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 xml:space="preserve">Adequate labour will be </w:t>
      </w:r>
      <w:proofErr w:type="gramStart"/>
      <w:r w:rsidRPr="00B17444">
        <w:rPr>
          <w:rFonts w:ascii="Calibri" w:hAnsi="Calibri" w:cs="Calibri"/>
          <w:sz w:val="22"/>
          <w:szCs w:val="22"/>
        </w:rPr>
        <w:t>available..</w:t>
      </w:r>
      <w:proofErr w:type="gramEnd"/>
    </w:p>
    <w:p w14:paraId="72AFFE4A"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lastRenderedPageBreak/>
        <w:t>Regulatory approvals will follow standard timelines.</w:t>
      </w:r>
    </w:p>
    <w:p w14:paraId="64BB5298" w14:textId="77777777" w:rsidR="00EF16EB" w:rsidRPr="00B17444" w:rsidRDefault="00EF16EB" w:rsidP="00B17444">
      <w:pPr>
        <w:rPr>
          <w:rFonts w:ascii="Calibri" w:hAnsi="Calibri" w:cs="Calibri"/>
          <w:sz w:val="22"/>
          <w:szCs w:val="22"/>
        </w:rPr>
      </w:pPr>
    </w:p>
    <w:p w14:paraId="5CE82481" w14:textId="77777777" w:rsidR="00B17444" w:rsidRDefault="00B17444" w:rsidP="00B17444">
      <w:pPr>
        <w:rPr>
          <w:rFonts w:ascii="Calibri" w:hAnsi="Calibri" w:cs="Calibri"/>
          <w:sz w:val="22"/>
          <w:szCs w:val="22"/>
        </w:rPr>
      </w:pPr>
    </w:p>
    <w:p w14:paraId="70B80034" w14:textId="77777777" w:rsidR="00B17444" w:rsidRDefault="00B17444" w:rsidP="00B17444">
      <w:pPr>
        <w:rPr>
          <w:rFonts w:ascii="Calibri" w:hAnsi="Calibri" w:cs="Calibri"/>
          <w:sz w:val="22"/>
          <w:szCs w:val="22"/>
        </w:rPr>
      </w:pPr>
    </w:p>
    <w:p w14:paraId="015C78D9" w14:textId="4B49F75A" w:rsidR="00EF16EB" w:rsidRPr="00B17444" w:rsidRDefault="00EF16EB" w:rsidP="00B17444">
      <w:pPr>
        <w:rPr>
          <w:rFonts w:ascii="Calibri" w:hAnsi="Calibri" w:cs="Calibri"/>
          <w:sz w:val="22"/>
          <w:szCs w:val="22"/>
        </w:rPr>
      </w:pPr>
      <w:r w:rsidRPr="00B17444">
        <w:rPr>
          <w:rFonts w:ascii="Calibri" w:hAnsi="Calibri" w:cs="Calibri"/>
          <w:sz w:val="22"/>
          <w:szCs w:val="22"/>
        </w:rPr>
        <w:t>Constraints</w:t>
      </w:r>
    </w:p>
    <w:p w14:paraId="6726B827"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Fixed CAD $1.2 billion budget</w:t>
      </w:r>
    </w:p>
    <w:p w14:paraId="6FFAF8BC"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Strict 12-month schedule</w:t>
      </w:r>
    </w:p>
    <w:p w14:paraId="5CC7F4FC"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Environmental legislation</w:t>
      </w:r>
    </w:p>
    <w:p w14:paraId="0737A2F1"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Limited access due to mountainous terrain</w:t>
      </w:r>
    </w:p>
    <w:p w14:paraId="7C72BB0F" w14:textId="77777777" w:rsidR="00EF16EB" w:rsidRPr="00B17444" w:rsidRDefault="00EF16EB" w:rsidP="00B17444">
      <w:pPr>
        <w:rPr>
          <w:rFonts w:ascii="Calibri" w:hAnsi="Calibri" w:cs="Calibri"/>
          <w:sz w:val="22"/>
          <w:szCs w:val="22"/>
        </w:rPr>
      </w:pPr>
    </w:p>
    <w:p w14:paraId="587F218A" w14:textId="6C11ED27" w:rsidR="00EF16EB" w:rsidRPr="003A2FF4" w:rsidRDefault="00EF16EB" w:rsidP="007A5A68">
      <w:pPr>
        <w:pStyle w:val="Heading1"/>
      </w:pPr>
      <w:bookmarkStart w:id="7" w:name="_Toc214622877"/>
      <w:r w:rsidRPr="003A2FF4">
        <w:t>Work Breakdown Structure (WBS)</w:t>
      </w:r>
      <w:bookmarkEnd w:id="7"/>
    </w:p>
    <w:p w14:paraId="203684F9" w14:textId="77777777" w:rsidR="00EF16EB" w:rsidRPr="00B17444" w:rsidRDefault="00EF16EB" w:rsidP="00B17444">
      <w:pPr>
        <w:rPr>
          <w:rFonts w:ascii="Calibri" w:hAnsi="Calibri" w:cs="Calibri"/>
          <w:sz w:val="22"/>
          <w:szCs w:val="22"/>
        </w:rPr>
      </w:pPr>
    </w:p>
    <w:p w14:paraId="66981620" w14:textId="17C75346" w:rsidR="00EF16EB" w:rsidRPr="00B17444" w:rsidRDefault="00EF16EB" w:rsidP="00B17444">
      <w:pPr>
        <w:rPr>
          <w:rFonts w:ascii="Calibri" w:hAnsi="Calibri" w:cs="Calibri"/>
          <w:sz w:val="22"/>
          <w:szCs w:val="22"/>
        </w:rPr>
      </w:pPr>
      <w:r w:rsidRPr="00B17444">
        <w:rPr>
          <w:rFonts w:ascii="Calibri" w:hAnsi="Calibri" w:cs="Calibri"/>
          <w:sz w:val="22"/>
          <w:szCs w:val="22"/>
        </w:rPr>
        <w:t>Justification</w:t>
      </w:r>
    </w:p>
    <w:p w14:paraId="7395C960" w14:textId="77777777" w:rsidR="00EF16EB" w:rsidRPr="00B17444" w:rsidRDefault="00EF16EB" w:rsidP="00B17444">
      <w:pPr>
        <w:rPr>
          <w:rFonts w:ascii="Calibri" w:hAnsi="Calibri" w:cs="Calibri"/>
          <w:sz w:val="22"/>
          <w:szCs w:val="22"/>
        </w:rPr>
      </w:pPr>
    </w:p>
    <w:p w14:paraId="545B5C76"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The WBS divides the project into hierarchical work packages, enabling clarity, cost estimation, schedule development and risk allocation (PMI, 2021). It expands the staged outline originally presented in the project poster (Project Poster, 2025).</w:t>
      </w:r>
    </w:p>
    <w:p w14:paraId="4FF70CFB" w14:textId="77777777" w:rsidR="00EF16EB" w:rsidRPr="00B17444" w:rsidRDefault="00EF16EB" w:rsidP="00B17444">
      <w:pPr>
        <w:rPr>
          <w:rFonts w:ascii="Calibri" w:hAnsi="Calibri" w:cs="Calibri"/>
          <w:sz w:val="22"/>
          <w:szCs w:val="22"/>
        </w:rPr>
      </w:pPr>
    </w:p>
    <w:p w14:paraId="53B9EB86"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WBS Level 1: Highway 5 Reconstruction</w:t>
      </w:r>
    </w:p>
    <w:p w14:paraId="1E8D5490" w14:textId="77777777" w:rsidR="00EF16EB" w:rsidRPr="00B17444" w:rsidRDefault="00EF16EB" w:rsidP="00B17444">
      <w:pPr>
        <w:rPr>
          <w:rFonts w:ascii="Calibri" w:hAnsi="Calibri" w:cs="Calibri"/>
          <w:sz w:val="22"/>
          <w:szCs w:val="22"/>
        </w:rPr>
      </w:pPr>
    </w:p>
    <w:p w14:paraId="2EF1ECD5" w14:textId="30B8E5AF" w:rsidR="00EF16EB" w:rsidRPr="00B17444" w:rsidRDefault="00EF16EB" w:rsidP="00B17444">
      <w:pPr>
        <w:rPr>
          <w:rFonts w:ascii="Calibri" w:hAnsi="Calibri" w:cs="Calibri"/>
          <w:sz w:val="22"/>
          <w:szCs w:val="22"/>
        </w:rPr>
      </w:pPr>
      <w:r w:rsidRPr="00B17444">
        <w:rPr>
          <w:rFonts w:ascii="Calibri" w:hAnsi="Calibri" w:cs="Calibri"/>
          <w:sz w:val="22"/>
          <w:szCs w:val="22"/>
        </w:rPr>
        <w:t>Initiation</w:t>
      </w:r>
    </w:p>
    <w:p w14:paraId="12177D06" w14:textId="63A383AC" w:rsidR="00EF16EB" w:rsidRPr="00B17444" w:rsidRDefault="00EF16EB" w:rsidP="00B17444">
      <w:pPr>
        <w:rPr>
          <w:rFonts w:ascii="Calibri" w:hAnsi="Calibri" w:cs="Calibri"/>
          <w:sz w:val="22"/>
          <w:szCs w:val="22"/>
        </w:rPr>
      </w:pPr>
      <w:r w:rsidRPr="00B17444">
        <w:rPr>
          <w:rFonts w:ascii="Calibri" w:hAnsi="Calibri" w:cs="Calibri"/>
          <w:sz w:val="22"/>
          <w:szCs w:val="22"/>
        </w:rPr>
        <w:t>Develop a project charter.</w:t>
      </w:r>
    </w:p>
    <w:p w14:paraId="2A241A42" w14:textId="7A1E85B6" w:rsidR="00EF16EB" w:rsidRPr="00B17444" w:rsidRDefault="00EF16EB" w:rsidP="00B17444">
      <w:pPr>
        <w:rPr>
          <w:rFonts w:ascii="Calibri" w:hAnsi="Calibri" w:cs="Calibri"/>
          <w:sz w:val="22"/>
          <w:szCs w:val="22"/>
        </w:rPr>
      </w:pPr>
      <w:r w:rsidRPr="00B17444">
        <w:rPr>
          <w:rFonts w:ascii="Calibri" w:hAnsi="Calibri" w:cs="Calibri"/>
          <w:sz w:val="22"/>
          <w:szCs w:val="22"/>
        </w:rPr>
        <w:t>Identify stakeholders</w:t>
      </w:r>
    </w:p>
    <w:p w14:paraId="46102FF7" w14:textId="0633A104" w:rsidR="00EF16EB" w:rsidRPr="00B17444" w:rsidRDefault="00EF16EB" w:rsidP="00B17444">
      <w:pPr>
        <w:rPr>
          <w:rFonts w:ascii="Calibri" w:hAnsi="Calibri" w:cs="Calibri"/>
          <w:sz w:val="22"/>
          <w:szCs w:val="22"/>
        </w:rPr>
      </w:pPr>
      <w:r w:rsidRPr="00B17444">
        <w:rPr>
          <w:rFonts w:ascii="Calibri" w:hAnsi="Calibri" w:cs="Calibri"/>
          <w:sz w:val="22"/>
          <w:szCs w:val="22"/>
        </w:rPr>
        <w:t>Conduct preliminary assessments.</w:t>
      </w:r>
    </w:p>
    <w:p w14:paraId="760CF656" w14:textId="27463321" w:rsidR="00EF16EB" w:rsidRPr="00B17444" w:rsidRDefault="00EF16EB" w:rsidP="00B17444">
      <w:pPr>
        <w:rPr>
          <w:rFonts w:ascii="Calibri" w:hAnsi="Calibri" w:cs="Calibri"/>
          <w:sz w:val="22"/>
          <w:szCs w:val="22"/>
        </w:rPr>
      </w:pPr>
      <w:r w:rsidRPr="00B17444">
        <w:rPr>
          <w:rFonts w:ascii="Calibri" w:hAnsi="Calibri" w:cs="Calibri"/>
          <w:sz w:val="22"/>
          <w:szCs w:val="22"/>
        </w:rPr>
        <w:t xml:space="preserve"> Approve funding and governance.</w:t>
      </w:r>
    </w:p>
    <w:p w14:paraId="6A5338C0" w14:textId="77777777" w:rsidR="00EF16EB" w:rsidRPr="00B17444" w:rsidRDefault="00EF16EB" w:rsidP="00B17444">
      <w:pPr>
        <w:rPr>
          <w:rFonts w:ascii="Calibri" w:hAnsi="Calibri" w:cs="Calibri"/>
          <w:sz w:val="22"/>
          <w:szCs w:val="22"/>
        </w:rPr>
      </w:pPr>
    </w:p>
    <w:p w14:paraId="15B5132A" w14:textId="385F6B56" w:rsidR="00EF16EB" w:rsidRPr="00B17444" w:rsidRDefault="00EF16EB" w:rsidP="00B17444">
      <w:pPr>
        <w:rPr>
          <w:rFonts w:ascii="Calibri" w:hAnsi="Calibri" w:cs="Calibri"/>
          <w:sz w:val="22"/>
          <w:szCs w:val="22"/>
        </w:rPr>
      </w:pPr>
      <w:r w:rsidRPr="00B17444">
        <w:rPr>
          <w:rFonts w:ascii="Calibri" w:hAnsi="Calibri" w:cs="Calibri"/>
          <w:sz w:val="22"/>
          <w:szCs w:val="22"/>
        </w:rPr>
        <w:t>Planning</w:t>
      </w:r>
    </w:p>
    <w:p w14:paraId="5EACFDEF" w14:textId="57629B3D" w:rsidR="00EF16EB" w:rsidRPr="00B17444" w:rsidRDefault="00EF16EB" w:rsidP="00B17444">
      <w:pPr>
        <w:rPr>
          <w:rFonts w:ascii="Calibri" w:hAnsi="Calibri" w:cs="Calibri"/>
          <w:sz w:val="22"/>
          <w:szCs w:val="22"/>
        </w:rPr>
      </w:pPr>
      <w:r w:rsidRPr="00B17444">
        <w:rPr>
          <w:rFonts w:ascii="Calibri" w:hAnsi="Calibri" w:cs="Calibri"/>
          <w:sz w:val="22"/>
          <w:szCs w:val="22"/>
        </w:rPr>
        <w:t>Define scope</w:t>
      </w:r>
    </w:p>
    <w:p w14:paraId="2D96A533" w14:textId="14D07ED8" w:rsidR="00EF16EB" w:rsidRPr="00B17444" w:rsidRDefault="00EF16EB" w:rsidP="00B17444">
      <w:pPr>
        <w:rPr>
          <w:rFonts w:ascii="Calibri" w:hAnsi="Calibri" w:cs="Calibri"/>
          <w:sz w:val="22"/>
          <w:szCs w:val="22"/>
        </w:rPr>
      </w:pPr>
      <w:r w:rsidRPr="00B17444">
        <w:rPr>
          <w:rFonts w:ascii="Calibri" w:hAnsi="Calibri" w:cs="Calibri"/>
          <w:sz w:val="22"/>
          <w:szCs w:val="22"/>
        </w:rPr>
        <w:t>Develop WBS</w:t>
      </w:r>
    </w:p>
    <w:p w14:paraId="074C542C" w14:textId="4D0B6082" w:rsidR="00EF16EB" w:rsidRPr="00B17444" w:rsidRDefault="00EF16EB" w:rsidP="00B17444">
      <w:pPr>
        <w:rPr>
          <w:rFonts w:ascii="Calibri" w:hAnsi="Calibri" w:cs="Calibri"/>
          <w:sz w:val="22"/>
          <w:szCs w:val="22"/>
        </w:rPr>
      </w:pPr>
      <w:r w:rsidRPr="00B17444">
        <w:rPr>
          <w:rFonts w:ascii="Calibri" w:hAnsi="Calibri" w:cs="Calibri"/>
          <w:sz w:val="22"/>
          <w:szCs w:val="22"/>
        </w:rPr>
        <w:t>Create a Gantt schedule.</w:t>
      </w:r>
    </w:p>
    <w:p w14:paraId="1645C9C5" w14:textId="522CD922" w:rsidR="00EF16EB" w:rsidRPr="00B17444" w:rsidRDefault="00EF16EB" w:rsidP="00B17444">
      <w:pPr>
        <w:rPr>
          <w:rFonts w:ascii="Calibri" w:hAnsi="Calibri" w:cs="Calibri"/>
          <w:sz w:val="22"/>
          <w:szCs w:val="22"/>
        </w:rPr>
      </w:pPr>
      <w:r w:rsidRPr="00B17444">
        <w:rPr>
          <w:rFonts w:ascii="Calibri" w:hAnsi="Calibri" w:cs="Calibri"/>
          <w:sz w:val="22"/>
          <w:szCs w:val="22"/>
        </w:rPr>
        <w:t xml:space="preserve"> Allocate resources</w:t>
      </w:r>
    </w:p>
    <w:p w14:paraId="0E5A3D5F" w14:textId="25B92C32" w:rsidR="00EF16EB" w:rsidRPr="00B17444" w:rsidRDefault="00EF16EB" w:rsidP="00B17444">
      <w:pPr>
        <w:rPr>
          <w:rFonts w:ascii="Calibri" w:hAnsi="Calibri" w:cs="Calibri"/>
          <w:sz w:val="22"/>
          <w:szCs w:val="22"/>
        </w:rPr>
      </w:pPr>
      <w:r w:rsidRPr="00B17444">
        <w:rPr>
          <w:rFonts w:ascii="Calibri" w:hAnsi="Calibri" w:cs="Calibri"/>
          <w:sz w:val="22"/>
          <w:szCs w:val="22"/>
        </w:rPr>
        <w:t>Develop a risk plan.</w:t>
      </w:r>
    </w:p>
    <w:p w14:paraId="36F11ED5" w14:textId="3DBE3498" w:rsidR="00EF16EB" w:rsidRPr="00B17444" w:rsidRDefault="00EF16EB" w:rsidP="00B17444">
      <w:pPr>
        <w:rPr>
          <w:rFonts w:ascii="Calibri" w:hAnsi="Calibri" w:cs="Calibri"/>
          <w:sz w:val="22"/>
          <w:szCs w:val="22"/>
        </w:rPr>
      </w:pPr>
      <w:r w:rsidRPr="00B17444">
        <w:rPr>
          <w:rFonts w:ascii="Calibri" w:hAnsi="Calibri" w:cs="Calibri"/>
          <w:sz w:val="22"/>
          <w:szCs w:val="22"/>
        </w:rPr>
        <w:t>Create a communication plan.</w:t>
      </w:r>
    </w:p>
    <w:p w14:paraId="5B38A97E" w14:textId="2841F44C" w:rsidR="00EF16EB" w:rsidRPr="00B17444" w:rsidRDefault="00EF16EB" w:rsidP="00B17444">
      <w:pPr>
        <w:rPr>
          <w:rFonts w:ascii="Calibri" w:hAnsi="Calibri" w:cs="Calibri"/>
          <w:sz w:val="22"/>
          <w:szCs w:val="22"/>
        </w:rPr>
      </w:pPr>
      <w:r w:rsidRPr="00B17444">
        <w:rPr>
          <w:rFonts w:ascii="Calibri" w:hAnsi="Calibri" w:cs="Calibri"/>
          <w:sz w:val="22"/>
          <w:szCs w:val="22"/>
        </w:rPr>
        <w:lastRenderedPageBreak/>
        <w:t xml:space="preserve"> Prepare environmental documentation.</w:t>
      </w:r>
    </w:p>
    <w:p w14:paraId="56579EE1" w14:textId="77777777" w:rsidR="003A2FF4" w:rsidRDefault="003A2FF4" w:rsidP="00B17444">
      <w:pPr>
        <w:rPr>
          <w:rFonts w:ascii="Calibri" w:hAnsi="Calibri" w:cs="Calibri"/>
          <w:sz w:val="22"/>
          <w:szCs w:val="22"/>
        </w:rPr>
      </w:pPr>
    </w:p>
    <w:p w14:paraId="3A2FD05C" w14:textId="47710848" w:rsidR="00EF16EB" w:rsidRPr="00B17444" w:rsidRDefault="00EF16EB" w:rsidP="00B17444">
      <w:pPr>
        <w:rPr>
          <w:rFonts w:ascii="Calibri" w:hAnsi="Calibri" w:cs="Calibri"/>
          <w:sz w:val="22"/>
          <w:szCs w:val="22"/>
        </w:rPr>
      </w:pPr>
      <w:r w:rsidRPr="00B17444">
        <w:rPr>
          <w:rFonts w:ascii="Calibri" w:hAnsi="Calibri" w:cs="Calibri"/>
          <w:sz w:val="22"/>
          <w:szCs w:val="22"/>
        </w:rPr>
        <w:t>Engineering Assessment</w:t>
      </w:r>
    </w:p>
    <w:p w14:paraId="57591F07" w14:textId="07512D55" w:rsidR="00EF16EB" w:rsidRPr="00B17444" w:rsidRDefault="00EF16EB" w:rsidP="00B17444">
      <w:pPr>
        <w:rPr>
          <w:rFonts w:ascii="Calibri" w:hAnsi="Calibri" w:cs="Calibri"/>
          <w:sz w:val="22"/>
          <w:szCs w:val="22"/>
        </w:rPr>
      </w:pPr>
      <w:r w:rsidRPr="00B17444">
        <w:rPr>
          <w:rFonts w:ascii="Calibri" w:hAnsi="Calibri" w:cs="Calibri"/>
          <w:sz w:val="22"/>
          <w:szCs w:val="22"/>
        </w:rPr>
        <w:t>Bridge assessments</w:t>
      </w:r>
    </w:p>
    <w:p w14:paraId="110845EF" w14:textId="1B901B23" w:rsidR="00EF16EB" w:rsidRPr="00B17444" w:rsidRDefault="00EF16EB" w:rsidP="00B17444">
      <w:pPr>
        <w:rPr>
          <w:rFonts w:ascii="Calibri" w:hAnsi="Calibri" w:cs="Calibri"/>
          <w:sz w:val="22"/>
          <w:szCs w:val="22"/>
        </w:rPr>
      </w:pPr>
      <w:r w:rsidRPr="00B17444">
        <w:rPr>
          <w:rFonts w:ascii="Calibri" w:hAnsi="Calibri" w:cs="Calibri"/>
          <w:sz w:val="22"/>
          <w:szCs w:val="22"/>
        </w:rPr>
        <w:t>Roadbed inspections</w:t>
      </w:r>
    </w:p>
    <w:p w14:paraId="056F9501" w14:textId="41F06FD5" w:rsidR="00EF16EB" w:rsidRPr="00B17444" w:rsidRDefault="00EF16EB" w:rsidP="00B17444">
      <w:pPr>
        <w:rPr>
          <w:rFonts w:ascii="Calibri" w:hAnsi="Calibri" w:cs="Calibri"/>
          <w:sz w:val="22"/>
          <w:szCs w:val="22"/>
        </w:rPr>
      </w:pPr>
      <w:r w:rsidRPr="00B17444">
        <w:rPr>
          <w:rFonts w:ascii="Calibri" w:hAnsi="Calibri" w:cs="Calibri"/>
          <w:sz w:val="22"/>
          <w:szCs w:val="22"/>
        </w:rPr>
        <w:t>Hydrological modelling</w:t>
      </w:r>
    </w:p>
    <w:p w14:paraId="24B3FD2A" w14:textId="3FFF1F1D" w:rsidR="00EF16EB" w:rsidRPr="00B17444" w:rsidRDefault="00EF16EB" w:rsidP="00B17444">
      <w:pPr>
        <w:rPr>
          <w:rFonts w:ascii="Calibri" w:hAnsi="Calibri" w:cs="Calibri"/>
          <w:sz w:val="22"/>
          <w:szCs w:val="22"/>
        </w:rPr>
      </w:pPr>
      <w:r w:rsidRPr="00B17444">
        <w:rPr>
          <w:rFonts w:ascii="Calibri" w:hAnsi="Calibri" w:cs="Calibri"/>
          <w:sz w:val="22"/>
          <w:szCs w:val="22"/>
        </w:rPr>
        <w:t>Geotechnical analysis</w:t>
      </w:r>
    </w:p>
    <w:p w14:paraId="2803F7C5" w14:textId="3959621E" w:rsidR="00EF16EB" w:rsidRPr="00B17444" w:rsidRDefault="00EF16EB" w:rsidP="00B17444">
      <w:pPr>
        <w:rPr>
          <w:rFonts w:ascii="Calibri" w:hAnsi="Calibri" w:cs="Calibri"/>
          <w:sz w:val="22"/>
          <w:szCs w:val="22"/>
        </w:rPr>
      </w:pPr>
      <w:r w:rsidRPr="00B17444">
        <w:rPr>
          <w:rFonts w:ascii="Calibri" w:hAnsi="Calibri" w:cs="Calibri"/>
          <w:sz w:val="22"/>
          <w:szCs w:val="22"/>
        </w:rPr>
        <w:t>Approve final engineering designs.</w:t>
      </w:r>
    </w:p>
    <w:p w14:paraId="3B450D4B" w14:textId="77777777" w:rsidR="00EF16EB" w:rsidRPr="00B17444" w:rsidRDefault="00EF16EB" w:rsidP="00B17444">
      <w:pPr>
        <w:rPr>
          <w:rFonts w:ascii="Calibri" w:hAnsi="Calibri" w:cs="Calibri"/>
          <w:sz w:val="22"/>
          <w:szCs w:val="22"/>
        </w:rPr>
      </w:pPr>
    </w:p>
    <w:p w14:paraId="631BD015" w14:textId="4723025D" w:rsidR="00EF16EB" w:rsidRPr="00B17444" w:rsidRDefault="00EF16EB" w:rsidP="00B17444">
      <w:pPr>
        <w:rPr>
          <w:rFonts w:ascii="Calibri" w:hAnsi="Calibri" w:cs="Calibri"/>
          <w:sz w:val="22"/>
          <w:szCs w:val="22"/>
        </w:rPr>
      </w:pPr>
      <w:r w:rsidRPr="00B17444">
        <w:rPr>
          <w:rFonts w:ascii="Calibri" w:hAnsi="Calibri" w:cs="Calibri"/>
          <w:sz w:val="22"/>
          <w:szCs w:val="22"/>
        </w:rPr>
        <w:t>Procurement</w:t>
      </w:r>
    </w:p>
    <w:p w14:paraId="3D0AADAA" w14:textId="251E8C3E" w:rsidR="00EF16EB" w:rsidRPr="00B17444" w:rsidRDefault="00EF16EB" w:rsidP="00B17444">
      <w:pPr>
        <w:rPr>
          <w:rFonts w:ascii="Calibri" w:hAnsi="Calibri" w:cs="Calibri"/>
          <w:sz w:val="22"/>
          <w:szCs w:val="22"/>
        </w:rPr>
      </w:pPr>
      <w:r w:rsidRPr="00B17444">
        <w:rPr>
          <w:rFonts w:ascii="Calibri" w:hAnsi="Calibri" w:cs="Calibri"/>
          <w:sz w:val="22"/>
          <w:szCs w:val="22"/>
        </w:rPr>
        <w:t>Identify suppliers</w:t>
      </w:r>
    </w:p>
    <w:p w14:paraId="5DB52C25" w14:textId="6E238DB3" w:rsidR="00EF16EB" w:rsidRPr="00B17444" w:rsidRDefault="00EF16EB" w:rsidP="00B17444">
      <w:pPr>
        <w:rPr>
          <w:rFonts w:ascii="Calibri" w:hAnsi="Calibri" w:cs="Calibri"/>
          <w:sz w:val="22"/>
          <w:szCs w:val="22"/>
        </w:rPr>
      </w:pPr>
      <w:r w:rsidRPr="00B17444">
        <w:rPr>
          <w:rFonts w:ascii="Calibri" w:hAnsi="Calibri" w:cs="Calibri"/>
          <w:sz w:val="22"/>
          <w:szCs w:val="22"/>
        </w:rPr>
        <w:t>Tendering and negotiations</w:t>
      </w:r>
    </w:p>
    <w:p w14:paraId="0A6B7C09" w14:textId="6CB2E41B" w:rsidR="00EF16EB" w:rsidRPr="00B17444" w:rsidRDefault="00EF16EB" w:rsidP="00B17444">
      <w:pPr>
        <w:rPr>
          <w:rFonts w:ascii="Calibri" w:hAnsi="Calibri" w:cs="Calibri"/>
          <w:sz w:val="22"/>
          <w:szCs w:val="22"/>
        </w:rPr>
      </w:pPr>
      <w:r w:rsidRPr="00B17444">
        <w:rPr>
          <w:rFonts w:ascii="Calibri" w:hAnsi="Calibri" w:cs="Calibri"/>
          <w:sz w:val="22"/>
          <w:szCs w:val="22"/>
        </w:rPr>
        <w:t>Material procurement</w:t>
      </w:r>
    </w:p>
    <w:p w14:paraId="58820AA8" w14:textId="24898D89" w:rsidR="00EF16EB" w:rsidRPr="00B17444" w:rsidRDefault="00EF16EB" w:rsidP="00B17444">
      <w:pPr>
        <w:rPr>
          <w:rFonts w:ascii="Calibri" w:hAnsi="Calibri" w:cs="Calibri"/>
          <w:sz w:val="22"/>
          <w:szCs w:val="22"/>
        </w:rPr>
      </w:pPr>
      <w:r w:rsidRPr="00B17444">
        <w:rPr>
          <w:rFonts w:ascii="Calibri" w:hAnsi="Calibri" w:cs="Calibri"/>
          <w:sz w:val="22"/>
          <w:szCs w:val="22"/>
        </w:rPr>
        <w:t>Contract specialist services</w:t>
      </w:r>
    </w:p>
    <w:p w14:paraId="0FDFC160" w14:textId="3C2EB9FD" w:rsidR="00EF16EB" w:rsidRPr="00B17444" w:rsidRDefault="00EF16EB" w:rsidP="00B17444">
      <w:pPr>
        <w:rPr>
          <w:rFonts w:ascii="Calibri" w:hAnsi="Calibri" w:cs="Calibri"/>
          <w:sz w:val="22"/>
          <w:szCs w:val="22"/>
        </w:rPr>
      </w:pPr>
      <w:r w:rsidRPr="00B17444">
        <w:rPr>
          <w:rFonts w:ascii="Calibri" w:hAnsi="Calibri" w:cs="Calibri"/>
          <w:sz w:val="22"/>
          <w:szCs w:val="22"/>
        </w:rPr>
        <w:t>Coordinate logistics</w:t>
      </w:r>
    </w:p>
    <w:p w14:paraId="160A3A66" w14:textId="77777777" w:rsidR="00EF16EB" w:rsidRPr="00B17444" w:rsidRDefault="00EF16EB" w:rsidP="00B17444">
      <w:pPr>
        <w:rPr>
          <w:rFonts w:ascii="Calibri" w:hAnsi="Calibri" w:cs="Calibri"/>
          <w:sz w:val="22"/>
          <w:szCs w:val="22"/>
        </w:rPr>
      </w:pPr>
    </w:p>
    <w:p w14:paraId="216F0936" w14:textId="3348DB96" w:rsidR="00EF16EB" w:rsidRPr="00B17444" w:rsidRDefault="00EF16EB" w:rsidP="00B17444">
      <w:pPr>
        <w:rPr>
          <w:rFonts w:ascii="Calibri" w:hAnsi="Calibri" w:cs="Calibri"/>
          <w:sz w:val="22"/>
          <w:szCs w:val="22"/>
        </w:rPr>
      </w:pPr>
      <w:r w:rsidRPr="00B17444">
        <w:rPr>
          <w:rFonts w:ascii="Calibri" w:hAnsi="Calibri" w:cs="Calibri"/>
          <w:sz w:val="22"/>
          <w:szCs w:val="22"/>
        </w:rPr>
        <w:t>Construction</w:t>
      </w:r>
    </w:p>
    <w:p w14:paraId="3BC13243" w14:textId="0D1CC8CF" w:rsidR="00EF16EB" w:rsidRPr="00B17444" w:rsidRDefault="00EF16EB" w:rsidP="00B17444">
      <w:pPr>
        <w:rPr>
          <w:rFonts w:ascii="Calibri" w:hAnsi="Calibri" w:cs="Calibri"/>
          <w:sz w:val="22"/>
          <w:szCs w:val="22"/>
        </w:rPr>
      </w:pPr>
      <w:r w:rsidRPr="00B17444">
        <w:rPr>
          <w:rFonts w:ascii="Calibri" w:hAnsi="Calibri" w:cs="Calibri"/>
          <w:sz w:val="22"/>
          <w:szCs w:val="22"/>
        </w:rPr>
        <w:t>Site preparation</w:t>
      </w:r>
    </w:p>
    <w:p w14:paraId="7DB1FF6A" w14:textId="336900A7" w:rsidR="00EF16EB" w:rsidRPr="00B17444" w:rsidRDefault="00EF16EB" w:rsidP="00B17444">
      <w:pPr>
        <w:rPr>
          <w:rFonts w:ascii="Calibri" w:hAnsi="Calibri" w:cs="Calibri"/>
          <w:sz w:val="22"/>
          <w:szCs w:val="22"/>
        </w:rPr>
      </w:pPr>
      <w:r w:rsidRPr="00B17444">
        <w:rPr>
          <w:rFonts w:ascii="Calibri" w:hAnsi="Calibri" w:cs="Calibri"/>
          <w:sz w:val="22"/>
          <w:szCs w:val="22"/>
        </w:rPr>
        <w:t>Install traffic controls</w:t>
      </w:r>
    </w:p>
    <w:p w14:paraId="30A085DC" w14:textId="5E4AE440" w:rsidR="00EF16EB" w:rsidRPr="00B17444" w:rsidRDefault="00EF16EB" w:rsidP="00B17444">
      <w:pPr>
        <w:rPr>
          <w:rFonts w:ascii="Calibri" w:hAnsi="Calibri" w:cs="Calibri"/>
          <w:sz w:val="22"/>
          <w:szCs w:val="22"/>
        </w:rPr>
      </w:pPr>
      <w:r w:rsidRPr="00B17444">
        <w:rPr>
          <w:rFonts w:ascii="Calibri" w:hAnsi="Calibri" w:cs="Calibri"/>
          <w:sz w:val="22"/>
          <w:szCs w:val="22"/>
        </w:rPr>
        <w:t>Reconstruct bridges</w:t>
      </w:r>
    </w:p>
    <w:p w14:paraId="44E56B63" w14:textId="77777777" w:rsidR="00E15D6C" w:rsidRDefault="00EF16EB" w:rsidP="00B17444">
      <w:pPr>
        <w:rPr>
          <w:rFonts w:ascii="Calibri" w:hAnsi="Calibri" w:cs="Calibri"/>
          <w:sz w:val="22"/>
          <w:szCs w:val="22"/>
        </w:rPr>
      </w:pPr>
      <w:r w:rsidRPr="00B17444">
        <w:rPr>
          <w:rFonts w:ascii="Calibri" w:hAnsi="Calibri" w:cs="Calibri"/>
          <w:sz w:val="22"/>
          <w:szCs w:val="22"/>
        </w:rPr>
        <w:t>Reinstate road sections</w:t>
      </w:r>
    </w:p>
    <w:p w14:paraId="5D402769" w14:textId="77777777" w:rsidR="00E15D6C" w:rsidRDefault="00E15D6C" w:rsidP="00B17444">
      <w:pPr>
        <w:rPr>
          <w:rFonts w:ascii="Calibri" w:hAnsi="Calibri" w:cs="Calibri"/>
          <w:sz w:val="22"/>
          <w:szCs w:val="22"/>
        </w:rPr>
      </w:pPr>
    </w:p>
    <w:p w14:paraId="33EE9A6D" w14:textId="30558E48" w:rsidR="00EF16EB" w:rsidRPr="00B17444" w:rsidRDefault="00EF16EB" w:rsidP="00B17444">
      <w:pPr>
        <w:rPr>
          <w:rFonts w:ascii="Calibri" w:hAnsi="Calibri" w:cs="Calibri"/>
          <w:sz w:val="22"/>
          <w:szCs w:val="22"/>
        </w:rPr>
      </w:pPr>
      <w:r w:rsidRPr="00B17444">
        <w:rPr>
          <w:rFonts w:ascii="Calibri" w:hAnsi="Calibri" w:cs="Calibri"/>
          <w:sz w:val="22"/>
          <w:szCs w:val="22"/>
        </w:rPr>
        <w:t>Implement environmental mitigation.</w:t>
      </w:r>
    </w:p>
    <w:p w14:paraId="63A71273" w14:textId="6561E57E" w:rsidR="00EF16EB" w:rsidRPr="00B17444" w:rsidRDefault="00EF16EB" w:rsidP="00B17444">
      <w:pPr>
        <w:rPr>
          <w:rFonts w:ascii="Calibri" w:hAnsi="Calibri" w:cs="Calibri"/>
          <w:sz w:val="22"/>
          <w:szCs w:val="22"/>
        </w:rPr>
      </w:pPr>
      <w:r w:rsidRPr="00B17444">
        <w:rPr>
          <w:rFonts w:ascii="Calibri" w:hAnsi="Calibri" w:cs="Calibri"/>
          <w:sz w:val="22"/>
          <w:szCs w:val="22"/>
        </w:rPr>
        <w:t>Quality inspections</w:t>
      </w:r>
    </w:p>
    <w:p w14:paraId="1B7BB13A" w14:textId="77777777" w:rsidR="00EF16EB" w:rsidRPr="00B17444" w:rsidRDefault="00EF16EB" w:rsidP="00B17444">
      <w:pPr>
        <w:rPr>
          <w:rFonts w:ascii="Calibri" w:hAnsi="Calibri" w:cs="Calibri"/>
          <w:sz w:val="22"/>
          <w:szCs w:val="22"/>
        </w:rPr>
      </w:pPr>
    </w:p>
    <w:p w14:paraId="734AC3AD" w14:textId="2B277F77" w:rsidR="00EF16EB" w:rsidRPr="00B17444" w:rsidRDefault="00EF16EB" w:rsidP="00B17444">
      <w:pPr>
        <w:rPr>
          <w:rFonts w:ascii="Calibri" w:hAnsi="Calibri" w:cs="Calibri"/>
          <w:sz w:val="22"/>
          <w:szCs w:val="22"/>
        </w:rPr>
      </w:pPr>
      <w:r w:rsidRPr="00B17444">
        <w:rPr>
          <w:rFonts w:ascii="Calibri" w:hAnsi="Calibri" w:cs="Calibri"/>
          <w:sz w:val="22"/>
          <w:szCs w:val="22"/>
        </w:rPr>
        <w:t>Monitoring and controlling.</w:t>
      </w:r>
    </w:p>
    <w:p w14:paraId="1641BA3D" w14:textId="2551D4D8" w:rsidR="00EF16EB" w:rsidRPr="00B17444" w:rsidRDefault="00EF16EB" w:rsidP="00B17444">
      <w:pPr>
        <w:rPr>
          <w:rFonts w:ascii="Calibri" w:hAnsi="Calibri" w:cs="Calibri"/>
          <w:sz w:val="22"/>
          <w:szCs w:val="22"/>
        </w:rPr>
      </w:pPr>
      <w:r w:rsidRPr="00B17444">
        <w:rPr>
          <w:rFonts w:ascii="Calibri" w:hAnsi="Calibri" w:cs="Calibri"/>
          <w:sz w:val="22"/>
          <w:szCs w:val="22"/>
        </w:rPr>
        <w:t>Progress reporting</w:t>
      </w:r>
    </w:p>
    <w:p w14:paraId="72926955" w14:textId="4F5F296D" w:rsidR="00EF16EB" w:rsidRPr="00B17444" w:rsidRDefault="00EF16EB" w:rsidP="00B17444">
      <w:pPr>
        <w:rPr>
          <w:rFonts w:ascii="Calibri" w:hAnsi="Calibri" w:cs="Calibri"/>
          <w:sz w:val="22"/>
          <w:szCs w:val="22"/>
        </w:rPr>
      </w:pPr>
      <w:r w:rsidRPr="00B17444">
        <w:rPr>
          <w:rFonts w:ascii="Calibri" w:hAnsi="Calibri" w:cs="Calibri"/>
          <w:sz w:val="22"/>
          <w:szCs w:val="22"/>
        </w:rPr>
        <w:t>Schedule monitoring</w:t>
      </w:r>
    </w:p>
    <w:p w14:paraId="75DFE467" w14:textId="10C514F7" w:rsidR="00EF16EB" w:rsidRPr="00B17444" w:rsidRDefault="00EF16EB" w:rsidP="00B17444">
      <w:pPr>
        <w:rPr>
          <w:rFonts w:ascii="Calibri" w:hAnsi="Calibri" w:cs="Calibri"/>
          <w:sz w:val="22"/>
          <w:szCs w:val="22"/>
        </w:rPr>
      </w:pPr>
      <w:r w:rsidRPr="00B17444">
        <w:rPr>
          <w:rFonts w:ascii="Calibri" w:hAnsi="Calibri" w:cs="Calibri"/>
          <w:sz w:val="22"/>
          <w:szCs w:val="22"/>
        </w:rPr>
        <w:t>Cost control</w:t>
      </w:r>
    </w:p>
    <w:p w14:paraId="294A2D71" w14:textId="1F591EB0" w:rsidR="00EF16EB" w:rsidRPr="00B17444" w:rsidRDefault="00EF16EB" w:rsidP="00B17444">
      <w:pPr>
        <w:rPr>
          <w:rFonts w:ascii="Calibri" w:hAnsi="Calibri" w:cs="Calibri"/>
          <w:sz w:val="22"/>
          <w:szCs w:val="22"/>
        </w:rPr>
      </w:pPr>
      <w:r w:rsidRPr="00B17444">
        <w:rPr>
          <w:rFonts w:ascii="Calibri" w:hAnsi="Calibri" w:cs="Calibri"/>
          <w:sz w:val="22"/>
          <w:szCs w:val="22"/>
        </w:rPr>
        <w:t>Risk reassessment</w:t>
      </w:r>
    </w:p>
    <w:p w14:paraId="1DBE22CB" w14:textId="38FB137D" w:rsidR="00EF16EB" w:rsidRPr="00B17444" w:rsidRDefault="00EF16EB" w:rsidP="00B17444">
      <w:pPr>
        <w:rPr>
          <w:rFonts w:ascii="Calibri" w:hAnsi="Calibri" w:cs="Calibri"/>
          <w:sz w:val="22"/>
          <w:szCs w:val="22"/>
        </w:rPr>
      </w:pPr>
      <w:r w:rsidRPr="00B17444">
        <w:rPr>
          <w:rFonts w:ascii="Calibri" w:hAnsi="Calibri" w:cs="Calibri"/>
          <w:sz w:val="22"/>
          <w:szCs w:val="22"/>
        </w:rPr>
        <w:t>Stakeholder communication</w:t>
      </w:r>
    </w:p>
    <w:p w14:paraId="224977F3" w14:textId="6CD3950C" w:rsidR="00EF16EB" w:rsidRPr="00B17444" w:rsidRDefault="00EF16EB" w:rsidP="00B17444">
      <w:pPr>
        <w:rPr>
          <w:rFonts w:ascii="Calibri" w:hAnsi="Calibri" w:cs="Calibri"/>
          <w:sz w:val="22"/>
          <w:szCs w:val="22"/>
        </w:rPr>
      </w:pPr>
      <w:r w:rsidRPr="00B17444">
        <w:rPr>
          <w:rFonts w:ascii="Calibri" w:hAnsi="Calibri" w:cs="Calibri"/>
          <w:sz w:val="22"/>
          <w:szCs w:val="22"/>
        </w:rPr>
        <w:t>Quality audits</w:t>
      </w:r>
    </w:p>
    <w:p w14:paraId="778B7393" w14:textId="77777777" w:rsidR="00EF16EB" w:rsidRPr="00B17444" w:rsidRDefault="00EF16EB" w:rsidP="00B17444">
      <w:pPr>
        <w:rPr>
          <w:rFonts w:ascii="Calibri" w:hAnsi="Calibri" w:cs="Calibri"/>
          <w:sz w:val="22"/>
          <w:szCs w:val="22"/>
        </w:rPr>
      </w:pPr>
    </w:p>
    <w:p w14:paraId="3BDDC77D" w14:textId="47EDA794" w:rsidR="00EF16EB" w:rsidRPr="00B17444" w:rsidRDefault="00EF16EB" w:rsidP="00B17444">
      <w:pPr>
        <w:rPr>
          <w:rFonts w:ascii="Calibri" w:hAnsi="Calibri" w:cs="Calibri"/>
          <w:sz w:val="22"/>
          <w:szCs w:val="22"/>
        </w:rPr>
      </w:pPr>
      <w:r w:rsidRPr="00B17444">
        <w:rPr>
          <w:rFonts w:ascii="Calibri" w:hAnsi="Calibri" w:cs="Calibri"/>
          <w:sz w:val="22"/>
          <w:szCs w:val="22"/>
        </w:rPr>
        <w:t>Closure</w:t>
      </w:r>
    </w:p>
    <w:p w14:paraId="2F770675" w14:textId="77777777" w:rsidR="00E15D6C" w:rsidRDefault="00EF16EB" w:rsidP="00B17444">
      <w:pPr>
        <w:rPr>
          <w:rFonts w:ascii="Calibri" w:hAnsi="Calibri" w:cs="Calibri"/>
          <w:sz w:val="22"/>
          <w:szCs w:val="22"/>
        </w:rPr>
      </w:pPr>
      <w:r w:rsidRPr="00B17444">
        <w:rPr>
          <w:rFonts w:ascii="Calibri" w:hAnsi="Calibri" w:cs="Calibri"/>
          <w:sz w:val="22"/>
          <w:szCs w:val="22"/>
        </w:rPr>
        <w:lastRenderedPageBreak/>
        <w:t>Final inspection</w:t>
      </w:r>
    </w:p>
    <w:p w14:paraId="5907E7F5" w14:textId="2E91EE7D" w:rsidR="00EF16EB" w:rsidRPr="00B17444" w:rsidRDefault="00EF16EB" w:rsidP="00B17444">
      <w:pPr>
        <w:rPr>
          <w:rFonts w:ascii="Calibri" w:hAnsi="Calibri" w:cs="Calibri"/>
          <w:sz w:val="22"/>
          <w:szCs w:val="22"/>
        </w:rPr>
      </w:pPr>
      <w:r w:rsidRPr="00B17444">
        <w:rPr>
          <w:rFonts w:ascii="Calibri" w:hAnsi="Calibri" w:cs="Calibri"/>
          <w:sz w:val="22"/>
          <w:szCs w:val="22"/>
        </w:rPr>
        <w:t>Certification and handover</w:t>
      </w:r>
    </w:p>
    <w:p w14:paraId="1F5A995E" w14:textId="36F666E0" w:rsidR="00EF16EB" w:rsidRPr="00B17444" w:rsidRDefault="00EF16EB" w:rsidP="00B17444">
      <w:pPr>
        <w:rPr>
          <w:rFonts w:ascii="Calibri" w:hAnsi="Calibri" w:cs="Calibri"/>
          <w:sz w:val="22"/>
          <w:szCs w:val="22"/>
        </w:rPr>
      </w:pPr>
      <w:r w:rsidRPr="00B17444">
        <w:rPr>
          <w:rFonts w:ascii="Calibri" w:hAnsi="Calibri" w:cs="Calibri"/>
          <w:sz w:val="22"/>
          <w:szCs w:val="22"/>
        </w:rPr>
        <w:t>Lessons learnt</w:t>
      </w:r>
    </w:p>
    <w:p w14:paraId="71BA6C2F" w14:textId="4B6D649D" w:rsidR="00EF16EB" w:rsidRPr="00B17444" w:rsidRDefault="00EF16EB" w:rsidP="00B17444">
      <w:pPr>
        <w:rPr>
          <w:rFonts w:ascii="Calibri" w:hAnsi="Calibri" w:cs="Calibri"/>
          <w:sz w:val="22"/>
          <w:szCs w:val="22"/>
        </w:rPr>
      </w:pPr>
      <w:r w:rsidRPr="00B17444">
        <w:rPr>
          <w:rFonts w:ascii="Calibri" w:hAnsi="Calibri" w:cs="Calibri"/>
          <w:sz w:val="22"/>
          <w:szCs w:val="22"/>
        </w:rPr>
        <w:t>Administrative closure</w:t>
      </w:r>
    </w:p>
    <w:p w14:paraId="17D53A64" w14:textId="7892E4BA" w:rsidR="00EF16EB" w:rsidRPr="00B17444" w:rsidRDefault="00EF16EB" w:rsidP="00B17444">
      <w:pPr>
        <w:rPr>
          <w:rFonts w:ascii="Calibri" w:hAnsi="Calibri" w:cs="Calibri"/>
          <w:sz w:val="22"/>
          <w:szCs w:val="22"/>
        </w:rPr>
      </w:pPr>
      <w:r w:rsidRPr="00B17444">
        <w:rPr>
          <w:rFonts w:ascii="Calibri" w:hAnsi="Calibri" w:cs="Calibri"/>
          <w:sz w:val="22"/>
          <w:szCs w:val="22"/>
        </w:rPr>
        <w:t>Public communication</w:t>
      </w:r>
    </w:p>
    <w:p w14:paraId="6A2DD6C8" w14:textId="77777777" w:rsidR="00EF16EB" w:rsidRPr="00B17444" w:rsidRDefault="00EF16EB" w:rsidP="00B17444">
      <w:pPr>
        <w:rPr>
          <w:rFonts w:ascii="Calibri" w:hAnsi="Calibri" w:cs="Calibri"/>
          <w:sz w:val="22"/>
          <w:szCs w:val="22"/>
        </w:rPr>
      </w:pPr>
    </w:p>
    <w:p w14:paraId="7B95A94B" w14:textId="26B1A30A" w:rsidR="00EF16EB" w:rsidRPr="00E15D6C" w:rsidRDefault="00EF16EB" w:rsidP="00E15D6C">
      <w:pPr>
        <w:pStyle w:val="Heading1"/>
      </w:pPr>
      <w:bookmarkStart w:id="8" w:name="_Toc214622878"/>
      <w:r w:rsidRPr="00E15D6C">
        <w:t>Quad Chart</w:t>
      </w:r>
      <w:bookmarkEnd w:id="8"/>
    </w:p>
    <w:p w14:paraId="378C9F01" w14:textId="77777777" w:rsidR="00EF16EB" w:rsidRPr="00B17444" w:rsidRDefault="00EF16EB" w:rsidP="00B17444">
      <w:pPr>
        <w:rPr>
          <w:rFonts w:ascii="Calibri" w:hAnsi="Calibri" w:cs="Calibri"/>
          <w:sz w:val="22"/>
          <w:szCs w:val="22"/>
        </w:rPr>
      </w:pPr>
    </w:p>
    <w:p w14:paraId="28BCAD7A"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A fully structured quad chart (expanded and clearly labelled):</w:t>
      </w:r>
    </w:p>
    <w:p w14:paraId="6A2F4068" w14:textId="3943040C" w:rsidR="00EF16EB" w:rsidRPr="00B17444" w:rsidRDefault="00EF16EB" w:rsidP="00B17444">
      <w:pPr>
        <w:rPr>
          <w:rFonts w:ascii="Calibri" w:hAnsi="Calibri" w:cs="Calibri"/>
          <w:sz w:val="22"/>
          <w:szCs w:val="22"/>
        </w:rPr>
      </w:pPr>
      <w:r w:rsidRPr="00B17444">
        <w:rPr>
          <w:rFonts w:ascii="Calibri" w:hAnsi="Calibri" w:cs="Calibri"/>
          <w:sz w:val="22"/>
          <w:szCs w:val="22"/>
        </w:rPr>
        <w:t>Quadrant</w:t>
      </w:r>
      <w:r w:rsidR="00E15D6C">
        <w:rPr>
          <w:rFonts w:ascii="Calibri" w:hAnsi="Calibri" w:cs="Calibri"/>
          <w:sz w:val="22"/>
          <w:szCs w:val="22"/>
        </w:rPr>
        <w:t xml:space="preserve"> 1</w:t>
      </w:r>
      <w:r w:rsidRPr="00B17444">
        <w:rPr>
          <w:rFonts w:ascii="Calibri" w:hAnsi="Calibri" w:cs="Calibri"/>
          <w:sz w:val="22"/>
          <w:szCs w:val="22"/>
        </w:rPr>
        <w:t xml:space="preserve"> – Problem / Background</w:t>
      </w:r>
    </w:p>
    <w:p w14:paraId="614D16E8"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2022 floods caused catastrophic damage to Highway 5, including collapsed bridges and washed-out road sections (Project Poster, 2025).</w:t>
      </w:r>
    </w:p>
    <w:p w14:paraId="391A02A8" w14:textId="5C9D730D" w:rsidR="00EF16EB" w:rsidRPr="00B17444" w:rsidRDefault="00B17444" w:rsidP="00B17444">
      <w:pPr>
        <w:rPr>
          <w:rFonts w:ascii="Calibri" w:hAnsi="Calibri" w:cs="Calibri"/>
          <w:sz w:val="22"/>
          <w:szCs w:val="22"/>
        </w:rPr>
      </w:pPr>
      <w:r>
        <w:rPr>
          <w:rFonts w:ascii="Calibri" w:hAnsi="Calibri" w:cs="Calibri"/>
          <w:sz w:val="22"/>
          <w:szCs w:val="22"/>
        </w:rPr>
        <w:t>T</w:t>
      </w:r>
      <w:r w:rsidR="00EF16EB" w:rsidRPr="00B17444">
        <w:rPr>
          <w:rFonts w:ascii="Calibri" w:hAnsi="Calibri" w:cs="Calibri"/>
          <w:sz w:val="22"/>
          <w:szCs w:val="22"/>
        </w:rPr>
        <w:t>he floods severely disrupted supply chains, emergency access, and community mobility.</w:t>
      </w:r>
    </w:p>
    <w:p w14:paraId="691C35C3" w14:textId="77777777" w:rsidR="00B17444" w:rsidRDefault="00B17444" w:rsidP="00B17444">
      <w:pPr>
        <w:rPr>
          <w:rFonts w:ascii="Calibri" w:hAnsi="Calibri" w:cs="Calibri"/>
          <w:sz w:val="22"/>
          <w:szCs w:val="22"/>
        </w:rPr>
      </w:pPr>
    </w:p>
    <w:p w14:paraId="25630A31" w14:textId="1F53B38F" w:rsidR="00EF16EB" w:rsidRPr="00B17444" w:rsidRDefault="00EF16EB" w:rsidP="00B17444">
      <w:pPr>
        <w:rPr>
          <w:rFonts w:ascii="Calibri" w:hAnsi="Calibri" w:cs="Calibri"/>
          <w:sz w:val="22"/>
          <w:szCs w:val="22"/>
        </w:rPr>
      </w:pPr>
      <w:r w:rsidRPr="00B17444">
        <w:rPr>
          <w:rFonts w:ascii="Calibri" w:hAnsi="Calibri" w:cs="Calibri"/>
          <w:sz w:val="22"/>
          <w:szCs w:val="22"/>
        </w:rPr>
        <w:t>Quadrant 2 – Objectives</w:t>
      </w:r>
    </w:p>
    <w:p w14:paraId="717A68B3"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Restore damaged infrastructure rapidly</w:t>
      </w:r>
    </w:p>
    <w:p w14:paraId="3E3244D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Ensure long-term safety and climate resilience</w:t>
      </w:r>
    </w:p>
    <w:p w14:paraId="5EE607D5"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Minimise disruptions to communities and business operations.</w:t>
      </w:r>
    </w:p>
    <w:p w14:paraId="2D3B98D8"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Reinforce slope and drainage systems to reduce future vulnerabilities</w:t>
      </w:r>
    </w:p>
    <w:p w14:paraId="62635867" w14:textId="77777777" w:rsidR="00EF16EB" w:rsidRPr="00B17444" w:rsidRDefault="00EF16EB" w:rsidP="00B17444">
      <w:pPr>
        <w:rPr>
          <w:rFonts w:ascii="Calibri" w:hAnsi="Calibri" w:cs="Calibri"/>
          <w:sz w:val="22"/>
          <w:szCs w:val="22"/>
        </w:rPr>
      </w:pPr>
    </w:p>
    <w:p w14:paraId="184361A1"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Quadrant 3 – Approach / Methodology</w:t>
      </w:r>
    </w:p>
    <w:p w14:paraId="65049A9E"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Apply the PMBOK project life cycle</w:t>
      </w:r>
    </w:p>
    <w:p w14:paraId="0CAEF4A3"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Implement WBS, Gantt chart, EVM and stakeholder engagement plan</w:t>
      </w:r>
    </w:p>
    <w:p w14:paraId="19BEDF19"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Conduct engineering assessments and environmental compliance</w:t>
      </w:r>
    </w:p>
    <w:p w14:paraId="59DD1476"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Integrate climate-resistant construction methods</w:t>
      </w:r>
    </w:p>
    <w:p w14:paraId="1166D9AC" w14:textId="77777777" w:rsidR="00EF16EB" w:rsidRPr="00B17444" w:rsidRDefault="00EF16EB" w:rsidP="00B17444">
      <w:pPr>
        <w:rPr>
          <w:rFonts w:ascii="Calibri" w:hAnsi="Calibri" w:cs="Calibri"/>
          <w:sz w:val="22"/>
          <w:szCs w:val="22"/>
        </w:rPr>
      </w:pPr>
    </w:p>
    <w:p w14:paraId="31B9570E"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Quadrant 4 – Expected Outcomes</w:t>
      </w:r>
    </w:p>
    <w:p w14:paraId="11A2AF1A"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Fully restored transportation corridor</w:t>
      </w:r>
    </w:p>
    <w:p w14:paraId="7A936B22" w14:textId="77777777" w:rsidR="00EF16EB" w:rsidRPr="00B17444" w:rsidRDefault="00EF16EB" w:rsidP="00B17444">
      <w:pPr>
        <w:rPr>
          <w:rFonts w:ascii="Calibri" w:hAnsi="Calibri" w:cs="Calibri"/>
          <w:sz w:val="22"/>
          <w:szCs w:val="22"/>
        </w:rPr>
      </w:pPr>
      <w:r w:rsidRPr="00B17444">
        <w:rPr>
          <w:rFonts w:ascii="Calibri" w:hAnsi="Calibri" w:cs="Calibri"/>
          <w:sz w:val="22"/>
          <w:szCs w:val="22"/>
        </w:rPr>
        <w:t>Improved infrastructure resilience to extreme weather</w:t>
      </w:r>
    </w:p>
    <w:p w14:paraId="37485181" w14:textId="7A47583F" w:rsidR="00EF16EB" w:rsidRPr="00B17444" w:rsidRDefault="00EF16EB" w:rsidP="00B17444">
      <w:pPr>
        <w:rPr>
          <w:rFonts w:ascii="Calibri" w:hAnsi="Calibri" w:cs="Calibri"/>
          <w:sz w:val="22"/>
          <w:szCs w:val="22"/>
        </w:rPr>
      </w:pPr>
      <w:r w:rsidRPr="00B17444">
        <w:rPr>
          <w:rFonts w:ascii="Calibri" w:hAnsi="Calibri" w:cs="Calibri"/>
          <w:sz w:val="22"/>
          <w:szCs w:val="22"/>
        </w:rPr>
        <w:t>Stabilised regional supply chains.</w:t>
      </w:r>
    </w:p>
    <w:p w14:paraId="45C98765" w14:textId="6C6B9A0D" w:rsidR="00357F91" w:rsidRPr="00B17444" w:rsidRDefault="00EF16EB" w:rsidP="00B17444">
      <w:pPr>
        <w:rPr>
          <w:rFonts w:ascii="Calibri" w:hAnsi="Calibri" w:cs="Calibri"/>
          <w:sz w:val="22"/>
          <w:szCs w:val="22"/>
        </w:rPr>
      </w:pPr>
      <w:r w:rsidRPr="00B17444">
        <w:rPr>
          <w:rFonts w:ascii="Calibri" w:hAnsi="Calibri" w:cs="Calibri"/>
          <w:sz w:val="22"/>
          <w:szCs w:val="22"/>
        </w:rPr>
        <w:t>Increased public safety and mobility</w:t>
      </w:r>
    </w:p>
    <w:p w14:paraId="4A4947F3" w14:textId="77777777" w:rsidR="00EF16EB" w:rsidRPr="00B17444" w:rsidRDefault="00EF16EB" w:rsidP="00B17444">
      <w:pPr>
        <w:rPr>
          <w:rFonts w:ascii="Calibri" w:hAnsi="Calibri" w:cs="Calibri"/>
          <w:sz w:val="22"/>
          <w:szCs w:val="22"/>
        </w:rPr>
      </w:pPr>
    </w:p>
    <w:p w14:paraId="2C5D86DD" w14:textId="77777777" w:rsidR="00113A26" w:rsidRDefault="00113A26" w:rsidP="00B17444">
      <w:pPr>
        <w:spacing w:after="160"/>
        <w:rPr>
          <w:rFonts w:ascii="Calibri" w:hAnsi="Calibri" w:cs="Calibri"/>
          <w:b/>
          <w:bCs/>
          <w:sz w:val="22"/>
          <w:szCs w:val="22"/>
        </w:rPr>
      </w:pPr>
    </w:p>
    <w:p w14:paraId="25F44DB3" w14:textId="77777777" w:rsidR="00113A26" w:rsidRDefault="00113A26" w:rsidP="00B17444">
      <w:pPr>
        <w:spacing w:after="160"/>
        <w:rPr>
          <w:rFonts w:ascii="Calibri" w:hAnsi="Calibri" w:cs="Calibri"/>
          <w:b/>
          <w:bCs/>
          <w:sz w:val="22"/>
          <w:szCs w:val="22"/>
        </w:rPr>
      </w:pPr>
    </w:p>
    <w:p w14:paraId="76452449" w14:textId="77777777" w:rsidR="00113A26" w:rsidRDefault="00113A26" w:rsidP="00B17444">
      <w:pPr>
        <w:spacing w:after="160"/>
        <w:rPr>
          <w:rFonts w:ascii="Calibri" w:hAnsi="Calibri" w:cs="Calibri"/>
          <w:b/>
          <w:bCs/>
          <w:sz w:val="22"/>
          <w:szCs w:val="22"/>
        </w:rPr>
      </w:pPr>
    </w:p>
    <w:p w14:paraId="44A2BB97" w14:textId="77777777" w:rsidR="00113A26" w:rsidRDefault="00113A26" w:rsidP="00B17444">
      <w:pPr>
        <w:spacing w:after="160"/>
        <w:rPr>
          <w:rFonts w:ascii="Calibri" w:hAnsi="Calibri" w:cs="Calibri"/>
          <w:b/>
          <w:bCs/>
          <w:sz w:val="22"/>
          <w:szCs w:val="22"/>
        </w:rPr>
      </w:pPr>
    </w:p>
    <w:p w14:paraId="4A256A60" w14:textId="77777777" w:rsidR="00113A26" w:rsidRDefault="00113A26" w:rsidP="00B17444">
      <w:pPr>
        <w:spacing w:after="160"/>
        <w:rPr>
          <w:rFonts w:ascii="Calibri" w:hAnsi="Calibri" w:cs="Calibri"/>
          <w:b/>
          <w:bCs/>
          <w:sz w:val="22"/>
          <w:szCs w:val="22"/>
        </w:rPr>
      </w:pPr>
    </w:p>
    <w:p w14:paraId="6D0FD335" w14:textId="77777777" w:rsidR="00113A26" w:rsidRDefault="00113A26" w:rsidP="00E15D6C">
      <w:pPr>
        <w:pStyle w:val="Heading1"/>
      </w:pPr>
    </w:p>
    <w:p w14:paraId="28E470F6" w14:textId="2DBAAFF0" w:rsidR="00EF16EB" w:rsidRPr="00831A83" w:rsidRDefault="00EF16EB" w:rsidP="00E15D6C">
      <w:pPr>
        <w:pStyle w:val="Heading1"/>
      </w:pPr>
      <w:bookmarkStart w:id="9" w:name="_Toc214622879"/>
      <w:r w:rsidRPr="00831A83">
        <w:t>Gant Chart</w:t>
      </w:r>
      <w:bookmarkEnd w:id="9"/>
      <w:r w:rsidRPr="00831A83">
        <w:t xml:space="preserve"> </w:t>
      </w:r>
    </w:p>
    <w:p w14:paraId="5ECE55BF" w14:textId="58D8F122" w:rsidR="00EF16EB" w:rsidRPr="00831A83" w:rsidRDefault="00EF16EB" w:rsidP="00B17444">
      <w:pPr>
        <w:spacing w:after="160"/>
        <w:rPr>
          <w:rFonts w:ascii="Calibri" w:hAnsi="Calibri" w:cs="Calibri"/>
          <w:b/>
          <w:bCs/>
          <w:sz w:val="22"/>
          <w:szCs w:val="22"/>
        </w:rPr>
      </w:pPr>
      <w:r w:rsidRPr="00831A83">
        <w:rPr>
          <w:rFonts w:ascii="Calibri" w:hAnsi="Calibri" w:cs="Calibri"/>
          <w:b/>
          <w:bCs/>
          <w:sz w:val="22"/>
          <w:szCs w:val="22"/>
        </w:rPr>
        <w:t>Detailed Gantt Schedule</w:t>
      </w:r>
    </w:p>
    <w:tbl>
      <w:tblPr>
        <w:tblW w:w="9280" w:type="dxa"/>
        <w:tblLook w:val="04A0" w:firstRow="1" w:lastRow="0" w:firstColumn="1" w:lastColumn="0" w:noHBand="0" w:noVBand="1"/>
      </w:tblPr>
      <w:tblGrid>
        <w:gridCol w:w="2049"/>
        <w:gridCol w:w="596"/>
        <w:gridCol w:w="599"/>
        <w:gridCol w:w="600"/>
        <w:gridCol w:w="597"/>
        <w:gridCol w:w="627"/>
        <w:gridCol w:w="597"/>
        <w:gridCol w:w="592"/>
        <w:gridCol w:w="600"/>
        <w:gridCol w:w="600"/>
        <w:gridCol w:w="598"/>
        <w:gridCol w:w="610"/>
        <w:gridCol w:w="615"/>
      </w:tblGrid>
      <w:tr w:rsidR="00113A26" w:rsidRPr="00113A26" w14:paraId="76D754FA" w14:textId="77777777" w:rsidTr="00113A26">
        <w:trPr>
          <w:trHeight w:val="300"/>
        </w:trPr>
        <w:tc>
          <w:tcPr>
            <w:tcW w:w="2080" w:type="dxa"/>
            <w:tcBorders>
              <w:top w:val="single" w:sz="8" w:space="0" w:color="auto"/>
              <w:left w:val="single" w:sz="8" w:space="0" w:color="auto"/>
              <w:bottom w:val="single" w:sz="4" w:space="0" w:color="auto"/>
              <w:right w:val="single" w:sz="4" w:space="0" w:color="auto"/>
            </w:tcBorders>
            <w:vAlign w:val="center"/>
            <w:hideMark/>
          </w:tcPr>
          <w:p w14:paraId="6F11CB30"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Activity</w:t>
            </w:r>
          </w:p>
        </w:tc>
        <w:tc>
          <w:tcPr>
            <w:tcW w:w="600" w:type="dxa"/>
            <w:tcBorders>
              <w:top w:val="single" w:sz="8" w:space="0" w:color="auto"/>
              <w:left w:val="nil"/>
              <w:bottom w:val="single" w:sz="4" w:space="0" w:color="auto"/>
              <w:right w:val="single" w:sz="4" w:space="0" w:color="auto"/>
            </w:tcBorders>
            <w:vAlign w:val="center"/>
            <w:hideMark/>
          </w:tcPr>
          <w:p w14:paraId="18ACF0F2"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Jan</w:t>
            </w:r>
          </w:p>
        </w:tc>
        <w:tc>
          <w:tcPr>
            <w:tcW w:w="600" w:type="dxa"/>
            <w:tcBorders>
              <w:top w:val="single" w:sz="8" w:space="0" w:color="auto"/>
              <w:left w:val="nil"/>
              <w:bottom w:val="single" w:sz="4" w:space="0" w:color="auto"/>
              <w:right w:val="single" w:sz="4" w:space="0" w:color="auto"/>
            </w:tcBorders>
            <w:vAlign w:val="center"/>
            <w:hideMark/>
          </w:tcPr>
          <w:p w14:paraId="3DA42059"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Feb</w:t>
            </w:r>
          </w:p>
        </w:tc>
        <w:tc>
          <w:tcPr>
            <w:tcW w:w="600" w:type="dxa"/>
            <w:tcBorders>
              <w:top w:val="single" w:sz="8" w:space="0" w:color="auto"/>
              <w:left w:val="nil"/>
              <w:bottom w:val="single" w:sz="4" w:space="0" w:color="auto"/>
              <w:right w:val="single" w:sz="4" w:space="0" w:color="auto"/>
            </w:tcBorders>
            <w:vAlign w:val="center"/>
            <w:hideMark/>
          </w:tcPr>
          <w:p w14:paraId="5C79C528"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Mar</w:t>
            </w:r>
          </w:p>
        </w:tc>
        <w:tc>
          <w:tcPr>
            <w:tcW w:w="600" w:type="dxa"/>
            <w:tcBorders>
              <w:top w:val="single" w:sz="8" w:space="0" w:color="auto"/>
              <w:left w:val="nil"/>
              <w:bottom w:val="single" w:sz="4" w:space="0" w:color="auto"/>
              <w:right w:val="single" w:sz="4" w:space="0" w:color="auto"/>
            </w:tcBorders>
            <w:vAlign w:val="center"/>
            <w:hideMark/>
          </w:tcPr>
          <w:p w14:paraId="468D6CAB"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Apr</w:t>
            </w:r>
          </w:p>
        </w:tc>
        <w:tc>
          <w:tcPr>
            <w:tcW w:w="600" w:type="dxa"/>
            <w:tcBorders>
              <w:top w:val="single" w:sz="8" w:space="0" w:color="auto"/>
              <w:left w:val="nil"/>
              <w:bottom w:val="single" w:sz="4" w:space="0" w:color="auto"/>
              <w:right w:val="single" w:sz="4" w:space="0" w:color="auto"/>
            </w:tcBorders>
            <w:vAlign w:val="center"/>
            <w:hideMark/>
          </w:tcPr>
          <w:p w14:paraId="3A8EAD7E"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May</w:t>
            </w:r>
          </w:p>
        </w:tc>
        <w:tc>
          <w:tcPr>
            <w:tcW w:w="600" w:type="dxa"/>
            <w:tcBorders>
              <w:top w:val="single" w:sz="8" w:space="0" w:color="auto"/>
              <w:left w:val="nil"/>
              <w:bottom w:val="single" w:sz="4" w:space="0" w:color="auto"/>
              <w:right w:val="single" w:sz="4" w:space="0" w:color="auto"/>
            </w:tcBorders>
            <w:vAlign w:val="center"/>
            <w:hideMark/>
          </w:tcPr>
          <w:p w14:paraId="0EA29EA8"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Jun</w:t>
            </w:r>
          </w:p>
        </w:tc>
        <w:tc>
          <w:tcPr>
            <w:tcW w:w="600" w:type="dxa"/>
            <w:tcBorders>
              <w:top w:val="single" w:sz="8" w:space="0" w:color="auto"/>
              <w:left w:val="nil"/>
              <w:bottom w:val="single" w:sz="4" w:space="0" w:color="auto"/>
              <w:right w:val="single" w:sz="4" w:space="0" w:color="auto"/>
            </w:tcBorders>
            <w:vAlign w:val="center"/>
            <w:hideMark/>
          </w:tcPr>
          <w:p w14:paraId="0FAD4B61"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Jul</w:t>
            </w:r>
          </w:p>
        </w:tc>
        <w:tc>
          <w:tcPr>
            <w:tcW w:w="600" w:type="dxa"/>
            <w:tcBorders>
              <w:top w:val="single" w:sz="8" w:space="0" w:color="auto"/>
              <w:left w:val="nil"/>
              <w:bottom w:val="single" w:sz="4" w:space="0" w:color="auto"/>
              <w:right w:val="single" w:sz="4" w:space="0" w:color="auto"/>
            </w:tcBorders>
            <w:vAlign w:val="center"/>
            <w:hideMark/>
          </w:tcPr>
          <w:p w14:paraId="0631927F"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Aug</w:t>
            </w:r>
          </w:p>
        </w:tc>
        <w:tc>
          <w:tcPr>
            <w:tcW w:w="600" w:type="dxa"/>
            <w:tcBorders>
              <w:top w:val="single" w:sz="8" w:space="0" w:color="auto"/>
              <w:left w:val="nil"/>
              <w:bottom w:val="single" w:sz="4" w:space="0" w:color="auto"/>
              <w:right w:val="single" w:sz="4" w:space="0" w:color="auto"/>
            </w:tcBorders>
            <w:vAlign w:val="center"/>
            <w:hideMark/>
          </w:tcPr>
          <w:p w14:paraId="36CDC5D7"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Sep</w:t>
            </w:r>
          </w:p>
        </w:tc>
        <w:tc>
          <w:tcPr>
            <w:tcW w:w="600" w:type="dxa"/>
            <w:tcBorders>
              <w:top w:val="single" w:sz="8" w:space="0" w:color="auto"/>
              <w:left w:val="nil"/>
              <w:bottom w:val="single" w:sz="4" w:space="0" w:color="auto"/>
              <w:right w:val="single" w:sz="4" w:space="0" w:color="auto"/>
            </w:tcBorders>
            <w:vAlign w:val="center"/>
            <w:hideMark/>
          </w:tcPr>
          <w:p w14:paraId="0F2B8953"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Oct</w:t>
            </w:r>
          </w:p>
        </w:tc>
        <w:tc>
          <w:tcPr>
            <w:tcW w:w="600" w:type="dxa"/>
            <w:tcBorders>
              <w:top w:val="single" w:sz="8" w:space="0" w:color="auto"/>
              <w:left w:val="nil"/>
              <w:bottom w:val="single" w:sz="4" w:space="0" w:color="auto"/>
              <w:right w:val="single" w:sz="4" w:space="0" w:color="auto"/>
            </w:tcBorders>
            <w:vAlign w:val="center"/>
            <w:hideMark/>
          </w:tcPr>
          <w:p w14:paraId="143FDBD1"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Nov</w:t>
            </w:r>
          </w:p>
        </w:tc>
        <w:tc>
          <w:tcPr>
            <w:tcW w:w="600" w:type="dxa"/>
            <w:tcBorders>
              <w:top w:val="single" w:sz="8" w:space="0" w:color="auto"/>
              <w:left w:val="nil"/>
              <w:bottom w:val="single" w:sz="4" w:space="0" w:color="auto"/>
              <w:right w:val="single" w:sz="8" w:space="0" w:color="auto"/>
            </w:tcBorders>
            <w:vAlign w:val="center"/>
            <w:hideMark/>
          </w:tcPr>
          <w:p w14:paraId="70E0B046" w14:textId="77777777" w:rsidR="00113A26" w:rsidRPr="00113A26" w:rsidRDefault="00113A26" w:rsidP="007A0EFD">
            <w:pPr>
              <w:spacing w:line="240" w:lineRule="auto"/>
              <w:jc w:val="center"/>
              <w:rPr>
                <w:rFonts w:ascii="Aptos" w:eastAsia="Times New Roman" w:hAnsi="Aptos" w:cs="Times New Roman"/>
                <w:b/>
                <w:bCs/>
                <w:color w:val="000000"/>
                <w:kern w:val="0"/>
                <w:sz w:val="22"/>
                <w:szCs w:val="22"/>
                <w:lang w:eastAsia="en-GB"/>
                <w14:ligatures w14:val="none"/>
              </w:rPr>
            </w:pPr>
            <w:r w:rsidRPr="00113A26">
              <w:rPr>
                <w:rFonts w:ascii="Aptos" w:eastAsia="Times New Roman" w:hAnsi="Aptos" w:cs="Times New Roman"/>
                <w:b/>
                <w:bCs/>
                <w:color w:val="000000"/>
                <w:kern w:val="0"/>
                <w:sz w:val="22"/>
                <w:szCs w:val="22"/>
                <w:lang w:eastAsia="en-GB"/>
                <w14:ligatures w14:val="none"/>
              </w:rPr>
              <w:t>Dec</w:t>
            </w:r>
          </w:p>
        </w:tc>
      </w:tr>
      <w:tr w:rsidR="00113A26" w:rsidRPr="00113A26" w14:paraId="1B54D935" w14:textId="77777777" w:rsidTr="00113A26">
        <w:trPr>
          <w:trHeight w:val="300"/>
        </w:trPr>
        <w:tc>
          <w:tcPr>
            <w:tcW w:w="2080" w:type="dxa"/>
            <w:tcBorders>
              <w:top w:val="nil"/>
              <w:left w:val="single" w:sz="8" w:space="0" w:color="auto"/>
              <w:bottom w:val="single" w:sz="4" w:space="0" w:color="auto"/>
              <w:right w:val="single" w:sz="4" w:space="0" w:color="auto"/>
            </w:tcBorders>
            <w:vAlign w:val="center"/>
            <w:hideMark/>
          </w:tcPr>
          <w:p w14:paraId="3DE3FC39"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Initiation</w:t>
            </w:r>
          </w:p>
        </w:tc>
        <w:tc>
          <w:tcPr>
            <w:tcW w:w="600" w:type="dxa"/>
            <w:tcBorders>
              <w:top w:val="nil"/>
              <w:left w:val="nil"/>
              <w:bottom w:val="single" w:sz="4" w:space="0" w:color="auto"/>
              <w:right w:val="single" w:sz="4" w:space="0" w:color="auto"/>
            </w:tcBorders>
            <w:vAlign w:val="center"/>
            <w:hideMark/>
          </w:tcPr>
          <w:p w14:paraId="6E4FE4DB"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0A0B90B6"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78BB4000" w14:textId="2492860A"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42932E72" w14:textId="242CE2C2"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23699B5D" w14:textId="6903FDF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257A115C" w14:textId="59341174"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6F8B057" w14:textId="3D8E659C"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1D91E31B" w14:textId="1ADCDCAD"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00C25310" w14:textId="260AABD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9F92E88" w14:textId="02704762"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277AE735" w14:textId="286F2503"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8" w:space="0" w:color="auto"/>
            </w:tcBorders>
            <w:vAlign w:val="center"/>
            <w:hideMark/>
          </w:tcPr>
          <w:p w14:paraId="3104AC5A" w14:textId="4AEBB69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r>
      <w:tr w:rsidR="00113A26" w:rsidRPr="00113A26" w14:paraId="4B5D50B2" w14:textId="77777777" w:rsidTr="00113A26">
        <w:trPr>
          <w:trHeight w:val="300"/>
        </w:trPr>
        <w:tc>
          <w:tcPr>
            <w:tcW w:w="2080" w:type="dxa"/>
            <w:tcBorders>
              <w:top w:val="nil"/>
              <w:left w:val="single" w:sz="8" w:space="0" w:color="auto"/>
              <w:bottom w:val="single" w:sz="4" w:space="0" w:color="auto"/>
              <w:right w:val="single" w:sz="4" w:space="0" w:color="auto"/>
            </w:tcBorders>
            <w:vAlign w:val="center"/>
            <w:hideMark/>
          </w:tcPr>
          <w:p w14:paraId="211D77EF"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Planning</w:t>
            </w:r>
          </w:p>
        </w:tc>
        <w:tc>
          <w:tcPr>
            <w:tcW w:w="600" w:type="dxa"/>
            <w:tcBorders>
              <w:top w:val="nil"/>
              <w:left w:val="nil"/>
              <w:bottom w:val="single" w:sz="4" w:space="0" w:color="auto"/>
              <w:right w:val="single" w:sz="4" w:space="0" w:color="auto"/>
            </w:tcBorders>
            <w:vAlign w:val="center"/>
            <w:hideMark/>
          </w:tcPr>
          <w:p w14:paraId="028ECFB7" w14:textId="4FC888C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BC34253"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4CD42F63"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032AD384" w14:textId="5B3551C0"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1D012DAC" w14:textId="278E29D0"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141D43C" w14:textId="13E6DC18"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577EDD7" w14:textId="1A963BCB"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44EC4E76" w14:textId="1080A1A2"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88ADA49" w14:textId="31C570E2"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41E4FF0E" w14:textId="7E886E4E"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0919A271" w14:textId="52FCAF3B"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8" w:space="0" w:color="auto"/>
            </w:tcBorders>
            <w:vAlign w:val="center"/>
            <w:hideMark/>
          </w:tcPr>
          <w:p w14:paraId="3779812C" w14:textId="42DB3EE1"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r>
      <w:tr w:rsidR="00113A26" w:rsidRPr="00113A26" w14:paraId="16D4744E" w14:textId="77777777" w:rsidTr="00113A26">
        <w:trPr>
          <w:trHeight w:val="900"/>
        </w:trPr>
        <w:tc>
          <w:tcPr>
            <w:tcW w:w="2080" w:type="dxa"/>
            <w:tcBorders>
              <w:top w:val="nil"/>
              <w:left w:val="single" w:sz="8" w:space="0" w:color="auto"/>
              <w:bottom w:val="single" w:sz="4" w:space="0" w:color="auto"/>
              <w:right w:val="single" w:sz="4" w:space="0" w:color="auto"/>
            </w:tcBorders>
            <w:vAlign w:val="center"/>
            <w:hideMark/>
          </w:tcPr>
          <w:p w14:paraId="55EDA317"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Engineering assessment &amp; design</w:t>
            </w:r>
          </w:p>
        </w:tc>
        <w:tc>
          <w:tcPr>
            <w:tcW w:w="600" w:type="dxa"/>
            <w:tcBorders>
              <w:top w:val="nil"/>
              <w:left w:val="nil"/>
              <w:bottom w:val="single" w:sz="4" w:space="0" w:color="auto"/>
              <w:right w:val="single" w:sz="4" w:space="0" w:color="auto"/>
            </w:tcBorders>
            <w:vAlign w:val="center"/>
            <w:hideMark/>
          </w:tcPr>
          <w:p w14:paraId="18968ED0" w14:textId="70080C69"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2F172CA" w14:textId="7FD10DB4"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3CD962F"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61076B01"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74A0EEB6"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5CF2A4CA" w14:textId="1207B272"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3A8D024" w14:textId="4C558339"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E45F175" w14:textId="07980A50"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C4D036D" w14:textId="6ED0420D"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718931FB" w14:textId="4682E642"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74F4BAB" w14:textId="26C83D6E"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8" w:space="0" w:color="auto"/>
            </w:tcBorders>
            <w:vAlign w:val="center"/>
            <w:hideMark/>
          </w:tcPr>
          <w:p w14:paraId="78169EBB" w14:textId="6AE97B6D"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r>
      <w:tr w:rsidR="00113A26" w:rsidRPr="00113A26" w14:paraId="3257C17F" w14:textId="77777777" w:rsidTr="00113A26">
        <w:trPr>
          <w:trHeight w:val="600"/>
        </w:trPr>
        <w:tc>
          <w:tcPr>
            <w:tcW w:w="2080" w:type="dxa"/>
            <w:tcBorders>
              <w:top w:val="nil"/>
              <w:left w:val="single" w:sz="8" w:space="0" w:color="auto"/>
              <w:bottom w:val="single" w:sz="4" w:space="0" w:color="auto"/>
              <w:right w:val="single" w:sz="4" w:space="0" w:color="auto"/>
            </w:tcBorders>
            <w:vAlign w:val="center"/>
            <w:hideMark/>
          </w:tcPr>
          <w:p w14:paraId="6F7E9E4A"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Procurement &amp; mobilisation</w:t>
            </w:r>
          </w:p>
        </w:tc>
        <w:tc>
          <w:tcPr>
            <w:tcW w:w="600" w:type="dxa"/>
            <w:tcBorders>
              <w:top w:val="nil"/>
              <w:left w:val="nil"/>
              <w:bottom w:val="single" w:sz="4" w:space="0" w:color="auto"/>
              <w:right w:val="single" w:sz="4" w:space="0" w:color="auto"/>
            </w:tcBorders>
            <w:vAlign w:val="center"/>
            <w:hideMark/>
          </w:tcPr>
          <w:p w14:paraId="678B616F" w14:textId="1A30F5F8"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925D688" w14:textId="6358D7D3"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BA41F3B" w14:textId="625CA459"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124F15FE"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7F0B78FA"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762D0880" w14:textId="1719DD5A"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8AC161B" w14:textId="564D7234"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CD8CA2C" w14:textId="74230AAE"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3D0D4F2" w14:textId="7F5DB496"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D863562" w14:textId="48E5D69A"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00BAD8E8" w14:textId="3466B261"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8" w:space="0" w:color="auto"/>
            </w:tcBorders>
            <w:vAlign w:val="center"/>
            <w:hideMark/>
          </w:tcPr>
          <w:p w14:paraId="1B1FE9C4" w14:textId="62D6044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r>
      <w:tr w:rsidR="00113A26" w:rsidRPr="00113A26" w14:paraId="1B778B8F" w14:textId="77777777" w:rsidTr="00113A26">
        <w:trPr>
          <w:trHeight w:val="600"/>
        </w:trPr>
        <w:tc>
          <w:tcPr>
            <w:tcW w:w="2080" w:type="dxa"/>
            <w:tcBorders>
              <w:top w:val="nil"/>
              <w:left w:val="single" w:sz="8" w:space="0" w:color="auto"/>
              <w:bottom w:val="single" w:sz="4" w:space="0" w:color="auto"/>
              <w:right w:val="single" w:sz="4" w:space="0" w:color="auto"/>
            </w:tcBorders>
            <w:vAlign w:val="center"/>
            <w:hideMark/>
          </w:tcPr>
          <w:p w14:paraId="6BA6FA71"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Bridge reconstruction</w:t>
            </w:r>
          </w:p>
        </w:tc>
        <w:tc>
          <w:tcPr>
            <w:tcW w:w="600" w:type="dxa"/>
            <w:tcBorders>
              <w:top w:val="nil"/>
              <w:left w:val="nil"/>
              <w:bottom w:val="single" w:sz="4" w:space="0" w:color="auto"/>
              <w:right w:val="single" w:sz="4" w:space="0" w:color="auto"/>
            </w:tcBorders>
            <w:vAlign w:val="center"/>
            <w:hideMark/>
          </w:tcPr>
          <w:p w14:paraId="7FE2A650" w14:textId="47703912"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5134AD1" w14:textId="374A305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402A023A" w14:textId="342E7545"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26A43DCB" w14:textId="755599DA"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05E35C9B"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7E646133"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6BF1D8E3"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381A63F1"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6778E88B" w14:textId="6FFC2C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247E0E17" w14:textId="3842BD34"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12EF49EC" w14:textId="736143FC"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8" w:space="0" w:color="auto"/>
            </w:tcBorders>
            <w:vAlign w:val="center"/>
            <w:hideMark/>
          </w:tcPr>
          <w:p w14:paraId="00F393BE" w14:textId="757A216A"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r>
      <w:tr w:rsidR="00113A26" w:rsidRPr="00113A26" w14:paraId="01D8C536" w14:textId="77777777" w:rsidTr="00113A26">
        <w:trPr>
          <w:trHeight w:val="600"/>
        </w:trPr>
        <w:tc>
          <w:tcPr>
            <w:tcW w:w="2080" w:type="dxa"/>
            <w:tcBorders>
              <w:top w:val="nil"/>
              <w:left w:val="single" w:sz="8" w:space="0" w:color="auto"/>
              <w:bottom w:val="single" w:sz="4" w:space="0" w:color="auto"/>
              <w:right w:val="single" w:sz="4" w:space="0" w:color="auto"/>
            </w:tcBorders>
            <w:vAlign w:val="center"/>
            <w:hideMark/>
          </w:tcPr>
          <w:p w14:paraId="5431B4E1"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Road reconstruction</w:t>
            </w:r>
          </w:p>
        </w:tc>
        <w:tc>
          <w:tcPr>
            <w:tcW w:w="600" w:type="dxa"/>
            <w:tcBorders>
              <w:top w:val="nil"/>
              <w:left w:val="nil"/>
              <w:bottom w:val="single" w:sz="4" w:space="0" w:color="auto"/>
              <w:right w:val="single" w:sz="4" w:space="0" w:color="auto"/>
            </w:tcBorders>
            <w:vAlign w:val="center"/>
            <w:hideMark/>
          </w:tcPr>
          <w:p w14:paraId="11F50F78" w14:textId="6960DDE9"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015F23CC" w14:textId="442E1DF8"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9ECFB3D" w14:textId="38408345"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36F1A7E" w14:textId="1DF8AF2E"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8583614" w14:textId="68654BA1"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1B1F8319"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22F503CA"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2C9F2E95"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71CAC791"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0B5703C9"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2438DE1C" w14:textId="11134A1D"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8" w:space="0" w:color="auto"/>
            </w:tcBorders>
            <w:vAlign w:val="center"/>
            <w:hideMark/>
          </w:tcPr>
          <w:p w14:paraId="34AD9278" w14:textId="2C0F0038"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r>
      <w:tr w:rsidR="00113A26" w:rsidRPr="00113A26" w14:paraId="1629122E" w14:textId="77777777" w:rsidTr="00113A26">
        <w:trPr>
          <w:trHeight w:val="600"/>
        </w:trPr>
        <w:tc>
          <w:tcPr>
            <w:tcW w:w="2080" w:type="dxa"/>
            <w:tcBorders>
              <w:top w:val="nil"/>
              <w:left w:val="single" w:sz="8" w:space="0" w:color="auto"/>
              <w:bottom w:val="single" w:sz="4" w:space="0" w:color="auto"/>
              <w:right w:val="single" w:sz="4" w:space="0" w:color="auto"/>
            </w:tcBorders>
            <w:vAlign w:val="center"/>
            <w:hideMark/>
          </w:tcPr>
          <w:p w14:paraId="74126442"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Drainage &amp; slope stabilisation</w:t>
            </w:r>
          </w:p>
        </w:tc>
        <w:tc>
          <w:tcPr>
            <w:tcW w:w="600" w:type="dxa"/>
            <w:tcBorders>
              <w:top w:val="nil"/>
              <w:left w:val="nil"/>
              <w:bottom w:val="single" w:sz="4" w:space="0" w:color="auto"/>
              <w:right w:val="single" w:sz="4" w:space="0" w:color="auto"/>
            </w:tcBorders>
            <w:vAlign w:val="center"/>
            <w:hideMark/>
          </w:tcPr>
          <w:p w14:paraId="009D284D" w14:textId="56883B56"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281FC0CE" w14:textId="435927A9"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5346677" w14:textId="4E535AEE"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264BE173" w14:textId="6ED442C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4814BE76" w14:textId="6014040C"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EDB8BDB"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27914C58"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0C2A8225"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55CF856E"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153EAB73" w14:textId="7AEC1C25"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20441021" w14:textId="4F00A4D6"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8" w:space="0" w:color="auto"/>
            </w:tcBorders>
            <w:vAlign w:val="center"/>
            <w:hideMark/>
          </w:tcPr>
          <w:p w14:paraId="6E2B820D" w14:textId="66C08712"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r>
      <w:tr w:rsidR="00113A26" w:rsidRPr="00113A26" w14:paraId="1AB90015" w14:textId="77777777" w:rsidTr="00113A26">
        <w:trPr>
          <w:trHeight w:val="600"/>
        </w:trPr>
        <w:tc>
          <w:tcPr>
            <w:tcW w:w="2080" w:type="dxa"/>
            <w:tcBorders>
              <w:top w:val="nil"/>
              <w:left w:val="single" w:sz="8" w:space="0" w:color="auto"/>
              <w:bottom w:val="single" w:sz="4" w:space="0" w:color="auto"/>
              <w:right w:val="single" w:sz="4" w:space="0" w:color="auto"/>
            </w:tcBorders>
            <w:vAlign w:val="center"/>
            <w:hideMark/>
          </w:tcPr>
          <w:p w14:paraId="40AB2017"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Quality inspections &amp; testing</w:t>
            </w:r>
          </w:p>
        </w:tc>
        <w:tc>
          <w:tcPr>
            <w:tcW w:w="600" w:type="dxa"/>
            <w:tcBorders>
              <w:top w:val="nil"/>
              <w:left w:val="nil"/>
              <w:bottom w:val="single" w:sz="4" w:space="0" w:color="auto"/>
              <w:right w:val="single" w:sz="4" w:space="0" w:color="auto"/>
            </w:tcBorders>
            <w:vAlign w:val="center"/>
            <w:hideMark/>
          </w:tcPr>
          <w:p w14:paraId="7FFAE0BA" w14:textId="030ABBD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68C3F9F" w14:textId="4DD616EE"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D71A0EF" w14:textId="293A75CA"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6B37D96C" w14:textId="42C5A23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589CF3F4" w14:textId="32EE18E3"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1847AAE4" w14:textId="733D99AC"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107398BD" w14:textId="1D3D5A31"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4" w:space="0" w:color="auto"/>
              <w:right w:val="single" w:sz="4" w:space="0" w:color="auto"/>
            </w:tcBorders>
            <w:vAlign w:val="center"/>
            <w:hideMark/>
          </w:tcPr>
          <w:p w14:paraId="3DB74F12"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3C613929"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78DAA8A4"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4" w:space="0" w:color="auto"/>
            </w:tcBorders>
            <w:vAlign w:val="center"/>
            <w:hideMark/>
          </w:tcPr>
          <w:p w14:paraId="7784981B"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c>
          <w:tcPr>
            <w:tcW w:w="600" w:type="dxa"/>
            <w:tcBorders>
              <w:top w:val="nil"/>
              <w:left w:val="nil"/>
              <w:bottom w:val="single" w:sz="4" w:space="0" w:color="auto"/>
              <w:right w:val="single" w:sz="8" w:space="0" w:color="auto"/>
            </w:tcBorders>
            <w:vAlign w:val="center"/>
            <w:hideMark/>
          </w:tcPr>
          <w:p w14:paraId="34CC3FD1" w14:textId="55B9C345"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r>
      <w:tr w:rsidR="00113A26" w:rsidRPr="00113A26" w14:paraId="0931D827" w14:textId="77777777" w:rsidTr="00113A26">
        <w:trPr>
          <w:trHeight w:val="615"/>
        </w:trPr>
        <w:tc>
          <w:tcPr>
            <w:tcW w:w="2080" w:type="dxa"/>
            <w:tcBorders>
              <w:top w:val="nil"/>
              <w:left w:val="single" w:sz="8" w:space="0" w:color="auto"/>
              <w:bottom w:val="single" w:sz="8" w:space="0" w:color="auto"/>
              <w:right w:val="single" w:sz="4" w:space="0" w:color="auto"/>
            </w:tcBorders>
            <w:vAlign w:val="center"/>
            <w:hideMark/>
          </w:tcPr>
          <w:p w14:paraId="4644E039" w14:textId="7777777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r w:rsidRPr="00113A26">
              <w:rPr>
                <w:rFonts w:ascii="Aptos" w:eastAsia="Times New Roman" w:hAnsi="Aptos" w:cs="Times New Roman"/>
                <w:color w:val="000000"/>
                <w:kern w:val="0"/>
                <w:sz w:val="22"/>
                <w:szCs w:val="22"/>
                <w:lang w:eastAsia="en-GB"/>
                <w14:ligatures w14:val="none"/>
              </w:rPr>
              <w:t>Project closure &amp; handover</w:t>
            </w:r>
          </w:p>
        </w:tc>
        <w:tc>
          <w:tcPr>
            <w:tcW w:w="600" w:type="dxa"/>
            <w:tcBorders>
              <w:top w:val="nil"/>
              <w:left w:val="nil"/>
              <w:bottom w:val="single" w:sz="8" w:space="0" w:color="auto"/>
              <w:right w:val="single" w:sz="4" w:space="0" w:color="auto"/>
            </w:tcBorders>
            <w:vAlign w:val="center"/>
            <w:hideMark/>
          </w:tcPr>
          <w:p w14:paraId="5B5AC631" w14:textId="5285141E"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44723DB0" w14:textId="5661ABD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6DB55463" w14:textId="7C0B7634"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607356CB" w14:textId="5EC2B42E"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43D59B43" w14:textId="6E873C53"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74B23A4B" w14:textId="55222068"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74735118" w14:textId="1942111F"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06FAFDAF" w14:textId="169795DA"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65E2CEB4" w14:textId="505C7987"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4920CF11" w14:textId="06AF05C4"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4" w:space="0" w:color="auto"/>
            </w:tcBorders>
            <w:vAlign w:val="center"/>
            <w:hideMark/>
          </w:tcPr>
          <w:p w14:paraId="0AB4ACCD" w14:textId="037CDBE4" w:rsidR="00113A26" w:rsidRPr="00113A26" w:rsidRDefault="00113A26" w:rsidP="007A0EFD">
            <w:pPr>
              <w:spacing w:line="240" w:lineRule="auto"/>
              <w:jc w:val="center"/>
              <w:rPr>
                <w:rFonts w:ascii="Aptos" w:eastAsia="Times New Roman" w:hAnsi="Aptos" w:cs="Times New Roman"/>
                <w:color w:val="000000"/>
                <w:kern w:val="0"/>
                <w:sz w:val="22"/>
                <w:szCs w:val="22"/>
                <w:lang w:eastAsia="en-GB"/>
                <w14:ligatures w14:val="none"/>
              </w:rPr>
            </w:pPr>
          </w:p>
        </w:tc>
        <w:tc>
          <w:tcPr>
            <w:tcW w:w="600" w:type="dxa"/>
            <w:tcBorders>
              <w:top w:val="nil"/>
              <w:left w:val="nil"/>
              <w:bottom w:val="single" w:sz="8" w:space="0" w:color="auto"/>
              <w:right w:val="single" w:sz="8" w:space="0" w:color="auto"/>
            </w:tcBorders>
            <w:vAlign w:val="center"/>
            <w:hideMark/>
          </w:tcPr>
          <w:p w14:paraId="5055DDFB" w14:textId="77777777" w:rsidR="00113A26" w:rsidRPr="00113A26" w:rsidRDefault="00113A26" w:rsidP="007A0EFD">
            <w:pPr>
              <w:spacing w:line="240" w:lineRule="auto"/>
              <w:jc w:val="center"/>
              <w:rPr>
                <w:rFonts w:ascii="Arial" w:eastAsia="Times New Roman" w:hAnsi="Arial" w:cs="Arial"/>
                <w:color w:val="000000"/>
                <w:kern w:val="0"/>
                <w:sz w:val="22"/>
                <w:szCs w:val="22"/>
                <w:lang w:eastAsia="en-GB"/>
                <w14:ligatures w14:val="none"/>
              </w:rPr>
            </w:pPr>
            <w:r w:rsidRPr="00113A26">
              <w:rPr>
                <w:rFonts w:ascii="Arial" w:eastAsia="Times New Roman" w:hAnsi="Arial" w:cs="Arial"/>
                <w:color w:val="000000"/>
                <w:kern w:val="0"/>
                <w:sz w:val="22"/>
                <w:szCs w:val="22"/>
                <w:lang w:eastAsia="en-GB"/>
                <w14:ligatures w14:val="none"/>
              </w:rPr>
              <w:t>█</w:t>
            </w:r>
          </w:p>
        </w:tc>
      </w:tr>
    </w:tbl>
    <w:p w14:paraId="33B7AFEA" w14:textId="77777777" w:rsidR="00EF16EB" w:rsidRPr="00B17444" w:rsidRDefault="00EF16EB" w:rsidP="00B17444">
      <w:pPr>
        <w:rPr>
          <w:rFonts w:ascii="Calibri" w:hAnsi="Calibri" w:cs="Calibri"/>
          <w:sz w:val="22"/>
          <w:szCs w:val="22"/>
        </w:rPr>
      </w:pPr>
    </w:p>
    <w:p w14:paraId="45C20AD8" w14:textId="77777777" w:rsidR="00B17444" w:rsidRPr="00B17444" w:rsidRDefault="00B17444" w:rsidP="00B17444">
      <w:pPr>
        <w:rPr>
          <w:rFonts w:ascii="Calibri" w:hAnsi="Calibri" w:cs="Calibri"/>
          <w:sz w:val="22"/>
          <w:szCs w:val="22"/>
        </w:rPr>
      </w:pPr>
    </w:p>
    <w:p w14:paraId="2FED8AAE" w14:textId="77777777" w:rsidR="00B17444" w:rsidRPr="00B17444" w:rsidRDefault="00B17444" w:rsidP="00B17444">
      <w:pPr>
        <w:rPr>
          <w:rFonts w:ascii="Calibri" w:hAnsi="Calibri" w:cs="Calibri"/>
          <w:sz w:val="22"/>
          <w:szCs w:val="22"/>
        </w:rPr>
      </w:pPr>
    </w:p>
    <w:p w14:paraId="31494AFF" w14:textId="77777777" w:rsidR="00B17444" w:rsidRPr="00B17444" w:rsidRDefault="00B17444" w:rsidP="00B17444">
      <w:pPr>
        <w:rPr>
          <w:rFonts w:ascii="Calibri" w:hAnsi="Calibri" w:cs="Calibri"/>
          <w:sz w:val="22"/>
          <w:szCs w:val="22"/>
        </w:rPr>
      </w:pPr>
    </w:p>
    <w:p w14:paraId="145BADF4" w14:textId="77777777" w:rsidR="00B17444" w:rsidRPr="00B17444" w:rsidRDefault="00B17444" w:rsidP="00B17444">
      <w:pPr>
        <w:rPr>
          <w:rFonts w:ascii="Calibri" w:hAnsi="Calibri" w:cs="Calibri"/>
          <w:sz w:val="22"/>
          <w:szCs w:val="22"/>
        </w:rPr>
      </w:pPr>
    </w:p>
    <w:p w14:paraId="50D86415" w14:textId="5C1760CF" w:rsidR="00B17444" w:rsidRPr="00B17444" w:rsidRDefault="00B17444" w:rsidP="00B17444">
      <w:pPr>
        <w:rPr>
          <w:rFonts w:ascii="Calibri" w:hAnsi="Calibri" w:cs="Calibri"/>
          <w:sz w:val="22"/>
          <w:szCs w:val="22"/>
        </w:rPr>
      </w:pPr>
      <w:r w:rsidRPr="00B17444">
        <w:rPr>
          <w:rFonts w:ascii="Calibri" w:hAnsi="Calibri" w:cs="Calibri"/>
          <w:sz w:val="22"/>
          <w:szCs w:val="22"/>
        </w:rPr>
        <w:t>Dependencies and Critical Path</w:t>
      </w:r>
    </w:p>
    <w:p w14:paraId="03E5E69D"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FS: Engineering → Procurement</w:t>
      </w:r>
    </w:p>
    <w:p w14:paraId="762E67A8" w14:textId="1E1163FF" w:rsidR="00B17444" w:rsidRPr="00B17444" w:rsidRDefault="00B17444" w:rsidP="00B17444">
      <w:pPr>
        <w:rPr>
          <w:rFonts w:ascii="Calibri" w:hAnsi="Calibri" w:cs="Calibri"/>
          <w:sz w:val="22"/>
          <w:szCs w:val="22"/>
        </w:rPr>
      </w:pPr>
      <w:r w:rsidRPr="00B17444">
        <w:rPr>
          <w:rFonts w:ascii="Calibri" w:hAnsi="Calibri" w:cs="Calibri"/>
          <w:sz w:val="22"/>
          <w:szCs w:val="22"/>
        </w:rPr>
        <w:t>FS: Procurement → Bridge works</w:t>
      </w:r>
    </w:p>
    <w:p w14:paraId="6D4B95C2"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lastRenderedPageBreak/>
        <w:t>SS: Drainage works → Roadbed stabilisation</w:t>
      </w:r>
    </w:p>
    <w:p w14:paraId="24EF02F4"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FF: Quality inspections → Construction completion</w:t>
      </w:r>
    </w:p>
    <w:p w14:paraId="00511353" w14:textId="77777777" w:rsidR="00B17444" w:rsidRPr="00B17444" w:rsidRDefault="00B17444" w:rsidP="00B17444">
      <w:pPr>
        <w:rPr>
          <w:rFonts w:ascii="Calibri" w:hAnsi="Calibri" w:cs="Calibri"/>
          <w:sz w:val="22"/>
          <w:szCs w:val="22"/>
        </w:rPr>
      </w:pPr>
    </w:p>
    <w:p w14:paraId="415F11F9"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Critical Path:</w:t>
      </w:r>
    </w:p>
    <w:p w14:paraId="7741477C"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Engineering Assessments → Procurement → Bridge Reconstruction → Road Reconstruction → Final Inspection</w:t>
      </w:r>
    </w:p>
    <w:p w14:paraId="1E6059F5" w14:textId="77777777" w:rsidR="00B17444" w:rsidRPr="00B17444" w:rsidRDefault="00B17444" w:rsidP="00B17444">
      <w:pPr>
        <w:rPr>
          <w:rFonts w:ascii="Calibri" w:hAnsi="Calibri" w:cs="Calibri"/>
          <w:sz w:val="22"/>
          <w:szCs w:val="22"/>
        </w:rPr>
      </w:pPr>
    </w:p>
    <w:p w14:paraId="7167D3DC" w14:textId="587882D0" w:rsidR="00B17444" w:rsidRPr="00B17444" w:rsidRDefault="00B17444" w:rsidP="00B17444">
      <w:pPr>
        <w:rPr>
          <w:rFonts w:ascii="Calibri" w:hAnsi="Calibri" w:cs="Calibri"/>
          <w:sz w:val="22"/>
          <w:szCs w:val="22"/>
        </w:rPr>
      </w:pPr>
      <w:r w:rsidRPr="00B17444">
        <w:rPr>
          <w:rFonts w:ascii="Calibri" w:hAnsi="Calibri" w:cs="Calibri"/>
          <w:sz w:val="22"/>
          <w:szCs w:val="22"/>
        </w:rPr>
        <w:t>Schedule Compression</w:t>
      </w:r>
    </w:p>
    <w:p w14:paraId="5CBD8402"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Fast-tracking: overlapping final design approval with procurement</w:t>
      </w:r>
    </w:p>
    <w:p w14:paraId="5045D26C"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Crashing: additional labour/machinery for bridge works</w:t>
      </w:r>
    </w:p>
    <w:p w14:paraId="21A65A45" w14:textId="77777777" w:rsidR="00B17444" w:rsidRPr="00B17444" w:rsidRDefault="00B17444" w:rsidP="00B17444">
      <w:pPr>
        <w:rPr>
          <w:rFonts w:ascii="Calibri" w:hAnsi="Calibri" w:cs="Calibri"/>
          <w:sz w:val="22"/>
          <w:szCs w:val="22"/>
        </w:rPr>
      </w:pPr>
    </w:p>
    <w:p w14:paraId="05E1C52A"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6.4 Monitoring Using EVM</w:t>
      </w:r>
    </w:p>
    <w:p w14:paraId="46945D27" w14:textId="77777777" w:rsidR="00B17444" w:rsidRDefault="00B17444" w:rsidP="00B17444">
      <w:pPr>
        <w:rPr>
          <w:rFonts w:ascii="Calibri" w:hAnsi="Calibri" w:cs="Calibri"/>
          <w:sz w:val="22"/>
          <w:szCs w:val="22"/>
        </w:rPr>
      </w:pPr>
      <w:r w:rsidRPr="00B17444">
        <w:rPr>
          <w:rFonts w:ascii="Calibri" w:hAnsi="Calibri" w:cs="Calibri"/>
          <w:sz w:val="22"/>
          <w:szCs w:val="22"/>
        </w:rPr>
        <w:t>SV = EV – PV</w:t>
      </w:r>
    </w:p>
    <w:p w14:paraId="77CA8CA0" w14:textId="5C8DCA3D" w:rsidR="00B17444" w:rsidRPr="00B17444" w:rsidRDefault="00B17444" w:rsidP="00B17444">
      <w:pPr>
        <w:rPr>
          <w:rFonts w:ascii="Calibri" w:hAnsi="Calibri" w:cs="Calibri"/>
          <w:sz w:val="22"/>
          <w:szCs w:val="22"/>
        </w:rPr>
      </w:pPr>
      <w:r w:rsidRPr="00B17444">
        <w:rPr>
          <w:rFonts w:ascii="Calibri" w:hAnsi="Calibri" w:cs="Calibri"/>
          <w:sz w:val="22"/>
          <w:szCs w:val="22"/>
        </w:rPr>
        <w:t>SPI = EV ÷ PV</w:t>
      </w:r>
    </w:p>
    <w:p w14:paraId="17212931" w14:textId="3081DBCC" w:rsidR="00B17444" w:rsidRPr="00B17444" w:rsidRDefault="00B17444" w:rsidP="00B17444">
      <w:pPr>
        <w:rPr>
          <w:rFonts w:ascii="Calibri" w:hAnsi="Calibri" w:cs="Calibri"/>
          <w:sz w:val="22"/>
          <w:szCs w:val="22"/>
        </w:rPr>
      </w:pPr>
      <w:r w:rsidRPr="00B17444">
        <w:rPr>
          <w:rFonts w:ascii="Calibri" w:hAnsi="Calibri" w:cs="Calibri"/>
          <w:sz w:val="22"/>
          <w:szCs w:val="22"/>
        </w:rPr>
        <w:t>EVM identifies early schedule slippage and informs corrective action.</w:t>
      </w:r>
    </w:p>
    <w:p w14:paraId="6A3BA5A5" w14:textId="77777777" w:rsidR="00B17444" w:rsidRPr="00B17444" w:rsidRDefault="00B17444" w:rsidP="00B17444">
      <w:pPr>
        <w:rPr>
          <w:rFonts w:ascii="Calibri" w:hAnsi="Calibri" w:cs="Calibri"/>
          <w:sz w:val="22"/>
          <w:szCs w:val="22"/>
        </w:rPr>
      </w:pPr>
    </w:p>
    <w:p w14:paraId="77382EE8" w14:textId="650EFDF1" w:rsidR="00B17444" w:rsidRPr="00831A83" w:rsidRDefault="00B17444" w:rsidP="007A5A68">
      <w:pPr>
        <w:pStyle w:val="Heading1"/>
      </w:pPr>
      <w:bookmarkStart w:id="10" w:name="_Toc214622880"/>
      <w:r w:rsidRPr="00831A83">
        <w:t>Stakeholder Involvement</w:t>
      </w:r>
      <w:bookmarkEnd w:id="10"/>
    </w:p>
    <w:p w14:paraId="416C83B3" w14:textId="24B16FB1" w:rsidR="00B17444" w:rsidRDefault="00B17444" w:rsidP="00B17444">
      <w:pPr>
        <w:spacing w:after="160"/>
        <w:rPr>
          <w:rFonts w:ascii="Calibri" w:hAnsi="Calibri" w:cs="Calibri"/>
          <w:sz w:val="22"/>
          <w:szCs w:val="22"/>
        </w:rPr>
      </w:pPr>
      <w:r w:rsidRPr="00831A83">
        <w:rPr>
          <w:rFonts w:ascii="Calibri" w:hAnsi="Calibri" w:cs="Calibri"/>
          <w:sz w:val="22"/>
          <w:szCs w:val="22"/>
        </w:rPr>
        <w:t xml:space="preserve">The poster identifies key stakeholders: government, municipalities, businesses, communities and environmental agencies (Project Poster, 2025). </w:t>
      </w:r>
    </w:p>
    <w:p w14:paraId="6EC98A6C" w14:textId="77777777" w:rsidR="00B17444" w:rsidRPr="00831A83" w:rsidRDefault="00B17444" w:rsidP="00B17444">
      <w:pPr>
        <w:spacing w:after="160"/>
        <w:rPr>
          <w:rFonts w:ascii="Calibri" w:hAnsi="Calibri" w:cs="Calibri"/>
          <w:sz w:val="22"/>
          <w:szCs w:val="22"/>
        </w:rPr>
      </w:pPr>
    </w:p>
    <w:p w14:paraId="7B0548F5" w14:textId="66745E08" w:rsidR="00B17444" w:rsidRDefault="00B17444" w:rsidP="00B17444">
      <w:pPr>
        <w:spacing w:after="160"/>
        <w:rPr>
          <w:rFonts w:ascii="Calibri" w:hAnsi="Calibri" w:cs="Calibri"/>
          <w:b/>
          <w:bCs/>
          <w:sz w:val="22"/>
          <w:szCs w:val="22"/>
        </w:rPr>
      </w:pPr>
      <w:r w:rsidRPr="00831A83">
        <w:rPr>
          <w:rFonts w:ascii="Calibri" w:hAnsi="Calibri" w:cs="Calibri"/>
          <w:b/>
          <w:bCs/>
          <w:sz w:val="22"/>
          <w:szCs w:val="22"/>
        </w:rPr>
        <w:t>Power–Interest Grid</w:t>
      </w:r>
    </w:p>
    <w:tbl>
      <w:tblPr>
        <w:tblW w:w="7180" w:type="dxa"/>
        <w:tblLook w:val="04A0" w:firstRow="1" w:lastRow="0" w:firstColumn="1" w:lastColumn="0" w:noHBand="0" w:noVBand="1"/>
      </w:tblPr>
      <w:tblGrid>
        <w:gridCol w:w="3274"/>
        <w:gridCol w:w="1240"/>
        <w:gridCol w:w="1327"/>
        <w:gridCol w:w="1339"/>
      </w:tblGrid>
      <w:tr w:rsidR="00113A26" w:rsidRPr="00113A26" w14:paraId="14D626A7" w14:textId="77777777" w:rsidTr="007A0EFD">
        <w:trPr>
          <w:trHeight w:val="307"/>
        </w:trPr>
        <w:tc>
          <w:tcPr>
            <w:tcW w:w="3274" w:type="dxa"/>
            <w:tcBorders>
              <w:top w:val="single" w:sz="8" w:space="0" w:color="auto"/>
              <w:left w:val="single" w:sz="8" w:space="0" w:color="auto"/>
              <w:bottom w:val="single" w:sz="4" w:space="0" w:color="auto"/>
              <w:right w:val="single" w:sz="4" w:space="0" w:color="auto"/>
            </w:tcBorders>
            <w:vAlign w:val="center"/>
            <w:hideMark/>
          </w:tcPr>
          <w:p w14:paraId="3ED2D342"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Stakeholder</w:t>
            </w:r>
          </w:p>
        </w:tc>
        <w:tc>
          <w:tcPr>
            <w:tcW w:w="1240" w:type="dxa"/>
            <w:tcBorders>
              <w:top w:val="single" w:sz="8" w:space="0" w:color="auto"/>
              <w:left w:val="nil"/>
              <w:bottom w:val="single" w:sz="4" w:space="0" w:color="auto"/>
              <w:right w:val="single" w:sz="4" w:space="0" w:color="auto"/>
            </w:tcBorders>
            <w:vAlign w:val="center"/>
            <w:hideMark/>
          </w:tcPr>
          <w:p w14:paraId="38FF6EC8"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Power</w:t>
            </w:r>
          </w:p>
        </w:tc>
        <w:tc>
          <w:tcPr>
            <w:tcW w:w="1327" w:type="dxa"/>
            <w:tcBorders>
              <w:top w:val="single" w:sz="8" w:space="0" w:color="auto"/>
              <w:left w:val="nil"/>
              <w:bottom w:val="single" w:sz="4" w:space="0" w:color="auto"/>
              <w:right w:val="single" w:sz="4" w:space="0" w:color="auto"/>
            </w:tcBorders>
            <w:vAlign w:val="center"/>
            <w:hideMark/>
          </w:tcPr>
          <w:p w14:paraId="3A49C666"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Interest</w:t>
            </w:r>
          </w:p>
        </w:tc>
        <w:tc>
          <w:tcPr>
            <w:tcW w:w="1339" w:type="dxa"/>
            <w:tcBorders>
              <w:top w:val="single" w:sz="8" w:space="0" w:color="auto"/>
              <w:left w:val="nil"/>
              <w:bottom w:val="single" w:sz="4" w:space="0" w:color="auto"/>
              <w:right w:val="single" w:sz="8" w:space="0" w:color="auto"/>
            </w:tcBorders>
            <w:vAlign w:val="center"/>
            <w:hideMark/>
          </w:tcPr>
          <w:p w14:paraId="3B4D056E"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Grid Position</w:t>
            </w:r>
          </w:p>
        </w:tc>
      </w:tr>
      <w:tr w:rsidR="00113A26" w:rsidRPr="00113A26" w14:paraId="35EC50DE" w14:textId="77777777" w:rsidTr="007A0EFD">
        <w:trPr>
          <w:trHeight w:val="307"/>
        </w:trPr>
        <w:tc>
          <w:tcPr>
            <w:tcW w:w="3274" w:type="dxa"/>
            <w:tcBorders>
              <w:top w:val="nil"/>
              <w:left w:val="single" w:sz="8" w:space="0" w:color="auto"/>
              <w:bottom w:val="single" w:sz="4" w:space="0" w:color="auto"/>
              <w:right w:val="single" w:sz="4" w:space="0" w:color="auto"/>
            </w:tcBorders>
            <w:vAlign w:val="center"/>
            <w:hideMark/>
          </w:tcPr>
          <w:p w14:paraId="76959866"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Government of British Columbia</w:t>
            </w:r>
          </w:p>
        </w:tc>
        <w:tc>
          <w:tcPr>
            <w:tcW w:w="1240" w:type="dxa"/>
            <w:tcBorders>
              <w:top w:val="nil"/>
              <w:left w:val="nil"/>
              <w:bottom w:val="single" w:sz="4" w:space="0" w:color="auto"/>
              <w:right w:val="single" w:sz="4" w:space="0" w:color="auto"/>
            </w:tcBorders>
            <w:vAlign w:val="center"/>
            <w:hideMark/>
          </w:tcPr>
          <w:p w14:paraId="6404890C"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1327" w:type="dxa"/>
            <w:tcBorders>
              <w:top w:val="nil"/>
              <w:left w:val="nil"/>
              <w:bottom w:val="single" w:sz="4" w:space="0" w:color="auto"/>
              <w:right w:val="single" w:sz="4" w:space="0" w:color="auto"/>
            </w:tcBorders>
            <w:vAlign w:val="center"/>
            <w:hideMark/>
          </w:tcPr>
          <w:p w14:paraId="1D0A8547"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1339" w:type="dxa"/>
            <w:tcBorders>
              <w:top w:val="nil"/>
              <w:left w:val="nil"/>
              <w:bottom w:val="single" w:sz="4" w:space="0" w:color="auto"/>
              <w:right w:val="single" w:sz="8" w:space="0" w:color="auto"/>
            </w:tcBorders>
            <w:vAlign w:val="center"/>
            <w:hideMark/>
          </w:tcPr>
          <w:p w14:paraId="37A7A832"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Manage Closely</w:t>
            </w:r>
          </w:p>
        </w:tc>
      </w:tr>
      <w:tr w:rsidR="00113A26" w:rsidRPr="00113A26" w14:paraId="40AEC6D4" w14:textId="77777777" w:rsidTr="007A0EFD">
        <w:trPr>
          <w:trHeight w:val="307"/>
        </w:trPr>
        <w:tc>
          <w:tcPr>
            <w:tcW w:w="3274" w:type="dxa"/>
            <w:tcBorders>
              <w:top w:val="nil"/>
              <w:left w:val="single" w:sz="8" w:space="0" w:color="auto"/>
              <w:bottom w:val="single" w:sz="4" w:space="0" w:color="auto"/>
              <w:right w:val="single" w:sz="4" w:space="0" w:color="auto"/>
            </w:tcBorders>
            <w:vAlign w:val="center"/>
            <w:hideMark/>
          </w:tcPr>
          <w:p w14:paraId="45E73229"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Transport Canada</w:t>
            </w:r>
          </w:p>
        </w:tc>
        <w:tc>
          <w:tcPr>
            <w:tcW w:w="1240" w:type="dxa"/>
            <w:tcBorders>
              <w:top w:val="nil"/>
              <w:left w:val="nil"/>
              <w:bottom w:val="single" w:sz="4" w:space="0" w:color="auto"/>
              <w:right w:val="single" w:sz="4" w:space="0" w:color="auto"/>
            </w:tcBorders>
            <w:vAlign w:val="center"/>
            <w:hideMark/>
          </w:tcPr>
          <w:p w14:paraId="517C1CBF"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1327" w:type="dxa"/>
            <w:tcBorders>
              <w:top w:val="nil"/>
              <w:left w:val="nil"/>
              <w:bottom w:val="single" w:sz="4" w:space="0" w:color="auto"/>
              <w:right w:val="single" w:sz="4" w:space="0" w:color="auto"/>
            </w:tcBorders>
            <w:vAlign w:val="center"/>
            <w:hideMark/>
          </w:tcPr>
          <w:p w14:paraId="21679AAA"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1339" w:type="dxa"/>
            <w:tcBorders>
              <w:top w:val="nil"/>
              <w:left w:val="nil"/>
              <w:bottom w:val="single" w:sz="4" w:space="0" w:color="auto"/>
              <w:right w:val="single" w:sz="8" w:space="0" w:color="auto"/>
            </w:tcBorders>
            <w:vAlign w:val="center"/>
            <w:hideMark/>
          </w:tcPr>
          <w:p w14:paraId="1EA525FB"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Keep Satisfied</w:t>
            </w:r>
          </w:p>
        </w:tc>
      </w:tr>
      <w:tr w:rsidR="00113A26" w:rsidRPr="00113A26" w14:paraId="22CB6302" w14:textId="77777777" w:rsidTr="007A0EFD">
        <w:trPr>
          <w:trHeight w:val="307"/>
        </w:trPr>
        <w:tc>
          <w:tcPr>
            <w:tcW w:w="3274" w:type="dxa"/>
            <w:tcBorders>
              <w:top w:val="nil"/>
              <w:left w:val="single" w:sz="8" w:space="0" w:color="auto"/>
              <w:bottom w:val="single" w:sz="4" w:space="0" w:color="auto"/>
              <w:right w:val="single" w:sz="4" w:space="0" w:color="auto"/>
            </w:tcBorders>
            <w:vAlign w:val="center"/>
            <w:hideMark/>
          </w:tcPr>
          <w:p w14:paraId="0C0E9925"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Environmental Agencies</w:t>
            </w:r>
          </w:p>
        </w:tc>
        <w:tc>
          <w:tcPr>
            <w:tcW w:w="1240" w:type="dxa"/>
            <w:tcBorders>
              <w:top w:val="nil"/>
              <w:left w:val="nil"/>
              <w:bottom w:val="single" w:sz="4" w:space="0" w:color="auto"/>
              <w:right w:val="single" w:sz="4" w:space="0" w:color="auto"/>
            </w:tcBorders>
            <w:vAlign w:val="center"/>
            <w:hideMark/>
          </w:tcPr>
          <w:p w14:paraId="2715EA06"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1327" w:type="dxa"/>
            <w:tcBorders>
              <w:top w:val="nil"/>
              <w:left w:val="nil"/>
              <w:bottom w:val="single" w:sz="4" w:space="0" w:color="auto"/>
              <w:right w:val="single" w:sz="4" w:space="0" w:color="auto"/>
            </w:tcBorders>
            <w:vAlign w:val="center"/>
            <w:hideMark/>
          </w:tcPr>
          <w:p w14:paraId="0EBFA9E5"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Medium-High</w:t>
            </w:r>
          </w:p>
        </w:tc>
        <w:tc>
          <w:tcPr>
            <w:tcW w:w="1339" w:type="dxa"/>
            <w:tcBorders>
              <w:top w:val="nil"/>
              <w:left w:val="nil"/>
              <w:bottom w:val="single" w:sz="4" w:space="0" w:color="auto"/>
              <w:right w:val="single" w:sz="8" w:space="0" w:color="auto"/>
            </w:tcBorders>
            <w:vAlign w:val="center"/>
            <w:hideMark/>
          </w:tcPr>
          <w:p w14:paraId="69E57521"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Keep Satisfied</w:t>
            </w:r>
          </w:p>
        </w:tc>
      </w:tr>
      <w:tr w:rsidR="00113A26" w:rsidRPr="00113A26" w14:paraId="10998B78" w14:textId="77777777" w:rsidTr="007A0EFD">
        <w:trPr>
          <w:trHeight w:val="307"/>
        </w:trPr>
        <w:tc>
          <w:tcPr>
            <w:tcW w:w="3274" w:type="dxa"/>
            <w:tcBorders>
              <w:top w:val="nil"/>
              <w:left w:val="single" w:sz="8" w:space="0" w:color="auto"/>
              <w:bottom w:val="single" w:sz="4" w:space="0" w:color="auto"/>
              <w:right w:val="single" w:sz="4" w:space="0" w:color="auto"/>
            </w:tcBorders>
            <w:vAlign w:val="center"/>
            <w:hideMark/>
          </w:tcPr>
          <w:p w14:paraId="6FA20C6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Local Municipalities</w:t>
            </w:r>
          </w:p>
        </w:tc>
        <w:tc>
          <w:tcPr>
            <w:tcW w:w="1240" w:type="dxa"/>
            <w:tcBorders>
              <w:top w:val="nil"/>
              <w:left w:val="nil"/>
              <w:bottom w:val="single" w:sz="4" w:space="0" w:color="auto"/>
              <w:right w:val="single" w:sz="4" w:space="0" w:color="auto"/>
            </w:tcBorders>
            <w:vAlign w:val="center"/>
            <w:hideMark/>
          </w:tcPr>
          <w:p w14:paraId="36C2D2F7"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1327" w:type="dxa"/>
            <w:tcBorders>
              <w:top w:val="nil"/>
              <w:left w:val="nil"/>
              <w:bottom w:val="single" w:sz="4" w:space="0" w:color="auto"/>
              <w:right w:val="single" w:sz="4" w:space="0" w:color="auto"/>
            </w:tcBorders>
            <w:vAlign w:val="center"/>
            <w:hideMark/>
          </w:tcPr>
          <w:p w14:paraId="6B2417D5"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1339" w:type="dxa"/>
            <w:tcBorders>
              <w:top w:val="nil"/>
              <w:left w:val="nil"/>
              <w:bottom w:val="single" w:sz="4" w:space="0" w:color="auto"/>
              <w:right w:val="single" w:sz="8" w:space="0" w:color="auto"/>
            </w:tcBorders>
            <w:vAlign w:val="center"/>
            <w:hideMark/>
          </w:tcPr>
          <w:p w14:paraId="62B338DE"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Keep Informed</w:t>
            </w:r>
          </w:p>
        </w:tc>
      </w:tr>
      <w:tr w:rsidR="00113A26" w:rsidRPr="00113A26" w14:paraId="52880A6C" w14:textId="77777777" w:rsidTr="007A0EFD">
        <w:trPr>
          <w:trHeight w:val="307"/>
        </w:trPr>
        <w:tc>
          <w:tcPr>
            <w:tcW w:w="3274" w:type="dxa"/>
            <w:tcBorders>
              <w:top w:val="nil"/>
              <w:left w:val="single" w:sz="8" w:space="0" w:color="auto"/>
              <w:bottom w:val="single" w:sz="4" w:space="0" w:color="auto"/>
              <w:right w:val="single" w:sz="4" w:space="0" w:color="auto"/>
            </w:tcBorders>
            <w:vAlign w:val="center"/>
            <w:hideMark/>
          </w:tcPr>
          <w:p w14:paraId="6D8846DE"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Businesses &amp; Supply Chains</w:t>
            </w:r>
          </w:p>
        </w:tc>
        <w:tc>
          <w:tcPr>
            <w:tcW w:w="1240" w:type="dxa"/>
            <w:tcBorders>
              <w:top w:val="nil"/>
              <w:left w:val="nil"/>
              <w:bottom w:val="single" w:sz="4" w:space="0" w:color="auto"/>
              <w:right w:val="single" w:sz="4" w:space="0" w:color="auto"/>
            </w:tcBorders>
            <w:vAlign w:val="center"/>
            <w:hideMark/>
          </w:tcPr>
          <w:p w14:paraId="2013AF6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1327" w:type="dxa"/>
            <w:tcBorders>
              <w:top w:val="nil"/>
              <w:left w:val="nil"/>
              <w:bottom w:val="single" w:sz="4" w:space="0" w:color="auto"/>
              <w:right w:val="single" w:sz="4" w:space="0" w:color="auto"/>
            </w:tcBorders>
            <w:vAlign w:val="center"/>
            <w:hideMark/>
          </w:tcPr>
          <w:p w14:paraId="2E3CECE4"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1339" w:type="dxa"/>
            <w:tcBorders>
              <w:top w:val="nil"/>
              <w:left w:val="nil"/>
              <w:bottom w:val="single" w:sz="4" w:space="0" w:color="auto"/>
              <w:right w:val="single" w:sz="8" w:space="0" w:color="auto"/>
            </w:tcBorders>
            <w:vAlign w:val="center"/>
            <w:hideMark/>
          </w:tcPr>
          <w:p w14:paraId="7258C4EF"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Keep Informed</w:t>
            </w:r>
          </w:p>
        </w:tc>
      </w:tr>
      <w:tr w:rsidR="00113A26" w:rsidRPr="00113A26" w14:paraId="3E2248FD" w14:textId="77777777" w:rsidTr="007A0EFD">
        <w:trPr>
          <w:trHeight w:val="307"/>
        </w:trPr>
        <w:tc>
          <w:tcPr>
            <w:tcW w:w="3274" w:type="dxa"/>
            <w:tcBorders>
              <w:top w:val="nil"/>
              <w:left w:val="single" w:sz="8" w:space="0" w:color="auto"/>
              <w:bottom w:val="single" w:sz="8" w:space="0" w:color="auto"/>
              <w:right w:val="single" w:sz="4" w:space="0" w:color="auto"/>
            </w:tcBorders>
            <w:vAlign w:val="center"/>
            <w:hideMark/>
          </w:tcPr>
          <w:p w14:paraId="4804A5FA"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Affected Communities</w:t>
            </w:r>
          </w:p>
        </w:tc>
        <w:tc>
          <w:tcPr>
            <w:tcW w:w="1240" w:type="dxa"/>
            <w:tcBorders>
              <w:top w:val="nil"/>
              <w:left w:val="nil"/>
              <w:bottom w:val="single" w:sz="8" w:space="0" w:color="auto"/>
              <w:right w:val="single" w:sz="4" w:space="0" w:color="auto"/>
            </w:tcBorders>
            <w:vAlign w:val="center"/>
            <w:hideMark/>
          </w:tcPr>
          <w:p w14:paraId="7560525E"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Low–Medium</w:t>
            </w:r>
          </w:p>
        </w:tc>
        <w:tc>
          <w:tcPr>
            <w:tcW w:w="1327" w:type="dxa"/>
            <w:tcBorders>
              <w:top w:val="nil"/>
              <w:left w:val="nil"/>
              <w:bottom w:val="single" w:sz="8" w:space="0" w:color="auto"/>
              <w:right w:val="single" w:sz="4" w:space="0" w:color="auto"/>
            </w:tcBorders>
            <w:vAlign w:val="center"/>
            <w:hideMark/>
          </w:tcPr>
          <w:p w14:paraId="0B44C53B"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1339" w:type="dxa"/>
            <w:tcBorders>
              <w:top w:val="nil"/>
              <w:left w:val="nil"/>
              <w:bottom w:val="single" w:sz="8" w:space="0" w:color="auto"/>
              <w:right w:val="single" w:sz="8" w:space="0" w:color="auto"/>
            </w:tcBorders>
            <w:vAlign w:val="center"/>
            <w:hideMark/>
          </w:tcPr>
          <w:p w14:paraId="684F1D42"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Keep Informed / Monitor</w:t>
            </w:r>
          </w:p>
        </w:tc>
      </w:tr>
    </w:tbl>
    <w:p w14:paraId="44EA6358" w14:textId="77777777" w:rsidR="00113A26" w:rsidRPr="00831A83" w:rsidRDefault="00113A26" w:rsidP="00B17444">
      <w:pPr>
        <w:spacing w:after="160"/>
        <w:rPr>
          <w:rFonts w:ascii="Calibri" w:hAnsi="Calibri" w:cs="Calibri"/>
          <w:b/>
          <w:bCs/>
          <w:sz w:val="22"/>
          <w:szCs w:val="22"/>
        </w:rPr>
      </w:pPr>
    </w:p>
    <w:p w14:paraId="41F42352"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This grid demonstrates structured stakeholder classification and supports engagement planning (Freeman, 1984).</w:t>
      </w:r>
    </w:p>
    <w:p w14:paraId="4DFBE81D" w14:textId="234C35DD" w:rsidR="00B17444" w:rsidRPr="00831A83" w:rsidRDefault="00B17444" w:rsidP="00B17444">
      <w:pPr>
        <w:spacing w:after="160"/>
        <w:rPr>
          <w:rFonts w:ascii="Calibri" w:hAnsi="Calibri" w:cs="Calibri"/>
          <w:sz w:val="22"/>
          <w:szCs w:val="22"/>
        </w:rPr>
      </w:pPr>
    </w:p>
    <w:p w14:paraId="2CAD7CB7" w14:textId="77777777" w:rsidR="00113A26" w:rsidRDefault="00113A26" w:rsidP="00B17444">
      <w:pPr>
        <w:spacing w:after="160"/>
        <w:rPr>
          <w:rFonts w:ascii="Calibri" w:hAnsi="Calibri" w:cs="Calibri"/>
          <w:b/>
          <w:bCs/>
          <w:sz w:val="22"/>
          <w:szCs w:val="22"/>
        </w:rPr>
      </w:pPr>
    </w:p>
    <w:p w14:paraId="1B7CF808" w14:textId="77777777" w:rsidR="00113A26" w:rsidRDefault="00113A26" w:rsidP="00B17444">
      <w:pPr>
        <w:spacing w:after="160"/>
        <w:rPr>
          <w:rFonts w:ascii="Calibri" w:hAnsi="Calibri" w:cs="Calibri"/>
          <w:b/>
          <w:bCs/>
          <w:sz w:val="22"/>
          <w:szCs w:val="22"/>
        </w:rPr>
      </w:pPr>
    </w:p>
    <w:p w14:paraId="5F7467EB" w14:textId="77777777" w:rsidR="00113A26" w:rsidRDefault="00113A26" w:rsidP="00B17444">
      <w:pPr>
        <w:spacing w:after="160"/>
        <w:rPr>
          <w:rFonts w:ascii="Calibri" w:hAnsi="Calibri" w:cs="Calibri"/>
          <w:b/>
          <w:bCs/>
          <w:sz w:val="22"/>
          <w:szCs w:val="22"/>
        </w:rPr>
      </w:pPr>
    </w:p>
    <w:p w14:paraId="5C863280" w14:textId="77777777" w:rsidR="00113A26" w:rsidRDefault="00113A26" w:rsidP="00B17444">
      <w:pPr>
        <w:spacing w:after="160"/>
        <w:rPr>
          <w:rFonts w:ascii="Calibri" w:hAnsi="Calibri" w:cs="Calibri"/>
          <w:b/>
          <w:bCs/>
          <w:sz w:val="22"/>
          <w:szCs w:val="22"/>
        </w:rPr>
      </w:pPr>
    </w:p>
    <w:p w14:paraId="54048CE1" w14:textId="303DF307" w:rsidR="00B17444" w:rsidRPr="00831A83" w:rsidRDefault="00B17444" w:rsidP="007A5A68">
      <w:pPr>
        <w:pStyle w:val="Heading1"/>
      </w:pPr>
      <w:bookmarkStart w:id="11" w:name="_Toc214622881"/>
      <w:r w:rsidRPr="00831A83">
        <w:t>Stakeholder Engagement Strategy</w:t>
      </w:r>
      <w:bookmarkEnd w:id="11"/>
    </w:p>
    <w:tbl>
      <w:tblPr>
        <w:tblW w:w="9636" w:type="dxa"/>
        <w:tblLook w:val="04A0" w:firstRow="1" w:lastRow="0" w:firstColumn="1" w:lastColumn="0" w:noHBand="0" w:noVBand="1"/>
      </w:tblPr>
      <w:tblGrid>
        <w:gridCol w:w="1972"/>
        <w:gridCol w:w="2225"/>
        <w:gridCol w:w="1168"/>
        <w:gridCol w:w="1894"/>
        <w:gridCol w:w="2377"/>
      </w:tblGrid>
      <w:tr w:rsidR="003C30C2" w:rsidRPr="00113A26" w14:paraId="0BBF81F5" w14:textId="77777777" w:rsidTr="003C30C2">
        <w:trPr>
          <w:trHeight w:val="309"/>
        </w:trPr>
        <w:tc>
          <w:tcPr>
            <w:tcW w:w="1973" w:type="dxa"/>
            <w:tcBorders>
              <w:top w:val="single" w:sz="8" w:space="0" w:color="auto"/>
              <w:left w:val="single" w:sz="8" w:space="0" w:color="auto"/>
              <w:bottom w:val="single" w:sz="4" w:space="0" w:color="auto"/>
              <w:right w:val="single" w:sz="4" w:space="0" w:color="auto"/>
            </w:tcBorders>
            <w:vAlign w:val="center"/>
            <w:hideMark/>
          </w:tcPr>
          <w:p w14:paraId="425F0F34"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Stakeholder</w:t>
            </w:r>
          </w:p>
        </w:tc>
        <w:tc>
          <w:tcPr>
            <w:tcW w:w="2226" w:type="dxa"/>
            <w:tcBorders>
              <w:top w:val="single" w:sz="8" w:space="0" w:color="auto"/>
              <w:left w:val="nil"/>
              <w:bottom w:val="single" w:sz="4" w:space="0" w:color="auto"/>
              <w:right w:val="single" w:sz="4" w:space="0" w:color="auto"/>
            </w:tcBorders>
            <w:vAlign w:val="center"/>
            <w:hideMark/>
          </w:tcPr>
          <w:p w14:paraId="53D71508"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Objective</w:t>
            </w:r>
          </w:p>
        </w:tc>
        <w:tc>
          <w:tcPr>
            <w:tcW w:w="1164" w:type="dxa"/>
            <w:tcBorders>
              <w:top w:val="single" w:sz="8" w:space="0" w:color="auto"/>
              <w:left w:val="nil"/>
              <w:bottom w:val="single" w:sz="4" w:space="0" w:color="auto"/>
              <w:right w:val="single" w:sz="4" w:space="0" w:color="auto"/>
            </w:tcBorders>
            <w:vAlign w:val="center"/>
            <w:hideMark/>
          </w:tcPr>
          <w:p w14:paraId="7D4EB742"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Frequency</w:t>
            </w:r>
          </w:p>
        </w:tc>
        <w:tc>
          <w:tcPr>
            <w:tcW w:w="1895" w:type="dxa"/>
            <w:tcBorders>
              <w:top w:val="single" w:sz="8" w:space="0" w:color="auto"/>
              <w:left w:val="nil"/>
              <w:bottom w:val="single" w:sz="4" w:space="0" w:color="auto"/>
              <w:right w:val="single" w:sz="4" w:space="0" w:color="auto"/>
            </w:tcBorders>
            <w:vAlign w:val="center"/>
            <w:hideMark/>
          </w:tcPr>
          <w:p w14:paraId="4FD959A2"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Tools</w:t>
            </w:r>
          </w:p>
        </w:tc>
        <w:tc>
          <w:tcPr>
            <w:tcW w:w="2378" w:type="dxa"/>
            <w:tcBorders>
              <w:top w:val="single" w:sz="8" w:space="0" w:color="auto"/>
              <w:left w:val="nil"/>
              <w:bottom w:val="single" w:sz="4" w:space="0" w:color="auto"/>
              <w:right w:val="single" w:sz="8" w:space="0" w:color="auto"/>
            </w:tcBorders>
            <w:vAlign w:val="center"/>
            <w:hideMark/>
          </w:tcPr>
          <w:p w14:paraId="60508307"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Expected Outcome</w:t>
            </w:r>
          </w:p>
        </w:tc>
      </w:tr>
      <w:tr w:rsidR="003C30C2" w:rsidRPr="00113A26" w14:paraId="7741B03C" w14:textId="77777777" w:rsidTr="003C30C2">
        <w:trPr>
          <w:trHeight w:val="825"/>
        </w:trPr>
        <w:tc>
          <w:tcPr>
            <w:tcW w:w="1973" w:type="dxa"/>
            <w:tcBorders>
              <w:top w:val="nil"/>
              <w:left w:val="single" w:sz="8" w:space="0" w:color="auto"/>
              <w:bottom w:val="single" w:sz="4" w:space="0" w:color="auto"/>
              <w:right w:val="single" w:sz="4" w:space="0" w:color="auto"/>
            </w:tcBorders>
            <w:vAlign w:val="center"/>
            <w:hideMark/>
          </w:tcPr>
          <w:p w14:paraId="4CE94262"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Government of BC</w:t>
            </w:r>
          </w:p>
        </w:tc>
        <w:tc>
          <w:tcPr>
            <w:tcW w:w="2226" w:type="dxa"/>
            <w:tcBorders>
              <w:top w:val="nil"/>
              <w:left w:val="nil"/>
              <w:bottom w:val="single" w:sz="4" w:space="0" w:color="auto"/>
              <w:right w:val="single" w:sz="4" w:space="0" w:color="auto"/>
            </w:tcBorders>
            <w:vAlign w:val="center"/>
            <w:hideMark/>
          </w:tcPr>
          <w:p w14:paraId="2BA49427"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Oversight &amp; approval</w:t>
            </w:r>
          </w:p>
        </w:tc>
        <w:tc>
          <w:tcPr>
            <w:tcW w:w="1164" w:type="dxa"/>
            <w:tcBorders>
              <w:top w:val="nil"/>
              <w:left w:val="nil"/>
              <w:bottom w:val="single" w:sz="4" w:space="0" w:color="auto"/>
              <w:right w:val="single" w:sz="4" w:space="0" w:color="auto"/>
            </w:tcBorders>
            <w:vAlign w:val="center"/>
            <w:hideMark/>
          </w:tcPr>
          <w:p w14:paraId="63D45AE2"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Weekly</w:t>
            </w:r>
          </w:p>
        </w:tc>
        <w:tc>
          <w:tcPr>
            <w:tcW w:w="1895" w:type="dxa"/>
            <w:tcBorders>
              <w:top w:val="nil"/>
              <w:left w:val="nil"/>
              <w:bottom w:val="single" w:sz="4" w:space="0" w:color="auto"/>
              <w:right w:val="single" w:sz="4" w:space="0" w:color="auto"/>
            </w:tcBorders>
            <w:vAlign w:val="center"/>
            <w:hideMark/>
          </w:tcPr>
          <w:p w14:paraId="64AF6B36"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Reports &amp; meetings</w:t>
            </w:r>
          </w:p>
        </w:tc>
        <w:tc>
          <w:tcPr>
            <w:tcW w:w="2378" w:type="dxa"/>
            <w:tcBorders>
              <w:top w:val="nil"/>
              <w:left w:val="nil"/>
              <w:bottom w:val="single" w:sz="4" w:space="0" w:color="auto"/>
              <w:right w:val="single" w:sz="8" w:space="0" w:color="auto"/>
            </w:tcBorders>
            <w:vAlign w:val="center"/>
            <w:hideMark/>
          </w:tcPr>
          <w:p w14:paraId="38B0F206"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Policy alignment</w:t>
            </w:r>
          </w:p>
        </w:tc>
      </w:tr>
      <w:tr w:rsidR="003C30C2" w:rsidRPr="00113A26" w14:paraId="6A54D6EC" w14:textId="77777777" w:rsidTr="003C30C2">
        <w:trPr>
          <w:trHeight w:val="825"/>
        </w:trPr>
        <w:tc>
          <w:tcPr>
            <w:tcW w:w="1973" w:type="dxa"/>
            <w:tcBorders>
              <w:top w:val="nil"/>
              <w:left w:val="single" w:sz="8" w:space="0" w:color="auto"/>
              <w:bottom w:val="single" w:sz="4" w:space="0" w:color="auto"/>
              <w:right w:val="single" w:sz="4" w:space="0" w:color="auto"/>
            </w:tcBorders>
            <w:vAlign w:val="center"/>
            <w:hideMark/>
          </w:tcPr>
          <w:p w14:paraId="2E12E8C1"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Transport Canada</w:t>
            </w:r>
          </w:p>
        </w:tc>
        <w:tc>
          <w:tcPr>
            <w:tcW w:w="2226" w:type="dxa"/>
            <w:tcBorders>
              <w:top w:val="nil"/>
              <w:left w:val="nil"/>
              <w:bottom w:val="single" w:sz="4" w:space="0" w:color="auto"/>
              <w:right w:val="single" w:sz="4" w:space="0" w:color="auto"/>
            </w:tcBorders>
            <w:vAlign w:val="center"/>
            <w:hideMark/>
          </w:tcPr>
          <w:p w14:paraId="267810CD"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Engineering compliance</w:t>
            </w:r>
          </w:p>
        </w:tc>
        <w:tc>
          <w:tcPr>
            <w:tcW w:w="1164" w:type="dxa"/>
            <w:tcBorders>
              <w:top w:val="nil"/>
              <w:left w:val="nil"/>
              <w:bottom w:val="single" w:sz="4" w:space="0" w:color="auto"/>
              <w:right w:val="single" w:sz="4" w:space="0" w:color="auto"/>
            </w:tcBorders>
            <w:vAlign w:val="center"/>
            <w:hideMark/>
          </w:tcPr>
          <w:p w14:paraId="67295665"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Monthly</w:t>
            </w:r>
          </w:p>
        </w:tc>
        <w:tc>
          <w:tcPr>
            <w:tcW w:w="1895" w:type="dxa"/>
            <w:tcBorders>
              <w:top w:val="nil"/>
              <w:left w:val="nil"/>
              <w:bottom w:val="single" w:sz="4" w:space="0" w:color="auto"/>
              <w:right w:val="single" w:sz="4" w:space="0" w:color="auto"/>
            </w:tcBorders>
            <w:vAlign w:val="center"/>
            <w:hideMark/>
          </w:tcPr>
          <w:p w14:paraId="37E45D4C"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Technical audits</w:t>
            </w:r>
          </w:p>
        </w:tc>
        <w:tc>
          <w:tcPr>
            <w:tcW w:w="2378" w:type="dxa"/>
            <w:tcBorders>
              <w:top w:val="nil"/>
              <w:left w:val="nil"/>
              <w:bottom w:val="single" w:sz="4" w:space="0" w:color="auto"/>
              <w:right w:val="single" w:sz="8" w:space="0" w:color="auto"/>
            </w:tcBorders>
            <w:vAlign w:val="center"/>
            <w:hideMark/>
          </w:tcPr>
          <w:p w14:paraId="4EDC0912"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Safety assurance</w:t>
            </w:r>
          </w:p>
        </w:tc>
      </w:tr>
      <w:tr w:rsidR="003C30C2" w:rsidRPr="00113A26" w14:paraId="7C2BAA13" w14:textId="77777777" w:rsidTr="003C30C2">
        <w:trPr>
          <w:trHeight w:val="825"/>
        </w:trPr>
        <w:tc>
          <w:tcPr>
            <w:tcW w:w="1973" w:type="dxa"/>
            <w:tcBorders>
              <w:top w:val="nil"/>
              <w:left w:val="single" w:sz="8" w:space="0" w:color="auto"/>
              <w:bottom w:val="single" w:sz="4" w:space="0" w:color="auto"/>
              <w:right w:val="single" w:sz="4" w:space="0" w:color="auto"/>
            </w:tcBorders>
            <w:vAlign w:val="center"/>
            <w:hideMark/>
          </w:tcPr>
          <w:p w14:paraId="53C5FE57"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Municipalities</w:t>
            </w:r>
          </w:p>
        </w:tc>
        <w:tc>
          <w:tcPr>
            <w:tcW w:w="2226" w:type="dxa"/>
            <w:tcBorders>
              <w:top w:val="nil"/>
              <w:left w:val="nil"/>
              <w:bottom w:val="single" w:sz="4" w:space="0" w:color="auto"/>
              <w:right w:val="single" w:sz="4" w:space="0" w:color="auto"/>
            </w:tcBorders>
            <w:vAlign w:val="center"/>
            <w:hideMark/>
          </w:tcPr>
          <w:p w14:paraId="6DBB2AF1"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Local coordination</w:t>
            </w:r>
          </w:p>
        </w:tc>
        <w:tc>
          <w:tcPr>
            <w:tcW w:w="1164" w:type="dxa"/>
            <w:tcBorders>
              <w:top w:val="nil"/>
              <w:left w:val="nil"/>
              <w:bottom w:val="single" w:sz="4" w:space="0" w:color="auto"/>
              <w:right w:val="single" w:sz="4" w:space="0" w:color="auto"/>
            </w:tcBorders>
            <w:vAlign w:val="center"/>
            <w:hideMark/>
          </w:tcPr>
          <w:p w14:paraId="406B4980"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Monthly</w:t>
            </w:r>
          </w:p>
        </w:tc>
        <w:tc>
          <w:tcPr>
            <w:tcW w:w="1895" w:type="dxa"/>
            <w:tcBorders>
              <w:top w:val="nil"/>
              <w:left w:val="nil"/>
              <w:bottom w:val="single" w:sz="4" w:space="0" w:color="auto"/>
              <w:right w:val="single" w:sz="4" w:space="0" w:color="auto"/>
            </w:tcBorders>
            <w:vAlign w:val="center"/>
            <w:hideMark/>
          </w:tcPr>
          <w:p w14:paraId="6EEF875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Forums, site visits</w:t>
            </w:r>
          </w:p>
        </w:tc>
        <w:tc>
          <w:tcPr>
            <w:tcW w:w="2378" w:type="dxa"/>
            <w:tcBorders>
              <w:top w:val="nil"/>
              <w:left w:val="nil"/>
              <w:bottom w:val="single" w:sz="4" w:space="0" w:color="auto"/>
              <w:right w:val="single" w:sz="8" w:space="0" w:color="auto"/>
            </w:tcBorders>
            <w:vAlign w:val="center"/>
            <w:hideMark/>
          </w:tcPr>
          <w:p w14:paraId="76281E9F"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Reduced disruptions</w:t>
            </w:r>
          </w:p>
        </w:tc>
      </w:tr>
      <w:tr w:rsidR="003C30C2" w:rsidRPr="00113A26" w14:paraId="265EBAD8" w14:textId="77777777" w:rsidTr="003C30C2">
        <w:trPr>
          <w:trHeight w:val="825"/>
        </w:trPr>
        <w:tc>
          <w:tcPr>
            <w:tcW w:w="1973" w:type="dxa"/>
            <w:tcBorders>
              <w:top w:val="nil"/>
              <w:left w:val="single" w:sz="8" w:space="0" w:color="auto"/>
              <w:bottom w:val="single" w:sz="4" w:space="0" w:color="auto"/>
              <w:right w:val="single" w:sz="4" w:space="0" w:color="auto"/>
            </w:tcBorders>
            <w:vAlign w:val="center"/>
            <w:hideMark/>
          </w:tcPr>
          <w:p w14:paraId="3228A5E5"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Businesses</w:t>
            </w:r>
          </w:p>
        </w:tc>
        <w:tc>
          <w:tcPr>
            <w:tcW w:w="2226" w:type="dxa"/>
            <w:tcBorders>
              <w:top w:val="nil"/>
              <w:left w:val="nil"/>
              <w:bottom w:val="single" w:sz="4" w:space="0" w:color="auto"/>
              <w:right w:val="single" w:sz="4" w:space="0" w:color="auto"/>
            </w:tcBorders>
            <w:vAlign w:val="center"/>
            <w:hideMark/>
          </w:tcPr>
          <w:p w14:paraId="5C7119EE"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Logistics planning</w:t>
            </w:r>
          </w:p>
        </w:tc>
        <w:tc>
          <w:tcPr>
            <w:tcW w:w="1164" w:type="dxa"/>
            <w:tcBorders>
              <w:top w:val="nil"/>
              <w:left w:val="nil"/>
              <w:bottom w:val="single" w:sz="4" w:space="0" w:color="auto"/>
              <w:right w:val="single" w:sz="4" w:space="0" w:color="auto"/>
            </w:tcBorders>
            <w:vAlign w:val="center"/>
            <w:hideMark/>
          </w:tcPr>
          <w:p w14:paraId="79FCB432"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Biweekly</w:t>
            </w:r>
          </w:p>
        </w:tc>
        <w:tc>
          <w:tcPr>
            <w:tcW w:w="1895" w:type="dxa"/>
            <w:tcBorders>
              <w:top w:val="nil"/>
              <w:left w:val="nil"/>
              <w:bottom w:val="single" w:sz="4" w:space="0" w:color="auto"/>
              <w:right w:val="single" w:sz="4" w:space="0" w:color="auto"/>
            </w:tcBorders>
            <w:vAlign w:val="center"/>
            <w:hideMark/>
          </w:tcPr>
          <w:p w14:paraId="6E99E237"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Bulletins</w:t>
            </w:r>
          </w:p>
        </w:tc>
        <w:tc>
          <w:tcPr>
            <w:tcW w:w="2378" w:type="dxa"/>
            <w:tcBorders>
              <w:top w:val="nil"/>
              <w:left w:val="nil"/>
              <w:bottom w:val="single" w:sz="4" w:space="0" w:color="auto"/>
              <w:right w:val="single" w:sz="8" w:space="0" w:color="auto"/>
            </w:tcBorders>
            <w:vAlign w:val="center"/>
            <w:hideMark/>
          </w:tcPr>
          <w:p w14:paraId="2088422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Supply chain continuity</w:t>
            </w:r>
          </w:p>
        </w:tc>
      </w:tr>
      <w:tr w:rsidR="003C30C2" w:rsidRPr="00113A26" w14:paraId="7DECF2E4" w14:textId="77777777" w:rsidTr="003C30C2">
        <w:trPr>
          <w:trHeight w:val="825"/>
        </w:trPr>
        <w:tc>
          <w:tcPr>
            <w:tcW w:w="1973" w:type="dxa"/>
            <w:tcBorders>
              <w:top w:val="nil"/>
              <w:left w:val="single" w:sz="8" w:space="0" w:color="auto"/>
              <w:bottom w:val="single" w:sz="4" w:space="0" w:color="auto"/>
              <w:right w:val="single" w:sz="4" w:space="0" w:color="auto"/>
            </w:tcBorders>
            <w:vAlign w:val="center"/>
            <w:hideMark/>
          </w:tcPr>
          <w:p w14:paraId="1B32C0CB"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Communities</w:t>
            </w:r>
          </w:p>
        </w:tc>
        <w:tc>
          <w:tcPr>
            <w:tcW w:w="2226" w:type="dxa"/>
            <w:tcBorders>
              <w:top w:val="nil"/>
              <w:left w:val="nil"/>
              <w:bottom w:val="single" w:sz="4" w:space="0" w:color="auto"/>
              <w:right w:val="single" w:sz="4" w:space="0" w:color="auto"/>
            </w:tcBorders>
            <w:vAlign w:val="center"/>
            <w:hideMark/>
          </w:tcPr>
          <w:p w14:paraId="051AFACD"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Awareness &amp; safety</w:t>
            </w:r>
          </w:p>
        </w:tc>
        <w:tc>
          <w:tcPr>
            <w:tcW w:w="1164" w:type="dxa"/>
            <w:tcBorders>
              <w:top w:val="nil"/>
              <w:left w:val="nil"/>
              <w:bottom w:val="single" w:sz="4" w:space="0" w:color="auto"/>
              <w:right w:val="single" w:sz="4" w:space="0" w:color="auto"/>
            </w:tcBorders>
            <w:vAlign w:val="center"/>
            <w:hideMark/>
          </w:tcPr>
          <w:p w14:paraId="77142FC9"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Ongoing</w:t>
            </w:r>
          </w:p>
        </w:tc>
        <w:tc>
          <w:tcPr>
            <w:tcW w:w="1895" w:type="dxa"/>
            <w:tcBorders>
              <w:top w:val="nil"/>
              <w:left w:val="nil"/>
              <w:bottom w:val="single" w:sz="4" w:space="0" w:color="auto"/>
              <w:right w:val="single" w:sz="4" w:space="0" w:color="auto"/>
            </w:tcBorders>
            <w:vAlign w:val="center"/>
            <w:hideMark/>
          </w:tcPr>
          <w:p w14:paraId="5C7A1D64"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Website, town halls</w:t>
            </w:r>
          </w:p>
        </w:tc>
        <w:tc>
          <w:tcPr>
            <w:tcW w:w="2378" w:type="dxa"/>
            <w:tcBorders>
              <w:top w:val="nil"/>
              <w:left w:val="nil"/>
              <w:bottom w:val="single" w:sz="4" w:space="0" w:color="auto"/>
              <w:right w:val="single" w:sz="8" w:space="0" w:color="auto"/>
            </w:tcBorders>
            <w:vAlign w:val="center"/>
            <w:hideMark/>
          </w:tcPr>
          <w:p w14:paraId="53C66A6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Public support</w:t>
            </w:r>
          </w:p>
        </w:tc>
      </w:tr>
      <w:tr w:rsidR="003C30C2" w:rsidRPr="00113A26" w14:paraId="6AE46AC4" w14:textId="77777777" w:rsidTr="003C30C2">
        <w:trPr>
          <w:trHeight w:val="825"/>
        </w:trPr>
        <w:tc>
          <w:tcPr>
            <w:tcW w:w="1973" w:type="dxa"/>
            <w:tcBorders>
              <w:top w:val="nil"/>
              <w:left w:val="single" w:sz="8" w:space="0" w:color="auto"/>
              <w:bottom w:val="single" w:sz="8" w:space="0" w:color="auto"/>
              <w:right w:val="single" w:sz="4" w:space="0" w:color="auto"/>
            </w:tcBorders>
            <w:vAlign w:val="center"/>
            <w:hideMark/>
          </w:tcPr>
          <w:p w14:paraId="062F103D"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Environmental Agencies</w:t>
            </w:r>
          </w:p>
        </w:tc>
        <w:tc>
          <w:tcPr>
            <w:tcW w:w="2226" w:type="dxa"/>
            <w:tcBorders>
              <w:top w:val="nil"/>
              <w:left w:val="nil"/>
              <w:bottom w:val="single" w:sz="8" w:space="0" w:color="auto"/>
              <w:right w:val="single" w:sz="4" w:space="0" w:color="auto"/>
            </w:tcBorders>
            <w:vAlign w:val="center"/>
            <w:hideMark/>
          </w:tcPr>
          <w:p w14:paraId="568EADEE"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Regulatory compliance</w:t>
            </w:r>
          </w:p>
        </w:tc>
        <w:tc>
          <w:tcPr>
            <w:tcW w:w="1164" w:type="dxa"/>
            <w:tcBorders>
              <w:top w:val="nil"/>
              <w:left w:val="nil"/>
              <w:bottom w:val="single" w:sz="8" w:space="0" w:color="auto"/>
              <w:right w:val="single" w:sz="4" w:space="0" w:color="auto"/>
            </w:tcBorders>
            <w:vAlign w:val="center"/>
            <w:hideMark/>
          </w:tcPr>
          <w:p w14:paraId="3AB35F06"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Bi-monthly</w:t>
            </w:r>
          </w:p>
        </w:tc>
        <w:tc>
          <w:tcPr>
            <w:tcW w:w="1895" w:type="dxa"/>
            <w:tcBorders>
              <w:top w:val="nil"/>
              <w:left w:val="nil"/>
              <w:bottom w:val="single" w:sz="8" w:space="0" w:color="auto"/>
              <w:right w:val="single" w:sz="4" w:space="0" w:color="auto"/>
            </w:tcBorders>
            <w:vAlign w:val="center"/>
            <w:hideMark/>
          </w:tcPr>
          <w:p w14:paraId="0E5141AC"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Audits, assessments</w:t>
            </w:r>
          </w:p>
        </w:tc>
        <w:tc>
          <w:tcPr>
            <w:tcW w:w="2378" w:type="dxa"/>
            <w:tcBorders>
              <w:top w:val="nil"/>
              <w:left w:val="nil"/>
              <w:bottom w:val="single" w:sz="8" w:space="0" w:color="auto"/>
              <w:right w:val="single" w:sz="8" w:space="0" w:color="auto"/>
            </w:tcBorders>
            <w:vAlign w:val="center"/>
            <w:hideMark/>
          </w:tcPr>
          <w:p w14:paraId="5E512AD1"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Environmental protection</w:t>
            </w:r>
          </w:p>
        </w:tc>
      </w:tr>
    </w:tbl>
    <w:p w14:paraId="2ADC2329" w14:textId="77777777" w:rsidR="00E15D6C" w:rsidRDefault="00E15D6C" w:rsidP="00B17444">
      <w:pPr>
        <w:rPr>
          <w:rFonts w:ascii="Calibri" w:hAnsi="Calibri" w:cs="Calibri"/>
          <w:sz w:val="22"/>
          <w:szCs w:val="22"/>
        </w:rPr>
      </w:pPr>
    </w:p>
    <w:p w14:paraId="0B62681F" w14:textId="24995EF2" w:rsidR="00B17444" w:rsidRPr="00E15D6C" w:rsidRDefault="00B17444" w:rsidP="00B17444">
      <w:pPr>
        <w:rPr>
          <w:rFonts w:ascii="Calibri" w:hAnsi="Calibri" w:cs="Calibri"/>
          <w:b/>
          <w:bCs/>
          <w:sz w:val="22"/>
          <w:szCs w:val="22"/>
        </w:rPr>
      </w:pPr>
      <w:r w:rsidRPr="00E15D6C">
        <w:rPr>
          <w:rFonts w:ascii="Calibri" w:hAnsi="Calibri" w:cs="Calibri"/>
          <w:b/>
          <w:bCs/>
          <w:sz w:val="22"/>
          <w:szCs w:val="22"/>
        </w:rPr>
        <w:t xml:space="preserve"> Allocation of Resources</w:t>
      </w:r>
    </w:p>
    <w:p w14:paraId="594126F5" w14:textId="77777777" w:rsidR="00B17444" w:rsidRPr="00B17444" w:rsidRDefault="00B17444" w:rsidP="00B17444">
      <w:pPr>
        <w:rPr>
          <w:rFonts w:ascii="Calibri" w:hAnsi="Calibri" w:cs="Calibri"/>
          <w:sz w:val="22"/>
          <w:szCs w:val="22"/>
        </w:rPr>
      </w:pPr>
    </w:p>
    <w:p w14:paraId="33805999" w14:textId="6ABC50C0" w:rsidR="00B17444" w:rsidRPr="00B17444" w:rsidRDefault="00B17444" w:rsidP="00B17444">
      <w:pPr>
        <w:rPr>
          <w:rFonts w:ascii="Calibri" w:hAnsi="Calibri" w:cs="Calibri"/>
          <w:sz w:val="22"/>
          <w:szCs w:val="22"/>
        </w:rPr>
      </w:pPr>
      <w:r w:rsidRPr="00B17444">
        <w:rPr>
          <w:rFonts w:ascii="Calibri" w:hAnsi="Calibri" w:cs="Calibri"/>
          <w:sz w:val="22"/>
          <w:szCs w:val="22"/>
        </w:rPr>
        <w:t>Human Resources</w:t>
      </w:r>
    </w:p>
    <w:p w14:paraId="3EF74087"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Project Manager</w:t>
      </w:r>
    </w:p>
    <w:p w14:paraId="7F82B8F2" w14:textId="77777777" w:rsidR="00B17444" w:rsidRDefault="00B17444" w:rsidP="00B17444">
      <w:pPr>
        <w:rPr>
          <w:rFonts w:ascii="Calibri" w:hAnsi="Calibri" w:cs="Calibri"/>
          <w:sz w:val="22"/>
          <w:szCs w:val="22"/>
        </w:rPr>
      </w:pPr>
      <w:r w:rsidRPr="00B17444">
        <w:rPr>
          <w:rFonts w:ascii="Calibri" w:hAnsi="Calibri" w:cs="Calibri"/>
          <w:sz w:val="22"/>
          <w:szCs w:val="22"/>
        </w:rPr>
        <w:t>Civil / Structural Engineers</w:t>
      </w:r>
    </w:p>
    <w:p w14:paraId="6C498154" w14:textId="7CAFCE1A" w:rsidR="00B17444" w:rsidRPr="00B17444" w:rsidRDefault="00B17444" w:rsidP="00B17444">
      <w:pPr>
        <w:rPr>
          <w:rFonts w:ascii="Calibri" w:hAnsi="Calibri" w:cs="Calibri"/>
          <w:sz w:val="22"/>
          <w:szCs w:val="22"/>
        </w:rPr>
      </w:pPr>
      <w:r w:rsidRPr="00B17444">
        <w:rPr>
          <w:rFonts w:ascii="Calibri" w:hAnsi="Calibri" w:cs="Calibri"/>
          <w:sz w:val="22"/>
          <w:szCs w:val="22"/>
        </w:rPr>
        <w:t>Environmental Specialists</w:t>
      </w:r>
    </w:p>
    <w:p w14:paraId="2D81BB36"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Procurement Officers</w:t>
      </w:r>
    </w:p>
    <w:p w14:paraId="666935A5"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lastRenderedPageBreak/>
        <w:t>Construction Supervisors</w:t>
      </w:r>
    </w:p>
    <w:p w14:paraId="79502B19"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Heavy Equipment Operators</w:t>
      </w:r>
    </w:p>
    <w:p w14:paraId="37590E9D"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Skilled Labour</w:t>
      </w:r>
    </w:p>
    <w:p w14:paraId="2FE5C2E2"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Quality Assurance Inspectors</w:t>
      </w:r>
    </w:p>
    <w:p w14:paraId="1C721864" w14:textId="77777777" w:rsidR="00B17444" w:rsidRPr="00B17444" w:rsidRDefault="00B17444" w:rsidP="00B17444">
      <w:pPr>
        <w:rPr>
          <w:rFonts w:ascii="Calibri" w:hAnsi="Calibri" w:cs="Calibri"/>
          <w:sz w:val="22"/>
          <w:szCs w:val="22"/>
        </w:rPr>
      </w:pPr>
    </w:p>
    <w:p w14:paraId="34F96C18" w14:textId="77777777" w:rsidR="00B17444" w:rsidRDefault="00B17444" w:rsidP="00B17444">
      <w:pPr>
        <w:rPr>
          <w:rFonts w:ascii="Calibri" w:hAnsi="Calibri" w:cs="Calibri"/>
          <w:sz w:val="22"/>
          <w:szCs w:val="22"/>
        </w:rPr>
      </w:pPr>
    </w:p>
    <w:p w14:paraId="601E8852" w14:textId="42FABEBF" w:rsidR="00B17444" w:rsidRPr="00B17444" w:rsidRDefault="00B17444" w:rsidP="00B17444">
      <w:pPr>
        <w:rPr>
          <w:rFonts w:ascii="Calibri" w:hAnsi="Calibri" w:cs="Calibri"/>
          <w:sz w:val="22"/>
          <w:szCs w:val="22"/>
        </w:rPr>
      </w:pPr>
      <w:r w:rsidRPr="00B17444">
        <w:rPr>
          <w:rFonts w:ascii="Calibri" w:hAnsi="Calibri" w:cs="Calibri"/>
          <w:sz w:val="22"/>
          <w:szCs w:val="22"/>
        </w:rPr>
        <w:t>Material Resources</w:t>
      </w:r>
    </w:p>
    <w:p w14:paraId="02564E67"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Steel, asphalt, aggregates</w:t>
      </w:r>
    </w:p>
    <w:p w14:paraId="0273C54C"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Excavators, cranes, pavers</w:t>
      </w:r>
    </w:p>
    <w:p w14:paraId="66179C11"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Culverts and drainage systems</w:t>
      </w:r>
    </w:p>
    <w:p w14:paraId="532039CA"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Surveying and geotechnical instruments</w:t>
      </w:r>
    </w:p>
    <w:p w14:paraId="1655D5CC" w14:textId="77777777" w:rsidR="00B17444" w:rsidRPr="00B17444" w:rsidRDefault="00B17444" w:rsidP="00B17444">
      <w:pPr>
        <w:rPr>
          <w:rFonts w:ascii="Calibri" w:hAnsi="Calibri" w:cs="Calibri"/>
          <w:sz w:val="22"/>
          <w:szCs w:val="22"/>
        </w:rPr>
      </w:pPr>
    </w:p>
    <w:p w14:paraId="75F7BDA9" w14:textId="1D0600A0" w:rsidR="00B17444" w:rsidRPr="00B17444" w:rsidRDefault="00E15D6C" w:rsidP="00B17444">
      <w:pPr>
        <w:rPr>
          <w:rFonts w:ascii="Calibri" w:hAnsi="Calibri" w:cs="Calibri"/>
          <w:sz w:val="22"/>
          <w:szCs w:val="22"/>
        </w:rPr>
      </w:pPr>
      <w:r>
        <w:rPr>
          <w:rFonts w:ascii="Calibri" w:hAnsi="Calibri" w:cs="Calibri"/>
          <w:sz w:val="22"/>
          <w:szCs w:val="22"/>
        </w:rPr>
        <w:t>F</w:t>
      </w:r>
      <w:r w:rsidR="00B17444" w:rsidRPr="00B17444">
        <w:rPr>
          <w:rFonts w:ascii="Calibri" w:hAnsi="Calibri" w:cs="Calibri"/>
          <w:sz w:val="22"/>
          <w:szCs w:val="22"/>
        </w:rPr>
        <w:t>inancial Resources</w:t>
      </w:r>
    </w:p>
    <w:p w14:paraId="3C33F255" w14:textId="77777777" w:rsidR="00B17444" w:rsidRPr="00B17444" w:rsidRDefault="00B17444" w:rsidP="00B17444">
      <w:pPr>
        <w:rPr>
          <w:rFonts w:ascii="Calibri" w:hAnsi="Calibri" w:cs="Calibri"/>
          <w:sz w:val="22"/>
          <w:szCs w:val="22"/>
        </w:rPr>
      </w:pPr>
    </w:p>
    <w:p w14:paraId="2FE47D1F"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Budget: CAD $1.2 billion (Project Poster, 2025).</w:t>
      </w:r>
    </w:p>
    <w:p w14:paraId="17599A98"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Allocation:</w:t>
      </w:r>
    </w:p>
    <w:p w14:paraId="184E24D5"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40% Construction</w:t>
      </w:r>
    </w:p>
    <w:p w14:paraId="0B502F10"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25% Materials</w:t>
      </w:r>
    </w:p>
    <w:p w14:paraId="272A3FF5" w14:textId="77777777" w:rsidR="00B17444" w:rsidRDefault="00B17444" w:rsidP="00B17444">
      <w:pPr>
        <w:rPr>
          <w:rFonts w:ascii="Calibri" w:hAnsi="Calibri" w:cs="Calibri"/>
          <w:sz w:val="22"/>
          <w:szCs w:val="22"/>
        </w:rPr>
      </w:pPr>
      <w:r w:rsidRPr="00B17444">
        <w:rPr>
          <w:rFonts w:ascii="Calibri" w:hAnsi="Calibri" w:cs="Calibri"/>
          <w:sz w:val="22"/>
          <w:szCs w:val="22"/>
        </w:rPr>
        <w:t>15% Labour</w:t>
      </w:r>
    </w:p>
    <w:p w14:paraId="25BF0AFA" w14:textId="77777777" w:rsidR="00B17444" w:rsidRDefault="00B17444" w:rsidP="00B17444">
      <w:pPr>
        <w:rPr>
          <w:rFonts w:ascii="Calibri" w:hAnsi="Calibri" w:cs="Calibri"/>
          <w:sz w:val="22"/>
          <w:szCs w:val="22"/>
        </w:rPr>
      </w:pPr>
      <w:r w:rsidRPr="00B17444">
        <w:rPr>
          <w:rFonts w:ascii="Calibri" w:hAnsi="Calibri" w:cs="Calibri"/>
          <w:sz w:val="22"/>
          <w:szCs w:val="22"/>
        </w:rPr>
        <w:t>10% Engineering &amp; design</w:t>
      </w:r>
    </w:p>
    <w:p w14:paraId="649BB3B7" w14:textId="46D2F2F2" w:rsidR="00B17444" w:rsidRPr="00B17444" w:rsidRDefault="00B17444" w:rsidP="00B17444">
      <w:pPr>
        <w:rPr>
          <w:rFonts w:ascii="Calibri" w:hAnsi="Calibri" w:cs="Calibri"/>
          <w:sz w:val="22"/>
          <w:szCs w:val="22"/>
        </w:rPr>
      </w:pPr>
      <w:r w:rsidRPr="00B17444">
        <w:rPr>
          <w:rFonts w:ascii="Calibri" w:hAnsi="Calibri" w:cs="Calibri"/>
          <w:sz w:val="22"/>
          <w:szCs w:val="22"/>
        </w:rPr>
        <w:t>5% Environmental compliance</w:t>
      </w:r>
    </w:p>
    <w:p w14:paraId="15AE925F"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5% Contingency</w:t>
      </w:r>
    </w:p>
    <w:p w14:paraId="65320C31" w14:textId="77777777" w:rsidR="00B17444" w:rsidRPr="00B17444" w:rsidRDefault="00B17444" w:rsidP="00B17444">
      <w:pPr>
        <w:rPr>
          <w:rFonts w:ascii="Calibri" w:hAnsi="Calibri" w:cs="Calibri"/>
          <w:sz w:val="22"/>
          <w:szCs w:val="22"/>
        </w:rPr>
      </w:pPr>
    </w:p>
    <w:p w14:paraId="155DE9B6" w14:textId="77777777" w:rsidR="00B17444" w:rsidRDefault="00B17444" w:rsidP="00B17444">
      <w:pPr>
        <w:rPr>
          <w:rFonts w:ascii="Calibri" w:hAnsi="Calibri" w:cs="Calibri"/>
          <w:sz w:val="22"/>
          <w:szCs w:val="22"/>
        </w:rPr>
      </w:pPr>
    </w:p>
    <w:p w14:paraId="4C0AB128" w14:textId="731A3F0D" w:rsidR="00B17444" w:rsidRPr="00B17444" w:rsidRDefault="00B17444" w:rsidP="00B17444">
      <w:pPr>
        <w:rPr>
          <w:rFonts w:ascii="Calibri" w:hAnsi="Calibri" w:cs="Calibri"/>
          <w:sz w:val="22"/>
          <w:szCs w:val="22"/>
        </w:rPr>
      </w:pPr>
      <w:r w:rsidRPr="00B17444">
        <w:rPr>
          <w:rFonts w:ascii="Calibri" w:hAnsi="Calibri" w:cs="Calibri"/>
          <w:sz w:val="22"/>
          <w:szCs w:val="22"/>
        </w:rPr>
        <w:t>Time Resources</w:t>
      </w:r>
    </w:p>
    <w:p w14:paraId="646BE6D0"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A strict 12-month schedule requires:</w:t>
      </w:r>
    </w:p>
    <w:p w14:paraId="5E38949B"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Early procurement</w:t>
      </w:r>
    </w:p>
    <w:p w14:paraId="25DB1C58"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Streamlined communication</w:t>
      </w:r>
    </w:p>
    <w:p w14:paraId="716D2ED1"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Strong contractor coordination</w:t>
      </w:r>
    </w:p>
    <w:p w14:paraId="4E0637DC"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Continuous monitoring</w:t>
      </w:r>
    </w:p>
    <w:p w14:paraId="5F99CFE8" w14:textId="77777777" w:rsidR="00B17444" w:rsidRPr="00B17444" w:rsidRDefault="00B17444" w:rsidP="00B17444">
      <w:pPr>
        <w:rPr>
          <w:rFonts w:ascii="Calibri" w:hAnsi="Calibri" w:cs="Calibri"/>
          <w:sz w:val="22"/>
          <w:szCs w:val="22"/>
        </w:rPr>
      </w:pPr>
    </w:p>
    <w:p w14:paraId="2AC9E115" w14:textId="44EFA04C" w:rsidR="00B17444" w:rsidRPr="00B17444" w:rsidRDefault="00B17444" w:rsidP="00B17444">
      <w:pPr>
        <w:rPr>
          <w:rFonts w:ascii="Calibri" w:hAnsi="Calibri" w:cs="Calibri"/>
          <w:sz w:val="22"/>
          <w:szCs w:val="22"/>
        </w:rPr>
      </w:pPr>
      <w:r w:rsidRPr="00B17444">
        <w:rPr>
          <w:rFonts w:ascii="Calibri" w:hAnsi="Calibri" w:cs="Calibri"/>
          <w:sz w:val="22"/>
          <w:szCs w:val="22"/>
        </w:rPr>
        <w:t>Risk Analysis</w:t>
      </w:r>
    </w:p>
    <w:p w14:paraId="1DCCA864" w14:textId="77777777" w:rsidR="00B17444" w:rsidRPr="00B17444" w:rsidRDefault="00B17444" w:rsidP="00B17444">
      <w:pPr>
        <w:rPr>
          <w:rFonts w:ascii="Calibri" w:hAnsi="Calibri" w:cs="Calibri"/>
          <w:sz w:val="22"/>
          <w:szCs w:val="22"/>
        </w:rPr>
      </w:pPr>
    </w:p>
    <w:p w14:paraId="4F64BBED"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lastRenderedPageBreak/>
        <w:t>The poster identifies weather delays, supply shortages, environmental issues and cost overruns as key risks (Project Poster, 2025).</w:t>
      </w:r>
    </w:p>
    <w:p w14:paraId="668A4465" w14:textId="77777777" w:rsidR="00B17444" w:rsidRPr="00B17444" w:rsidRDefault="00B17444" w:rsidP="00B17444">
      <w:pPr>
        <w:rPr>
          <w:rFonts w:ascii="Calibri" w:hAnsi="Calibri" w:cs="Calibri"/>
          <w:sz w:val="22"/>
          <w:szCs w:val="22"/>
        </w:rPr>
      </w:pPr>
    </w:p>
    <w:p w14:paraId="616EB39A" w14:textId="5A1B4B6B" w:rsidR="00B17444" w:rsidRPr="00B17444" w:rsidRDefault="00B17444" w:rsidP="00B17444">
      <w:pPr>
        <w:rPr>
          <w:rFonts w:ascii="Calibri" w:hAnsi="Calibri" w:cs="Calibri"/>
          <w:sz w:val="22"/>
          <w:szCs w:val="22"/>
        </w:rPr>
      </w:pPr>
      <w:r w:rsidRPr="00B17444">
        <w:rPr>
          <w:rFonts w:ascii="Calibri" w:hAnsi="Calibri" w:cs="Calibri"/>
          <w:sz w:val="22"/>
          <w:szCs w:val="22"/>
        </w:rPr>
        <w:t>Risk Breakdown Structure (RBS)</w:t>
      </w:r>
    </w:p>
    <w:p w14:paraId="6EECFDC6" w14:textId="77777777" w:rsidR="00B17444" w:rsidRPr="00B17444" w:rsidRDefault="00B17444" w:rsidP="00B17444">
      <w:pPr>
        <w:rPr>
          <w:rFonts w:ascii="Calibri" w:hAnsi="Calibri" w:cs="Calibri"/>
          <w:sz w:val="22"/>
          <w:szCs w:val="22"/>
        </w:rPr>
      </w:pPr>
    </w:p>
    <w:p w14:paraId="14D0852D"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Environmental: severe rainfall, snow, landslides</w:t>
      </w:r>
    </w:p>
    <w:p w14:paraId="1E91C6B9"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Technical: soil instability, design failures</w:t>
      </w:r>
    </w:p>
    <w:p w14:paraId="59816399"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Supply chain: material shortages</w:t>
      </w:r>
    </w:p>
    <w:p w14:paraId="53D6CDDB"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Regulatory: permit delays</w:t>
      </w:r>
    </w:p>
    <w:p w14:paraId="72A42C43"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Financial: inflation, cost escalation</w:t>
      </w:r>
    </w:p>
    <w:p w14:paraId="1F430126"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Safety: injuries, hazardous conditions</w:t>
      </w:r>
    </w:p>
    <w:p w14:paraId="688FDD8D"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Community: noise, dust, access restrictions</w:t>
      </w:r>
    </w:p>
    <w:p w14:paraId="6FD66843" w14:textId="77777777" w:rsidR="00E15D6C" w:rsidRDefault="00E15D6C" w:rsidP="00B17444">
      <w:pPr>
        <w:spacing w:after="160"/>
        <w:rPr>
          <w:rFonts w:ascii="Calibri" w:hAnsi="Calibri" w:cs="Calibri"/>
          <w:sz w:val="22"/>
          <w:szCs w:val="22"/>
        </w:rPr>
      </w:pPr>
    </w:p>
    <w:p w14:paraId="3107F4DB" w14:textId="29BDC25E" w:rsidR="00B17444" w:rsidRDefault="00B17444" w:rsidP="00B17444">
      <w:pPr>
        <w:spacing w:after="160"/>
        <w:rPr>
          <w:rFonts w:ascii="Calibri" w:hAnsi="Calibri" w:cs="Calibri"/>
          <w:b/>
          <w:bCs/>
          <w:sz w:val="22"/>
          <w:szCs w:val="22"/>
        </w:rPr>
      </w:pPr>
      <w:r w:rsidRPr="00831A83">
        <w:rPr>
          <w:rFonts w:ascii="Calibri" w:hAnsi="Calibri" w:cs="Calibri"/>
          <w:b/>
          <w:bCs/>
          <w:sz w:val="22"/>
          <w:szCs w:val="22"/>
        </w:rPr>
        <w:t xml:space="preserve"> Probability–Impact Matrix</w:t>
      </w:r>
    </w:p>
    <w:tbl>
      <w:tblPr>
        <w:tblW w:w="5500" w:type="dxa"/>
        <w:tblLook w:val="04A0" w:firstRow="1" w:lastRow="0" w:firstColumn="1" w:lastColumn="0" w:noHBand="0" w:noVBand="1"/>
      </w:tblPr>
      <w:tblGrid>
        <w:gridCol w:w="2253"/>
        <w:gridCol w:w="1305"/>
        <w:gridCol w:w="971"/>
        <w:gridCol w:w="971"/>
      </w:tblGrid>
      <w:tr w:rsidR="00113A26" w:rsidRPr="00113A26" w14:paraId="40FF0C96" w14:textId="77777777" w:rsidTr="00113A26">
        <w:trPr>
          <w:trHeight w:val="300"/>
        </w:trPr>
        <w:tc>
          <w:tcPr>
            <w:tcW w:w="2420" w:type="dxa"/>
            <w:tcBorders>
              <w:top w:val="single" w:sz="8" w:space="0" w:color="auto"/>
              <w:left w:val="single" w:sz="8" w:space="0" w:color="auto"/>
              <w:bottom w:val="single" w:sz="4" w:space="0" w:color="auto"/>
              <w:right w:val="single" w:sz="4" w:space="0" w:color="auto"/>
            </w:tcBorders>
            <w:vAlign w:val="center"/>
            <w:hideMark/>
          </w:tcPr>
          <w:p w14:paraId="5A88ABF3"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Risk</w:t>
            </w:r>
          </w:p>
        </w:tc>
        <w:tc>
          <w:tcPr>
            <w:tcW w:w="1320" w:type="dxa"/>
            <w:tcBorders>
              <w:top w:val="single" w:sz="8" w:space="0" w:color="auto"/>
              <w:left w:val="nil"/>
              <w:bottom w:val="single" w:sz="4" w:space="0" w:color="auto"/>
              <w:right w:val="single" w:sz="4" w:space="0" w:color="auto"/>
            </w:tcBorders>
            <w:vAlign w:val="center"/>
            <w:hideMark/>
          </w:tcPr>
          <w:p w14:paraId="48395DB9"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Probability</w:t>
            </w:r>
          </w:p>
        </w:tc>
        <w:tc>
          <w:tcPr>
            <w:tcW w:w="880" w:type="dxa"/>
            <w:tcBorders>
              <w:top w:val="single" w:sz="8" w:space="0" w:color="auto"/>
              <w:left w:val="nil"/>
              <w:bottom w:val="single" w:sz="4" w:space="0" w:color="auto"/>
              <w:right w:val="single" w:sz="4" w:space="0" w:color="auto"/>
            </w:tcBorders>
            <w:vAlign w:val="center"/>
            <w:hideMark/>
          </w:tcPr>
          <w:p w14:paraId="5BCD50E1"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Impact</w:t>
            </w:r>
          </w:p>
        </w:tc>
        <w:tc>
          <w:tcPr>
            <w:tcW w:w="880" w:type="dxa"/>
            <w:tcBorders>
              <w:top w:val="single" w:sz="8" w:space="0" w:color="auto"/>
              <w:left w:val="nil"/>
              <w:bottom w:val="single" w:sz="4" w:space="0" w:color="auto"/>
              <w:right w:val="single" w:sz="8" w:space="0" w:color="auto"/>
            </w:tcBorders>
            <w:vAlign w:val="center"/>
            <w:hideMark/>
          </w:tcPr>
          <w:p w14:paraId="6EA4BD4C" w14:textId="77777777" w:rsidR="00113A26" w:rsidRPr="00113A26" w:rsidRDefault="00113A26" w:rsidP="007A0EFD">
            <w:pPr>
              <w:spacing w:line="240" w:lineRule="auto"/>
              <w:jc w:val="center"/>
              <w:rPr>
                <w:rFonts w:ascii="Calibri" w:eastAsia="Times New Roman" w:hAnsi="Calibri" w:cs="Calibri"/>
                <w:b/>
                <w:bCs/>
                <w:kern w:val="0"/>
                <w:sz w:val="22"/>
                <w:szCs w:val="22"/>
                <w:lang w:eastAsia="en-GB"/>
                <w14:ligatures w14:val="none"/>
              </w:rPr>
            </w:pPr>
            <w:r w:rsidRPr="00113A26">
              <w:rPr>
                <w:rFonts w:ascii="Calibri" w:eastAsia="Times New Roman" w:hAnsi="Calibri" w:cs="Calibri"/>
                <w:b/>
                <w:bCs/>
                <w:kern w:val="0"/>
                <w:sz w:val="22"/>
                <w:szCs w:val="22"/>
                <w:lang w:eastAsia="en-GB"/>
                <w14:ligatures w14:val="none"/>
              </w:rPr>
              <w:t>Rating</w:t>
            </w:r>
          </w:p>
        </w:tc>
      </w:tr>
      <w:tr w:rsidR="00113A26" w:rsidRPr="00113A26" w14:paraId="0313A8B9" w14:textId="77777777" w:rsidTr="00113A26">
        <w:trPr>
          <w:trHeight w:val="300"/>
        </w:trPr>
        <w:tc>
          <w:tcPr>
            <w:tcW w:w="2420" w:type="dxa"/>
            <w:tcBorders>
              <w:top w:val="nil"/>
              <w:left w:val="single" w:sz="8" w:space="0" w:color="auto"/>
              <w:bottom w:val="single" w:sz="4" w:space="0" w:color="auto"/>
              <w:right w:val="single" w:sz="4" w:space="0" w:color="auto"/>
            </w:tcBorders>
            <w:vAlign w:val="center"/>
            <w:hideMark/>
          </w:tcPr>
          <w:p w14:paraId="1392B9A0"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Extreme weather delays</w:t>
            </w:r>
          </w:p>
        </w:tc>
        <w:tc>
          <w:tcPr>
            <w:tcW w:w="1320" w:type="dxa"/>
            <w:tcBorders>
              <w:top w:val="nil"/>
              <w:left w:val="nil"/>
              <w:bottom w:val="single" w:sz="4" w:space="0" w:color="auto"/>
              <w:right w:val="single" w:sz="4" w:space="0" w:color="auto"/>
            </w:tcBorders>
            <w:vAlign w:val="center"/>
            <w:hideMark/>
          </w:tcPr>
          <w:p w14:paraId="7EE7EE83"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880" w:type="dxa"/>
            <w:tcBorders>
              <w:top w:val="nil"/>
              <w:left w:val="nil"/>
              <w:bottom w:val="single" w:sz="4" w:space="0" w:color="auto"/>
              <w:right w:val="single" w:sz="4" w:space="0" w:color="auto"/>
            </w:tcBorders>
            <w:vAlign w:val="center"/>
            <w:hideMark/>
          </w:tcPr>
          <w:p w14:paraId="22B60B0E"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880" w:type="dxa"/>
            <w:tcBorders>
              <w:top w:val="nil"/>
              <w:left w:val="nil"/>
              <w:bottom w:val="single" w:sz="4" w:space="0" w:color="auto"/>
              <w:right w:val="single" w:sz="8" w:space="0" w:color="auto"/>
            </w:tcBorders>
            <w:vAlign w:val="center"/>
            <w:hideMark/>
          </w:tcPr>
          <w:p w14:paraId="3CD2EE7B"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Critical</w:t>
            </w:r>
          </w:p>
        </w:tc>
      </w:tr>
      <w:tr w:rsidR="00113A26" w:rsidRPr="00113A26" w14:paraId="2DD4ADB8" w14:textId="77777777" w:rsidTr="00113A26">
        <w:trPr>
          <w:trHeight w:val="300"/>
        </w:trPr>
        <w:tc>
          <w:tcPr>
            <w:tcW w:w="2420" w:type="dxa"/>
            <w:tcBorders>
              <w:top w:val="nil"/>
              <w:left w:val="single" w:sz="8" w:space="0" w:color="auto"/>
              <w:bottom w:val="single" w:sz="4" w:space="0" w:color="auto"/>
              <w:right w:val="single" w:sz="4" w:space="0" w:color="auto"/>
            </w:tcBorders>
            <w:vAlign w:val="center"/>
            <w:hideMark/>
          </w:tcPr>
          <w:p w14:paraId="243C71FD"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Supply chain disruptions</w:t>
            </w:r>
          </w:p>
        </w:tc>
        <w:tc>
          <w:tcPr>
            <w:tcW w:w="1320" w:type="dxa"/>
            <w:tcBorders>
              <w:top w:val="nil"/>
              <w:left w:val="nil"/>
              <w:bottom w:val="single" w:sz="4" w:space="0" w:color="auto"/>
              <w:right w:val="single" w:sz="4" w:space="0" w:color="auto"/>
            </w:tcBorders>
            <w:vAlign w:val="center"/>
            <w:hideMark/>
          </w:tcPr>
          <w:p w14:paraId="3DEDB3E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880" w:type="dxa"/>
            <w:tcBorders>
              <w:top w:val="nil"/>
              <w:left w:val="nil"/>
              <w:bottom w:val="single" w:sz="4" w:space="0" w:color="auto"/>
              <w:right w:val="single" w:sz="4" w:space="0" w:color="auto"/>
            </w:tcBorders>
            <w:vAlign w:val="center"/>
            <w:hideMark/>
          </w:tcPr>
          <w:p w14:paraId="631B9037"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880" w:type="dxa"/>
            <w:tcBorders>
              <w:top w:val="nil"/>
              <w:left w:val="nil"/>
              <w:bottom w:val="single" w:sz="4" w:space="0" w:color="auto"/>
              <w:right w:val="single" w:sz="8" w:space="0" w:color="auto"/>
            </w:tcBorders>
            <w:vAlign w:val="center"/>
            <w:hideMark/>
          </w:tcPr>
          <w:p w14:paraId="33786C04"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r>
      <w:tr w:rsidR="00113A26" w:rsidRPr="00113A26" w14:paraId="3B93D467" w14:textId="77777777" w:rsidTr="00113A26">
        <w:trPr>
          <w:trHeight w:val="300"/>
        </w:trPr>
        <w:tc>
          <w:tcPr>
            <w:tcW w:w="2420" w:type="dxa"/>
            <w:tcBorders>
              <w:top w:val="nil"/>
              <w:left w:val="single" w:sz="8" w:space="0" w:color="auto"/>
              <w:bottom w:val="single" w:sz="4" w:space="0" w:color="auto"/>
              <w:right w:val="single" w:sz="4" w:space="0" w:color="auto"/>
            </w:tcBorders>
            <w:vAlign w:val="center"/>
            <w:hideMark/>
          </w:tcPr>
          <w:p w14:paraId="531944A2"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Cost overruns</w:t>
            </w:r>
          </w:p>
        </w:tc>
        <w:tc>
          <w:tcPr>
            <w:tcW w:w="1320" w:type="dxa"/>
            <w:tcBorders>
              <w:top w:val="nil"/>
              <w:left w:val="nil"/>
              <w:bottom w:val="single" w:sz="4" w:space="0" w:color="auto"/>
              <w:right w:val="single" w:sz="4" w:space="0" w:color="auto"/>
            </w:tcBorders>
            <w:vAlign w:val="center"/>
            <w:hideMark/>
          </w:tcPr>
          <w:p w14:paraId="0B6ADE0F"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880" w:type="dxa"/>
            <w:tcBorders>
              <w:top w:val="nil"/>
              <w:left w:val="nil"/>
              <w:bottom w:val="single" w:sz="4" w:space="0" w:color="auto"/>
              <w:right w:val="single" w:sz="4" w:space="0" w:color="auto"/>
            </w:tcBorders>
            <w:vAlign w:val="center"/>
            <w:hideMark/>
          </w:tcPr>
          <w:p w14:paraId="1DD5ABCF"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880" w:type="dxa"/>
            <w:tcBorders>
              <w:top w:val="nil"/>
              <w:left w:val="nil"/>
              <w:bottom w:val="single" w:sz="4" w:space="0" w:color="auto"/>
              <w:right w:val="single" w:sz="8" w:space="0" w:color="auto"/>
            </w:tcBorders>
            <w:vAlign w:val="center"/>
            <w:hideMark/>
          </w:tcPr>
          <w:p w14:paraId="292CED2E"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r>
      <w:tr w:rsidR="00113A26" w:rsidRPr="00113A26" w14:paraId="05951479" w14:textId="77777777" w:rsidTr="00113A26">
        <w:trPr>
          <w:trHeight w:val="300"/>
        </w:trPr>
        <w:tc>
          <w:tcPr>
            <w:tcW w:w="2420" w:type="dxa"/>
            <w:tcBorders>
              <w:top w:val="nil"/>
              <w:left w:val="single" w:sz="8" w:space="0" w:color="auto"/>
              <w:bottom w:val="single" w:sz="4" w:space="0" w:color="auto"/>
              <w:right w:val="single" w:sz="4" w:space="0" w:color="auto"/>
            </w:tcBorders>
            <w:vAlign w:val="center"/>
            <w:hideMark/>
          </w:tcPr>
          <w:p w14:paraId="31485354"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Permit delays</w:t>
            </w:r>
          </w:p>
        </w:tc>
        <w:tc>
          <w:tcPr>
            <w:tcW w:w="1320" w:type="dxa"/>
            <w:tcBorders>
              <w:top w:val="nil"/>
              <w:left w:val="nil"/>
              <w:bottom w:val="single" w:sz="4" w:space="0" w:color="auto"/>
              <w:right w:val="single" w:sz="4" w:space="0" w:color="auto"/>
            </w:tcBorders>
            <w:vAlign w:val="center"/>
            <w:hideMark/>
          </w:tcPr>
          <w:p w14:paraId="3EB1842C"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880" w:type="dxa"/>
            <w:tcBorders>
              <w:top w:val="nil"/>
              <w:left w:val="nil"/>
              <w:bottom w:val="single" w:sz="4" w:space="0" w:color="auto"/>
              <w:right w:val="single" w:sz="4" w:space="0" w:color="auto"/>
            </w:tcBorders>
            <w:vAlign w:val="center"/>
            <w:hideMark/>
          </w:tcPr>
          <w:p w14:paraId="3B2870D7"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880" w:type="dxa"/>
            <w:tcBorders>
              <w:top w:val="nil"/>
              <w:left w:val="nil"/>
              <w:bottom w:val="single" w:sz="4" w:space="0" w:color="auto"/>
              <w:right w:val="single" w:sz="8" w:space="0" w:color="auto"/>
            </w:tcBorders>
            <w:vAlign w:val="center"/>
            <w:hideMark/>
          </w:tcPr>
          <w:p w14:paraId="197DAE51"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r>
      <w:tr w:rsidR="00113A26" w:rsidRPr="00113A26" w14:paraId="7A2CF068" w14:textId="77777777" w:rsidTr="00113A26">
        <w:trPr>
          <w:trHeight w:val="300"/>
        </w:trPr>
        <w:tc>
          <w:tcPr>
            <w:tcW w:w="2420" w:type="dxa"/>
            <w:tcBorders>
              <w:top w:val="nil"/>
              <w:left w:val="single" w:sz="8" w:space="0" w:color="auto"/>
              <w:bottom w:val="single" w:sz="4" w:space="0" w:color="auto"/>
              <w:right w:val="single" w:sz="4" w:space="0" w:color="auto"/>
            </w:tcBorders>
            <w:vAlign w:val="center"/>
            <w:hideMark/>
          </w:tcPr>
          <w:p w14:paraId="433F1E87"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Safety incidents</w:t>
            </w:r>
          </w:p>
        </w:tc>
        <w:tc>
          <w:tcPr>
            <w:tcW w:w="1320" w:type="dxa"/>
            <w:tcBorders>
              <w:top w:val="nil"/>
              <w:left w:val="nil"/>
              <w:bottom w:val="single" w:sz="4" w:space="0" w:color="auto"/>
              <w:right w:val="single" w:sz="4" w:space="0" w:color="auto"/>
            </w:tcBorders>
            <w:vAlign w:val="center"/>
            <w:hideMark/>
          </w:tcPr>
          <w:p w14:paraId="67830033"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Low</w:t>
            </w:r>
          </w:p>
        </w:tc>
        <w:tc>
          <w:tcPr>
            <w:tcW w:w="880" w:type="dxa"/>
            <w:tcBorders>
              <w:top w:val="nil"/>
              <w:left w:val="nil"/>
              <w:bottom w:val="single" w:sz="4" w:space="0" w:color="auto"/>
              <w:right w:val="single" w:sz="4" w:space="0" w:color="auto"/>
            </w:tcBorders>
            <w:vAlign w:val="center"/>
            <w:hideMark/>
          </w:tcPr>
          <w:p w14:paraId="27AB989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c>
          <w:tcPr>
            <w:tcW w:w="880" w:type="dxa"/>
            <w:tcBorders>
              <w:top w:val="nil"/>
              <w:left w:val="nil"/>
              <w:bottom w:val="single" w:sz="4" w:space="0" w:color="auto"/>
              <w:right w:val="single" w:sz="8" w:space="0" w:color="auto"/>
            </w:tcBorders>
            <w:vAlign w:val="center"/>
            <w:hideMark/>
          </w:tcPr>
          <w:p w14:paraId="7D09C08E"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High</w:t>
            </w:r>
          </w:p>
        </w:tc>
      </w:tr>
      <w:tr w:rsidR="00113A26" w:rsidRPr="00113A26" w14:paraId="6D5C1FC6" w14:textId="77777777" w:rsidTr="00113A26">
        <w:trPr>
          <w:trHeight w:val="300"/>
        </w:trPr>
        <w:tc>
          <w:tcPr>
            <w:tcW w:w="2420" w:type="dxa"/>
            <w:tcBorders>
              <w:top w:val="nil"/>
              <w:left w:val="single" w:sz="8" w:space="0" w:color="auto"/>
              <w:bottom w:val="single" w:sz="4" w:space="0" w:color="auto"/>
              <w:right w:val="single" w:sz="4" w:space="0" w:color="auto"/>
            </w:tcBorders>
            <w:vAlign w:val="center"/>
            <w:hideMark/>
          </w:tcPr>
          <w:p w14:paraId="290FCA7B"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Labour shortages</w:t>
            </w:r>
          </w:p>
        </w:tc>
        <w:tc>
          <w:tcPr>
            <w:tcW w:w="1320" w:type="dxa"/>
            <w:tcBorders>
              <w:top w:val="nil"/>
              <w:left w:val="nil"/>
              <w:bottom w:val="single" w:sz="4" w:space="0" w:color="auto"/>
              <w:right w:val="single" w:sz="4" w:space="0" w:color="auto"/>
            </w:tcBorders>
            <w:vAlign w:val="center"/>
            <w:hideMark/>
          </w:tcPr>
          <w:p w14:paraId="5DD79E8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880" w:type="dxa"/>
            <w:tcBorders>
              <w:top w:val="nil"/>
              <w:left w:val="nil"/>
              <w:bottom w:val="single" w:sz="4" w:space="0" w:color="auto"/>
              <w:right w:val="single" w:sz="4" w:space="0" w:color="auto"/>
            </w:tcBorders>
            <w:vAlign w:val="center"/>
            <w:hideMark/>
          </w:tcPr>
          <w:p w14:paraId="33E9BD0B"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880" w:type="dxa"/>
            <w:tcBorders>
              <w:top w:val="nil"/>
              <w:left w:val="nil"/>
              <w:bottom w:val="single" w:sz="4" w:space="0" w:color="auto"/>
              <w:right w:val="single" w:sz="8" w:space="0" w:color="auto"/>
            </w:tcBorders>
            <w:vAlign w:val="center"/>
            <w:hideMark/>
          </w:tcPr>
          <w:p w14:paraId="29062F95"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r>
      <w:tr w:rsidR="00113A26" w:rsidRPr="00113A26" w14:paraId="39D33B8C" w14:textId="77777777" w:rsidTr="00113A26">
        <w:trPr>
          <w:trHeight w:val="300"/>
        </w:trPr>
        <w:tc>
          <w:tcPr>
            <w:tcW w:w="2420" w:type="dxa"/>
            <w:tcBorders>
              <w:top w:val="nil"/>
              <w:left w:val="single" w:sz="8" w:space="0" w:color="auto"/>
              <w:bottom w:val="single" w:sz="8" w:space="0" w:color="auto"/>
              <w:right w:val="single" w:sz="4" w:space="0" w:color="auto"/>
            </w:tcBorders>
            <w:vAlign w:val="center"/>
            <w:hideMark/>
          </w:tcPr>
          <w:p w14:paraId="023BD510"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Community disruption</w:t>
            </w:r>
          </w:p>
        </w:tc>
        <w:tc>
          <w:tcPr>
            <w:tcW w:w="1320" w:type="dxa"/>
            <w:tcBorders>
              <w:top w:val="nil"/>
              <w:left w:val="nil"/>
              <w:bottom w:val="single" w:sz="8" w:space="0" w:color="auto"/>
              <w:right w:val="single" w:sz="4" w:space="0" w:color="auto"/>
            </w:tcBorders>
            <w:vAlign w:val="center"/>
            <w:hideMark/>
          </w:tcPr>
          <w:p w14:paraId="4C696A1A"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Medium</w:t>
            </w:r>
          </w:p>
        </w:tc>
        <w:tc>
          <w:tcPr>
            <w:tcW w:w="880" w:type="dxa"/>
            <w:tcBorders>
              <w:top w:val="nil"/>
              <w:left w:val="nil"/>
              <w:bottom w:val="single" w:sz="8" w:space="0" w:color="auto"/>
              <w:right w:val="single" w:sz="4" w:space="0" w:color="auto"/>
            </w:tcBorders>
            <w:vAlign w:val="center"/>
            <w:hideMark/>
          </w:tcPr>
          <w:p w14:paraId="0318567F"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Low</w:t>
            </w:r>
          </w:p>
        </w:tc>
        <w:tc>
          <w:tcPr>
            <w:tcW w:w="880" w:type="dxa"/>
            <w:tcBorders>
              <w:top w:val="nil"/>
              <w:left w:val="nil"/>
              <w:bottom w:val="single" w:sz="8" w:space="0" w:color="auto"/>
              <w:right w:val="single" w:sz="8" w:space="0" w:color="auto"/>
            </w:tcBorders>
            <w:vAlign w:val="center"/>
            <w:hideMark/>
          </w:tcPr>
          <w:p w14:paraId="57BAF198" w14:textId="77777777" w:rsidR="00113A26" w:rsidRPr="00113A26" w:rsidRDefault="00113A26" w:rsidP="007A0EFD">
            <w:pPr>
              <w:spacing w:line="240" w:lineRule="auto"/>
              <w:jc w:val="center"/>
              <w:rPr>
                <w:rFonts w:ascii="Calibri" w:eastAsia="Times New Roman" w:hAnsi="Calibri" w:cs="Calibri"/>
                <w:kern w:val="0"/>
                <w:sz w:val="22"/>
                <w:szCs w:val="22"/>
                <w:lang w:eastAsia="en-GB"/>
                <w14:ligatures w14:val="none"/>
              </w:rPr>
            </w:pPr>
            <w:r w:rsidRPr="00113A26">
              <w:rPr>
                <w:rFonts w:ascii="Calibri" w:eastAsia="Times New Roman" w:hAnsi="Calibri" w:cs="Calibri"/>
                <w:kern w:val="0"/>
                <w:sz w:val="22"/>
                <w:szCs w:val="22"/>
                <w:lang w:eastAsia="en-GB"/>
                <w14:ligatures w14:val="none"/>
              </w:rPr>
              <w:t>Low</w:t>
            </w:r>
          </w:p>
        </w:tc>
      </w:tr>
    </w:tbl>
    <w:p w14:paraId="1170BEE6" w14:textId="77777777" w:rsidR="00113A26" w:rsidRPr="00831A83" w:rsidRDefault="00113A26" w:rsidP="00B17444">
      <w:pPr>
        <w:spacing w:after="160"/>
        <w:rPr>
          <w:rFonts w:ascii="Calibri" w:hAnsi="Calibri" w:cs="Calibri"/>
          <w:b/>
          <w:bCs/>
          <w:sz w:val="22"/>
          <w:szCs w:val="22"/>
        </w:rPr>
      </w:pPr>
    </w:p>
    <w:p w14:paraId="1325C34D"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Smith &amp; Petley (2009) emphasise that disaster-related risks arise from the combination of hazards, vulnerability and exposure; this project directly addresses all three.</w:t>
      </w:r>
    </w:p>
    <w:p w14:paraId="721865B6" w14:textId="77777777" w:rsidR="00E15D6C" w:rsidRDefault="00E15D6C" w:rsidP="00B17444">
      <w:pPr>
        <w:rPr>
          <w:rFonts w:ascii="Calibri" w:hAnsi="Calibri" w:cs="Calibri"/>
          <w:sz w:val="22"/>
          <w:szCs w:val="22"/>
        </w:rPr>
      </w:pPr>
    </w:p>
    <w:p w14:paraId="5B1457D4" w14:textId="25C42DA9" w:rsidR="00B17444" w:rsidRPr="00B17444" w:rsidRDefault="00B17444" w:rsidP="00B17444">
      <w:pPr>
        <w:rPr>
          <w:rFonts w:ascii="Calibri" w:hAnsi="Calibri" w:cs="Calibri"/>
          <w:sz w:val="22"/>
          <w:szCs w:val="22"/>
        </w:rPr>
      </w:pPr>
      <w:r w:rsidRPr="00B17444">
        <w:rPr>
          <w:rFonts w:ascii="Calibri" w:hAnsi="Calibri" w:cs="Calibri"/>
          <w:sz w:val="22"/>
          <w:szCs w:val="22"/>
        </w:rPr>
        <w:t>Mitigation Strategies</w:t>
      </w:r>
    </w:p>
    <w:p w14:paraId="367A4073" w14:textId="77777777" w:rsidR="00B17444" w:rsidRPr="00B17444" w:rsidRDefault="00B17444" w:rsidP="00B17444">
      <w:pPr>
        <w:rPr>
          <w:rFonts w:ascii="Calibri" w:hAnsi="Calibri" w:cs="Calibri"/>
          <w:sz w:val="22"/>
          <w:szCs w:val="22"/>
        </w:rPr>
      </w:pPr>
    </w:p>
    <w:p w14:paraId="0B074CDA"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Weather: schedule buffers, fast-tracking, resilient materials</w:t>
      </w:r>
    </w:p>
    <w:p w14:paraId="321C0F34"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Supply: multiple suppliers, early procurement, stockpiling</w:t>
      </w:r>
    </w:p>
    <w:p w14:paraId="798006B8"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Cost: EVM monitoring, fixed-price contracts</w:t>
      </w:r>
    </w:p>
    <w:p w14:paraId="3F8EAFF6"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Environmental: early studies, erosion control, compliance monitoring</w:t>
      </w:r>
    </w:p>
    <w:p w14:paraId="60015897"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Safety: PPE, daily briefings, risk-specific training</w:t>
      </w:r>
    </w:p>
    <w:p w14:paraId="2EB08C19"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lastRenderedPageBreak/>
        <w:t>Community: transparent updates, traffic diversions, dust/noise control</w:t>
      </w:r>
    </w:p>
    <w:p w14:paraId="45FB5C7F" w14:textId="77777777" w:rsidR="00B17444" w:rsidRPr="00B17444" w:rsidRDefault="00B17444" w:rsidP="00B17444">
      <w:pPr>
        <w:rPr>
          <w:rFonts w:ascii="Calibri" w:hAnsi="Calibri" w:cs="Calibri"/>
          <w:sz w:val="22"/>
          <w:szCs w:val="22"/>
        </w:rPr>
      </w:pPr>
    </w:p>
    <w:p w14:paraId="57183D91" w14:textId="6D2EEB89" w:rsidR="00B17444" w:rsidRPr="00B17444" w:rsidRDefault="00B17444" w:rsidP="00B17444">
      <w:pPr>
        <w:rPr>
          <w:rFonts w:ascii="Calibri" w:hAnsi="Calibri" w:cs="Calibri"/>
          <w:sz w:val="22"/>
          <w:szCs w:val="22"/>
        </w:rPr>
      </w:pPr>
      <w:r w:rsidRPr="00B17444">
        <w:rPr>
          <w:rFonts w:ascii="Calibri" w:hAnsi="Calibri" w:cs="Calibri"/>
          <w:sz w:val="22"/>
          <w:szCs w:val="22"/>
        </w:rPr>
        <w:t>Monitoring</w:t>
      </w:r>
    </w:p>
    <w:p w14:paraId="5CAF63D6"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Weekly risk meetings</w:t>
      </w:r>
    </w:p>
    <w:p w14:paraId="6313F718" w14:textId="4EDBA317" w:rsidR="00B17444" w:rsidRPr="00B17444" w:rsidRDefault="00B17444" w:rsidP="00B17444">
      <w:pPr>
        <w:rPr>
          <w:rFonts w:ascii="Calibri" w:hAnsi="Calibri" w:cs="Calibri"/>
          <w:sz w:val="22"/>
          <w:szCs w:val="22"/>
        </w:rPr>
      </w:pPr>
      <w:r w:rsidRPr="00B17444">
        <w:rPr>
          <w:rFonts w:ascii="Calibri" w:hAnsi="Calibri" w:cs="Calibri"/>
          <w:sz w:val="22"/>
          <w:szCs w:val="22"/>
        </w:rPr>
        <w:t>EVM dashboards</w:t>
      </w:r>
    </w:p>
    <w:p w14:paraId="0FFB507A"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Trigger-based escalation</w:t>
      </w:r>
    </w:p>
    <w:p w14:paraId="2DE11366"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Updated risk register</w:t>
      </w:r>
    </w:p>
    <w:p w14:paraId="2EB1F0CB" w14:textId="77777777" w:rsidR="00B17444" w:rsidRPr="00B17444" w:rsidRDefault="00B17444" w:rsidP="00B17444">
      <w:pPr>
        <w:rPr>
          <w:rFonts w:ascii="Calibri" w:hAnsi="Calibri" w:cs="Calibri"/>
          <w:sz w:val="22"/>
          <w:szCs w:val="22"/>
        </w:rPr>
      </w:pPr>
    </w:p>
    <w:p w14:paraId="08431BA9" w14:textId="77777777" w:rsidR="00B17444" w:rsidRDefault="00B17444" w:rsidP="00B17444">
      <w:pPr>
        <w:rPr>
          <w:rFonts w:ascii="Calibri" w:hAnsi="Calibri" w:cs="Calibri"/>
          <w:sz w:val="22"/>
          <w:szCs w:val="22"/>
        </w:rPr>
      </w:pPr>
    </w:p>
    <w:p w14:paraId="4B226AEE" w14:textId="77777777" w:rsidR="00B17444" w:rsidRDefault="00B17444" w:rsidP="00B17444">
      <w:pPr>
        <w:rPr>
          <w:rFonts w:ascii="Calibri" w:hAnsi="Calibri" w:cs="Calibri"/>
          <w:sz w:val="22"/>
          <w:szCs w:val="22"/>
        </w:rPr>
      </w:pPr>
    </w:p>
    <w:p w14:paraId="12B068C9" w14:textId="77777777" w:rsidR="00E15D6C" w:rsidRDefault="00E15D6C" w:rsidP="00B17444">
      <w:pPr>
        <w:rPr>
          <w:rFonts w:ascii="Calibri" w:hAnsi="Calibri" w:cs="Calibri"/>
          <w:sz w:val="22"/>
          <w:szCs w:val="22"/>
        </w:rPr>
      </w:pPr>
    </w:p>
    <w:p w14:paraId="7B6F732F" w14:textId="76BED9A4" w:rsidR="00B17444" w:rsidRPr="00E15D6C" w:rsidRDefault="00B17444" w:rsidP="00E15D6C">
      <w:pPr>
        <w:pStyle w:val="Heading1"/>
      </w:pPr>
      <w:bookmarkStart w:id="12" w:name="_Toc214622882"/>
      <w:r w:rsidRPr="00E15D6C">
        <w:t>Conclusion</w:t>
      </w:r>
      <w:bookmarkEnd w:id="12"/>
    </w:p>
    <w:p w14:paraId="7DA2D14D" w14:textId="77777777" w:rsidR="00B17444" w:rsidRPr="00B17444" w:rsidRDefault="00B17444" w:rsidP="00B17444">
      <w:pPr>
        <w:rPr>
          <w:rFonts w:ascii="Calibri" w:hAnsi="Calibri" w:cs="Calibri"/>
          <w:sz w:val="22"/>
          <w:szCs w:val="22"/>
        </w:rPr>
      </w:pPr>
    </w:p>
    <w:p w14:paraId="6A44614B"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The reopening of Highway 5 is a critical infrastructure initiative with profound social, economic and environmental implications for British Columbia. The project poster highlighted the severe impacts of the 2022 floods, including collapsed bridges and washed-out road sections, as well as major disruptions to mobility, supply chains, and emergency response capacity. This PMP has expanded those insights into a comprehensive and academically supported planning framework that applies recognised project management methodologies, such as the PMBOK life cycle, WBS development, risk management processes, and stakeholder engagement models.</w:t>
      </w:r>
    </w:p>
    <w:p w14:paraId="5C5570DB" w14:textId="77777777" w:rsidR="00B17444" w:rsidRPr="00B17444" w:rsidRDefault="00B17444" w:rsidP="00B17444">
      <w:pPr>
        <w:rPr>
          <w:rFonts w:ascii="Calibri" w:hAnsi="Calibri" w:cs="Calibri"/>
          <w:sz w:val="22"/>
          <w:szCs w:val="22"/>
        </w:rPr>
      </w:pPr>
    </w:p>
    <w:p w14:paraId="54D77000" w14:textId="77777777" w:rsidR="00B17444" w:rsidRPr="00B17444" w:rsidRDefault="00B17444" w:rsidP="00B17444">
      <w:pPr>
        <w:rPr>
          <w:rFonts w:ascii="Calibri" w:hAnsi="Calibri" w:cs="Calibri"/>
          <w:sz w:val="22"/>
          <w:szCs w:val="22"/>
        </w:rPr>
      </w:pPr>
      <w:r w:rsidRPr="00B17444">
        <w:rPr>
          <w:rFonts w:ascii="Calibri" w:hAnsi="Calibri" w:cs="Calibri"/>
          <w:sz w:val="22"/>
          <w:szCs w:val="22"/>
        </w:rPr>
        <w:t>By integrating engineering assessments with structured planning tools, the PMP provides a clear roadmap for coordinating the complex reconstruction activities required to restore the corridor fully within the constrained 12-month timeframe and fixed CAD $1.2 billion budget. In line with Transport Canada’s guidance, the plan embeds climate-resilient design principles to ensure the rebuilt infrastructure is stronger and better able to withstand future extreme weather events. Successful delivery will depend on effective governance, interdisciplinary collaboration, continuous risk monitoring and transparent communication with affected communities and stakeholder groups.</w:t>
      </w:r>
    </w:p>
    <w:p w14:paraId="67F0A629" w14:textId="77777777" w:rsidR="00B17444" w:rsidRPr="00B17444" w:rsidRDefault="00B17444" w:rsidP="00B17444">
      <w:pPr>
        <w:rPr>
          <w:rFonts w:ascii="Calibri" w:hAnsi="Calibri" w:cs="Calibri"/>
          <w:sz w:val="22"/>
          <w:szCs w:val="22"/>
        </w:rPr>
      </w:pPr>
    </w:p>
    <w:p w14:paraId="2837CFE7" w14:textId="16235DE5" w:rsidR="00B17444" w:rsidRPr="00B17444" w:rsidRDefault="00B17444" w:rsidP="00B17444">
      <w:pPr>
        <w:rPr>
          <w:rFonts w:ascii="Calibri" w:hAnsi="Calibri" w:cs="Calibri"/>
          <w:sz w:val="22"/>
          <w:szCs w:val="22"/>
        </w:rPr>
      </w:pPr>
      <w:r w:rsidRPr="00B17444">
        <w:rPr>
          <w:rFonts w:ascii="Calibri" w:hAnsi="Calibri" w:cs="Calibri"/>
          <w:sz w:val="22"/>
          <w:szCs w:val="22"/>
        </w:rPr>
        <w:t>Overall, this PMP transforms the conceptual outline presented in the poster into an actionable and strategically grounded management plan. When executed effectively, the project will re-establish a vital transportation link and enhance long-term regional resilience, economic stability and public safety.</w:t>
      </w:r>
    </w:p>
    <w:p w14:paraId="3AE6182C" w14:textId="77777777" w:rsidR="00B17444" w:rsidRDefault="00B17444" w:rsidP="00B17444">
      <w:pPr>
        <w:spacing w:after="160"/>
        <w:rPr>
          <w:rFonts w:ascii="Calibri" w:hAnsi="Calibri" w:cs="Calibri"/>
          <w:sz w:val="22"/>
          <w:szCs w:val="22"/>
        </w:rPr>
      </w:pPr>
    </w:p>
    <w:p w14:paraId="59AC158C" w14:textId="77777777" w:rsidR="00B17444" w:rsidRDefault="00B17444" w:rsidP="00B17444">
      <w:pPr>
        <w:spacing w:after="160"/>
        <w:rPr>
          <w:rFonts w:ascii="Calibri" w:hAnsi="Calibri" w:cs="Calibri"/>
          <w:sz w:val="22"/>
          <w:szCs w:val="22"/>
        </w:rPr>
      </w:pPr>
    </w:p>
    <w:p w14:paraId="1F135153" w14:textId="77777777" w:rsidR="00B17444" w:rsidRDefault="00B17444" w:rsidP="00B17444">
      <w:pPr>
        <w:spacing w:after="160"/>
        <w:rPr>
          <w:rFonts w:ascii="Calibri" w:hAnsi="Calibri" w:cs="Calibri"/>
          <w:sz w:val="22"/>
          <w:szCs w:val="22"/>
        </w:rPr>
      </w:pPr>
    </w:p>
    <w:p w14:paraId="49364237" w14:textId="77777777" w:rsidR="00B17444" w:rsidRDefault="00B17444" w:rsidP="00B17444">
      <w:pPr>
        <w:spacing w:after="160"/>
        <w:rPr>
          <w:rFonts w:ascii="Calibri" w:hAnsi="Calibri" w:cs="Calibri"/>
          <w:sz w:val="22"/>
          <w:szCs w:val="22"/>
        </w:rPr>
      </w:pPr>
    </w:p>
    <w:p w14:paraId="5E3138D4" w14:textId="77777777" w:rsidR="00B17444" w:rsidRDefault="00B17444" w:rsidP="00B17444">
      <w:pPr>
        <w:spacing w:after="160"/>
        <w:rPr>
          <w:rFonts w:ascii="Calibri" w:hAnsi="Calibri" w:cs="Calibri"/>
          <w:sz w:val="22"/>
          <w:szCs w:val="22"/>
        </w:rPr>
      </w:pPr>
    </w:p>
    <w:p w14:paraId="2C97A3F3" w14:textId="77777777" w:rsidR="00B17444" w:rsidRDefault="00B17444" w:rsidP="00B17444">
      <w:pPr>
        <w:spacing w:after="160"/>
        <w:rPr>
          <w:rFonts w:ascii="Calibri" w:hAnsi="Calibri" w:cs="Calibri"/>
          <w:sz w:val="22"/>
          <w:szCs w:val="22"/>
        </w:rPr>
      </w:pPr>
    </w:p>
    <w:p w14:paraId="5B1C919E" w14:textId="77777777" w:rsidR="00B17444" w:rsidRDefault="00B17444" w:rsidP="00B17444">
      <w:pPr>
        <w:spacing w:after="160"/>
        <w:rPr>
          <w:rFonts w:ascii="Calibri" w:hAnsi="Calibri" w:cs="Calibri"/>
          <w:sz w:val="22"/>
          <w:szCs w:val="22"/>
        </w:rPr>
      </w:pPr>
    </w:p>
    <w:p w14:paraId="3618D4B7" w14:textId="77777777" w:rsidR="00B17444" w:rsidRDefault="00B17444" w:rsidP="00B17444">
      <w:pPr>
        <w:spacing w:after="160"/>
        <w:rPr>
          <w:rFonts w:ascii="Calibri" w:hAnsi="Calibri" w:cs="Calibri"/>
          <w:sz w:val="22"/>
          <w:szCs w:val="22"/>
        </w:rPr>
      </w:pPr>
    </w:p>
    <w:p w14:paraId="6E0CB2DB" w14:textId="77777777" w:rsidR="00B17444" w:rsidRDefault="00B17444" w:rsidP="00B17444">
      <w:pPr>
        <w:spacing w:after="160"/>
        <w:rPr>
          <w:rFonts w:ascii="Calibri" w:hAnsi="Calibri" w:cs="Calibri"/>
          <w:sz w:val="22"/>
          <w:szCs w:val="22"/>
        </w:rPr>
      </w:pPr>
    </w:p>
    <w:p w14:paraId="7F1E2539" w14:textId="71A55076" w:rsidR="00B17444" w:rsidRPr="00831A83" w:rsidRDefault="00B17444" w:rsidP="00E15D6C">
      <w:pPr>
        <w:pStyle w:val="Heading1"/>
      </w:pPr>
      <w:bookmarkStart w:id="13" w:name="_Toc214622883"/>
      <w:r w:rsidRPr="00831A83">
        <w:t>References</w:t>
      </w:r>
      <w:bookmarkEnd w:id="13"/>
    </w:p>
    <w:p w14:paraId="428706ED" w14:textId="77777777" w:rsidR="00B17444" w:rsidRPr="00831A83" w:rsidRDefault="00B17444" w:rsidP="00B17444">
      <w:pPr>
        <w:spacing w:after="160"/>
        <w:rPr>
          <w:rFonts w:ascii="Calibri" w:hAnsi="Calibri" w:cs="Calibri"/>
          <w:sz w:val="22"/>
          <w:szCs w:val="22"/>
        </w:rPr>
      </w:pPr>
      <w:r w:rsidRPr="00B17444">
        <w:rPr>
          <w:rFonts w:ascii="Calibri" w:hAnsi="Calibri" w:cs="Calibri"/>
          <w:sz w:val="22"/>
          <w:szCs w:val="22"/>
        </w:rPr>
        <w:t xml:space="preserve">Project Poster (2025) </w:t>
      </w:r>
      <w:r w:rsidRPr="00B17444">
        <w:rPr>
          <w:rFonts w:ascii="Calibri" w:hAnsi="Calibri" w:cs="Calibri"/>
          <w:i/>
          <w:iCs/>
          <w:sz w:val="22"/>
          <w:szCs w:val="22"/>
        </w:rPr>
        <w:t>Reopening of Highway 5 (Coquihalla Highway).</w:t>
      </w:r>
      <w:r w:rsidRPr="00B17444">
        <w:rPr>
          <w:rFonts w:ascii="Calibri" w:hAnsi="Calibri" w:cs="Calibri"/>
          <w:sz w:val="22"/>
          <w:szCs w:val="22"/>
        </w:rPr>
        <w:t xml:space="preserve"> Student project poster.</w:t>
      </w:r>
    </w:p>
    <w:p w14:paraId="51217874"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 xml:space="preserve">Freeman, R.E. (1984) </w:t>
      </w:r>
      <w:r w:rsidRPr="00831A83">
        <w:rPr>
          <w:rFonts w:ascii="Calibri" w:hAnsi="Calibri" w:cs="Calibri"/>
          <w:i/>
          <w:iCs/>
          <w:sz w:val="22"/>
          <w:szCs w:val="22"/>
        </w:rPr>
        <w:t>Strategic Management: A Stakeholder Approach.</w:t>
      </w:r>
      <w:r w:rsidRPr="00831A83">
        <w:rPr>
          <w:rFonts w:ascii="Calibri" w:hAnsi="Calibri" w:cs="Calibri"/>
          <w:sz w:val="22"/>
          <w:szCs w:val="22"/>
        </w:rPr>
        <w:t xml:space="preserve"> Boston: Pitman Publishing.</w:t>
      </w:r>
    </w:p>
    <w:p w14:paraId="0C16E97D"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 xml:space="preserve">Government of British Columbia (2022) </w:t>
      </w:r>
      <w:r w:rsidRPr="00831A83">
        <w:rPr>
          <w:rFonts w:ascii="Calibri" w:hAnsi="Calibri" w:cs="Calibri"/>
          <w:i/>
          <w:iCs/>
          <w:sz w:val="22"/>
          <w:szCs w:val="22"/>
        </w:rPr>
        <w:t>Highway 5 (Coquihalla) Flood Recovery and Reconstruction Update.</w:t>
      </w:r>
      <w:r w:rsidRPr="00831A83">
        <w:rPr>
          <w:rFonts w:ascii="Calibri" w:hAnsi="Calibri" w:cs="Calibri"/>
          <w:sz w:val="22"/>
          <w:szCs w:val="22"/>
        </w:rPr>
        <w:t xml:space="preserve"> Victoria: Ministry of Transportation and Infrastructure.</w:t>
      </w:r>
    </w:p>
    <w:p w14:paraId="660810BD"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 xml:space="preserve">Kerzner, H. (2017) </w:t>
      </w:r>
      <w:r w:rsidRPr="00831A83">
        <w:rPr>
          <w:rFonts w:ascii="Calibri" w:hAnsi="Calibri" w:cs="Calibri"/>
          <w:i/>
          <w:iCs/>
          <w:sz w:val="22"/>
          <w:szCs w:val="22"/>
        </w:rPr>
        <w:t>Project Management: A Systems Approach to Planning, Scheduling, and Controlling.</w:t>
      </w:r>
      <w:r w:rsidRPr="00831A83">
        <w:rPr>
          <w:rFonts w:ascii="Calibri" w:hAnsi="Calibri" w:cs="Calibri"/>
          <w:sz w:val="22"/>
          <w:szCs w:val="22"/>
        </w:rPr>
        <w:t xml:space="preserve"> 12th </w:t>
      </w:r>
      <w:proofErr w:type="spellStart"/>
      <w:r w:rsidRPr="00831A83">
        <w:rPr>
          <w:rFonts w:ascii="Calibri" w:hAnsi="Calibri" w:cs="Calibri"/>
          <w:sz w:val="22"/>
          <w:szCs w:val="22"/>
        </w:rPr>
        <w:t>edn</w:t>
      </w:r>
      <w:proofErr w:type="spellEnd"/>
      <w:r w:rsidRPr="00831A83">
        <w:rPr>
          <w:rFonts w:ascii="Calibri" w:hAnsi="Calibri" w:cs="Calibri"/>
          <w:sz w:val="22"/>
          <w:szCs w:val="22"/>
        </w:rPr>
        <w:t>. Hoboken: John Wiley &amp; Sons.</w:t>
      </w:r>
    </w:p>
    <w:p w14:paraId="5E770291"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 xml:space="preserve">PMI (Project Management Institute) (2021) </w:t>
      </w:r>
      <w:r w:rsidRPr="00831A83">
        <w:rPr>
          <w:rFonts w:ascii="Calibri" w:hAnsi="Calibri" w:cs="Calibri"/>
          <w:i/>
          <w:iCs/>
          <w:sz w:val="22"/>
          <w:szCs w:val="22"/>
        </w:rPr>
        <w:t>A Guide to the Project Management Body of Knowledge (PMBOK® Guide).</w:t>
      </w:r>
      <w:r w:rsidRPr="00831A83">
        <w:rPr>
          <w:rFonts w:ascii="Calibri" w:hAnsi="Calibri" w:cs="Calibri"/>
          <w:sz w:val="22"/>
          <w:szCs w:val="22"/>
        </w:rPr>
        <w:t xml:space="preserve"> 7th </w:t>
      </w:r>
      <w:proofErr w:type="spellStart"/>
      <w:r w:rsidRPr="00831A83">
        <w:rPr>
          <w:rFonts w:ascii="Calibri" w:hAnsi="Calibri" w:cs="Calibri"/>
          <w:sz w:val="22"/>
          <w:szCs w:val="22"/>
        </w:rPr>
        <w:t>edn</w:t>
      </w:r>
      <w:proofErr w:type="spellEnd"/>
      <w:r w:rsidRPr="00831A83">
        <w:rPr>
          <w:rFonts w:ascii="Calibri" w:hAnsi="Calibri" w:cs="Calibri"/>
          <w:sz w:val="22"/>
          <w:szCs w:val="22"/>
        </w:rPr>
        <w:t>. Pennsylvania: PMI.</w:t>
      </w:r>
    </w:p>
    <w:p w14:paraId="16AA61B3"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 xml:space="preserve">Smith, K. and Petley, D. (2009) </w:t>
      </w:r>
      <w:r w:rsidRPr="00831A83">
        <w:rPr>
          <w:rFonts w:ascii="Calibri" w:hAnsi="Calibri" w:cs="Calibri"/>
          <w:i/>
          <w:iCs/>
          <w:sz w:val="22"/>
          <w:szCs w:val="22"/>
        </w:rPr>
        <w:t>Environmental Hazards: Assessing Risk and Reducing Disaster.</w:t>
      </w:r>
      <w:r w:rsidRPr="00831A83">
        <w:rPr>
          <w:rFonts w:ascii="Calibri" w:hAnsi="Calibri" w:cs="Calibri"/>
          <w:sz w:val="22"/>
          <w:szCs w:val="22"/>
        </w:rPr>
        <w:t xml:space="preserve"> 5th </w:t>
      </w:r>
      <w:proofErr w:type="spellStart"/>
      <w:r w:rsidRPr="00831A83">
        <w:rPr>
          <w:rFonts w:ascii="Calibri" w:hAnsi="Calibri" w:cs="Calibri"/>
          <w:sz w:val="22"/>
          <w:szCs w:val="22"/>
        </w:rPr>
        <w:t>edn</w:t>
      </w:r>
      <w:proofErr w:type="spellEnd"/>
      <w:r w:rsidRPr="00831A83">
        <w:rPr>
          <w:rFonts w:ascii="Calibri" w:hAnsi="Calibri" w:cs="Calibri"/>
          <w:sz w:val="22"/>
          <w:szCs w:val="22"/>
        </w:rPr>
        <w:t>. London: Routledge.</w:t>
      </w:r>
    </w:p>
    <w:p w14:paraId="2172CE85"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 xml:space="preserve">Transport Canada (2022) </w:t>
      </w:r>
      <w:r w:rsidRPr="00831A83">
        <w:rPr>
          <w:rFonts w:ascii="Calibri" w:hAnsi="Calibri" w:cs="Calibri"/>
          <w:i/>
          <w:iCs/>
          <w:sz w:val="22"/>
          <w:szCs w:val="22"/>
        </w:rPr>
        <w:t>Infrastructure Resilience Report: Adapting Transportation Systems to Climate Change.</w:t>
      </w:r>
      <w:r w:rsidRPr="00831A83">
        <w:rPr>
          <w:rFonts w:ascii="Calibri" w:hAnsi="Calibri" w:cs="Calibri"/>
          <w:sz w:val="22"/>
          <w:szCs w:val="22"/>
        </w:rPr>
        <w:t xml:space="preserve"> Ottawa: Government of Canada.</w:t>
      </w:r>
    </w:p>
    <w:p w14:paraId="4C698A86" w14:textId="77777777" w:rsidR="00B17444" w:rsidRPr="00831A83" w:rsidRDefault="00B17444" w:rsidP="00B17444">
      <w:pPr>
        <w:spacing w:after="160"/>
        <w:rPr>
          <w:rFonts w:ascii="Calibri" w:hAnsi="Calibri" w:cs="Calibri"/>
          <w:sz w:val="22"/>
          <w:szCs w:val="22"/>
        </w:rPr>
      </w:pPr>
      <w:r w:rsidRPr="00831A83">
        <w:rPr>
          <w:rFonts w:ascii="Calibri" w:hAnsi="Calibri" w:cs="Calibri"/>
          <w:sz w:val="22"/>
          <w:szCs w:val="22"/>
        </w:rPr>
        <w:t xml:space="preserve">Turner, J.R. (2014) </w:t>
      </w:r>
      <w:r w:rsidRPr="00831A83">
        <w:rPr>
          <w:rFonts w:ascii="Calibri" w:hAnsi="Calibri" w:cs="Calibri"/>
          <w:i/>
          <w:iCs/>
          <w:sz w:val="22"/>
          <w:szCs w:val="22"/>
        </w:rPr>
        <w:t>Handbook of Project-Based Management: Leading Strategic Change in Organisations.</w:t>
      </w:r>
      <w:r w:rsidRPr="00831A83">
        <w:rPr>
          <w:rFonts w:ascii="Calibri" w:hAnsi="Calibri" w:cs="Calibri"/>
          <w:sz w:val="22"/>
          <w:szCs w:val="22"/>
        </w:rPr>
        <w:t xml:space="preserve"> 4th </w:t>
      </w:r>
      <w:proofErr w:type="spellStart"/>
      <w:r w:rsidRPr="00831A83">
        <w:rPr>
          <w:rFonts w:ascii="Calibri" w:hAnsi="Calibri" w:cs="Calibri"/>
          <w:sz w:val="22"/>
          <w:szCs w:val="22"/>
        </w:rPr>
        <w:t>edn</w:t>
      </w:r>
      <w:proofErr w:type="spellEnd"/>
      <w:r w:rsidRPr="00831A83">
        <w:rPr>
          <w:rFonts w:ascii="Calibri" w:hAnsi="Calibri" w:cs="Calibri"/>
          <w:sz w:val="22"/>
          <w:szCs w:val="22"/>
        </w:rPr>
        <w:t>. New York: McGraw-Hill.</w:t>
      </w:r>
    </w:p>
    <w:p w14:paraId="37958BBA" w14:textId="77777777" w:rsidR="00B17444" w:rsidRDefault="00B17444" w:rsidP="00B17444"/>
    <w:sectPr w:rsidR="00B17444" w:rsidSect="003A2FF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CFEBC" w14:textId="77777777" w:rsidR="00C14C38" w:rsidRDefault="00C14C38" w:rsidP="003A2FF4">
      <w:pPr>
        <w:spacing w:line="240" w:lineRule="auto"/>
      </w:pPr>
      <w:r>
        <w:separator/>
      </w:r>
    </w:p>
  </w:endnote>
  <w:endnote w:type="continuationSeparator" w:id="0">
    <w:p w14:paraId="12039088" w14:textId="77777777" w:rsidR="00C14C38" w:rsidRDefault="00C14C38" w:rsidP="003A2F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969496"/>
      <w:docPartObj>
        <w:docPartGallery w:val="Page Numbers (Bottom of Page)"/>
        <w:docPartUnique/>
      </w:docPartObj>
    </w:sdtPr>
    <w:sdtContent>
      <w:p w14:paraId="3381AFF7" w14:textId="6D59B77A" w:rsidR="003A2FF4" w:rsidRDefault="003A2FF4">
        <w:pPr>
          <w:pStyle w:val="Footer"/>
          <w:jc w:val="center"/>
        </w:pPr>
        <w:r>
          <w:fldChar w:fldCharType="begin"/>
        </w:r>
        <w:r>
          <w:instrText>PAGE   \* MERGEFORMAT</w:instrText>
        </w:r>
        <w:r>
          <w:fldChar w:fldCharType="separate"/>
        </w:r>
        <w:r>
          <w:t>2</w:t>
        </w:r>
        <w:r>
          <w:fldChar w:fldCharType="end"/>
        </w:r>
      </w:p>
    </w:sdtContent>
  </w:sdt>
  <w:p w14:paraId="64DBB071" w14:textId="77777777" w:rsidR="003A2FF4" w:rsidRDefault="003A2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1A07F" w14:textId="77777777" w:rsidR="00C14C38" w:rsidRDefault="00C14C38" w:rsidP="003A2FF4">
      <w:pPr>
        <w:spacing w:line="240" w:lineRule="auto"/>
      </w:pPr>
      <w:r>
        <w:separator/>
      </w:r>
    </w:p>
  </w:footnote>
  <w:footnote w:type="continuationSeparator" w:id="0">
    <w:p w14:paraId="557B8869" w14:textId="77777777" w:rsidR="00C14C38" w:rsidRDefault="00C14C38" w:rsidP="003A2F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3555"/>
    <w:multiLevelType w:val="multilevel"/>
    <w:tmpl w:val="753C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17D98"/>
    <w:multiLevelType w:val="multilevel"/>
    <w:tmpl w:val="1BBC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13D66"/>
    <w:multiLevelType w:val="multilevel"/>
    <w:tmpl w:val="874A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83335"/>
    <w:multiLevelType w:val="multilevel"/>
    <w:tmpl w:val="6AD4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926901"/>
    <w:multiLevelType w:val="multilevel"/>
    <w:tmpl w:val="30CA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E4950"/>
    <w:multiLevelType w:val="multilevel"/>
    <w:tmpl w:val="723E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BB229F"/>
    <w:multiLevelType w:val="multilevel"/>
    <w:tmpl w:val="B08E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547F43"/>
    <w:multiLevelType w:val="multilevel"/>
    <w:tmpl w:val="226C0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2062E7"/>
    <w:multiLevelType w:val="multilevel"/>
    <w:tmpl w:val="0C2C6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687C98"/>
    <w:multiLevelType w:val="multilevel"/>
    <w:tmpl w:val="297A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967E10"/>
    <w:multiLevelType w:val="multilevel"/>
    <w:tmpl w:val="12A8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4D35A7"/>
    <w:multiLevelType w:val="multilevel"/>
    <w:tmpl w:val="EA96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CE1918"/>
    <w:multiLevelType w:val="multilevel"/>
    <w:tmpl w:val="C698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37502B"/>
    <w:multiLevelType w:val="multilevel"/>
    <w:tmpl w:val="784A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7D6D8B"/>
    <w:multiLevelType w:val="multilevel"/>
    <w:tmpl w:val="7FDC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150A93"/>
    <w:multiLevelType w:val="multilevel"/>
    <w:tmpl w:val="D3DC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363553">
    <w:abstractNumId w:val="6"/>
  </w:num>
  <w:num w:numId="2" w16cid:durableId="667828910">
    <w:abstractNumId w:val="4"/>
  </w:num>
  <w:num w:numId="3" w16cid:durableId="1301618083">
    <w:abstractNumId w:val="7"/>
  </w:num>
  <w:num w:numId="4" w16cid:durableId="1672246913">
    <w:abstractNumId w:val="5"/>
  </w:num>
  <w:num w:numId="5" w16cid:durableId="1564565473">
    <w:abstractNumId w:val="3"/>
  </w:num>
  <w:num w:numId="6" w16cid:durableId="1233462757">
    <w:abstractNumId w:val="12"/>
  </w:num>
  <w:num w:numId="7" w16cid:durableId="49958700">
    <w:abstractNumId w:val="2"/>
  </w:num>
  <w:num w:numId="8" w16cid:durableId="1572888865">
    <w:abstractNumId w:val="1"/>
  </w:num>
  <w:num w:numId="9" w16cid:durableId="123231704">
    <w:abstractNumId w:val="15"/>
  </w:num>
  <w:num w:numId="10" w16cid:durableId="1479808793">
    <w:abstractNumId w:val="14"/>
  </w:num>
  <w:num w:numId="11" w16cid:durableId="2121411662">
    <w:abstractNumId w:val="10"/>
  </w:num>
  <w:num w:numId="12" w16cid:durableId="1039087154">
    <w:abstractNumId w:val="13"/>
  </w:num>
  <w:num w:numId="13" w16cid:durableId="2048486153">
    <w:abstractNumId w:val="9"/>
  </w:num>
  <w:num w:numId="14" w16cid:durableId="2116825971">
    <w:abstractNumId w:val="0"/>
  </w:num>
  <w:num w:numId="15" w16cid:durableId="772748744">
    <w:abstractNumId w:val="8"/>
  </w:num>
  <w:num w:numId="16" w16cid:durableId="10834556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DF"/>
    <w:rsid w:val="000807DF"/>
    <w:rsid w:val="00113A26"/>
    <w:rsid w:val="00292464"/>
    <w:rsid w:val="003149B4"/>
    <w:rsid w:val="00350616"/>
    <w:rsid w:val="00357F91"/>
    <w:rsid w:val="003A2FF4"/>
    <w:rsid w:val="003C30C2"/>
    <w:rsid w:val="006C4E13"/>
    <w:rsid w:val="006C7E20"/>
    <w:rsid w:val="00716DAA"/>
    <w:rsid w:val="007A0EFD"/>
    <w:rsid w:val="007A5A68"/>
    <w:rsid w:val="007C03E9"/>
    <w:rsid w:val="00835E96"/>
    <w:rsid w:val="008D1DCD"/>
    <w:rsid w:val="009F5C51"/>
    <w:rsid w:val="00B17444"/>
    <w:rsid w:val="00C14C38"/>
    <w:rsid w:val="00C273F2"/>
    <w:rsid w:val="00CF4C58"/>
    <w:rsid w:val="00D36523"/>
    <w:rsid w:val="00E15D6C"/>
    <w:rsid w:val="00EF1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CF1E9E"/>
  <w15:chartTrackingRefBased/>
  <w15:docId w15:val="{49E2438D-56B9-4BE6-9CE5-554531ED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333333"/>
        <w:kern w:val="2"/>
        <w:sz w:val="24"/>
        <w:szCs w:val="21"/>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07D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7D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807D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807D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07D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07D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07D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07D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7D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807D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807D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807D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07D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07D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807D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807D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0807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D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80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07DF"/>
    <w:rPr>
      <w:i/>
      <w:iCs/>
      <w:color w:val="404040" w:themeColor="text1" w:themeTint="BF"/>
    </w:rPr>
  </w:style>
  <w:style w:type="paragraph" w:styleId="ListParagraph">
    <w:name w:val="List Paragraph"/>
    <w:basedOn w:val="Normal"/>
    <w:uiPriority w:val="34"/>
    <w:qFormat/>
    <w:rsid w:val="000807DF"/>
    <w:pPr>
      <w:ind w:left="720"/>
      <w:contextualSpacing/>
    </w:pPr>
  </w:style>
  <w:style w:type="character" w:styleId="IntenseEmphasis">
    <w:name w:val="Intense Emphasis"/>
    <w:basedOn w:val="DefaultParagraphFont"/>
    <w:uiPriority w:val="21"/>
    <w:qFormat/>
    <w:rsid w:val="000807DF"/>
    <w:rPr>
      <w:i/>
      <w:iCs/>
      <w:color w:val="0F4761" w:themeColor="accent1" w:themeShade="BF"/>
    </w:rPr>
  </w:style>
  <w:style w:type="paragraph" w:styleId="IntenseQuote">
    <w:name w:val="Intense Quote"/>
    <w:basedOn w:val="Normal"/>
    <w:next w:val="Normal"/>
    <w:link w:val="IntenseQuoteChar"/>
    <w:uiPriority w:val="30"/>
    <w:qFormat/>
    <w:rsid w:val="00080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7DF"/>
    <w:rPr>
      <w:i/>
      <w:iCs/>
      <w:color w:val="0F4761" w:themeColor="accent1" w:themeShade="BF"/>
    </w:rPr>
  </w:style>
  <w:style w:type="character" w:styleId="IntenseReference">
    <w:name w:val="Intense Reference"/>
    <w:basedOn w:val="DefaultParagraphFont"/>
    <w:uiPriority w:val="32"/>
    <w:qFormat/>
    <w:rsid w:val="000807DF"/>
    <w:rPr>
      <w:b/>
      <w:bCs/>
      <w:smallCaps/>
      <w:color w:val="0F4761" w:themeColor="accent1" w:themeShade="BF"/>
      <w:spacing w:val="5"/>
    </w:rPr>
  </w:style>
  <w:style w:type="paragraph" w:styleId="Header">
    <w:name w:val="header"/>
    <w:basedOn w:val="Normal"/>
    <w:link w:val="HeaderChar"/>
    <w:uiPriority w:val="99"/>
    <w:unhideWhenUsed/>
    <w:rsid w:val="003A2FF4"/>
    <w:pPr>
      <w:tabs>
        <w:tab w:val="center" w:pos="4513"/>
        <w:tab w:val="right" w:pos="9026"/>
      </w:tabs>
      <w:spacing w:line="240" w:lineRule="auto"/>
    </w:pPr>
  </w:style>
  <w:style w:type="character" w:customStyle="1" w:styleId="HeaderChar">
    <w:name w:val="Header Char"/>
    <w:basedOn w:val="DefaultParagraphFont"/>
    <w:link w:val="Header"/>
    <w:uiPriority w:val="99"/>
    <w:rsid w:val="003A2FF4"/>
  </w:style>
  <w:style w:type="paragraph" w:styleId="Footer">
    <w:name w:val="footer"/>
    <w:basedOn w:val="Normal"/>
    <w:link w:val="FooterChar"/>
    <w:uiPriority w:val="99"/>
    <w:unhideWhenUsed/>
    <w:rsid w:val="003A2FF4"/>
    <w:pPr>
      <w:tabs>
        <w:tab w:val="center" w:pos="4513"/>
        <w:tab w:val="right" w:pos="9026"/>
      </w:tabs>
      <w:spacing w:line="240" w:lineRule="auto"/>
    </w:pPr>
  </w:style>
  <w:style w:type="character" w:customStyle="1" w:styleId="FooterChar">
    <w:name w:val="Footer Char"/>
    <w:basedOn w:val="DefaultParagraphFont"/>
    <w:link w:val="Footer"/>
    <w:uiPriority w:val="99"/>
    <w:rsid w:val="003A2FF4"/>
  </w:style>
  <w:style w:type="paragraph" w:styleId="TOCHeading">
    <w:name w:val="TOC Heading"/>
    <w:basedOn w:val="Heading1"/>
    <w:next w:val="Normal"/>
    <w:uiPriority w:val="39"/>
    <w:unhideWhenUsed/>
    <w:qFormat/>
    <w:rsid w:val="00E15D6C"/>
    <w:pPr>
      <w:spacing w:before="240" w:after="0" w:line="259" w:lineRule="auto"/>
      <w:jc w:val="left"/>
      <w:outlineLvl w:val="9"/>
    </w:pPr>
    <w:rPr>
      <w:kern w:val="0"/>
      <w:sz w:val="32"/>
      <w:szCs w:val="32"/>
      <w:lang w:eastAsia="en-GB"/>
      <w14:ligatures w14:val="none"/>
    </w:rPr>
  </w:style>
  <w:style w:type="paragraph" w:styleId="TOC1">
    <w:name w:val="toc 1"/>
    <w:basedOn w:val="Normal"/>
    <w:next w:val="Normal"/>
    <w:autoRedefine/>
    <w:uiPriority w:val="39"/>
    <w:unhideWhenUsed/>
    <w:rsid w:val="00E15D6C"/>
    <w:pPr>
      <w:spacing w:after="100"/>
    </w:pPr>
  </w:style>
  <w:style w:type="character" w:styleId="Hyperlink">
    <w:name w:val="Hyperlink"/>
    <w:basedOn w:val="DefaultParagraphFont"/>
    <w:uiPriority w:val="99"/>
    <w:unhideWhenUsed/>
    <w:rsid w:val="00E15D6C"/>
    <w:rPr>
      <w:color w:val="467886" w:themeColor="hyperlink"/>
      <w:u w:val="single"/>
    </w:rPr>
  </w:style>
  <w:style w:type="paragraph" w:styleId="TOC2">
    <w:name w:val="toc 2"/>
    <w:basedOn w:val="Normal"/>
    <w:next w:val="Normal"/>
    <w:autoRedefine/>
    <w:uiPriority w:val="39"/>
    <w:unhideWhenUsed/>
    <w:rsid w:val="00E15D6C"/>
    <w:pPr>
      <w:spacing w:after="100"/>
      <w:ind w:left="240"/>
    </w:pPr>
  </w:style>
  <w:style w:type="paragraph" w:styleId="TOC3">
    <w:name w:val="toc 3"/>
    <w:basedOn w:val="Normal"/>
    <w:next w:val="Normal"/>
    <w:autoRedefine/>
    <w:uiPriority w:val="39"/>
    <w:unhideWhenUsed/>
    <w:rsid w:val="00E15D6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CCB65-04E5-4367-9A90-FCDC2BA55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19</Pages>
  <Words>2861</Words>
  <Characters>19057</Characters>
  <Application>Microsoft Office Word</Application>
  <DocSecurity>0</DocSecurity>
  <Lines>794</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Sharin McDowall-Emefiele (Economics)</dc:creator>
  <cp:keywords/>
  <dc:description/>
  <cp:lastModifiedBy>Alex Netoi</cp:lastModifiedBy>
  <cp:revision>14</cp:revision>
  <dcterms:created xsi:type="dcterms:W3CDTF">2025-07-09T09:16:00Z</dcterms:created>
  <dcterms:modified xsi:type="dcterms:W3CDTF">2025-11-21T13:07:00Z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e7b92b6a-3d2e-4e35-9de4-b7c89211169c</vt:lpwstr>
  </property>
</Properties>
</file>