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52182" w14:textId="77777777" w:rsidR="00B53D6B" w:rsidRDefault="00386AA7">
      <w:pPr>
        <w:pStyle w:val="Standard"/>
        <w:jc w:val="center"/>
        <w:rPr>
          <w:u w:val="single"/>
        </w:rPr>
      </w:pPr>
      <w:r>
        <w:rPr>
          <w:u w:val="single"/>
        </w:rPr>
        <w:t>5OS01 - Specialist Employment Law</w:t>
      </w:r>
    </w:p>
    <w:p w14:paraId="11F52183" w14:textId="77777777" w:rsidR="00B53D6B" w:rsidRDefault="00386AA7">
      <w:pPr>
        <w:pStyle w:val="Standard"/>
        <w:rPr>
          <w:b/>
        </w:rPr>
      </w:pPr>
      <w:r>
        <w:rPr>
          <w:b/>
        </w:rPr>
        <w:t>Task 1 –</w:t>
      </w:r>
    </w:p>
    <w:p w14:paraId="11F52184" w14:textId="4F06995A" w:rsidR="00B53D6B" w:rsidRDefault="00386AA7" w:rsidP="00026E75">
      <w:pPr>
        <w:pStyle w:val="ListParagraph"/>
        <w:numPr>
          <w:ilvl w:val="0"/>
          <w:numId w:val="32"/>
        </w:numPr>
        <w:spacing w:before="120"/>
      </w:pPr>
      <w:r w:rsidRPr="00026E75">
        <w:rPr>
          <w:rFonts w:cs="Calibri"/>
          <w:b/>
        </w:rPr>
        <w:t xml:space="preserve">Explain the reasons in favour of more employment regulation and the role played by the tribunal system in enforcing employment law </w:t>
      </w:r>
      <w:r w:rsidRPr="00026E75">
        <w:rPr>
          <w:rFonts w:cs="Calibri"/>
          <w:b/>
          <w:bCs/>
        </w:rPr>
        <w:t>(AC 1.1, 1.2, 1.3)</w:t>
      </w:r>
    </w:p>
    <w:p w14:paraId="11F52185" w14:textId="77777777" w:rsidR="00B53D6B" w:rsidRDefault="00B53D6B">
      <w:pPr>
        <w:pStyle w:val="ListParagraph"/>
        <w:widowControl w:val="0"/>
        <w:spacing w:before="120" w:after="0" w:line="240" w:lineRule="auto"/>
        <w:ind w:left="360"/>
        <w:rPr>
          <w:rFonts w:cs="Calibri"/>
          <w:b/>
        </w:rPr>
      </w:pPr>
    </w:p>
    <w:p w14:paraId="40451820" w14:textId="77777777" w:rsidR="00107D37" w:rsidRDefault="00386AA7" w:rsidP="0051454B">
      <w:pPr>
        <w:pStyle w:val="ListParagraph"/>
        <w:numPr>
          <w:ilvl w:val="1"/>
          <w:numId w:val="34"/>
        </w:numPr>
        <w:spacing w:before="120" w:line="240" w:lineRule="auto"/>
      </w:pPr>
      <w:r w:rsidRPr="00107D37">
        <w:rPr>
          <w:rFonts w:cs="Calibri"/>
          <w:bCs/>
        </w:rPr>
        <w:t xml:space="preserve"> Businesses are required to ensure they are following the rules and regulations outlined in current employment legislation as they are used to regulate the relationship between employers and employees. It governs what employers can expect from employees, what employers can ask employees to do, and employees’ rights at work (CIPD, 2022). The development in employment legislations has a direct impact on how a business is run and how employers manage relationships with employees. Employment regulations protect employees from being exploited in the workplace and help to keep the power between employees and employers balanced. Regulations such as Equality Act 210, Health and Safety at Work Act 1974 &amp; National Minimum Wage Act 1998 deter employers from exploiting their power unreasonably and protect minority groups in order to achieve equality throughout the workplace. </w:t>
      </w:r>
      <w:r>
        <w:t>Trade unions often favour employment regulations as without legal support they would be powerless.</w:t>
      </w:r>
    </w:p>
    <w:p w14:paraId="6F063B06" w14:textId="77777777" w:rsidR="00107D37" w:rsidRDefault="00107D37" w:rsidP="0051454B">
      <w:pPr>
        <w:pStyle w:val="ListParagraph"/>
        <w:spacing w:before="120" w:line="240" w:lineRule="auto"/>
        <w:ind w:left="360"/>
      </w:pPr>
    </w:p>
    <w:p w14:paraId="17E3BFC2" w14:textId="77777777" w:rsidR="00107D37" w:rsidRDefault="00386AA7" w:rsidP="0051454B">
      <w:pPr>
        <w:pStyle w:val="ListParagraph"/>
        <w:spacing w:before="120" w:line="240" w:lineRule="auto"/>
        <w:ind w:left="360"/>
        <w:rPr>
          <w:rFonts w:cs="Calibri"/>
          <w:bCs/>
        </w:rPr>
      </w:pPr>
      <w:r w:rsidRPr="00107D37">
        <w:rPr>
          <w:rFonts w:cs="Calibri"/>
          <w:bCs/>
        </w:rPr>
        <w:t>Employment law provides employees with and agreed way of working and job security as it prevents employers from discriminating against their staff and dismissing employees unfairly. Regulations allow for social justice by providing everyone with the right to equal access to employment, training and development based on merit (Wahab &amp; Green, 2021), and it encourages individuals to work within the UK due to having a good reputation of enforcing regulations within our employment sectors.</w:t>
      </w:r>
    </w:p>
    <w:p w14:paraId="128434EC" w14:textId="77777777" w:rsidR="00107D37" w:rsidRDefault="00107D37" w:rsidP="0051454B">
      <w:pPr>
        <w:pStyle w:val="ListParagraph"/>
        <w:spacing w:before="120" w:line="240" w:lineRule="auto"/>
        <w:ind w:left="360"/>
        <w:rPr>
          <w:rFonts w:cs="Calibri"/>
          <w:bCs/>
        </w:rPr>
      </w:pPr>
    </w:p>
    <w:p w14:paraId="4799CE47" w14:textId="77777777" w:rsidR="00107D37" w:rsidRDefault="00386AA7" w:rsidP="0051454B">
      <w:pPr>
        <w:pStyle w:val="ListParagraph"/>
        <w:spacing w:before="120" w:line="240" w:lineRule="auto"/>
        <w:ind w:left="360"/>
        <w:rPr>
          <w:rFonts w:cs="Calibri"/>
          <w:bCs/>
        </w:rPr>
      </w:pPr>
      <w:r w:rsidRPr="00107D37">
        <w:rPr>
          <w:rFonts w:cs="Calibri"/>
          <w:bCs/>
        </w:rPr>
        <w:t>Legislations help to achieve inclusion and fairness in the workplace by valuing fair policies and practices in the workplace and has a human-rights based approach to fairness and inclusion which enables a range of people to work collaboratively together (CIPD, 2021).</w:t>
      </w:r>
    </w:p>
    <w:p w14:paraId="66E8F5F4" w14:textId="77777777" w:rsidR="00107D37" w:rsidRDefault="00107D37" w:rsidP="0051454B">
      <w:pPr>
        <w:pStyle w:val="ListParagraph"/>
        <w:spacing w:before="120" w:line="240" w:lineRule="auto"/>
        <w:ind w:left="360"/>
        <w:rPr>
          <w:rFonts w:cs="Calibri"/>
          <w:bCs/>
        </w:rPr>
      </w:pPr>
    </w:p>
    <w:p w14:paraId="7AFC54B2" w14:textId="1491169F" w:rsidR="00107D37" w:rsidRDefault="00386AA7" w:rsidP="0051454B">
      <w:pPr>
        <w:pStyle w:val="ListParagraph"/>
        <w:spacing w:before="120" w:line="240" w:lineRule="auto"/>
        <w:ind w:left="360"/>
      </w:pPr>
      <w:r w:rsidRPr="00107D37">
        <w:rPr>
          <w:rFonts w:cs="Calibri"/>
          <w:bCs/>
        </w:rPr>
        <w:t xml:space="preserve">Employment law consists of common law, </w:t>
      </w:r>
      <w:r w:rsidR="00B270FC" w:rsidRPr="00107D37">
        <w:rPr>
          <w:rFonts w:cs="Calibri"/>
          <w:bCs/>
        </w:rPr>
        <w:t>statute,</w:t>
      </w:r>
      <w:r w:rsidRPr="00107D37">
        <w:rPr>
          <w:rFonts w:cs="Calibri"/>
          <w:bCs/>
        </w:rPr>
        <w:t xml:space="preserve"> and European law. They all have the same objective which is to help provide working conditions that are free from bias for everyone.  “A majority of UK employment law consists of statutes that provide the fairness highlighted above and examples of these are the Equality Act 2010, Disability Discrimination Act 2005, National Minimum Wage Act 1998” (Smith, 2021). Economic agreements </w:t>
      </w:r>
      <w:r>
        <w:t xml:space="preserve">protect employees against unjust, </w:t>
      </w:r>
      <w:r w:rsidR="00107D37">
        <w:t>inequitable,</w:t>
      </w:r>
      <w:r>
        <w:t xml:space="preserve"> and negligent acts such as slavery, discrimination, and child labour.</w:t>
      </w:r>
    </w:p>
    <w:p w14:paraId="623EA699" w14:textId="77777777" w:rsidR="00107D37" w:rsidRDefault="00107D37" w:rsidP="0051454B">
      <w:pPr>
        <w:pStyle w:val="ListParagraph"/>
        <w:spacing w:before="120" w:line="240" w:lineRule="auto"/>
        <w:ind w:left="360"/>
      </w:pPr>
    </w:p>
    <w:p w14:paraId="7171FAD9" w14:textId="5AB706AF" w:rsidR="0051454B" w:rsidRPr="0051454B" w:rsidRDefault="00386AA7" w:rsidP="0051454B">
      <w:pPr>
        <w:pStyle w:val="ListParagraph"/>
        <w:spacing w:before="120" w:line="240" w:lineRule="auto"/>
        <w:ind w:left="360"/>
        <w:rPr>
          <w:rFonts w:cs="Calibri"/>
          <w:bCs/>
        </w:rPr>
      </w:pPr>
      <w:r>
        <w:t>In contrast to the reasons in favour of employment law, in some cases there have been negative arguments made against employment regulation, for example legislation being made too complex, legislation not a true deterrent, and flaws have been picked up from within legislations by both employees and employers. Employers argue that legislation raises unemployment and slows economic growth by r</w:t>
      </w:r>
      <w:r w:rsidRPr="00107D37">
        <w:rPr>
          <w:rFonts w:cs="Calibri"/>
          <w:bCs/>
        </w:rPr>
        <w:t>aising costs for employers and makes our economy less competitive internationally.</w:t>
      </w:r>
    </w:p>
    <w:p w14:paraId="78CF7853" w14:textId="77777777" w:rsidR="0051454B" w:rsidRDefault="0051454B" w:rsidP="0051454B">
      <w:pPr>
        <w:pStyle w:val="ListParagraph"/>
        <w:spacing w:before="120" w:line="240" w:lineRule="auto"/>
        <w:ind w:left="360"/>
        <w:rPr>
          <w:rFonts w:cs="Calibri"/>
          <w:bCs/>
        </w:rPr>
      </w:pPr>
    </w:p>
    <w:p w14:paraId="426A28C1" w14:textId="77777777" w:rsidR="00E26E7E" w:rsidRDefault="00E26E7E" w:rsidP="0051454B">
      <w:pPr>
        <w:pStyle w:val="ListParagraph"/>
        <w:spacing w:before="120" w:line="240" w:lineRule="auto"/>
        <w:ind w:left="360"/>
        <w:rPr>
          <w:rFonts w:cs="Calibri"/>
          <w:bCs/>
        </w:rPr>
      </w:pPr>
    </w:p>
    <w:p w14:paraId="7FF04CE9" w14:textId="77777777" w:rsidR="00E26E7E" w:rsidRPr="00E26E7E" w:rsidRDefault="00107D37" w:rsidP="0051454B">
      <w:pPr>
        <w:pStyle w:val="ListParagraph"/>
        <w:numPr>
          <w:ilvl w:val="1"/>
          <w:numId w:val="34"/>
        </w:numPr>
        <w:spacing w:before="120" w:line="240" w:lineRule="auto"/>
      </w:pPr>
      <w:r w:rsidRPr="00E26E7E">
        <w:rPr>
          <w:rFonts w:cs="Calibri"/>
          <w:bCs/>
        </w:rPr>
        <w:t xml:space="preserve"> </w:t>
      </w:r>
      <w:r w:rsidR="00386AA7" w:rsidRPr="00E26E7E">
        <w:rPr>
          <w:rFonts w:cs="Calibri"/>
          <w:bCs/>
        </w:rPr>
        <w:t xml:space="preserve">Employment tribunals were initially created back in 1964 to hear and make decisions on disputes in the workplace regarding a number of issues, with the most common disputes being related to redundancy payments, employment discrimination and unfair dismissal. </w:t>
      </w:r>
      <w:r w:rsidR="00386AA7" w:rsidRPr="00E26E7E">
        <w:rPr>
          <w:rFonts w:ascii="Open Sans" w:hAnsi="Open Sans" w:cs="Calibri"/>
          <w:b/>
          <w:bCs/>
          <w:color w:val="58595B"/>
          <w:sz w:val="20"/>
        </w:rPr>
        <w:t xml:space="preserve"> </w:t>
      </w:r>
      <w:r w:rsidR="00386AA7" w:rsidRPr="00E26E7E">
        <w:rPr>
          <w:rFonts w:cs="Calibri"/>
          <w:color w:val="000000"/>
        </w:rPr>
        <w:t>Employment tribunals deal with claims brought against employers by employees</w:t>
      </w:r>
      <w:r w:rsidR="00386AA7" w:rsidRPr="00E26E7E">
        <w:rPr>
          <w:rFonts w:cs="Calibri"/>
          <w:color w:val="58595B"/>
        </w:rPr>
        <w:t>,</w:t>
      </w:r>
      <w:r w:rsidR="00386AA7" w:rsidRPr="00E26E7E">
        <w:rPr>
          <w:rFonts w:cs="Calibri"/>
          <w:color w:val="000000"/>
        </w:rPr>
        <w:t xml:space="preserve"> however</w:t>
      </w:r>
      <w:r w:rsidR="00386AA7" w:rsidRPr="00E26E7E">
        <w:rPr>
          <w:rFonts w:cs="Calibri"/>
          <w:color w:val="58595B"/>
        </w:rPr>
        <w:t xml:space="preserve"> </w:t>
      </w:r>
      <w:r w:rsidR="00386AA7" w:rsidRPr="00E26E7E">
        <w:rPr>
          <w:rFonts w:ascii="Arial" w:hAnsi="Arial" w:cs="Calibri"/>
          <w:color w:val="000000"/>
        </w:rPr>
        <w:t>b</w:t>
      </w:r>
      <w:r w:rsidR="00386AA7" w:rsidRPr="00E26E7E">
        <w:rPr>
          <w:rFonts w:cs="Calibri"/>
          <w:color w:val="000000"/>
        </w:rPr>
        <w:t xml:space="preserve">efore tribunals can take place, employees must contact </w:t>
      </w:r>
      <w:proofErr w:type="spellStart"/>
      <w:r w:rsidR="00386AA7" w:rsidRPr="00E26E7E">
        <w:rPr>
          <w:rFonts w:cs="Calibri"/>
          <w:color w:val="000000"/>
        </w:rPr>
        <w:t>Acas</w:t>
      </w:r>
      <w:proofErr w:type="spellEnd"/>
      <w:r w:rsidR="00386AA7" w:rsidRPr="00E26E7E">
        <w:rPr>
          <w:rFonts w:cs="Calibri"/>
          <w:color w:val="000000"/>
        </w:rPr>
        <w:t xml:space="preserve"> first to try to resolve the dispute via early conciliation (</w:t>
      </w:r>
      <w:proofErr w:type="spellStart"/>
      <w:r w:rsidR="00386AA7" w:rsidRPr="00E26E7E">
        <w:rPr>
          <w:rFonts w:cs="Calibri"/>
          <w:color w:val="000000"/>
        </w:rPr>
        <w:t>Suff</w:t>
      </w:r>
      <w:proofErr w:type="spellEnd"/>
      <w:r w:rsidR="00386AA7" w:rsidRPr="00E26E7E">
        <w:rPr>
          <w:rFonts w:cs="Calibri"/>
          <w:color w:val="000000"/>
        </w:rPr>
        <w:t>, 2022).</w:t>
      </w:r>
    </w:p>
    <w:p w14:paraId="27B75FE8" w14:textId="77777777" w:rsidR="00E26E7E" w:rsidRDefault="00E26E7E" w:rsidP="0051454B">
      <w:pPr>
        <w:pStyle w:val="ListParagraph"/>
        <w:spacing w:before="120" w:line="240" w:lineRule="auto"/>
        <w:ind w:left="360"/>
        <w:rPr>
          <w:rFonts w:cs="Calibri"/>
          <w:color w:val="000000"/>
        </w:rPr>
      </w:pPr>
    </w:p>
    <w:p w14:paraId="4A03585F" w14:textId="77777777" w:rsidR="00E26E7E" w:rsidRDefault="00386AA7" w:rsidP="0051454B">
      <w:pPr>
        <w:pStyle w:val="ListParagraph"/>
        <w:spacing w:before="120" w:line="240" w:lineRule="auto"/>
        <w:ind w:left="360"/>
        <w:rPr>
          <w:rFonts w:cs="Calibri"/>
          <w:bCs/>
        </w:rPr>
      </w:pPr>
      <w:r w:rsidRPr="00E26E7E">
        <w:rPr>
          <w:rFonts w:cs="Calibri"/>
          <w:bCs/>
        </w:rPr>
        <w:lastRenderedPageBreak/>
        <w:t>The role of employment tribunals is played out by courts and institutions who hear jurisdictions relating to employment matters and enforce employment laws to reach a conclusion for the matter. If a party is dissatisfied with the outcome of the employment tribunal, a review of the decision can take place or an appeal can be made to the employment appeal tribunal (EAT) (Daniels, CIPD, 2019).</w:t>
      </w:r>
    </w:p>
    <w:p w14:paraId="38E9A08B" w14:textId="77777777" w:rsidR="00E26E7E" w:rsidRDefault="00E26E7E" w:rsidP="0051454B">
      <w:pPr>
        <w:pStyle w:val="ListParagraph"/>
        <w:spacing w:before="120" w:line="240" w:lineRule="auto"/>
        <w:ind w:left="360"/>
        <w:rPr>
          <w:rFonts w:cs="Calibri"/>
          <w:bCs/>
        </w:rPr>
      </w:pPr>
    </w:p>
    <w:p w14:paraId="27980B9A" w14:textId="77777777" w:rsidR="00E26E7E" w:rsidRDefault="00386AA7" w:rsidP="0051454B">
      <w:pPr>
        <w:pStyle w:val="ListParagraph"/>
        <w:spacing w:before="120" w:line="240" w:lineRule="auto"/>
        <w:ind w:left="360"/>
        <w:rPr>
          <w:rFonts w:cs="Calibri"/>
          <w:bCs/>
        </w:rPr>
      </w:pPr>
      <w:r w:rsidRPr="00E26E7E">
        <w:rPr>
          <w:rFonts w:cs="Calibri"/>
          <w:bCs/>
        </w:rPr>
        <w:t>The Tribunal Courts System enforces employment law through the many processes at each stage of the hierarchy of the courts, from Employment Tribunals, Employment Appeal Tribunals, Court of Appeal, County Court, High Court and finally the Supreme Court.</w:t>
      </w:r>
    </w:p>
    <w:p w14:paraId="551FACA2" w14:textId="77777777" w:rsidR="00E26E7E" w:rsidRDefault="00E26E7E" w:rsidP="0051454B">
      <w:pPr>
        <w:pStyle w:val="ListParagraph"/>
        <w:spacing w:before="120" w:line="240" w:lineRule="auto"/>
        <w:ind w:left="360"/>
        <w:rPr>
          <w:rFonts w:cs="Calibri"/>
          <w:bCs/>
        </w:rPr>
      </w:pPr>
    </w:p>
    <w:p w14:paraId="60559843" w14:textId="77777777" w:rsidR="00E26E7E" w:rsidRDefault="00386AA7" w:rsidP="0051454B">
      <w:pPr>
        <w:pStyle w:val="ListParagraph"/>
        <w:spacing w:before="120" w:line="240" w:lineRule="auto"/>
        <w:ind w:left="360"/>
        <w:rPr>
          <w:color w:val="000000"/>
        </w:rPr>
      </w:pPr>
      <w:r w:rsidRPr="00E26E7E">
        <w:rPr>
          <w:rFonts w:cs="Calibri"/>
          <w:color w:val="000000"/>
        </w:rPr>
        <w:t xml:space="preserve">The European Court of Justice interprets EU law to make sure it is </w:t>
      </w:r>
      <w:r w:rsidRPr="00E26E7E">
        <w:rPr>
          <w:rStyle w:val="StrongEmphasis"/>
          <w:rFonts w:cs="Calibri"/>
          <w:b w:val="0"/>
          <w:bCs w:val="0"/>
          <w:color w:val="000000"/>
        </w:rPr>
        <w:t xml:space="preserve">applied in the same way </w:t>
      </w:r>
      <w:r w:rsidRPr="00E26E7E">
        <w:rPr>
          <w:rFonts w:cs="Calibri"/>
          <w:color w:val="000000"/>
        </w:rPr>
        <w:t xml:space="preserve">in all EU </w:t>
      </w:r>
      <w:r w:rsidR="0064579D" w:rsidRPr="00E26E7E">
        <w:rPr>
          <w:rFonts w:cs="Calibri"/>
          <w:color w:val="000000"/>
        </w:rPr>
        <w:t>countries and</w:t>
      </w:r>
      <w:r w:rsidRPr="00E26E7E">
        <w:rPr>
          <w:rFonts w:cs="Calibri"/>
          <w:color w:val="000000"/>
        </w:rPr>
        <w:t xml:space="preserve"> settles </w:t>
      </w:r>
      <w:r w:rsidRPr="00E26E7E">
        <w:rPr>
          <w:rStyle w:val="StrongEmphasis"/>
          <w:rFonts w:cs="Calibri"/>
          <w:b w:val="0"/>
          <w:bCs w:val="0"/>
          <w:color w:val="000000"/>
        </w:rPr>
        <w:t xml:space="preserve">legal disputes </w:t>
      </w:r>
      <w:r w:rsidRPr="00E26E7E">
        <w:rPr>
          <w:rFonts w:cs="Calibri"/>
          <w:color w:val="000000"/>
        </w:rPr>
        <w:t>between national governments and EU institutions. I</w:t>
      </w:r>
      <w:r w:rsidRPr="00E26E7E">
        <w:rPr>
          <w:color w:val="000000"/>
        </w:rPr>
        <w:t>n certain circumstances, t</w:t>
      </w:r>
      <w:r w:rsidRPr="00E26E7E">
        <w:rPr>
          <w:rFonts w:cs="Calibri"/>
          <w:color w:val="000000"/>
        </w:rPr>
        <w:t xml:space="preserve">he European Court of Justice </w:t>
      </w:r>
      <w:r w:rsidRPr="00E26E7E">
        <w:rPr>
          <w:color w:val="000000"/>
        </w:rPr>
        <w:t xml:space="preserve">can be used by </w:t>
      </w:r>
      <w:r w:rsidRPr="00E26E7E">
        <w:rPr>
          <w:rStyle w:val="StrongEmphasis"/>
          <w:b w:val="0"/>
          <w:bCs w:val="0"/>
          <w:color w:val="000000"/>
        </w:rPr>
        <w:t xml:space="preserve">individuals, </w:t>
      </w:r>
      <w:r w:rsidR="0064579D" w:rsidRPr="00E26E7E">
        <w:rPr>
          <w:rStyle w:val="StrongEmphasis"/>
          <w:b w:val="0"/>
          <w:bCs w:val="0"/>
          <w:color w:val="000000"/>
        </w:rPr>
        <w:t>companies,</w:t>
      </w:r>
      <w:r w:rsidRPr="00E26E7E">
        <w:rPr>
          <w:rStyle w:val="StrongEmphasis"/>
          <w:b w:val="0"/>
          <w:bCs w:val="0"/>
          <w:color w:val="000000"/>
        </w:rPr>
        <w:t xml:space="preserve"> or organisations </w:t>
      </w:r>
      <w:r w:rsidRPr="00E26E7E">
        <w:rPr>
          <w:color w:val="000000"/>
        </w:rPr>
        <w:t xml:space="preserve">to </w:t>
      </w:r>
      <w:r w:rsidR="00E26E7E" w:rsidRPr="00E26E7E">
        <w:rPr>
          <w:color w:val="000000"/>
        </w:rPr>
        <w:t>act</w:t>
      </w:r>
      <w:r w:rsidRPr="00E26E7E">
        <w:rPr>
          <w:color w:val="000000"/>
        </w:rPr>
        <w:t xml:space="preserve"> against an EU institution if they feel it has somehow infringed their rights (European Union, 2022).</w:t>
      </w:r>
    </w:p>
    <w:p w14:paraId="192F4E44" w14:textId="77777777" w:rsidR="00E26E7E" w:rsidRDefault="00E26E7E" w:rsidP="0051454B">
      <w:pPr>
        <w:pStyle w:val="ListParagraph"/>
        <w:spacing w:before="120" w:line="240" w:lineRule="auto"/>
        <w:ind w:left="360"/>
        <w:rPr>
          <w:color w:val="000000"/>
        </w:rPr>
      </w:pPr>
    </w:p>
    <w:p w14:paraId="1DEF3D13" w14:textId="6554E2A4" w:rsidR="0051454B" w:rsidRDefault="00386AA7" w:rsidP="0051454B">
      <w:pPr>
        <w:pStyle w:val="ListParagraph"/>
        <w:spacing w:before="120" w:line="240" w:lineRule="auto"/>
        <w:ind w:left="360"/>
      </w:pPr>
      <w:r w:rsidRPr="00E26E7E">
        <w:rPr>
          <w:rFonts w:cs="Calibri"/>
          <w:bCs/>
        </w:rPr>
        <w:t xml:space="preserve">The role of appeal courts is based on the process </w:t>
      </w:r>
      <w:r w:rsidR="0064579D" w:rsidRPr="00E26E7E">
        <w:rPr>
          <w:rFonts w:cs="Calibri"/>
          <w:bCs/>
        </w:rPr>
        <w:t>whereby</w:t>
      </w:r>
      <w:r w:rsidRPr="00E26E7E">
        <w:rPr>
          <w:rFonts w:cs="Calibri"/>
          <w:bCs/>
        </w:rPr>
        <w:t xml:space="preserve"> rulings can be appealed to the Court of Appeal and are typically called upon to judge a number of employment related cases each year and they do from time to time overturn a judgment of the Employment Appeal Tribunal and sometimes reinstate an original employment tribunal decision. This happens relatively rarely due to the losing side being required to pay the winning side's costs. </w:t>
      </w:r>
      <w:r>
        <w:t>The Supreme Court has the final say in any matter which exclusively concerns UK law (Taylor, CIPD, 2021).</w:t>
      </w:r>
    </w:p>
    <w:p w14:paraId="635C4C40" w14:textId="77777777" w:rsidR="0051454B" w:rsidRDefault="0051454B" w:rsidP="0051454B">
      <w:pPr>
        <w:pStyle w:val="ListParagraph"/>
        <w:spacing w:before="120" w:line="240" w:lineRule="auto"/>
        <w:ind w:left="360"/>
      </w:pPr>
    </w:p>
    <w:p w14:paraId="4F79A4A5" w14:textId="77777777" w:rsidR="00E26E7E" w:rsidRDefault="00E26E7E" w:rsidP="0051454B">
      <w:pPr>
        <w:pStyle w:val="ListParagraph"/>
        <w:spacing w:before="120" w:line="240" w:lineRule="auto"/>
        <w:ind w:left="360"/>
        <w:rPr>
          <w:rFonts w:cs="Calibri"/>
          <w:bCs/>
        </w:rPr>
      </w:pPr>
    </w:p>
    <w:p w14:paraId="6461CD94" w14:textId="77777777" w:rsidR="00B270FC" w:rsidRDefault="00026E75" w:rsidP="0051454B">
      <w:pPr>
        <w:pStyle w:val="ListParagraph"/>
        <w:numPr>
          <w:ilvl w:val="1"/>
          <w:numId w:val="34"/>
        </w:numPr>
        <w:spacing w:before="120" w:line="240" w:lineRule="auto"/>
      </w:pPr>
      <w:r>
        <w:t xml:space="preserve"> </w:t>
      </w:r>
      <w:r w:rsidR="00386AA7" w:rsidRPr="00E26E7E">
        <w:rPr>
          <w:rFonts w:cs="Arial"/>
          <w:bCs/>
        </w:rPr>
        <w:t xml:space="preserve">Before cases are considered by the courts, the parties involved are first prompted to try and resolve their issues outside of the legal system. </w:t>
      </w:r>
      <w:r w:rsidR="00386AA7" w:rsidRPr="00E26E7E">
        <w:rPr>
          <w:rFonts w:cs="Calibri"/>
          <w:bCs/>
        </w:rPr>
        <w:t xml:space="preserve">Cases can be settled before and during formal legal procedures through early conciliation. </w:t>
      </w:r>
      <w:proofErr w:type="spellStart"/>
      <w:r w:rsidR="00386AA7" w:rsidRPr="00E26E7E">
        <w:rPr>
          <w:rFonts w:cs="Calibri"/>
          <w:bCs/>
        </w:rPr>
        <w:t>Acas</w:t>
      </w:r>
      <w:proofErr w:type="spellEnd"/>
      <w:r w:rsidR="00386AA7" w:rsidRPr="00E26E7E">
        <w:rPr>
          <w:rFonts w:cs="Calibri"/>
          <w:bCs/>
        </w:rPr>
        <w:t xml:space="preserve"> (Advisory, Conciliation and Arbitration Service) plays a significant role in the employment tribunal system. It’s government-funded, but operationally independent of government. The aim of </w:t>
      </w:r>
      <w:proofErr w:type="spellStart"/>
      <w:r w:rsidR="00386AA7">
        <w:t>Acas</w:t>
      </w:r>
      <w:proofErr w:type="spellEnd"/>
      <w:r w:rsidR="00386AA7">
        <w:t xml:space="preserve"> conciliation is to conclude settlements between the parties in tribunal cases ahead of a full hearing, and in many </w:t>
      </w:r>
      <w:r w:rsidR="00E26E7E">
        <w:t>cases,</w:t>
      </w:r>
      <w:r w:rsidR="0064579D">
        <w:t xml:space="preserve"> </w:t>
      </w:r>
      <w:r w:rsidR="00386AA7">
        <w:t>they are successful, leading to the withdrawal of the claim (Taylor, CIPD, 2021).</w:t>
      </w:r>
    </w:p>
    <w:p w14:paraId="38850F0C" w14:textId="77777777" w:rsidR="00B270FC" w:rsidRDefault="00B270FC" w:rsidP="0051454B">
      <w:pPr>
        <w:pStyle w:val="ListParagraph"/>
        <w:spacing w:before="120" w:line="240" w:lineRule="auto"/>
        <w:ind w:left="360"/>
        <w:rPr>
          <w:rFonts w:cs="Calibri"/>
          <w:bCs/>
        </w:rPr>
      </w:pPr>
    </w:p>
    <w:p w14:paraId="6904A285" w14:textId="77777777" w:rsidR="00B270FC" w:rsidRDefault="00386AA7" w:rsidP="0051454B">
      <w:pPr>
        <w:pStyle w:val="ListParagraph"/>
        <w:spacing w:before="120" w:line="240" w:lineRule="auto"/>
        <w:ind w:left="360"/>
        <w:rPr>
          <w:rFonts w:cs="Calibri"/>
          <w:bCs/>
        </w:rPr>
      </w:pPr>
      <w:r w:rsidRPr="00B270FC">
        <w:rPr>
          <w:rFonts w:cs="Calibri"/>
          <w:bCs/>
        </w:rPr>
        <w:t>If parties reach an agreement as a result of early conciliation, the terms are recorded in a ‘COT3’ form. “W</w:t>
      </w:r>
      <w:r w:rsidRPr="00B270FC">
        <w:rPr>
          <w:rFonts w:cs="Calibri"/>
          <w:bCs/>
          <w:color w:val="111111"/>
        </w:rPr>
        <w:t>ithin this context, the COT3 form is a</w:t>
      </w:r>
      <w:r w:rsidRPr="00B270FC">
        <w:rPr>
          <w:rStyle w:val="StrongEmphasis"/>
          <w:rFonts w:cs="Calibri"/>
          <w:color w:val="111111"/>
        </w:rPr>
        <w:t> </w:t>
      </w:r>
      <w:r w:rsidRPr="00B270FC">
        <w:rPr>
          <w:rStyle w:val="StrongEmphasis"/>
          <w:rFonts w:cs="Calibri"/>
          <w:b w:val="0"/>
          <w:color w:val="111111"/>
        </w:rPr>
        <w:t>document setting out a legally binding agreement to settle a potential or actual claim in the employment tribunal</w:t>
      </w:r>
      <w:r w:rsidRPr="00B270FC">
        <w:rPr>
          <w:rFonts w:cs="Calibri"/>
          <w:bCs/>
          <w:color w:val="111111"/>
        </w:rPr>
        <w:t xml:space="preserve">. Both parties sign the COT3 form as a formal record of the agreement reached following conciliation with the assistance of an ACAS officer” (Morris, 2020). </w:t>
      </w:r>
      <w:r w:rsidRPr="00B270FC">
        <w:rPr>
          <w:rFonts w:cs="Calibri"/>
          <w:bCs/>
        </w:rPr>
        <w:t xml:space="preserve"> </w:t>
      </w:r>
    </w:p>
    <w:p w14:paraId="1394F6F0" w14:textId="77777777" w:rsidR="00B270FC" w:rsidRDefault="00B270FC" w:rsidP="0051454B">
      <w:pPr>
        <w:pStyle w:val="ListParagraph"/>
        <w:spacing w:before="120" w:line="240" w:lineRule="auto"/>
        <w:ind w:left="360"/>
        <w:rPr>
          <w:rFonts w:cs="Calibri"/>
          <w:bCs/>
        </w:rPr>
      </w:pPr>
    </w:p>
    <w:p w14:paraId="0EA88B56" w14:textId="77777777" w:rsidR="00B270FC" w:rsidRDefault="00386AA7" w:rsidP="0051454B">
      <w:pPr>
        <w:pStyle w:val="ListParagraph"/>
        <w:spacing w:before="120" w:line="240" w:lineRule="auto"/>
        <w:ind w:left="360"/>
        <w:rPr>
          <w:rFonts w:cs="Calibri"/>
          <w:bCs/>
        </w:rPr>
      </w:pPr>
      <w:r w:rsidRPr="00B270FC">
        <w:rPr>
          <w:rFonts w:cs="Calibri"/>
          <w:bCs/>
        </w:rPr>
        <w:t>An agreement can also be made by notifying the Labour Relations Agency</w:t>
      </w:r>
      <w:r w:rsidR="00B270FC">
        <w:rPr>
          <w:rFonts w:cs="Calibri"/>
          <w:bCs/>
        </w:rPr>
        <w:t xml:space="preserve"> </w:t>
      </w:r>
      <w:r w:rsidRPr="00B270FC">
        <w:rPr>
          <w:rFonts w:cs="Calibri"/>
          <w:bCs/>
        </w:rPr>
        <w:t>(NI) or notifying the Workplace Relations Commission (ROI) during early conciliation, which is usually a free to do. Settlement agreements which have been formulated during early conciliation as a result of discussion and negotiation must be put into formal writing and be legally binding.</w:t>
      </w:r>
    </w:p>
    <w:p w14:paraId="69101E75" w14:textId="77777777" w:rsidR="00B270FC" w:rsidRDefault="00B270FC" w:rsidP="0051454B">
      <w:pPr>
        <w:pStyle w:val="ListParagraph"/>
        <w:spacing w:before="120" w:line="240" w:lineRule="auto"/>
        <w:ind w:left="360"/>
        <w:rPr>
          <w:rFonts w:cs="Calibri"/>
          <w:bCs/>
        </w:rPr>
      </w:pPr>
    </w:p>
    <w:p w14:paraId="11F521A4" w14:textId="729355DC" w:rsidR="00B53D6B" w:rsidRDefault="00386AA7" w:rsidP="0051454B">
      <w:pPr>
        <w:pStyle w:val="ListParagraph"/>
        <w:spacing w:before="120" w:line="240" w:lineRule="auto"/>
        <w:ind w:left="360"/>
      </w:pPr>
      <w:r w:rsidRPr="00B270FC">
        <w:rPr>
          <w:rFonts w:cs="Calibri"/>
          <w:bCs/>
        </w:rPr>
        <w:t xml:space="preserve">Terms such as financial implications, a reference and any changes in duties or responsibilities of individuals must be recorded within a written document during a settlement agreement. Settlement agreements waive the employees right to make a claim to a court or employment tribunal and during the process of discussions to find conciliation, the employee must have received advise from a relevant advisor in relation to the terms and </w:t>
      </w:r>
      <w:r w:rsidR="00B270FC" w:rsidRPr="00B270FC">
        <w:rPr>
          <w:rFonts w:cs="Calibri"/>
          <w:bCs/>
        </w:rPr>
        <w:t>effects</w:t>
      </w:r>
      <w:r w:rsidRPr="00B270FC">
        <w:rPr>
          <w:rFonts w:cs="Calibri"/>
          <w:bCs/>
        </w:rPr>
        <w:t xml:space="preserve"> of the agreement being made. It is important to mention that early settlement agreements are completely voluntary, and neither the employee </w:t>
      </w:r>
      <w:r w:rsidR="00B270FC" w:rsidRPr="00B270FC">
        <w:rPr>
          <w:rFonts w:cs="Calibri"/>
          <w:bCs/>
        </w:rPr>
        <w:t>nor</w:t>
      </w:r>
      <w:r w:rsidRPr="00B270FC">
        <w:rPr>
          <w:rFonts w:cs="Calibri"/>
          <w:bCs/>
        </w:rPr>
        <w:t xml:space="preserve"> employer are required to take part in this process.</w:t>
      </w:r>
    </w:p>
    <w:p w14:paraId="11F521A5" w14:textId="77777777" w:rsidR="00B53D6B" w:rsidRDefault="00B53D6B" w:rsidP="0051454B">
      <w:pPr>
        <w:pStyle w:val="ListParagraph"/>
        <w:widowControl w:val="0"/>
        <w:spacing w:before="120" w:after="0" w:line="240" w:lineRule="auto"/>
        <w:rPr>
          <w:rFonts w:cs="Calibri"/>
          <w:bCs/>
        </w:rPr>
      </w:pPr>
    </w:p>
    <w:p w14:paraId="11F521A8" w14:textId="06699FB3" w:rsidR="00B53D6B" w:rsidRPr="008820ED" w:rsidRDefault="00386AA7" w:rsidP="008820ED">
      <w:pPr>
        <w:pStyle w:val="ListParagraph"/>
        <w:widowControl w:val="0"/>
        <w:spacing w:before="120" w:after="0" w:line="240" w:lineRule="auto"/>
        <w:ind w:left="0"/>
        <w:rPr>
          <w:rFonts w:cs="Calibri"/>
          <w:bCs/>
        </w:rPr>
      </w:pPr>
      <w:r>
        <w:rPr>
          <w:rFonts w:cs="Calibri"/>
          <w:b/>
          <w:bCs/>
        </w:rPr>
        <w:lastRenderedPageBreak/>
        <w:t xml:space="preserve">2. </w:t>
      </w:r>
      <w:r>
        <w:rPr>
          <w:b/>
        </w:rPr>
        <w:t xml:space="preserve">  </w:t>
      </w:r>
      <w:r>
        <w:rPr>
          <w:rFonts w:cs="Calibri"/>
          <w:b/>
        </w:rPr>
        <w:t>Explain the major statutory rights employees have in relation to:</w:t>
      </w:r>
    </w:p>
    <w:p w14:paraId="123643DE" w14:textId="77777777" w:rsidR="00EF677D" w:rsidRDefault="00EF677D" w:rsidP="0051454B">
      <w:pPr>
        <w:rPr>
          <w:rFonts w:cs="Calibri"/>
          <w:b/>
        </w:rPr>
      </w:pPr>
    </w:p>
    <w:p w14:paraId="11F521AA" w14:textId="124F95E6" w:rsidR="00B53D6B" w:rsidRDefault="00386AA7" w:rsidP="0051454B">
      <w:r w:rsidRPr="00EF677D">
        <w:rPr>
          <w:rFonts w:cs="Calibri"/>
          <w:b/>
        </w:rPr>
        <w:t xml:space="preserve">a) Pay, time off and working time </w:t>
      </w:r>
      <w:r w:rsidRPr="00EF677D">
        <w:rPr>
          <w:rFonts w:cs="Calibri"/>
        </w:rPr>
        <w:t>(4.1, 4.2, 4.3, 4.4).</w:t>
      </w:r>
    </w:p>
    <w:p w14:paraId="1D8824EA" w14:textId="77777777" w:rsidR="00EF677D" w:rsidRDefault="00EF677D" w:rsidP="0051454B">
      <w:pPr>
        <w:rPr>
          <w:rFonts w:cs="Calibri"/>
          <w:color w:val="000000"/>
        </w:rPr>
      </w:pPr>
    </w:p>
    <w:p w14:paraId="11F521AC" w14:textId="39917D7E" w:rsidR="00B53D6B" w:rsidRDefault="00386AA7" w:rsidP="0051454B">
      <w:r w:rsidRPr="00EF677D">
        <w:rPr>
          <w:rFonts w:cs="Calibri"/>
          <w:color w:val="000000"/>
        </w:rPr>
        <w:t>The Employment Rights Act 1996 includes a number of statutory rights that apply to both employees and workers. In addition to the national minimum wage and paid holidays, most workers are also entitled to a number of employment rights and legal protection.</w:t>
      </w:r>
    </w:p>
    <w:p w14:paraId="7C439F3C" w14:textId="77777777" w:rsidR="00EF677D" w:rsidRDefault="00EF677D" w:rsidP="0051454B">
      <w:pPr>
        <w:rPr>
          <w:rFonts w:cs="Calibri"/>
          <w:color w:val="000000"/>
        </w:rPr>
      </w:pPr>
    </w:p>
    <w:p w14:paraId="11F521AE" w14:textId="7E96DA5A" w:rsidR="00B53D6B" w:rsidRDefault="00386AA7" w:rsidP="0051454B">
      <w:r w:rsidRPr="00EF677D">
        <w:rPr>
          <w:rFonts w:cs="Calibri"/>
          <w:color w:val="000000"/>
        </w:rPr>
        <w:t xml:space="preserve">As of 1 April 2022, the National Living Wage rates are set to be increased by approximately 6.9% </w:t>
      </w:r>
      <w:r w:rsidRPr="00EF677D">
        <w:rPr>
          <w:rFonts w:cs="Calibri"/>
          <w:color w:val="511F5D"/>
        </w:rPr>
        <w:t>as well as other statutory payments. “</w:t>
      </w:r>
      <w:r w:rsidRPr="00EF677D">
        <w:rPr>
          <w:rFonts w:cs="Calibri"/>
          <w:color w:val="000000"/>
        </w:rPr>
        <w:t xml:space="preserve">This comes at a time of significant increases to the cost of living and will be welcomed by low-income earners across the UK. However, many businesses are still recovering from the ravages of the pandemic, and now have the new threat of disrupted supply chains, </w:t>
      </w:r>
      <w:r w:rsidR="00B270FC" w:rsidRPr="00EF677D">
        <w:rPr>
          <w:rFonts w:cs="Calibri"/>
          <w:color w:val="000000"/>
        </w:rPr>
        <w:t>sanctions,</w:t>
      </w:r>
      <w:r w:rsidRPr="00EF677D">
        <w:rPr>
          <w:rFonts w:cs="Calibri"/>
          <w:color w:val="000000"/>
        </w:rPr>
        <w:t xml:space="preserve"> and other issues as a result of the Russian invasion and its impact on Ukraine and surrounding nations” (CIPD HR-Inform, 2022).</w:t>
      </w:r>
    </w:p>
    <w:p w14:paraId="26BCD424" w14:textId="77777777" w:rsidR="00EF677D" w:rsidRDefault="00EF677D" w:rsidP="0051454B">
      <w:pPr>
        <w:rPr>
          <w:rFonts w:cs="Arial"/>
          <w:color w:val="000000"/>
        </w:rPr>
      </w:pPr>
    </w:p>
    <w:p w14:paraId="11F521B0" w14:textId="05805155" w:rsidR="00B53D6B" w:rsidRDefault="00386AA7" w:rsidP="0051454B">
      <w:r w:rsidRPr="00EF677D">
        <w:rPr>
          <w:rFonts w:cs="Arial"/>
          <w:color w:val="000000"/>
        </w:rPr>
        <w:t>The National Minimum Wage Act 1998</w:t>
      </w:r>
      <w:r w:rsidRPr="00EF677D">
        <w:rPr>
          <w:rFonts w:cs="Arial"/>
          <w:i/>
          <w:iCs/>
          <w:color w:val="000000"/>
        </w:rPr>
        <w:t xml:space="preserve"> </w:t>
      </w:r>
      <w:r w:rsidRPr="00EF677D">
        <w:rPr>
          <w:rFonts w:cs="Arial"/>
          <w:color w:val="000000"/>
        </w:rPr>
        <w:t>ensures that an hourly wage for all employees is provided which is no lower than the national minimum wage for each ages bracket. It is a legal requirement for employers to pay workers the national minimum wage. The National Minimum Wage Act 1998 sets out the minimum wage a worker is entitled to per hour. This wage is based on age and there is also a different rate for apprentices.</w:t>
      </w:r>
    </w:p>
    <w:p w14:paraId="11F521B1" w14:textId="77777777" w:rsidR="00B53D6B" w:rsidRDefault="00386AA7" w:rsidP="0051454B">
      <w:pPr>
        <w:pStyle w:val="ListParagraph"/>
        <w:spacing w:line="240" w:lineRule="auto"/>
        <w:ind w:left="0"/>
        <w:rPr>
          <w:rFonts w:cs="Arial"/>
          <w:color w:val="000000"/>
        </w:rPr>
      </w:pPr>
      <w:r>
        <w:rPr>
          <w:rFonts w:cs="Arial"/>
          <w:color w:val="000000"/>
        </w:rPr>
        <w:t xml:space="preserve">                                                                  </w:t>
      </w:r>
    </w:p>
    <w:tbl>
      <w:tblPr>
        <w:tblW w:w="903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935"/>
        <w:gridCol w:w="2104"/>
      </w:tblGrid>
      <w:tr w:rsidR="00B53D6B" w14:paraId="11F521B4" w14:textId="77777777" w:rsidTr="00604819">
        <w:trPr>
          <w:trHeight w:val="471"/>
        </w:trPr>
        <w:tc>
          <w:tcPr>
            <w:tcW w:w="6935" w:type="dxa"/>
            <w:tcMar>
              <w:top w:w="0" w:type="dxa"/>
              <w:left w:w="0" w:type="dxa"/>
              <w:bottom w:w="100" w:type="dxa"/>
              <w:right w:w="0" w:type="dxa"/>
            </w:tcMar>
            <w:vAlign w:val="center"/>
          </w:tcPr>
          <w:p w14:paraId="11F521B2" w14:textId="77777777" w:rsidR="00B53D6B" w:rsidRDefault="00386AA7" w:rsidP="0051454B">
            <w:pPr>
              <w:pStyle w:val="TableContents"/>
              <w:spacing w:line="240" w:lineRule="auto"/>
            </w:pPr>
            <w:r>
              <w:t>National Living Wage</w:t>
            </w:r>
          </w:p>
        </w:tc>
        <w:tc>
          <w:tcPr>
            <w:tcW w:w="2104" w:type="dxa"/>
            <w:tcMar>
              <w:top w:w="0" w:type="dxa"/>
              <w:left w:w="0" w:type="dxa"/>
              <w:bottom w:w="100" w:type="dxa"/>
              <w:right w:w="0" w:type="dxa"/>
            </w:tcMar>
            <w:vAlign w:val="center"/>
          </w:tcPr>
          <w:p w14:paraId="11F521B3" w14:textId="77777777" w:rsidR="00B53D6B" w:rsidRDefault="00386AA7" w:rsidP="0051454B">
            <w:pPr>
              <w:pStyle w:val="TableContents"/>
              <w:spacing w:line="240" w:lineRule="auto"/>
            </w:pPr>
            <w:r>
              <w:t>£9.50</w:t>
            </w:r>
          </w:p>
        </w:tc>
      </w:tr>
      <w:tr w:rsidR="00B53D6B" w14:paraId="11F521B7" w14:textId="77777777" w:rsidTr="00604819">
        <w:trPr>
          <w:trHeight w:val="457"/>
        </w:trPr>
        <w:tc>
          <w:tcPr>
            <w:tcW w:w="6935" w:type="dxa"/>
            <w:tcMar>
              <w:top w:w="0" w:type="dxa"/>
              <w:left w:w="0" w:type="dxa"/>
              <w:bottom w:w="100" w:type="dxa"/>
              <w:right w:w="0" w:type="dxa"/>
            </w:tcMar>
            <w:vAlign w:val="center"/>
          </w:tcPr>
          <w:p w14:paraId="11F521B5" w14:textId="77777777" w:rsidR="00B53D6B" w:rsidRDefault="00386AA7" w:rsidP="0051454B">
            <w:pPr>
              <w:pStyle w:val="TableContents"/>
              <w:spacing w:line="240" w:lineRule="auto"/>
            </w:pPr>
            <w:proofErr w:type="gramStart"/>
            <w:r>
              <w:t>21-22 Year Old</w:t>
            </w:r>
            <w:proofErr w:type="gramEnd"/>
            <w:r>
              <w:t xml:space="preserve"> Rate</w:t>
            </w:r>
          </w:p>
        </w:tc>
        <w:tc>
          <w:tcPr>
            <w:tcW w:w="2104" w:type="dxa"/>
            <w:tcMar>
              <w:top w:w="0" w:type="dxa"/>
              <w:left w:w="0" w:type="dxa"/>
              <w:bottom w:w="100" w:type="dxa"/>
              <w:right w:w="0" w:type="dxa"/>
            </w:tcMar>
            <w:vAlign w:val="center"/>
          </w:tcPr>
          <w:p w14:paraId="11F521B6" w14:textId="77777777" w:rsidR="00B53D6B" w:rsidRDefault="00386AA7" w:rsidP="0051454B">
            <w:pPr>
              <w:pStyle w:val="TableContents"/>
              <w:spacing w:line="240" w:lineRule="auto"/>
            </w:pPr>
            <w:r>
              <w:t>£9.18</w:t>
            </w:r>
          </w:p>
        </w:tc>
      </w:tr>
      <w:tr w:rsidR="00B53D6B" w14:paraId="11F521BA" w14:textId="77777777" w:rsidTr="00604819">
        <w:trPr>
          <w:trHeight w:val="471"/>
        </w:trPr>
        <w:tc>
          <w:tcPr>
            <w:tcW w:w="6935" w:type="dxa"/>
            <w:tcMar>
              <w:top w:w="0" w:type="dxa"/>
              <w:left w:w="0" w:type="dxa"/>
              <w:bottom w:w="100" w:type="dxa"/>
              <w:right w:w="0" w:type="dxa"/>
            </w:tcMar>
            <w:vAlign w:val="center"/>
          </w:tcPr>
          <w:p w14:paraId="11F521B8" w14:textId="77777777" w:rsidR="00B53D6B" w:rsidRDefault="00386AA7" w:rsidP="0051454B">
            <w:pPr>
              <w:pStyle w:val="TableContents"/>
              <w:spacing w:line="240" w:lineRule="auto"/>
            </w:pPr>
            <w:proofErr w:type="gramStart"/>
            <w:r>
              <w:t>18-20 Year Old</w:t>
            </w:r>
            <w:proofErr w:type="gramEnd"/>
            <w:r>
              <w:t xml:space="preserve"> Rate</w:t>
            </w:r>
          </w:p>
        </w:tc>
        <w:tc>
          <w:tcPr>
            <w:tcW w:w="2104" w:type="dxa"/>
            <w:tcMar>
              <w:top w:w="0" w:type="dxa"/>
              <w:left w:w="0" w:type="dxa"/>
              <w:bottom w:w="100" w:type="dxa"/>
              <w:right w:w="0" w:type="dxa"/>
            </w:tcMar>
            <w:vAlign w:val="center"/>
          </w:tcPr>
          <w:p w14:paraId="11F521B9" w14:textId="77777777" w:rsidR="00B53D6B" w:rsidRDefault="00386AA7" w:rsidP="0051454B">
            <w:pPr>
              <w:pStyle w:val="TableContents"/>
              <w:spacing w:line="240" w:lineRule="auto"/>
            </w:pPr>
            <w:r>
              <w:t>£6.83</w:t>
            </w:r>
          </w:p>
        </w:tc>
      </w:tr>
      <w:tr w:rsidR="00B53D6B" w14:paraId="11F521BD" w14:textId="77777777" w:rsidTr="00604819">
        <w:trPr>
          <w:trHeight w:val="471"/>
        </w:trPr>
        <w:tc>
          <w:tcPr>
            <w:tcW w:w="6935" w:type="dxa"/>
            <w:tcMar>
              <w:top w:w="0" w:type="dxa"/>
              <w:left w:w="0" w:type="dxa"/>
              <w:bottom w:w="100" w:type="dxa"/>
              <w:right w:w="0" w:type="dxa"/>
            </w:tcMar>
            <w:vAlign w:val="center"/>
          </w:tcPr>
          <w:p w14:paraId="11F521BB" w14:textId="77777777" w:rsidR="00B53D6B" w:rsidRDefault="00386AA7" w:rsidP="0051454B">
            <w:pPr>
              <w:pStyle w:val="TableContents"/>
              <w:spacing w:line="240" w:lineRule="auto"/>
            </w:pPr>
            <w:proofErr w:type="gramStart"/>
            <w:r>
              <w:t>16-17 Year Old</w:t>
            </w:r>
            <w:proofErr w:type="gramEnd"/>
            <w:r>
              <w:t xml:space="preserve"> Rate</w:t>
            </w:r>
          </w:p>
        </w:tc>
        <w:tc>
          <w:tcPr>
            <w:tcW w:w="2104" w:type="dxa"/>
            <w:tcMar>
              <w:top w:w="0" w:type="dxa"/>
              <w:left w:w="0" w:type="dxa"/>
              <w:bottom w:w="100" w:type="dxa"/>
              <w:right w:w="0" w:type="dxa"/>
            </w:tcMar>
            <w:vAlign w:val="center"/>
          </w:tcPr>
          <w:p w14:paraId="11F521BC" w14:textId="77777777" w:rsidR="00B53D6B" w:rsidRDefault="00386AA7" w:rsidP="0051454B">
            <w:pPr>
              <w:pStyle w:val="TableContents"/>
              <w:spacing w:line="240" w:lineRule="auto"/>
            </w:pPr>
            <w:r>
              <w:t>£4.81</w:t>
            </w:r>
          </w:p>
        </w:tc>
      </w:tr>
      <w:tr w:rsidR="00B53D6B" w14:paraId="11F521C0" w14:textId="77777777" w:rsidTr="00604819">
        <w:trPr>
          <w:trHeight w:val="457"/>
        </w:trPr>
        <w:tc>
          <w:tcPr>
            <w:tcW w:w="6935" w:type="dxa"/>
            <w:tcMar>
              <w:top w:w="0" w:type="dxa"/>
              <w:left w:w="0" w:type="dxa"/>
              <w:bottom w:w="100" w:type="dxa"/>
              <w:right w:w="0" w:type="dxa"/>
            </w:tcMar>
            <w:vAlign w:val="center"/>
          </w:tcPr>
          <w:p w14:paraId="11F521BE" w14:textId="77777777" w:rsidR="00B53D6B" w:rsidRDefault="00386AA7" w:rsidP="0051454B">
            <w:pPr>
              <w:pStyle w:val="TableContents"/>
              <w:spacing w:line="240" w:lineRule="auto"/>
            </w:pPr>
            <w:r>
              <w:t>Apprentice Rate</w:t>
            </w:r>
          </w:p>
        </w:tc>
        <w:tc>
          <w:tcPr>
            <w:tcW w:w="2104" w:type="dxa"/>
            <w:tcMar>
              <w:top w:w="0" w:type="dxa"/>
              <w:left w:w="0" w:type="dxa"/>
              <w:bottom w:w="100" w:type="dxa"/>
              <w:right w:w="0" w:type="dxa"/>
            </w:tcMar>
            <w:vAlign w:val="center"/>
          </w:tcPr>
          <w:p w14:paraId="11F521BF" w14:textId="77777777" w:rsidR="00B53D6B" w:rsidRDefault="00386AA7" w:rsidP="0051454B">
            <w:pPr>
              <w:pStyle w:val="TableContents"/>
              <w:spacing w:line="240" w:lineRule="auto"/>
            </w:pPr>
            <w:r>
              <w:t>£4.81</w:t>
            </w:r>
          </w:p>
        </w:tc>
      </w:tr>
    </w:tbl>
    <w:p w14:paraId="11F521C1" w14:textId="63CFDFB5" w:rsidR="00B53D6B" w:rsidRDefault="00386AA7" w:rsidP="0051454B">
      <w:pPr>
        <w:pStyle w:val="ListParagraph"/>
        <w:spacing w:line="240" w:lineRule="auto"/>
        <w:ind w:left="0"/>
      </w:pPr>
      <w:r>
        <w:rPr>
          <w:rFonts w:cs="Arial"/>
          <w:color w:val="000000"/>
        </w:rPr>
        <w:t xml:space="preserve">                              </w:t>
      </w:r>
      <w:r w:rsidR="00604819">
        <w:rPr>
          <w:rFonts w:cs="Arial"/>
          <w:color w:val="000000"/>
        </w:rPr>
        <w:t xml:space="preserve">                                                                                                              </w:t>
      </w:r>
      <w:r>
        <w:rPr>
          <w:rFonts w:cs="Arial"/>
          <w:color w:val="000000"/>
        </w:rPr>
        <w:t xml:space="preserve"> (Gov Website, 2022).</w:t>
      </w:r>
    </w:p>
    <w:p w14:paraId="11F521C2" w14:textId="77777777" w:rsidR="00B53D6B" w:rsidRDefault="00B53D6B" w:rsidP="0051454B">
      <w:pPr>
        <w:pStyle w:val="ListParagraph"/>
        <w:spacing w:line="240" w:lineRule="auto"/>
        <w:ind w:left="0"/>
        <w:rPr>
          <w:rFonts w:cs="Arial"/>
          <w:color w:val="000000"/>
        </w:rPr>
      </w:pPr>
    </w:p>
    <w:p w14:paraId="11F521C3" w14:textId="255C3B0B" w:rsidR="00B53D6B" w:rsidRDefault="00386AA7" w:rsidP="0051454B">
      <w:pPr>
        <w:pStyle w:val="ListParagraph"/>
        <w:spacing w:line="240" w:lineRule="auto"/>
        <w:ind w:left="0"/>
      </w:pPr>
      <w:r>
        <w:rPr>
          <w:rFonts w:cs="Arial"/>
          <w:color w:val="000000"/>
        </w:rPr>
        <w:t xml:space="preserve">Employees are entitled to a written pay statement showing a breakdown of gross wages and deductions under the Employment Rights Act 1998, which breaks down </w:t>
      </w:r>
      <w:r w:rsidR="00B270FC">
        <w:rPr>
          <w:rFonts w:cs="Arial"/>
          <w:color w:val="000000"/>
        </w:rPr>
        <w:t>workers’</w:t>
      </w:r>
      <w:r>
        <w:rPr>
          <w:rFonts w:cs="Arial"/>
          <w:color w:val="000000"/>
        </w:rPr>
        <w:t xml:space="preserve"> wages and includes any deductions. A deduction is usually required by law, such as national insurance, or it is agreed upon with the worker, such as pension contributions </w:t>
      </w:r>
      <w:r>
        <w:rPr>
          <w:rFonts w:cs="Calibri"/>
          <w:bCs/>
          <w:color w:val="000000"/>
        </w:rPr>
        <w:t>(Daniels, CIPD, 2019).</w:t>
      </w:r>
    </w:p>
    <w:p w14:paraId="11F521C4" w14:textId="1E4082A1" w:rsidR="00B53D6B" w:rsidRDefault="00B53D6B" w:rsidP="0051454B">
      <w:pPr>
        <w:pStyle w:val="ListParagraph"/>
        <w:spacing w:line="240" w:lineRule="auto"/>
        <w:ind w:left="0"/>
        <w:rPr>
          <w:rFonts w:cs="Arial"/>
          <w:color w:val="000000"/>
        </w:rPr>
      </w:pPr>
    </w:p>
    <w:p w14:paraId="11F521C5" w14:textId="0C2C658D" w:rsidR="00B53D6B" w:rsidRDefault="00386AA7" w:rsidP="0051454B">
      <w:pPr>
        <w:pStyle w:val="ListParagraph"/>
        <w:spacing w:line="240" w:lineRule="auto"/>
        <w:ind w:left="0"/>
      </w:pPr>
      <w:r>
        <w:rPr>
          <w:rFonts w:cs="Arial"/>
          <w:color w:val="000000"/>
        </w:rPr>
        <w:t xml:space="preserve">In the UK, employees have a statutory right to 5.6 weeks (28 days) paid annual leave which includes the public holidays. This figure is in excess of the 4 weeks which is set out by European Working Time Directive. Workers are entitled to be provided with a paid sum which would be equivalent to a </w:t>
      </w:r>
      <w:r w:rsidR="0064579D">
        <w:rPr>
          <w:rFonts w:cs="Arial"/>
          <w:color w:val="000000"/>
        </w:rPr>
        <w:t>week’s</w:t>
      </w:r>
      <w:r>
        <w:rPr>
          <w:rFonts w:cs="Arial"/>
          <w:color w:val="000000"/>
        </w:rPr>
        <w:t xml:space="preserve"> pay for each week of leave, or if the </w:t>
      </w:r>
      <w:r w:rsidR="0064579D">
        <w:rPr>
          <w:rFonts w:cs="Arial"/>
          <w:color w:val="000000"/>
        </w:rPr>
        <w:t>workers’</w:t>
      </w:r>
      <w:r>
        <w:rPr>
          <w:rFonts w:cs="Arial"/>
          <w:color w:val="000000"/>
        </w:rPr>
        <w:t xml:space="preserve"> pay is variable, a sum should be calculated by working out the average of the pay received in the 12 weeks prior </w:t>
      </w:r>
      <w:r>
        <w:rPr>
          <w:rFonts w:cs="Calibri"/>
          <w:bCs/>
          <w:color w:val="000000"/>
        </w:rPr>
        <w:t>(Daniels, CIPD, 2019).</w:t>
      </w:r>
    </w:p>
    <w:p w14:paraId="11F521C6" w14:textId="77777777" w:rsidR="00B53D6B" w:rsidRDefault="00B53D6B" w:rsidP="0051454B">
      <w:pPr>
        <w:pStyle w:val="ListParagraph"/>
        <w:spacing w:line="240" w:lineRule="auto"/>
        <w:ind w:left="0"/>
        <w:rPr>
          <w:rFonts w:cs="Calibri"/>
          <w:bCs/>
          <w:color w:val="000000"/>
        </w:rPr>
      </w:pPr>
    </w:p>
    <w:p w14:paraId="11F521C7" w14:textId="77777777" w:rsidR="00B53D6B" w:rsidRDefault="00386AA7" w:rsidP="0051454B">
      <w:pPr>
        <w:pStyle w:val="ListParagraph"/>
        <w:spacing w:line="240" w:lineRule="auto"/>
        <w:ind w:left="0"/>
      </w:pPr>
      <w:r>
        <w:rPr>
          <w:rFonts w:cs="Calibri"/>
          <w:color w:val="000000"/>
        </w:rPr>
        <w:t>A person's 'working time' is any period in which they are at their employer's disposal and performing their duties. It is the employers' duty to ensure that all workers' health and safety is taken care of, which includes protecting them from overwork and long hours. Employers should take proactive steps, such as conducting risk assessments to determine if their workers are overworking (</w:t>
      </w:r>
      <w:proofErr w:type="spellStart"/>
      <w:r>
        <w:rPr>
          <w:rFonts w:cs="Calibri"/>
          <w:color w:val="000000"/>
        </w:rPr>
        <w:t>Suff</w:t>
      </w:r>
      <w:proofErr w:type="spellEnd"/>
      <w:r>
        <w:rPr>
          <w:rFonts w:cs="Calibri"/>
          <w:color w:val="000000"/>
        </w:rPr>
        <w:t>, CIPD, 2021).</w:t>
      </w:r>
    </w:p>
    <w:p w14:paraId="11F521C8" w14:textId="77777777" w:rsidR="00B53D6B" w:rsidRDefault="00B53D6B" w:rsidP="0051454B">
      <w:pPr>
        <w:pStyle w:val="ListParagraph"/>
        <w:spacing w:line="240" w:lineRule="auto"/>
        <w:ind w:left="0"/>
        <w:rPr>
          <w:rFonts w:cs="Calibri"/>
          <w:color w:val="000000"/>
        </w:rPr>
      </w:pPr>
    </w:p>
    <w:p w14:paraId="11F521CA" w14:textId="1D9491AD" w:rsidR="00B53D6B" w:rsidRDefault="00386AA7" w:rsidP="0051454B">
      <w:pPr>
        <w:pStyle w:val="ListParagraph"/>
        <w:spacing w:line="240" w:lineRule="auto"/>
        <w:ind w:left="0"/>
        <w:rPr>
          <w:rFonts w:cs="Arial"/>
          <w:color w:val="000000"/>
        </w:rPr>
      </w:pPr>
      <w:r>
        <w:rPr>
          <w:rFonts w:cs="Calibri"/>
          <w:color w:val="000000"/>
        </w:rPr>
        <w:lastRenderedPageBreak/>
        <w:t>Working Time Regulations 1998 establish the minimum standards for UK employees, including the working week, rest entitlements, and annual leave, although they can opt out of the provisions regarding the minimum 48-hour working week. These</w:t>
      </w:r>
      <w:r>
        <w:rPr>
          <w:rFonts w:cs="Arial"/>
          <w:color w:val="000000"/>
        </w:rPr>
        <w:t xml:space="preserve"> regulations give employees rights around the maximum number of hours to be worked and rest break entitlements.</w:t>
      </w:r>
    </w:p>
    <w:p w14:paraId="4B327F39" w14:textId="77777777" w:rsidR="00604819" w:rsidRPr="00604819" w:rsidRDefault="00604819" w:rsidP="0051454B">
      <w:pPr>
        <w:pStyle w:val="ListParagraph"/>
        <w:spacing w:line="240" w:lineRule="auto"/>
        <w:ind w:left="0"/>
        <w:rPr>
          <w:rFonts w:cs="Arial"/>
          <w:color w:val="000000"/>
        </w:rPr>
      </w:pPr>
    </w:p>
    <w:p w14:paraId="045927B3" w14:textId="77777777" w:rsidR="00F07F23" w:rsidRDefault="00F07F23" w:rsidP="0051454B">
      <w:pPr>
        <w:pStyle w:val="ListParagraph"/>
        <w:spacing w:line="240" w:lineRule="auto"/>
        <w:ind w:left="0"/>
        <w:rPr>
          <w:rFonts w:cs="Calibri"/>
          <w:color w:val="000000"/>
        </w:rPr>
      </w:pPr>
    </w:p>
    <w:tbl>
      <w:tblPr>
        <w:tblStyle w:val="TableGrid"/>
        <w:tblW w:w="0" w:type="auto"/>
        <w:tblLook w:val="04A0" w:firstRow="1" w:lastRow="0" w:firstColumn="1" w:lastColumn="0" w:noHBand="0" w:noVBand="1"/>
      </w:tblPr>
      <w:tblGrid>
        <w:gridCol w:w="1980"/>
        <w:gridCol w:w="3118"/>
        <w:gridCol w:w="3918"/>
      </w:tblGrid>
      <w:tr w:rsidR="00D40966" w14:paraId="26AB9D14" w14:textId="77777777" w:rsidTr="006D3222">
        <w:tc>
          <w:tcPr>
            <w:tcW w:w="1980" w:type="dxa"/>
          </w:tcPr>
          <w:p w14:paraId="110F3EE4" w14:textId="3B3E8B2D" w:rsidR="00D40966" w:rsidRPr="00604819" w:rsidRDefault="000300FD" w:rsidP="0051454B">
            <w:pPr>
              <w:pStyle w:val="ListParagraph"/>
              <w:spacing w:line="240" w:lineRule="auto"/>
              <w:ind w:left="0"/>
              <w:rPr>
                <w:rFonts w:cs="Calibri"/>
                <w:b/>
                <w:bCs/>
                <w:color w:val="000000"/>
              </w:rPr>
            </w:pPr>
            <w:r w:rsidRPr="00604819">
              <w:rPr>
                <w:rFonts w:cs="Calibri"/>
                <w:b/>
                <w:bCs/>
                <w:color w:val="000000"/>
              </w:rPr>
              <w:t xml:space="preserve">Working Time: </w:t>
            </w:r>
          </w:p>
        </w:tc>
        <w:tc>
          <w:tcPr>
            <w:tcW w:w="3118" w:type="dxa"/>
          </w:tcPr>
          <w:p w14:paraId="10EC7577" w14:textId="2368A51E" w:rsidR="00D40966" w:rsidRPr="00604819" w:rsidRDefault="000300FD" w:rsidP="0051454B">
            <w:pPr>
              <w:pStyle w:val="ListParagraph"/>
              <w:spacing w:line="240" w:lineRule="auto"/>
              <w:ind w:left="0"/>
              <w:rPr>
                <w:rFonts w:cs="Calibri"/>
                <w:b/>
                <w:bCs/>
                <w:color w:val="000000"/>
              </w:rPr>
            </w:pPr>
            <w:r w:rsidRPr="00604819">
              <w:rPr>
                <w:rFonts w:cs="Calibri"/>
                <w:b/>
                <w:bCs/>
                <w:color w:val="000000"/>
              </w:rPr>
              <w:t xml:space="preserve">Worker Entitlement: </w:t>
            </w:r>
          </w:p>
        </w:tc>
        <w:tc>
          <w:tcPr>
            <w:tcW w:w="3918" w:type="dxa"/>
          </w:tcPr>
          <w:p w14:paraId="5A631864" w14:textId="0F7C0D0E" w:rsidR="00D40966" w:rsidRPr="00604819" w:rsidRDefault="000300FD" w:rsidP="0051454B">
            <w:pPr>
              <w:pStyle w:val="ListParagraph"/>
              <w:spacing w:line="240" w:lineRule="auto"/>
              <w:ind w:left="0"/>
              <w:rPr>
                <w:rFonts w:cs="Calibri"/>
                <w:b/>
                <w:bCs/>
                <w:color w:val="000000"/>
              </w:rPr>
            </w:pPr>
            <w:r w:rsidRPr="00604819">
              <w:rPr>
                <w:rFonts w:cs="Calibri"/>
                <w:b/>
                <w:bCs/>
                <w:color w:val="000000"/>
              </w:rPr>
              <w:t xml:space="preserve">Details: </w:t>
            </w:r>
          </w:p>
        </w:tc>
      </w:tr>
      <w:tr w:rsidR="00D40966" w14:paraId="427E174F" w14:textId="77777777" w:rsidTr="006D3222">
        <w:tc>
          <w:tcPr>
            <w:tcW w:w="1980" w:type="dxa"/>
          </w:tcPr>
          <w:p w14:paraId="20B5DF8F" w14:textId="685EAA8A" w:rsidR="00D40966" w:rsidRDefault="000300FD" w:rsidP="0051454B">
            <w:pPr>
              <w:pStyle w:val="ListParagraph"/>
              <w:spacing w:line="240" w:lineRule="auto"/>
              <w:ind w:left="0"/>
              <w:rPr>
                <w:rFonts w:cs="Calibri"/>
                <w:color w:val="000000"/>
              </w:rPr>
            </w:pPr>
            <w:r>
              <w:rPr>
                <w:rFonts w:cs="Calibri"/>
                <w:color w:val="000000"/>
              </w:rPr>
              <w:t xml:space="preserve">Maximum Hours </w:t>
            </w:r>
            <w:r w:rsidR="00DC54A8">
              <w:rPr>
                <w:rFonts w:cs="Calibri"/>
                <w:color w:val="000000"/>
              </w:rPr>
              <w:t xml:space="preserve">to be worked per week </w:t>
            </w:r>
          </w:p>
        </w:tc>
        <w:tc>
          <w:tcPr>
            <w:tcW w:w="3118" w:type="dxa"/>
          </w:tcPr>
          <w:p w14:paraId="7C4E3BE0" w14:textId="3AD68691" w:rsidR="00D40966" w:rsidRDefault="00B43DDE" w:rsidP="0051454B">
            <w:pPr>
              <w:pStyle w:val="ListParagraph"/>
              <w:spacing w:line="240" w:lineRule="auto"/>
              <w:ind w:left="0"/>
              <w:rPr>
                <w:rFonts w:cs="Calibri"/>
                <w:color w:val="000000"/>
              </w:rPr>
            </w:pPr>
            <w:r>
              <w:rPr>
                <w:rFonts w:ascii="Arial" w:eastAsia="Times New Roman" w:hAnsi="Arial" w:cs="Arial"/>
                <w:lang w:eastAsia="en-GB"/>
              </w:rPr>
              <w:t>48 Hours</w:t>
            </w:r>
            <w:r w:rsidR="00DC54A8" w:rsidRPr="005A7451">
              <w:rPr>
                <w:rFonts w:ascii="Arial" w:eastAsia="Times New Roman" w:hAnsi="Arial" w:cs="Arial"/>
                <w:lang w:eastAsia="en-GB"/>
              </w:rPr>
              <w:t xml:space="preserve"> (averaged over 17 weeks).</w:t>
            </w:r>
          </w:p>
        </w:tc>
        <w:tc>
          <w:tcPr>
            <w:tcW w:w="3918" w:type="dxa"/>
          </w:tcPr>
          <w:p w14:paraId="605BF2CA" w14:textId="43545055" w:rsidR="00D40966" w:rsidRDefault="00B43DDE" w:rsidP="0051454B">
            <w:pPr>
              <w:pStyle w:val="ListParagraph"/>
              <w:spacing w:line="240" w:lineRule="auto"/>
              <w:ind w:left="0"/>
              <w:rPr>
                <w:rFonts w:cs="Calibri"/>
                <w:color w:val="000000"/>
              </w:rPr>
            </w:pPr>
            <w:r>
              <w:rPr>
                <w:rFonts w:cs="Calibri"/>
                <w:color w:val="000000"/>
              </w:rPr>
              <w:t>Workers do have the option to opt out of</w:t>
            </w:r>
            <w:r w:rsidR="000D2CB1">
              <w:rPr>
                <w:rFonts w:cs="Calibri"/>
                <w:color w:val="000000"/>
              </w:rPr>
              <w:t xml:space="preserve"> this policy under the circumstance that no</w:t>
            </w:r>
            <w:r w:rsidR="00BD166A">
              <w:rPr>
                <w:rFonts w:cs="Calibri"/>
                <w:color w:val="000000"/>
              </w:rPr>
              <w:t xml:space="preserve">tification is given in writing to the employer. </w:t>
            </w:r>
          </w:p>
        </w:tc>
      </w:tr>
      <w:tr w:rsidR="00BD166A" w14:paraId="70A0ADF7" w14:textId="77777777" w:rsidTr="006D3222">
        <w:tc>
          <w:tcPr>
            <w:tcW w:w="1980" w:type="dxa"/>
          </w:tcPr>
          <w:p w14:paraId="442C6833" w14:textId="77A63168" w:rsidR="00BD166A" w:rsidRDefault="00BD166A" w:rsidP="0051454B">
            <w:pPr>
              <w:pStyle w:val="ListParagraph"/>
              <w:spacing w:line="240" w:lineRule="auto"/>
              <w:ind w:left="0"/>
              <w:rPr>
                <w:rFonts w:cs="Calibri"/>
                <w:color w:val="000000"/>
              </w:rPr>
            </w:pPr>
            <w:r>
              <w:rPr>
                <w:rFonts w:cs="Calibri"/>
                <w:color w:val="000000"/>
              </w:rPr>
              <w:t xml:space="preserve">Rest Breaks </w:t>
            </w:r>
          </w:p>
        </w:tc>
        <w:tc>
          <w:tcPr>
            <w:tcW w:w="3118" w:type="dxa"/>
          </w:tcPr>
          <w:p w14:paraId="76A6574C" w14:textId="19ED280A" w:rsidR="00BD166A" w:rsidRDefault="00BD166A" w:rsidP="0051454B">
            <w:pPr>
              <w:pStyle w:val="ListParagraph"/>
              <w:spacing w:line="240" w:lineRule="auto"/>
              <w:ind w:left="0"/>
              <w:rPr>
                <w:rFonts w:cs="Calibri"/>
                <w:color w:val="000000"/>
              </w:rPr>
            </w:pPr>
            <w:r>
              <w:rPr>
                <w:rFonts w:ascii="Arial" w:eastAsia="Times New Roman" w:hAnsi="Arial" w:cs="Arial"/>
                <w:lang w:eastAsia="en-GB"/>
              </w:rPr>
              <w:t>Workers are entitled to 1 x u</w:t>
            </w:r>
            <w:r w:rsidRPr="005A7451">
              <w:rPr>
                <w:rFonts w:ascii="Arial" w:eastAsia="Times New Roman" w:hAnsi="Arial" w:cs="Arial"/>
                <w:lang w:eastAsia="en-GB"/>
              </w:rPr>
              <w:t xml:space="preserve">ninterrupted break of at least 20 minutes </w:t>
            </w:r>
            <w:r>
              <w:rPr>
                <w:rFonts w:ascii="Arial" w:eastAsia="Times New Roman" w:hAnsi="Arial" w:cs="Arial"/>
                <w:lang w:eastAsia="en-GB"/>
              </w:rPr>
              <w:t xml:space="preserve">during </w:t>
            </w:r>
            <w:r w:rsidRPr="005A7451">
              <w:rPr>
                <w:rFonts w:ascii="Arial" w:eastAsia="Times New Roman" w:hAnsi="Arial" w:cs="Arial"/>
                <w:lang w:eastAsia="en-GB"/>
              </w:rPr>
              <w:t xml:space="preserve">any </w:t>
            </w:r>
            <w:proofErr w:type="gramStart"/>
            <w:r w:rsidRPr="005A7451">
              <w:rPr>
                <w:rFonts w:ascii="Arial" w:eastAsia="Times New Roman" w:hAnsi="Arial" w:cs="Arial"/>
                <w:lang w:eastAsia="en-GB"/>
              </w:rPr>
              <w:t>6 hour</w:t>
            </w:r>
            <w:proofErr w:type="gramEnd"/>
            <w:r w:rsidRPr="005A7451">
              <w:rPr>
                <w:rFonts w:ascii="Arial" w:eastAsia="Times New Roman" w:hAnsi="Arial" w:cs="Arial"/>
                <w:lang w:eastAsia="en-GB"/>
              </w:rPr>
              <w:t xml:space="preserve"> </w:t>
            </w:r>
            <w:r>
              <w:rPr>
                <w:rFonts w:ascii="Arial" w:eastAsia="Times New Roman" w:hAnsi="Arial" w:cs="Arial"/>
                <w:lang w:eastAsia="en-GB"/>
              </w:rPr>
              <w:t xml:space="preserve">shift. </w:t>
            </w:r>
          </w:p>
        </w:tc>
        <w:tc>
          <w:tcPr>
            <w:tcW w:w="3918" w:type="dxa"/>
          </w:tcPr>
          <w:p w14:paraId="666FF897" w14:textId="49DF076E" w:rsidR="00BD166A" w:rsidRDefault="00BD166A" w:rsidP="0051454B">
            <w:pPr>
              <w:pStyle w:val="ListParagraph"/>
              <w:spacing w:line="240" w:lineRule="auto"/>
              <w:ind w:left="0"/>
              <w:rPr>
                <w:rFonts w:cs="Calibri"/>
                <w:color w:val="000000"/>
              </w:rPr>
            </w:pPr>
            <w:r w:rsidRPr="005A7451">
              <w:rPr>
                <w:rFonts w:ascii="Arial" w:eastAsia="Times New Roman" w:hAnsi="Arial" w:cs="Arial"/>
                <w:lang w:val="en" w:eastAsia="en-GB"/>
              </w:rPr>
              <w:t xml:space="preserve">This break </w:t>
            </w:r>
            <w:r w:rsidR="003C72BC">
              <w:rPr>
                <w:rFonts w:ascii="Arial" w:eastAsia="Times New Roman" w:hAnsi="Arial" w:cs="Arial"/>
                <w:lang w:val="en" w:eastAsia="en-GB"/>
              </w:rPr>
              <w:t xml:space="preserve">tends to be </w:t>
            </w:r>
            <w:r w:rsidRPr="005A7451">
              <w:rPr>
                <w:rFonts w:ascii="Arial" w:eastAsia="Times New Roman" w:hAnsi="Arial" w:cs="Arial"/>
                <w:lang w:val="en" w:eastAsia="en-GB"/>
              </w:rPr>
              <w:t xml:space="preserve">unpaid unless </w:t>
            </w:r>
            <w:r w:rsidR="003C72BC">
              <w:rPr>
                <w:rFonts w:ascii="Arial" w:eastAsia="Times New Roman" w:hAnsi="Arial" w:cs="Arial"/>
                <w:lang w:val="en" w:eastAsia="en-GB"/>
              </w:rPr>
              <w:t xml:space="preserve">alternative agreements are provided within the contract of employment. </w:t>
            </w:r>
          </w:p>
        </w:tc>
      </w:tr>
      <w:tr w:rsidR="0032432F" w14:paraId="18B0CE7A" w14:textId="77777777" w:rsidTr="006D3222">
        <w:tc>
          <w:tcPr>
            <w:tcW w:w="1980" w:type="dxa"/>
          </w:tcPr>
          <w:p w14:paraId="7A510910" w14:textId="3A349367" w:rsidR="0032432F" w:rsidRDefault="0032432F" w:rsidP="0051454B">
            <w:pPr>
              <w:pStyle w:val="ListParagraph"/>
              <w:spacing w:line="240" w:lineRule="auto"/>
              <w:ind w:left="0"/>
              <w:rPr>
                <w:rFonts w:cs="Calibri"/>
                <w:color w:val="000000"/>
              </w:rPr>
            </w:pPr>
            <w:r>
              <w:rPr>
                <w:rFonts w:cs="Calibri"/>
                <w:color w:val="000000"/>
              </w:rPr>
              <w:t xml:space="preserve">Night Workers </w:t>
            </w:r>
          </w:p>
        </w:tc>
        <w:tc>
          <w:tcPr>
            <w:tcW w:w="3118" w:type="dxa"/>
          </w:tcPr>
          <w:p w14:paraId="11D5A313" w14:textId="0CDB1367" w:rsidR="0032432F" w:rsidRDefault="0032432F" w:rsidP="0051454B">
            <w:pPr>
              <w:pStyle w:val="ListParagraph"/>
              <w:spacing w:line="240" w:lineRule="auto"/>
              <w:ind w:left="0"/>
              <w:rPr>
                <w:rFonts w:cs="Calibri"/>
                <w:color w:val="000000"/>
              </w:rPr>
            </w:pPr>
            <w:r>
              <w:rPr>
                <w:rFonts w:ascii="Arial" w:eastAsia="Times New Roman" w:hAnsi="Arial" w:cs="Arial"/>
                <w:lang w:val="en" w:eastAsia="en-GB"/>
              </w:rPr>
              <w:t xml:space="preserve">Workers should not </w:t>
            </w:r>
            <w:r w:rsidRPr="005A7451">
              <w:rPr>
                <w:rFonts w:ascii="Arial" w:eastAsia="Times New Roman" w:hAnsi="Arial" w:cs="Arial"/>
                <w:lang w:val="en" w:eastAsia="en-GB"/>
              </w:rPr>
              <w:t>work more than an average of 8 hours in a 24-hour period.</w:t>
            </w:r>
          </w:p>
        </w:tc>
        <w:tc>
          <w:tcPr>
            <w:tcW w:w="3918" w:type="dxa"/>
          </w:tcPr>
          <w:p w14:paraId="4BDDD7E8" w14:textId="139574BE" w:rsidR="0032432F" w:rsidRDefault="0032432F" w:rsidP="0051454B">
            <w:pPr>
              <w:pStyle w:val="ListParagraph"/>
              <w:spacing w:line="240" w:lineRule="auto"/>
              <w:ind w:left="0"/>
              <w:rPr>
                <w:rFonts w:cs="Calibri"/>
                <w:color w:val="000000"/>
              </w:rPr>
            </w:pPr>
            <w:r>
              <w:rPr>
                <w:rFonts w:ascii="Arial" w:eastAsia="Times New Roman" w:hAnsi="Arial" w:cs="Arial"/>
                <w:lang w:eastAsia="en-GB"/>
              </w:rPr>
              <w:t xml:space="preserve">Night </w:t>
            </w:r>
            <w:r w:rsidRPr="005A7451">
              <w:rPr>
                <w:rFonts w:ascii="Arial" w:eastAsia="Times New Roman" w:hAnsi="Arial" w:cs="Arial"/>
                <w:lang w:eastAsia="en-GB"/>
              </w:rPr>
              <w:t>workers</w:t>
            </w:r>
            <w:r w:rsidR="00281950">
              <w:rPr>
                <w:rFonts w:ascii="Arial" w:eastAsia="Times New Roman" w:hAnsi="Arial" w:cs="Arial"/>
                <w:lang w:eastAsia="en-GB"/>
              </w:rPr>
              <w:t xml:space="preserve"> tend to </w:t>
            </w:r>
            <w:r w:rsidRPr="005A7451">
              <w:rPr>
                <w:rFonts w:ascii="Arial" w:eastAsia="Times New Roman" w:hAnsi="Arial" w:cs="Arial"/>
                <w:lang w:eastAsia="en-GB"/>
              </w:rPr>
              <w:t>work at least 3 hours per night, between 11pm and 6am</w:t>
            </w:r>
            <w:r w:rsidR="00281950">
              <w:rPr>
                <w:rFonts w:ascii="Arial" w:eastAsia="Times New Roman" w:hAnsi="Arial" w:cs="Arial"/>
                <w:lang w:eastAsia="en-GB"/>
              </w:rPr>
              <w:t xml:space="preserve"> although </w:t>
            </w:r>
            <w:r w:rsidR="001A7473">
              <w:rPr>
                <w:rFonts w:ascii="Arial" w:eastAsia="Times New Roman" w:hAnsi="Arial" w:cs="Arial"/>
                <w:lang w:eastAsia="en-GB"/>
              </w:rPr>
              <w:t xml:space="preserve">slight differences in hours to be worked can be agreed within the contact such as </w:t>
            </w:r>
            <w:r w:rsidR="00604819">
              <w:rPr>
                <w:rFonts w:ascii="Arial" w:eastAsia="Times New Roman" w:hAnsi="Arial" w:cs="Arial"/>
                <w:lang w:eastAsia="en-GB"/>
              </w:rPr>
              <w:t xml:space="preserve">10pm – 5am. </w:t>
            </w:r>
          </w:p>
        </w:tc>
      </w:tr>
    </w:tbl>
    <w:p w14:paraId="2ABD3873" w14:textId="77777777" w:rsidR="00F07F23" w:rsidRDefault="00F07F23" w:rsidP="0051454B">
      <w:pPr>
        <w:pStyle w:val="ListParagraph"/>
        <w:spacing w:line="240" w:lineRule="auto"/>
        <w:ind w:left="0"/>
        <w:rPr>
          <w:rFonts w:cs="Calibri"/>
          <w:color w:val="000000"/>
        </w:rPr>
      </w:pPr>
    </w:p>
    <w:p w14:paraId="75809369" w14:textId="77777777" w:rsidR="00F07F23" w:rsidRDefault="00F07F23" w:rsidP="0051454B">
      <w:pPr>
        <w:pStyle w:val="ListParagraph"/>
        <w:spacing w:line="240" w:lineRule="auto"/>
        <w:ind w:left="0"/>
        <w:rPr>
          <w:rFonts w:cs="Calibri"/>
          <w:color w:val="000000"/>
        </w:rPr>
      </w:pPr>
    </w:p>
    <w:p w14:paraId="11F521CB" w14:textId="382B7051" w:rsidR="00B53D6B" w:rsidRDefault="00386AA7" w:rsidP="0051454B">
      <w:pPr>
        <w:pStyle w:val="ListParagraph"/>
        <w:spacing w:line="240" w:lineRule="auto"/>
        <w:ind w:left="0"/>
        <w:rPr>
          <w:rFonts w:cs="Calibri"/>
          <w:color w:val="000000"/>
        </w:rPr>
      </w:pPr>
      <w:r>
        <w:rPr>
          <w:rFonts w:cs="Calibri"/>
          <w:color w:val="000000"/>
        </w:rPr>
        <w:t>Those unable to work due to illness are entitled to statutory sick pay (SSP) for a period of 24 weeks, although this can vary if the illness is caused by Coronavirus. “The weekly rate of Statutory Sick Pay (SSP) rose to £96.35 on 5 April 2021. The rates for Statutory Maternity Pay, Statutory Paternity Pay, Statutory Adoption Pay and pay for shared parental leave increased to £151.97 per week” (CIPD Employment Law, 2022).</w:t>
      </w:r>
    </w:p>
    <w:p w14:paraId="11F521CC" w14:textId="77777777" w:rsidR="00B53D6B" w:rsidRDefault="00B53D6B" w:rsidP="0051454B">
      <w:pPr>
        <w:pStyle w:val="ListParagraph"/>
        <w:spacing w:line="240" w:lineRule="auto"/>
        <w:ind w:left="357" w:hanging="357"/>
        <w:rPr>
          <w:rFonts w:cs="Arial"/>
          <w:b/>
          <w:color w:val="FF0000"/>
        </w:rPr>
      </w:pPr>
    </w:p>
    <w:p w14:paraId="11F521CD" w14:textId="77777777" w:rsidR="00B53D6B" w:rsidRDefault="00B53D6B" w:rsidP="0051454B">
      <w:pPr>
        <w:pStyle w:val="ListParagraph"/>
        <w:spacing w:line="240" w:lineRule="auto"/>
        <w:ind w:left="357" w:hanging="357"/>
        <w:rPr>
          <w:rFonts w:cs="Arial"/>
          <w:b/>
          <w:color w:val="FF0000"/>
        </w:rPr>
      </w:pPr>
    </w:p>
    <w:p w14:paraId="11F521CF" w14:textId="35232DA3" w:rsidR="00B53D6B" w:rsidRDefault="00386AA7" w:rsidP="0051454B">
      <w:pPr>
        <w:pStyle w:val="ListParagraph"/>
        <w:spacing w:line="240" w:lineRule="auto"/>
        <w:ind w:left="0"/>
      </w:pPr>
      <w:r>
        <w:rPr>
          <w:rFonts w:cs="Calibri"/>
          <w:b/>
        </w:rPr>
        <w:t xml:space="preserve">b) Major family-friendly employment rights </w:t>
      </w:r>
      <w:r>
        <w:rPr>
          <w:rFonts w:cs="Calibri"/>
        </w:rPr>
        <w:t>(4.1, 4.2, 4.3, 4.4).</w:t>
      </w:r>
    </w:p>
    <w:p w14:paraId="11F521D0" w14:textId="26A98007" w:rsidR="00B53D6B" w:rsidRDefault="00386AA7" w:rsidP="0051454B">
      <w:pPr>
        <w:pStyle w:val="Textbody"/>
        <w:spacing w:after="100" w:line="240" w:lineRule="auto"/>
        <w:rPr>
          <w:color w:val="000000"/>
        </w:rPr>
      </w:pPr>
      <w:r>
        <w:rPr>
          <w:rFonts w:cs="Calibri"/>
          <w:color w:val="000000"/>
        </w:rPr>
        <w:t xml:space="preserve">UK law provides maternity, </w:t>
      </w:r>
      <w:r w:rsidR="0064579D">
        <w:rPr>
          <w:rFonts w:cs="Calibri"/>
          <w:color w:val="000000"/>
        </w:rPr>
        <w:t>paternity,</w:t>
      </w:r>
      <w:r>
        <w:rPr>
          <w:rFonts w:cs="Calibri"/>
          <w:color w:val="000000"/>
        </w:rPr>
        <w:t xml:space="preserve"> and adoption rights for all workers both before and after an adoption or birth. All parents (mothers, fathers, partners, and adoptive parents) have the right to paternity, maternity, and adoption leave.</w:t>
      </w:r>
    </w:p>
    <w:p w14:paraId="11F521D1" w14:textId="7A890CD0" w:rsidR="00B53D6B" w:rsidRDefault="00386AA7" w:rsidP="0051454B">
      <w:pPr>
        <w:pStyle w:val="Heading3"/>
        <w:spacing w:before="0" w:after="100" w:line="240" w:lineRule="auto"/>
        <w:rPr>
          <w:rFonts w:ascii="Calibri" w:hAnsi="Calibri"/>
          <w:color w:val="000000"/>
          <w:sz w:val="22"/>
          <w:szCs w:val="22"/>
        </w:rPr>
      </w:pPr>
      <w:r>
        <w:rPr>
          <w:rFonts w:ascii="Calibri" w:hAnsi="Calibri" w:cs="Calibri"/>
          <w:b w:val="0"/>
          <w:bCs w:val="0"/>
          <w:color w:val="000000"/>
          <w:sz w:val="22"/>
          <w:szCs w:val="22"/>
        </w:rPr>
        <w:t xml:space="preserve">Pregnant workers have a statutory right to paid time off work to attend any medical appointments relating to ante-natal </w:t>
      </w:r>
      <w:r w:rsidR="0064579D">
        <w:rPr>
          <w:rFonts w:ascii="Calibri" w:hAnsi="Calibri" w:cs="Calibri"/>
          <w:b w:val="0"/>
          <w:bCs w:val="0"/>
          <w:color w:val="000000"/>
          <w:sz w:val="22"/>
          <w:szCs w:val="22"/>
        </w:rPr>
        <w:t>check-ups</w:t>
      </w:r>
      <w:r>
        <w:rPr>
          <w:rFonts w:ascii="Calibri" w:hAnsi="Calibri" w:cs="Calibri"/>
          <w:b w:val="0"/>
          <w:bCs w:val="0"/>
          <w:color w:val="000000"/>
          <w:sz w:val="22"/>
          <w:szCs w:val="22"/>
        </w:rPr>
        <w:t xml:space="preserve">, parenting classes, relaxation classes to help aid the pregnancy. The partner or guardian of a pregnant employee are entitled to take </w:t>
      </w:r>
      <w:r>
        <w:rPr>
          <w:rFonts w:ascii="Calibri" w:hAnsi="Calibri"/>
          <w:b w:val="0"/>
          <w:bCs w:val="0"/>
          <w:color w:val="000000"/>
          <w:sz w:val="22"/>
          <w:szCs w:val="22"/>
        </w:rPr>
        <w:t>unpaid time off to accompany their partner to up to two appointments with a duration of 6.5 hours each (</w:t>
      </w:r>
      <w:proofErr w:type="spellStart"/>
      <w:r>
        <w:rPr>
          <w:rFonts w:ascii="Calibri" w:hAnsi="Calibri"/>
          <w:b w:val="0"/>
          <w:bCs w:val="0"/>
          <w:color w:val="000000"/>
          <w:sz w:val="22"/>
          <w:szCs w:val="22"/>
        </w:rPr>
        <w:t>Suff</w:t>
      </w:r>
      <w:proofErr w:type="spellEnd"/>
      <w:r>
        <w:rPr>
          <w:rFonts w:ascii="Calibri" w:hAnsi="Calibri"/>
          <w:b w:val="0"/>
          <w:bCs w:val="0"/>
          <w:color w:val="000000"/>
          <w:sz w:val="22"/>
          <w:szCs w:val="22"/>
        </w:rPr>
        <w:t>, CIPD, 2021).</w:t>
      </w:r>
    </w:p>
    <w:p w14:paraId="11F521D2" w14:textId="77777777" w:rsidR="00B53D6B" w:rsidRDefault="00B53D6B" w:rsidP="0051454B">
      <w:pPr>
        <w:pStyle w:val="Textbody"/>
        <w:spacing w:after="100" w:line="240" w:lineRule="auto"/>
        <w:rPr>
          <w:color w:val="000000"/>
        </w:rPr>
      </w:pPr>
    </w:p>
    <w:p w14:paraId="11F521D3" w14:textId="5EB26BAC" w:rsidR="00B53D6B" w:rsidRDefault="00386AA7" w:rsidP="0051454B">
      <w:pPr>
        <w:pStyle w:val="Textbody"/>
        <w:spacing w:after="100" w:line="240" w:lineRule="auto"/>
        <w:rPr>
          <w:color w:val="000000"/>
        </w:rPr>
      </w:pPr>
      <w:r>
        <w:rPr>
          <w:color w:val="000000"/>
        </w:rPr>
        <w:t xml:space="preserve">There are various types </w:t>
      </w:r>
      <w:r w:rsidR="0064579D">
        <w:rPr>
          <w:color w:val="000000"/>
        </w:rPr>
        <w:t>of maternity</w:t>
      </w:r>
      <w:r>
        <w:rPr>
          <w:color w:val="000000"/>
        </w:rPr>
        <w:t xml:space="preserve"> leave in the UK, such as:  </w:t>
      </w:r>
    </w:p>
    <w:p w14:paraId="11F521D4" w14:textId="77777777" w:rsidR="00B53D6B" w:rsidRDefault="00386AA7" w:rsidP="0051454B">
      <w:pPr>
        <w:pStyle w:val="Textbody"/>
        <w:numPr>
          <w:ilvl w:val="0"/>
          <w:numId w:val="24"/>
        </w:numPr>
        <w:spacing w:line="240" w:lineRule="auto"/>
      </w:pPr>
      <w:r>
        <w:rPr>
          <w:rStyle w:val="StrongEmphasis"/>
          <w:color w:val="000000"/>
        </w:rPr>
        <w:t xml:space="preserve">Compulsory leave: </w:t>
      </w:r>
      <w:r>
        <w:rPr>
          <w:rStyle w:val="StrongEmphasis"/>
          <w:b w:val="0"/>
          <w:bCs w:val="0"/>
          <w:color w:val="000000"/>
        </w:rPr>
        <w:t>(T</w:t>
      </w:r>
      <w:r>
        <w:rPr>
          <w:color w:val="000000"/>
        </w:rPr>
        <w:t>he two weeks immediately after giving birth)</w:t>
      </w:r>
    </w:p>
    <w:p w14:paraId="11F521D5" w14:textId="77777777" w:rsidR="00B53D6B" w:rsidRDefault="00386AA7" w:rsidP="0051454B">
      <w:pPr>
        <w:pStyle w:val="Textbody"/>
        <w:numPr>
          <w:ilvl w:val="0"/>
          <w:numId w:val="24"/>
        </w:numPr>
        <w:spacing w:line="240" w:lineRule="auto"/>
      </w:pPr>
      <w:r>
        <w:rPr>
          <w:rStyle w:val="StrongEmphasis"/>
          <w:color w:val="000000"/>
        </w:rPr>
        <w:t xml:space="preserve">Statutory Maternity Leave (SML): </w:t>
      </w:r>
      <w:r>
        <w:rPr>
          <w:rStyle w:val="StrongEmphasis"/>
          <w:b w:val="0"/>
          <w:bCs w:val="0"/>
          <w:color w:val="000000"/>
        </w:rPr>
        <w:t>(T</w:t>
      </w:r>
      <w:r>
        <w:rPr>
          <w:color w:val="000000"/>
        </w:rPr>
        <w:t>he 52 weeks of leave a woman may take)</w:t>
      </w:r>
    </w:p>
    <w:p w14:paraId="11F521D6" w14:textId="77777777" w:rsidR="00B53D6B" w:rsidRDefault="00386AA7" w:rsidP="0051454B">
      <w:pPr>
        <w:pStyle w:val="Textbody"/>
        <w:numPr>
          <w:ilvl w:val="0"/>
          <w:numId w:val="24"/>
        </w:numPr>
        <w:spacing w:line="240" w:lineRule="auto"/>
      </w:pPr>
      <w:r>
        <w:rPr>
          <w:rStyle w:val="StrongEmphasis"/>
          <w:color w:val="000000"/>
        </w:rPr>
        <w:t>Shared Parental Leave (SPL)</w:t>
      </w:r>
      <w:r>
        <w:rPr>
          <w:color w:val="000000"/>
        </w:rPr>
        <w:t>: (The shared leave available to either or both parents)</w:t>
      </w:r>
    </w:p>
    <w:p w14:paraId="11F521D7" w14:textId="77777777" w:rsidR="00B53D6B" w:rsidRDefault="00B53D6B" w:rsidP="0051454B">
      <w:pPr>
        <w:pStyle w:val="Textbody"/>
        <w:spacing w:line="240" w:lineRule="auto"/>
        <w:rPr>
          <w:color w:val="000000"/>
        </w:rPr>
      </w:pPr>
    </w:p>
    <w:p w14:paraId="11F521D8" w14:textId="6F2D289A" w:rsidR="00B53D6B" w:rsidRDefault="00386AA7" w:rsidP="0051454B">
      <w:pPr>
        <w:pStyle w:val="Textbody"/>
        <w:spacing w:line="240" w:lineRule="auto"/>
      </w:pPr>
      <w:r>
        <w:rPr>
          <w:color w:val="000000"/>
        </w:rPr>
        <w:t xml:space="preserve">Pregnant workers are entitled to begin their maternity leave at 29 weeks </w:t>
      </w:r>
      <w:r w:rsidR="00EF677D">
        <w:rPr>
          <w:color w:val="000000"/>
        </w:rPr>
        <w:t>pregnant and</w:t>
      </w:r>
      <w:r>
        <w:rPr>
          <w:color w:val="000000"/>
        </w:rPr>
        <w:t xml:space="preserve"> would be required to notify their employer with details of when maternity leave is beginning in advance. </w:t>
      </w:r>
      <w:r>
        <w:rPr>
          <w:color w:val="000000"/>
        </w:rPr>
        <w:lastRenderedPageBreak/>
        <w:t xml:space="preserve">Employers must then provide the employee with an expected return date in preparation for the end of the maternity leave. Maternity leave is usually 52 weeks long, although mothers may wish </w:t>
      </w:r>
      <w:r w:rsidR="0064579D">
        <w:rPr>
          <w:color w:val="000000"/>
        </w:rPr>
        <w:t>to curtail</w:t>
      </w:r>
      <w:r>
        <w:rPr>
          <w:color w:val="000000"/>
        </w:rPr>
        <w:t xml:space="preserve"> part of the leave to enable their partner to take SPL. Mothers in the UK are entitled to up to 39 weeks </w:t>
      </w:r>
      <w:r>
        <w:rPr>
          <w:rStyle w:val="StrongEmphasis"/>
          <w:b w:val="0"/>
          <w:bCs w:val="0"/>
          <w:color w:val="000000"/>
        </w:rPr>
        <w:t xml:space="preserve">Statutory Maternity Pay </w:t>
      </w:r>
      <w:r>
        <w:rPr>
          <w:color w:val="000000"/>
        </w:rPr>
        <w:t xml:space="preserve">(SMP), and while on maternity workers accrue their standard </w:t>
      </w:r>
      <w:r w:rsidR="0064579D">
        <w:rPr>
          <w:color w:val="000000"/>
        </w:rPr>
        <w:t>number</w:t>
      </w:r>
      <w:r>
        <w:rPr>
          <w:color w:val="000000"/>
        </w:rPr>
        <w:t xml:space="preserve"> of holidays. (</w:t>
      </w:r>
      <w:proofErr w:type="spellStart"/>
      <w:r>
        <w:rPr>
          <w:color w:val="000000"/>
        </w:rPr>
        <w:t>Suff</w:t>
      </w:r>
      <w:proofErr w:type="spellEnd"/>
      <w:r>
        <w:rPr>
          <w:color w:val="000000"/>
        </w:rPr>
        <w:t>, CIPD, 2021).</w:t>
      </w:r>
    </w:p>
    <w:p w14:paraId="11F521D9" w14:textId="1DD0AD95" w:rsidR="00B53D6B" w:rsidRDefault="00386AA7" w:rsidP="0051454B">
      <w:pPr>
        <w:pStyle w:val="Textbody"/>
        <w:spacing w:after="100" w:line="240" w:lineRule="auto"/>
        <w:rPr>
          <w:color w:val="000000"/>
        </w:rPr>
      </w:pPr>
      <w:r>
        <w:rPr>
          <w:rFonts w:cs="Calibri"/>
          <w:color w:val="000000"/>
        </w:rPr>
        <w:t>Employees are entitled to Shared Parental Leave (SPL) and Statutory Shared Parental Pay (</w:t>
      </w:r>
      <w:proofErr w:type="spellStart"/>
      <w:r>
        <w:rPr>
          <w:rFonts w:cs="Calibri"/>
          <w:color w:val="000000"/>
        </w:rPr>
        <w:t>ShPP</w:t>
      </w:r>
      <w:proofErr w:type="spellEnd"/>
      <w:r>
        <w:rPr>
          <w:rFonts w:cs="Calibri"/>
          <w:color w:val="000000"/>
        </w:rPr>
        <w:t>) if they’ve had a baby or adopted a child. “The basic principle is that employed mothers can switch part of their leave and pay into SPL and shared parental pay, provided both parents satisfy the eligibility requirements. The mother and partner must have worked for their employers continuously for at least 26 weeks up to the 15th week before the expected week of childbirth” (</w:t>
      </w:r>
      <w:proofErr w:type="spellStart"/>
      <w:r>
        <w:rPr>
          <w:rFonts w:cs="Calibri"/>
          <w:color w:val="000000"/>
        </w:rPr>
        <w:t>Suff</w:t>
      </w:r>
      <w:proofErr w:type="spellEnd"/>
      <w:r>
        <w:rPr>
          <w:rFonts w:cs="Calibri"/>
          <w:color w:val="000000"/>
        </w:rPr>
        <w:t xml:space="preserve">, CIPD, 2021). During the times of family friendly leave, employers are encouraged to offer up to 10 ‘keeping in touch days’, commonly </w:t>
      </w:r>
      <w:r w:rsidR="0064579D">
        <w:rPr>
          <w:rFonts w:cs="Calibri"/>
          <w:color w:val="000000"/>
        </w:rPr>
        <w:t>referred</w:t>
      </w:r>
      <w:r>
        <w:rPr>
          <w:rFonts w:cs="Calibri"/>
          <w:color w:val="000000"/>
        </w:rPr>
        <w:t xml:space="preserve"> to KIT and SPLIT. These days are designed to allow employees to stay connected to their team although neither the employee </w:t>
      </w:r>
      <w:proofErr w:type="gramStart"/>
      <w:r>
        <w:rPr>
          <w:rFonts w:cs="Calibri"/>
          <w:color w:val="000000"/>
        </w:rPr>
        <w:t>or</w:t>
      </w:r>
      <w:proofErr w:type="gramEnd"/>
      <w:r>
        <w:rPr>
          <w:rFonts w:cs="Calibri"/>
          <w:color w:val="000000"/>
        </w:rPr>
        <w:t xml:space="preserve"> employer are obliged to take part in these KIT days. If employees do take part in KIT days during maternity </w:t>
      </w:r>
      <w:r w:rsidR="0064579D">
        <w:rPr>
          <w:rFonts w:cs="Calibri"/>
          <w:color w:val="000000"/>
        </w:rPr>
        <w:t>leave,</w:t>
      </w:r>
      <w:r>
        <w:rPr>
          <w:rFonts w:cs="Calibri"/>
          <w:color w:val="000000"/>
        </w:rPr>
        <w:t xml:space="preserve"> they will not </w:t>
      </w:r>
      <w:r w:rsidR="0064579D">
        <w:rPr>
          <w:rFonts w:cs="Calibri"/>
          <w:color w:val="000000"/>
        </w:rPr>
        <w:t>lose</w:t>
      </w:r>
      <w:r>
        <w:rPr>
          <w:rFonts w:cs="Calibri"/>
          <w:color w:val="000000"/>
        </w:rPr>
        <w:t xml:space="preserve"> any entitlement to maternity pay.</w:t>
      </w:r>
    </w:p>
    <w:p w14:paraId="58DDC369" w14:textId="77777777" w:rsidR="00EF677D" w:rsidRDefault="00EF677D" w:rsidP="0051454B">
      <w:pPr>
        <w:pStyle w:val="Standard"/>
        <w:spacing w:after="100" w:line="240" w:lineRule="auto"/>
        <w:rPr>
          <w:color w:val="000000"/>
        </w:rPr>
      </w:pPr>
    </w:p>
    <w:p w14:paraId="11F521DB" w14:textId="323769A5" w:rsidR="00B53D6B" w:rsidRDefault="00386AA7" w:rsidP="0051454B">
      <w:pPr>
        <w:pStyle w:val="Standard"/>
        <w:spacing w:after="100" w:line="240" w:lineRule="auto"/>
        <w:rPr>
          <w:color w:val="000000"/>
        </w:rPr>
      </w:pPr>
      <w:r>
        <w:rPr>
          <w:rFonts w:cs="Calibri"/>
          <w:color w:val="000000"/>
        </w:rPr>
        <w:t xml:space="preserve">As well as unpaid parental leave, workers have the right to leave work for emergencies involving dependents, and the right to request flexible working arrangements. The Employment Rights Act 1996 provides workers with the entitlement to a reasonable amount of time off paid work to allow them to </w:t>
      </w:r>
      <w:proofErr w:type="gramStart"/>
      <w:r>
        <w:rPr>
          <w:rFonts w:cs="Calibri"/>
          <w:color w:val="000000"/>
        </w:rPr>
        <w:t>provide assistance</w:t>
      </w:r>
      <w:proofErr w:type="gramEnd"/>
      <w:r>
        <w:rPr>
          <w:rFonts w:cs="Calibri"/>
          <w:color w:val="000000"/>
        </w:rPr>
        <w:t xml:space="preserve"> in times of family needs, such as any illness of children, the care of a dependant as a result of an injury, any connection to a death of a dependant or family member, disruption to </w:t>
      </w:r>
      <w:r w:rsidR="00EF677D">
        <w:rPr>
          <w:rFonts w:cs="Calibri"/>
          <w:color w:val="000000"/>
        </w:rPr>
        <w:t>childcare</w:t>
      </w:r>
      <w:r>
        <w:rPr>
          <w:rFonts w:cs="Calibri"/>
          <w:color w:val="000000"/>
        </w:rPr>
        <w:t xml:space="preserve"> arrangements or to deal with an incident involving a dependant at school etc </w:t>
      </w:r>
      <w:r>
        <w:rPr>
          <w:rFonts w:cs="Calibri"/>
          <w:bCs/>
          <w:color w:val="000000"/>
        </w:rPr>
        <w:t>(Daniels, CIPD, 2019).</w:t>
      </w:r>
    </w:p>
    <w:p w14:paraId="11F521DC" w14:textId="77777777" w:rsidR="00B53D6B" w:rsidRDefault="00B53D6B" w:rsidP="0051454B">
      <w:pPr>
        <w:pStyle w:val="Standard"/>
        <w:spacing w:after="100" w:line="240" w:lineRule="auto"/>
        <w:rPr>
          <w:color w:val="000000"/>
        </w:rPr>
      </w:pPr>
    </w:p>
    <w:p w14:paraId="11F521DD" w14:textId="77777777" w:rsidR="00B53D6B" w:rsidRDefault="00386AA7" w:rsidP="0051454B">
      <w:pPr>
        <w:pStyle w:val="Standard"/>
        <w:spacing w:after="100" w:line="240" w:lineRule="auto"/>
        <w:rPr>
          <w:color w:val="000000"/>
        </w:rPr>
      </w:pPr>
      <w:r>
        <w:rPr>
          <w:rFonts w:cs="Calibri"/>
          <w:color w:val="000000"/>
        </w:rPr>
        <w:t>Pay for family related leave will increase to £156.66 from £151.97 on 3 April 2022 (including maternity, paternity, adoption, and parental bereavement leave). Employers must also increase payments for employees away from work on 3 April 2022 (CIPD HR-Inform, 2022).</w:t>
      </w:r>
    </w:p>
    <w:p w14:paraId="11F521DE" w14:textId="77777777" w:rsidR="00B53D6B" w:rsidRDefault="00B53D6B" w:rsidP="0051454B">
      <w:pPr>
        <w:pStyle w:val="Standard"/>
        <w:spacing w:line="240" w:lineRule="auto"/>
      </w:pPr>
    </w:p>
    <w:p w14:paraId="11F521E1" w14:textId="77777777" w:rsidR="00B53D6B" w:rsidRDefault="00386AA7" w:rsidP="0051454B">
      <w:pPr>
        <w:pStyle w:val="ListParagraph"/>
        <w:widowControl w:val="0"/>
        <w:spacing w:before="120" w:after="0" w:line="240" w:lineRule="auto"/>
        <w:ind w:left="0"/>
      </w:pPr>
      <w:r>
        <w:rPr>
          <w:rFonts w:cs="Calibri"/>
          <w:b/>
        </w:rPr>
        <w:t>3.   Evaluate the key concepts around:</w:t>
      </w:r>
    </w:p>
    <w:p w14:paraId="11F521E2" w14:textId="77777777" w:rsidR="00B53D6B" w:rsidRDefault="00B53D6B" w:rsidP="0051454B">
      <w:pPr>
        <w:pStyle w:val="ListParagraph"/>
        <w:spacing w:line="240" w:lineRule="auto"/>
        <w:ind w:left="360"/>
        <w:rPr>
          <w:rFonts w:cs="Calibri"/>
        </w:rPr>
      </w:pPr>
    </w:p>
    <w:p w14:paraId="11F521E3" w14:textId="368115CB" w:rsidR="00B53D6B" w:rsidRDefault="00386AA7" w:rsidP="0051454B">
      <w:pPr>
        <w:pStyle w:val="ListParagraph"/>
        <w:numPr>
          <w:ilvl w:val="0"/>
          <w:numId w:val="29"/>
        </w:numPr>
        <w:spacing w:before="120" w:after="0" w:line="240" w:lineRule="auto"/>
      </w:pPr>
      <w:r>
        <w:rPr>
          <w:rFonts w:cs="Calibri"/>
          <w:b/>
        </w:rPr>
        <w:t xml:space="preserve">Discrimination law in recruitment, </w:t>
      </w:r>
      <w:r w:rsidR="0064579D">
        <w:rPr>
          <w:rFonts w:cs="Calibri"/>
          <w:b/>
        </w:rPr>
        <w:t>selection,</w:t>
      </w:r>
      <w:r>
        <w:rPr>
          <w:rFonts w:cs="Calibri"/>
          <w:b/>
        </w:rPr>
        <w:t xml:space="preserve"> and employment (AC 2.1) </w:t>
      </w:r>
    </w:p>
    <w:p w14:paraId="11F521E4" w14:textId="0D50A382" w:rsidR="00B53D6B" w:rsidRDefault="00B53D6B" w:rsidP="0051454B">
      <w:pPr>
        <w:pStyle w:val="ListParagraph"/>
        <w:spacing w:before="120" w:after="0" w:line="240" w:lineRule="auto"/>
        <w:ind w:left="360"/>
        <w:rPr>
          <w:rFonts w:cs="Calibri"/>
        </w:rPr>
      </w:pPr>
    </w:p>
    <w:p w14:paraId="699D6BFE" w14:textId="7E4EAA87" w:rsidR="0064579D" w:rsidRPr="00A419AD" w:rsidRDefault="0064579D" w:rsidP="0051454B">
      <w:pPr>
        <w:pStyle w:val="ListParagraph"/>
        <w:spacing w:before="120" w:after="0" w:line="240" w:lineRule="auto"/>
        <w:ind w:left="360"/>
        <w:rPr>
          <w:rFonts w:asciiTheme="minorHAnsi" w:hAnsiTheme="minorHAnsi" w:cstheme="minorHAnsi"/>
        </w:rPr>
      </w:pPr>
      <w:r w:rsidRPr="00A419AD">
        <w:rPr>
          <w:rFonts w:asciiTheme="minorHAnsi" w:hAnsiTheme="minorHAnsi" w:cstheme="minorHAnsi"/>
        </w:rPr>
        <w:t xml:space="preserve">Discrimination law </w:t>
      </w:r>
      <w:r w:rsidR="003142F2" w:rsidRPr="00A419AD">
        <w:rPr>
          <w:rFonts w:asciiTheme="minorHAnsi" w:hAnsiTheme="minorHAnsi" w:cstheme="minorHAnsi"/>
        </w:rPr>
        <w:t xml:space="preserve">has a vital role to play in protecting workers and recruiters </w:t>
      </w:r>
      <w:r w:rsidR="003142F2" w:rsidRPr="00A419AD">
        <w:rPr>
          <w:rFonts w:asciiTheme="minorHAnsi" w:hAnsiTheme="minorHAnsi" w:cstheme="minorHAnsi"/>
          <w:shd w:val="clear" w:color="auto" w:fill="FFFFFF"/>
        </w:rPr>
        <w:t>When recruiting staff. Employers have a duty to understand and keep up to date with their legal obligations, making sure their recruitment and selection procedures comply with the law. </w:t>
      </w:r>
    </w:p>
    <w:p w14:paraId="11F521E5" w14:textId="60F9957F" w:rsidR="00B53D6B" w:rsidRPr="00A419AD" w:rsidRDefault="00B53D6B" w:rsidP="0051454B">
      <w:pPr>
        <w:pStyle w:val="ListParagraph"/>
        <w:spacing w:before="120" w:after="0" w:line="240" w:lineRule="auto"/>
        <w:ind w:left="360"/>
        <w:rPr>
          <w:rFonts w:asciiTheme="minorHAnsi" w:hAnsiTheme="minorHAnsi" w:cstheme="minorHAnsi"/>
        </w:rPr>
      </w:pPr>
    </w:p>
    <w:p w14:paraId="0745C593" w14:textId="6BBFD50A" w:rsidR="00022196" w:rsidRDefault="00022196" w:rsidP="0051454B">
      <w:pPr>
        <w:pStyle w:val="ListParagraph"/>
        <w:spacing w:before="120" w:after="0" w:line="240" w:lineRule="auto"/>
        <w:ind w:left="360"/>
        <w:rPr>
          <w:rFonts w:asciiTheme="minorHAnsi" w:hAnsiTheme="minorHAnsi" w:cstheme="minorHAnsi"/>
          <w:shd w:val="clear" w:color="auto" w:fill="FFFFFF"/>
        </w:rPr>
      </w:pPr>
      <w:r w:rsidRPr="00A419AD">
        <w:rPr>
          <w:rFonts w:asciiTheme="minorHAnsi" w:hAnsiTheme="minorHAnsi" w:cstheme="minorHAnsi"/>
        </w:rPr>
        <w:t xml:space="preserve">The Equality Act 2010 </w:t>
      </w:r>
      <w:r w:rsidRPr="00A419AD">
        <w:rPr>
          <w:rFonts w:asciiTheme="minorHAnsi" w:hAnsiTheme="minorHAnsi" w:cstheme="minorHAnsi"/>
          <w:shd w:val="clear" w:color="auto" w:fill="FFFFFF"/>
        </w:rPr>
        <w:t xml:space="preserve">makes it “unlawful for employers to discriminate against job applicants and existing workers because of one of the ‘protected characteristics’ (for example age, disability, gender reassignment, race, religion or belief, sex, sexual orientation, marriage and civil partnership, pregnancy and maternity” (CIPD Q&amp;A, 2022). </w:t>
      </w:r>
    </w:p>
    <w:p w14:paraId="678F33FA" w14:textId="77777777" w:rsidR="0028302E" w:rsidRDefault="0028302E" w:rsidP="0051454B">
      <w:pPr>
        <w:pStyle w:val="ListParagraph"/>
        <w:spacing w:before="120" w:after="0" w:line="240" w:lineRule="auto"/>
        <w:ind w:left="360"/>
        <w:rPr>
          <w:rFonts w:asciiTheme="minorHAnsi" w:hAnsiTheme="minorHAnsi" w:cstheme="minorHAnsi"/>
          <w:shd w:val="clear" w:color="auto" w:fill="FFFFFF"/>
        </w:rPr>
      </w:pPr>
    </w:p>
    <w:p w14:paraId="0A99B21A" w14:textId="1DD170F3" w:rsidR="0028302E" w:rsidRDefault="0028302E" w:rsidP="0051454B">
      <w:pPr>
        <w:pStyle w:val="ListParagraph"/>
        <w:spacing w:before="120" w:after="0" w:line="240" w:lineRule="auto"/>
        <w:ind w:left="360"/>
        <w:rPr>
          <w:rFonts w:asciiTheme="minorHAnsi" w:hAnsiTheme="minorHAnsi" w:cstheme="minorHAnsi"/>
          <w:shd w:val="clear" w:color="auto" w:fill="FFFFFF"/>
        </w:rPr>
      </w:pPr>
      <w:r>
        <w:rPr>
          <w:noProof/>
        </w:rPr>
        <w:lastRenderedPageBreak/>
        <w:drawing>
          <wp:inline distT="0" distB="0" distL="0" distR="0" wp14:anchorId="027E6CB2" wp14:editId="69B53ECB">
            <wp:extent cx="5160396" cy="4232860"/>
            <wp:effectExtent l="0" t="0" r="2540" b="0"/>
            <wp:docPr id="1" name="Picture 1" descr="Image result for protected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tected characteristi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9624" cy="4240429"/>
                    </a:xfrm>
                    <a:prstGeom prst="rect">
                      <a:avLst/>
                    </a:prstGeom>
                    <a:noFill/>
                    <a:ln>
                      <a:noFill/>
                    </a:ln>
                  </pic:spPr>
                </pic:pic>
              </a:graphicData>
            </a:graphic>
          </wp:inline>
        </w:drawing>
      </w:r>
    </w:p>
    <w:p w14:paraId="78F8CAF5" w14:textId="77777777" w:rsidR="0028302E" w:rsidRPr="00A419AD" w:rsidRDefault="0028302E" w:rsidP="0051454B">
      <w:pPr>
        <w:pStyle w:val="ListParagraph"/>
        <w:spacing w:before="120" w:after="0" w:line="240" w:lineRule="auto"/>
        <w:ind w:left="360"/>
        <w:rPr>
          <w:rFonts w:asciiTheme="minorHAnsi" w:hAnsiTheme="minorHAnsi" w:cstheme="minorHAnsi"/>
          <w:shd w:val="clear" w:color="auto" w:fill="FFFFFF"/>
        </w:rPr>
      </w:pPr>
    </w:p>
    <w:p w14:paraId="395CE329" w14:textId="7D7C6616" w:rsidR="00BC27A7" w:rsidRPr="00A419AD" w:rsidRDefault="00E3547E" w:rsidP="0051454B">
      <w:pPr>
        <w:pStyle w:val="ListParagraph"/>
        <w:spacing w:before="120" w:after="0" w:line="240" w:lineRule="auto"/>
        <w:ind w:left="360"/>
        <w:jc w:val="right"/>
        <w:rPr>
          <w:rFonts w:asciiTheme="minorHAnsi" w:hAnsiTheme="minorHAnsi" w:cstheme="minorHAnsi"/>
          <w:shd w:val="clear" w:color="auto" w:fill="FFFFFF"/>
        </w:rPr>
      </w:pPr>
      <w:r>
        <w:rPr>
          <w:rFonts w:asciiTheme="minorHAnsi" w:hAnsiTheme="minorHAnsi" w:cstheme="minorHAnsi"/>
          <w:shd w:val="clear" w:color="auto" w:fill="FFFFFF"/>
        </w:rPr>
        <w:t xml:space="preserve">(Swansea Uni, 2021) </w:t>
      </w:r>
    </w:p>
    <w:p w14:paraId="549532A6" w14:textId="77777777" w:rsidR="00E3547E" w:rsidRDefault="00E3547E" w:rsidP="0051454B">
      <w:pPr>
        <w:pStyle w:val="ListParagraph"/>
        <w:spacing w:before="120" w:after="0" w:line="240" w:lineRule="auto"/>
        <w:ind w:left="360"/>
        <w:rPr>
          <w:rFonts w:asciiTheme="minorHAnsi" w:hAnsiTheme="minorHAnsi" w:cstheme="minorHAnsi"/>
          <w:shd w:val="clear" w:color="auto" w:fill="FFFFFF"/>
        </w:rPr>
      </w:pPr>
    </w:p>
    <w:p w14:paraId="71487064" w14:textId="77777777" w:rsidR="00E3547E" w:rsidRDefault="00E3547E" w:rsidP="0051454B">
      <w:pPr>
        <w:pStyle w:val="ListParagraph"/>
        <w:spacing w:before="120" w:after="0" w:line="240" w:lineRule="auto"/>
        <w:ind w:left="360"/>
        <w:rPr>
          <w:rFonts w:asciiTheme="minorHAnsi" w:hAnsiTheme="minorHAnsi" w:cstheme="minorHAnsi"/>
          <w:shd w:val="clear" w:color="auto" w:fill="FFFFFF"/>
        </w:rPr>
      </w:pPr>
    </w:p>
    <w:p w14:paraId="0E5DEA2F" w14:textId="7AC4F719" w:rsidR="00A419AD" w:rsidRDefault="00BC27A7" w:rsidP="0051454B">
      <w:pPr>
        <w:pStyle w:val="ListParagraph"/>
        <w:spacing w:before="120" w:after="0" w:line="240" w:lineRule="auto"/>
        <w:ind w:left="360"/>
        <w:rPr>
          <w:rFonts w:asciiTheme="minorHAnsi" w:hAnsiTheme="minorHAnsi" w:cstheme="minorHAnsi"/>
          <w:shd w:val="clear" w:color="auto" w:fill="FFFFFF"/>
        </w:rPr>
      </w:pPr>
      <w:r w:rsidRPr="00A419AD">
        <w:rPr>
          <w:rFonts w:asciiTheme="minorHAnsi" w:hAnsiTheme="minorHAnsi" w:cstheme="minorHAnsi"/>
          <w:shd w:val="clear" w:color="auto" w:fill="FFFFFF"/>
        </w:rPr>
        <w:t>People Management describe employment discrimination as the unfair and unequal treatment of an individual because due to a particular protected characteristic, which during recruitment activities can occurs when an employer selects a candidate for any reason other than their</w:t>
      </w:r>
      <w:r w:rsidR="00A419AD">
        <w:rPr>
          <w:rFonts w:asciiTheme="minorHAnsi" w:hAnsiTheme="minorHAnsi" w:cstheme="minorHAnsi"/>
          <w:shd w:val="clear" w:color="auto" w:fill="FFFFFF"/>
        </w:rPr>
        <w:t xml:space="preserve"> </w:t>
      </w:r>
      <w:r w:rsidRPr="00A419AD">
        <w:rPr>
          <w:rFonts w:asciiTheme="minorHAnsi" w:hAnsiTheme="minorHAnsi" w:cstheme="minorHAnsi"/>
          <w:shd w:val="clear" w:color="auto" w:fill="FFFFFF"/>
        </w:rPr>
        <w:t>qualifications and experience (</w:t>
      </w:r>
      <w:proofErr w:type="spellStart"/>
      <w:r w:rsidR="008D5909" w:rsidRPr="00A419AD">
        <w:rPr>
          <w:rFonts w:asciiTheme="minorHAnsi" w:hAnsiTheme="minorHAnsi" w:cstheme="minorHAnsi"/>
          <w:shd w:val="clear" w:color="auto" w:fill="FFFFFF"/>
        </w:rPr>
        <w:t>Popat</w:t>
      </w:r>
      <w:proofErr w:type="spellEnd"/>
      <w:r w:rsidR="008D5909" w:rsidRPr="00A419AD">
        <w:rPr>
          <w:rFonts w:asciiTheme="minorHAnsi" w:hAnsiTheme="minorHAnsi" w:cstheme="minorHAnsi"/>
          <w:shd w:val="clear" w:color="auto" w:fill="FFFFFF"/>
        </w:rPr>
        <w:t xml:space="preserve">, 2019). </w:t>
      </w:r>
      <w:r w:rsidR="00BA7618" w:rsidRPr="00A419AD">
        <w:rPr>
          <w:rFonts w:asciiTheme="minorHAnsi" w:hAnsiTheme="minorHAnsi" w:cstheme="minorHAnsi"/>
          <w:shd w:val="clear" w:color="auto" w:fill="FFFFFF"/>
        </w:rPr>
        <w:t>There are unconscious biases that have been integrated over time within some organisational hiring processes, however employers should aspire to be proactive and consciously focused on identifying and eliminating any recruitment -or employment bias for the g</w:t>
      </w:r>
      <w:r w:rsidR="00692F76" w:rsidRPr="00A419AD">
        <w:rPr>
          <w:rFonts w:asciiTheme="minorHAnsi" w:hAnsiTheme="minorHAnsi" w:cstheme="minorHAnsi"/>
          <w:shd w:val="clear" w:color="auto" w:fill="FFFFFF"/>
        </w:rPr>
        <w:t xml:space="preserve">rowth and reputation of the business. </w:t>
      </w:r>
    </w:p>
    <w:p w14:paraId="13E3C8AE" w14:textId="77777777" w:rsidR="00A419AD" w:rsidRDefault="00A419AD" w:rsidP="0051454B">
      <w:pPr>
        <w:pStyle w:val="ListParagraph"/>
        <w:spacing w:before="120" w:after="0" w:line="240" w:lineRule="auto"/>
        <w:ind w:left="360"/>
        <w:rPr>
          <w:rFonts w:asciiTheme="minorHAnsi" w:hAnsiTheme="minorHAnsi" w:cstheme="minorHAnsi"/>
          <w:shd w:val="clear" w:color="auto" w:fill="FFFFFF"/>
        </w:rPr>
      </w:pPr>
    </w:p>
    <w:p w14:paraId="5B25B237" w14:textId="3B044CB7" w:rsidR="00A419AD" w:rsidRDefault="00F66B70" w:rsidP="0051454B">
      <w:pPr>
        <w:pStyle w:val="ListParagraph"/>
        <w:spacing w:before="120" w:after="0" w:line="240" w:lineRule="auto"/>
        <w:ind w:left="360"/>
        <w:rPr>
          <w:rFonts w:asciiTheme="minorHAnsi" w:hAnsiTheme="minorHAnsi" w:cstheme="minorHAnsi"/>
        </w:rPr>
      </w:pPr>
      <w:r w:rsidRPr="00A419AD">
        <w:rPr>
          <w:rFonts w:asciiTheme="minorHAnsi" w:hAnsiTheme="minorHAnsi" w:cstheme="minorHAnsi"/>
        </w:rPr>
        <w:t>Discrimination law can have a major effect on r</w:t>
      </w:r>
      <w:r w:rsidR="003142F2" w:rsidRPr="00A419AD">
        <w:rPr>
          <w:rFonts w:asciiTheme="minorHAnsi" w:hAnsiTheme="minorHAnsi" w:cstheme="minorHAnsi"/>
        </w:rPr>
        <w:t>ecruitment and selec</w:t>
      </w:r>
      <w:r w:rsidRPr="00A419AD">
        <w:rPr>
          <w:rFonts w:asciiTheme="minorHAnsi" w:hAnsiTheme="minorHAnsi" w:cstheme="minorHAnsi"/>
        </w:rPr>
        <w:t>tion processes</w:t>
      </w:r>
      <w:r w:rsidR="00B3043D" w:rsidRPr="00A419AD">
        <w:rPr>
          <w:rFonts w:asciiTheme="minorHAnsi" w:hAnsiTheme="minorHAnsi" w:cstheme="minorHAnsi"/>
        </w:rPr>
        <w:t xml:space="preserve"> </w:t>
      </w:r>
      <w:r w:rsidRPr="00A419AD">
        <w:rPr>
          <w:rFonts w:asciiTheme="minorHAnsi" w:hAnsiTheme="minorHAnsi" w:cstheme="minorHAnsi"/>
        </w:rPr>
        <w:t>as it sets out policies employers must abide by during recruitment activities</w:t>
      </w:r>
      <w:r w:rsidR="00B3043D" w:rsidRPr="00A419AD">
        <w:rPr>
          <w:rFonts w:asciiTheme="minorHAnsi" w:hAnsiTheme="minorHAnsi" w:cstheme="minorHAnsi"/>
        </w:rPr>
        <w:t xml:space="preserve"> to avoid any discrimination</w:t>
      </w:r>
      <w:r w:rsidRPr="00A419AD">
        <w:rPr>
          <w:rFonts w:asciiTheme="minorHAnsi" w:hAnsiTheme="minorHAnsi" w:cstheme="minorHAnsi"/>
        </w:rPr>
        <w:t xml:space="preserve">, for example </w:t>
      </w:r>
      <w:r w:rsidR="008D5909" w:rsidRPr="00A419AD">
        <w:rPr>
          <w:rFonts w:asciiTheme="minorHAnsi" w:hAnsiTheme="minorHAnsi" w:cstheme="minorHAnsi"/>
        </w:rPr>
        <w:t xml:space="preserve">ensuring discriminatory language </w:t>
      </w:r>
      <w:r w:rsidR="00B3043D" w:rsidRPr="00A419AD">
        <w:rPr>
          <w:rFonts w:asciiTheme="minorHAnsi" w:hAnsiTheme="minorHAnsi" w:cstheme="minorHAnsi"/>
        </w:rPr>
        <w:t xml:space="preserve">like </w:t>
      </w:r>
      <w:r w:rsidR="008D5909" w:rsidRPr="00A419AD">
        <w:rPr>
          <w:rFonts w:asciiTheme="minorHAnsi" w:hAnsiTheme="minorHAnsi" w:cstheme="minorHAnsi"/>
        </w:rPr>
        <w:t xml:space="preserve">gender titles are being avoided when </w:t>
      </w:r>
      <w:r w:rsidR="00B3043D" w:rsidRPr="00A419AD">
        <w:rPr>
          <w:rFonts w:asciiTheme="minorHAnsi" w:hAnsiTheme="minorHAnsi" w:cstheme="minorHAnsi"/>
        </w:rPr>
        <w:t xml:space="preserve">advertising </w:t>
      </w:r>
      <w:r w:rsidR="008D5909" w:rsidRPr="00A419AD">
        <w:rPr>
          <w:rFonts w:asciiTheme="minorHAnsi" w:hAnsiTheme="minorHAnsi" w:cstheme="minorHAnsi"/>
        </w:rPr>
        <w:t xml:space="preserve">job adverts, such as ‘Barman’, ‘postman’ or ‘waitress’. </w:t>
      </w:r>
      <w:r w:rsidR="00EC17A4" w:rsidRPr="00A419AD">
        <w:rPr>
          <w:rFonts w:asciiTheme="minorHAnsi" w:hAnsiTheme="minorHAnsi" w:cstheme="minorHAnsi"/>
        </w:rPr>
        <w:t xml:space="preserve">Employers </w:t>
      </w:r>
      <w:r w:rsidR="00BA79FB" w:rsidRPr="00A419AD">
        <w:rPr>
          <w:rFonts w:asciiTheme="minorHAnsi" w:hAnsiTheme="minorHAnsi" w:cstheme="minorHAnsi"/>
        </w:rPr>
        <w:t xml:space="preserve">should avoid indicating within a job advert that the role will primarily be offered or accommodated to any specific </w:t>
      </w:r>
      <w:r w:rsidR="00532152" w:rsidRPr="00A419AD">
        <w:rPr>
          <w:rFonts w:asciiTheme="minorHAnsi" w:hAnsiTheme="minorHAnsi" w:cstheme="minorHAnsi"/>
        </w:rPr>
        <w:t>gender or</w:t>
      </w:r>
      <w:r w:rsidR="00196100" w:rsidRPr="00A419AD">
        <w:rPr>
          <w:rFonts w:asciiTheme="minorHAnsi" w:hAnsiTheme="minorHAnsi" w:cstheme="minorHAnsi"/>
        </w:rPr>
        <w:t xml:space="preserve"> indicate that the role </w:t>
      </w:r>
      <w:r w:rsidR="00391014" w:rsidRPr="00A419AD">
        <w:rPr>
          <w:rFonts w:asciiTheme="minorHAnsi" w:hAnsiTheme="minorHAnsi" w:cstheme="minorHAnsi"/>
        </w:rPr>
        <w:t xml:space="preserve">will not be available for workers with </w:t>
      </w:r>
      <w:r w:rsidR="00AC5C02" w:rsidRPr="00A419AD">
        <w:rPr>
          <w:rFonts w:asciiTheme="minorHAnsi" w:hAnsiTheme="minorHAnsi" w:cstheme="minorHAnsi"/>
        </w:rPr>
        <w:t>any protected characteristics, such as a disability</w:t>
      </w:r>
      <w:r w:rsidR="00C80C4A">
        <w:rPr>
          <w:rFonts w:asciiTheme="minorHAnsi" w:hAnsiTheme="minorHAnsi" w:cstheme="minorHAnsi"/>
        </w:rPr>
        <w:t>, and instead e</w:t>
      </w:r>
      <w:r w:rsidR="00455169">
        <w:rPr>
          <w:rFonts w:asciiTheme="minorHAnsi" w:hAnsiTheme="minorHAnsi" w:cstheme="minorHAnsi"/>
        </w:rPr>
        <w:t xml:space="preserve">mployers </w:t>
      </w:r>
      <w:r w:rsidR="00C3622E">
        <w:rPr>
          <w:rFonts w:asciiTheme="minorHAnsi" w:hAnsiTheme="minorHAnsi" w:cstheme="minorHAnsi"/>
        </w:rPr>
        <w:t xml:space="preserve">should offer any individuals with protected characteristics such as a disability the support of ‘reasonable adjustments’ in order to allow any worker to successfully carry out </w:t>
      </w:r>
      <w:r w:rsidR="00C80C4A">
        <w:rPr>
          <w:rFonts w:asciiTheme="minorHAnsi" w:hAnsiTheme="minorHAnsi" w:cstheme="minorHAnsi"/>
        </w:rPr>
        <w:t xml:space="preserve">required duties. </w:t>
      </w:r>
    </w:p>
    <w:p w14:paraId="1793E3AD" w14:textId="77777777" w:rsidR="00EF677D" w:rsidRDefault="00EF677D" w:rsidP="0051454B">
      <w:pPr>
        <w:pStyle w:val="ListParagraph"/>
        <w:spacing w:before="120" w:after="0" w:line="240" w:lineRule="auto"/>
        <w:ind w:left="360"/>
        <w:rPr>
          <w:rFonts w:asciiTheme="minorHAnsi" w:eastAsia="Times New Roman" w:hAnsiTheme="minorHAnsi" w:cstheme="minorHAnsi"/>
          <w:lang w:eastAsia="en-GB"/>
        </w:rPr>
      </w:pPr>
    </w:p>
    <w:p w14:paraId="4436B940" w14:textId="37461B59" w:rsidR="00822CDA" w:rsidRDefault="00B3043D" w:rsidP="0051454B">
      <w:pPr>
        <w:pStyle w:val="ListParagraph"/>
        <w:spacing w:before="120" w:after="0" w:line="240" w:lineRule="auto"/>
        <w:ind w:left="360"/>
        <w:rPr>
          <w:rFonts w:asciiTheme="minorHAnsi" w:eastAsia="Times New Roman" w:hAnsiTheme="minorHAnsi" w:cstheme="minorHAnsi"/>
          <w:lang w:eastAsia="en-GB"/>
        </w:rPr>
      </w:pPr>
      <w:r w:rsidRPr="00B3043D">
        <w:rPr>
          <w:rFonts w:asciiTheme="minorHAnsi" w:eastAsia="Times New Roman" w:hAnsiTheme="minorHAnsi" w:cstheme="minorHAnsi"/>
          <w:lang w:eastAsia="en-GB"/>
        </w:rPr>
        <w:t xml:space="preserve">Direct discrimination </w:t>
      </w:r>
      <w:r w:rsidRPr="00A419AD">
        <w:rPr>
          <w:rFonts w:asciiTheme="minorHAnsi" w:eastAsia="Times New Roman" w:hAnsiTheme="minorHAnsi" w:cstheme="minorHAnsi"/>
          <w:lang w:eastAsia="en-GB"/>
        </w:rPr>
        <w:t xml:space="preserve">can occur if employers are </w:t>
      </w:r>
      <w:r w:rsidRPr="00B3043D">
        <w:rPr>
          <w:rFonts w:asciiTheme="minorHAnsi" w:eastAsia="Times New Roman" w:hAnsiTheme="minorHAnsi" w:cstheme="minorHAnsi"/>
          <w:lang w:eastAsia="en-GB"/>
        </w:rPr>
        <w:t>treating someone worse because of a specif</w:t>
      </w:r>
      <w:r w:rsidRPr="00A419AD">
        <w:rPr>
          <w:rFonts w:asciiTheme="minorHAnsi" w:eastAsia="Times New Roman" w:hAnsiTheme="minorHAnsi" w:cstheme="minorHAnsi"/>
          <w:lang w:eastAsia="en-GB"/>
        </w:rPr>
        <w:t>ic protected characteristic</w:t>
      </w:r>
      <w:r w:rsidR="00702673">
        <w:rPr>
          <w:rFonts w:asciiTheme="minorHAnsi" w:eastAsia="Times New Roman" w:hAnsiTheme="minorHAnsi" w:cstheme="minorHAnsi"/>
          <w:lang w:eastAsia="en-GB"/>
        </w:rPr>
        <w:t xml:space="preserve"> </w:t>
      </w:r>
      <w:r w:rsidR="00F648AB">
        <w:rPr>
          <w:rFonts w:asciiTheme="minorHAnsi" w:eastAsia="Times New Roman" w:hAnsiTheme="minorHAnsi" w:cstheme="minorHAnsi"/>
          <w:lang w:eastAsia="en-GB"/>
        </w:rPr>
        <w:t xml:space="preserve">for example </w:t>
      </w:r>
      <w:r w:rsidR="00F648AB" w:rsidRPr="006108A6">
        <w:rPr>
          <w:rFonts w:asciiTheme="minorHAnsi" w:hAnsiTheme="minorHAnsi" w:cstheme="minorHAnsi"/>
          <w:color w:val="111111"/>
          <w:shd w:val="clear" w:color="auto" w:fill="FFFFFF"/>
        </w:rPr>
        <w:t xml:space="preserve">a female employee </w:t>
      </w:r>
      <w:r w:rsidR="006108A6" w:rsidRPr="006108A6">
        <w:rPr>
          <w:rFonts w:asciiTheme="minorHAnsi" w:hAnsiTheme="minorHAnsi" w:cstheme="minorHAnsi"/>
          <w:color w:val="111111"/>
          <w:shd w:val="clear" w:color="auto" w:fill="FFFFFF"/>
        </w:rPr>
        <w:t>being rejected</w:t>
      </w:r>
      <w:r w:rsidR="00F648AB" w:rsidRPr="006108A6">
        <w:rPr>
          <w:rFonts w:asciiTheme="minorHAnsi" w:hAnsiTheme="minorHAnsi" w:cstheme="minorHAnsi"/>
          <w:color w:val="111111"/>
          <w:shd w:val="clear" w:color="auto" w:fill="FFFFFF"/>
        </w:rPr>
        <w:t xml:space="preserve"> for promotion, </w:t>
      </w:r>
      <w:r w:rsidR="006108A6" w:rsidRPr="006108A6">
        <w:rPr>
          <w:rFonts w:asciiTheme="minorHAnsi" w:hAnsiTheme="minorHAnsi" w:cstheme="minorHAnsi"/>
          <w:color w:val="111111"/>
          <w:shd w:val="clear" w:color="auto" w:fill="FFFFFF"/>
        </w:rPr>
        <w:t xml:space="preserve">however </w:t>
      </w:r>
      <w:r w:rsidR="00F648AB" w:rsidRPr="006108A6">
        <w:rPr>
          <w:rFonts w:asciiTheme="minorHAnsi" w:hAnsiTheme="minorHAnsi" w:cstheme="minorHAnsi"/>
          <w:color w:val="111111"/>
          <w:shd w:val="clear" w:color="auto" w:fill="FFFFFF"/>
        </w:rPr>
        <w:t>her less experienced male colleague is offered the position, or where a pregnant employee or employee on maternity leave is selected for redundancy</w:t>
      </w:r>
      <w:r w:rsidR="00A5649D">
        <w:rPr>
          <w:rFonts w:asciiTheme="minorHAnsi" w:hAnsiTheme="minorHAnsi" w:cstheme="minorHAnsi"/>
          <w:color w:val="111111"/>
          <w:shd w:val="clear" w:color="auto" w:fill="FFFFFF"/>
        </w:rPr>
        <w:t xml:space="preserve"> (Morris, 2020)</w:t>
      </w:r>
      <w:r w:rsidR="00F648AB" w:rsidRPr="006108A6">
        <w:rPr>
          <w:rFonts w:asciiTheme="minorHAnsi" w:hAnsiTheme="minorHAnsi" w:cstheme="minorHAnsi"/>
          <w:color w:val="111111"/>
          <w:shd w:val="clear" w:color="auto" w:fill="FFFFFF"/>
        </w:rPr>
        <w:t>.</w:t>
      </w:r>
      <w:r w:rsidR="006108A6" w:rsidRPr="006108A6">
        <w:rPr>
          <w:rFonts w:asciiTheme="minorHAnsi" w:hAnsiTheme="minorHAnsi" w:cstheme="minorHAnsi"/>
          <w:color w:val="111111"/>
          <w:shd w:val="clear" w:color="auto" w:fill="FFFFFF"/>
        </w:rPr>
        <w:t xml:space="preserve"> </w:t>
      </w:r>
      <w:r w:rsidR="00A5649D">
        <w:rPr>
          <w:rFonts w:asciiTheme="minorHAnsi" w:eastAsia="Times New Roman" w:hAnsiTheme="minorHAnsi" w:cstheme="minorHAnsi"/>
          <w:lang w:eastAsia="en-GB"/>
        </w:rPr>
        <w:t>I</w:t>
      </w:r>
      <w:r w:rsidRPr="00B3043D">
        <w:rPr>
          <w:rFonts w:asciiTheme="minorHAnsi" w:eastAsia="Times New Roman" w:hAnsiTheme="minorHAnsi" w:cstheme="minorHAnsi"/>
          <w:lang w:eastAsia="en-GB"/>
        </w:rPr>
        <w:t xml:space="preserve">ndirect discrimination </w:t>
      </w:r>
      <w:r w:rsidRPr="00A419AD">
        <w:rPr>
          <w:rFonts w:asciiTheme="minorHAnsi" w:eastAsia="Times New Roman" w:hAnsiTheme="minorHAnsi" w:cstheme="minorHAnsi"/>
          <w:lang w:eastAsia="en-GB"/>
        </w:rPr>
        <w:t xml:space="preserve">can occur </w:t>
      </w:r>
      <w:r w:rsidR="003B5175" w:rsidRPr="00A419AD">
        <w:rPr>
          <w:rFonts w:asciiTheme="minorHAnsi" w:eastAsia="Times New Roman" w:hAnsiTheme="minorHAnsi" w:cstheme="minorHAnsi"/>
          <w:lang w:eastAsia="en-GB"/>
        </w:rPr>
        <w:t xml:space="preserve">when employers </w:t>
      </w:r>
      <w:r w:rsidRPr="00B3043D">
        <w:rPr>
          <w:rFonts w:asciiTheme="minorHAnsi" w:eastAsia="Times New Roman" w:hAnsiTheme="minorHAnsi" w:cstheme="minorHAnsi"/>
          <w:lang w:eastAsia="en-GB"/>
        </w:rPr>
        <w:t>implement</w:t>
      </w:r>
      <w:r w:rsidR="003B5175" w:rsidRPr="00A419AD">
        <w:rPr>
          <w:rFonts w:asciiTheme="minorHAnsi" w:eastAsia="Times New Roman" w:hAnsiTheme="minorHAnsi" w:cstheme="minorHAnsi"/>
          <w:lang w:eastAsia="en-GB"/>
        </w:rPr>
        <w:t xml:space="preserve"> </w:t>
      </w:r>
      <w:r w:rsidRPr="00B3043D">
        <w:rPr>
          <w:rFonts w:asciiTheme="minorHAnsi" w:eastAsia="Times New Roman" w:hAnsiTheme="minorHAnsi" w:cstheme="minorHAnsi"/>
          <w:lang w:eastAsia="en-GB"/>
        </w:rPr>
        <w:t xml:space="preserve">rules or policies that have a negative impact on someone </w:t>
      </w:r>
      <w:r w:rsidRPr="00B3043D">
        <w:rPr>
          <w:rFonts w:asciiTheme="minorHAnsi" w:eastAsia="Times New Roman" w:hAnsiTheme="minorHAnsi" w:cstheme="minorHAnsi"/>
          <w:lang w:eastAsia="en-GB"/>
        </w:rPr>
        <w:lastRenderedPageBreak/>
        <w:t xml:space="preserve">because of </w:t>
      </w:r>
      <w:r w:rsidR="003B5175" w:rsidRPr="00A419AD">
        <w:rPr>
          <w:rFonts w:asciiTheme="minorHAnsi" w:eastAsia="Times New Roman" w:hAnsiTheme="minorHAnsi" w:cstheme="minorHAnsi"/>
          <w:lang w:eastAsia="en-GB"/>
        </w:rPr>
        <w:t xml:space="preserve">a person’s protected characteristics. </w:t>
      </w:r>
      <w:r w:rsidR="00273961" w:rsidRPr="00A419AD">
        <w:rPr>
          <w:rFonts w:asciiTheme="minorHAnsi" w:eastAsia="Times New Roman" w:hAnsiTheme="minorHAnsi" w:cstheme="minorHAnsi"/>
          <w:lang w:eastAsia="en-GB"/>
        </w:rPr>
        <w:t xml:space="preserve">An example of indirect discrimination could be an employer </w:t>
      </w:r>
      <w:r w:rsidR="00256188" w:rsidRPr="00A419AD">
        <w:rPr>
          <w:rFonts w:asciiTheme="minorHAnsi" w:eastAsia="Times New Roman" w:hAnsiTheme="minorHAnsi" w:cstheme="minorHAnsi"/>
          <w:lang w:eastAsia="en-GB"/>
        </w:rPr>
        <w:t xml:space="preserve">only advertising a job role via a gender specific magazine, such as ‘women’s weekly’. </w:t>
      </w:r>
    </w:p>
    <w:p w14:paraId="408FD44D" w14:textId="77777777" w:rsidR="00822CDA" w:rsidRDefault="00822CDA" w:rsidP="0051454B">
      <w:pPr>
        <w:pStyle w:val="ListParagraph"/>
        <w:spacing w:before="120" w:after="0" w:line="240" w:lineRule="auto"/>
        <w:ind w:left="360"/>
        <w:rPr>
          <w:rFonts w:asciiTheme="minorHAnsi" w:eastAsia="Times New Roman" w:hAnsiTheme="minorHAnsi" w:cstheme="minorHAnsi"/>
          <w:lang w:eastAsia="en-GB"/>
        </w:rPr>
      </w:pPr>
    </w:p>
    <w:p w14:paraId="251F171A" w14:textId="7F0D825D" w:rsidR="00B163B4" w:rsidRDefault="0004375E" w:rsidP="0051454B">
      <w:pPr>
        <w:pStyle w:val="ListParagraph"/>
        <w:spacing w:before="120" w:line="240" w:lineRule="auto"/>
        <w:ind w:left="360"/>
        <w:rPr>
          <w:rFonts w:asciiTheme="minorHAnsi" w:eastAsia="Times New Roman" w:hAnsiTheme="minorHAnsi" w:cstheme="minorHAnsi"/>
          <w:lang w:eastAsia="en-GB"/>
        </w:rPr>
      </w:pPr>
      <w:r w:rsidRPr="001D4A03">
        <w:rPr>
          <w:rFonts w:asciiTheme="minorHAnsi" w:eastAsia="Times New Roman" w:hAnsiTheme="minorHAnsi" w:cstheme="minorHAnsi"/>
          <w:lang w:eastAsia="en-GB"/>
        </w:rPr>
        <w:t xml:space="preserve">Harassment </w:t>
      </w:r>
      <w:r w:rsidRPr="00A419AD">
        <w:rPr>
          <w:rFonts w:asciiTheme="minorHAnsi" w:eastAsia="Times New Roman" w:hAnsiTheme="minorHAnsi" w:cstheme="minorHAnsi"/>
          <w:lang w:eastAsia="en-GB"/>
        </w:rPr>
        <w:t xml:space="preserve">can be defined as </w:t>
      </w:r>
      <w:r w:rsidRPr="001D4A03">
        <w:rPr>
          <w:rFonts w:asciiTheme="minorHAnsi" w:eastAsia="Times New Roman" w:hAnsiTheme="minorHAnsi" w:cstheme="minorHAnsi"/>
          <w:lang w:eastAsia="en-GB"/>
        </w:rPr>
        <w:t xml:space="preserve">intentionally creating a sustained hostile environment for </w:t>
      </w:r>
      <w:r w:rsidRPr="00A419AD">
        <w:rPr>
          <w:rFonts w:asciiTheme="minorHAnsi" w:eastAsia="Times New Roman" w:hAnsiTheme="minorHAnsi" w:cstheme="minorHAnsi"/>
          <w:lang w:eastAsia="en-GB"/>
        </w:rPr>
        <w:t>an individual,</w:t>
      </w:r>
      <w:r w:rsidRPr="001D4A03">
        <w:rPr>
          <w:rFonts w:asciiTheme="minorHAnsi" w:eastAsia="Times New Roman" w:hAnsiTheme="minorHAnsi" w:cstheme="minorHAnsi"/>
          <w:lang w:eastAsia="en-GB"/>
        </w:rPr>
        <w:t xml:space="preserve"> specifically </w:t>
      </w:r>
      <w:r w:rsidRPr="00A419AD">
        <w:rPr>
          <w:rFonts w:asciiTheme="minorHAnsi" w:eastAsia="Times New Roman" w:hAnsiTheme="minorHAnsi" w:cstheme="minorHAnsi"/>
          <w:lang w:eastAsia="en-GB"/>
        </w:rPr>
        <w:t>if employers are targeting an individuals protected characteristics (</w:t>
      </w:r>
      <w:proofErr w:type="spellStart"/>
      <w:r w:rsidRPr="00A419AD">
        <w:rPr>
          <w:rFonts w:asciiTheme="minorHAnsi" w:eastAsia="Times New Roman" w:hAnsiTheme="minorHAnsi" w:cstheme="minorHAnsi"/>
          <w:lang w:eastAsia="en-GB"/>
        </w:rPr>
        <w:t>Popat</w:t>
      </w:r>
      <w:proofErr w:type="spellEnd"/>
      <w:r w:rsidRPr="00A419AD">
        <w:rPr>
          <w:rFonts w:asciiTheme="minorHAnsi" w:eastAsia="Times New Roman" w:hAnsiTheme="minorHAnsi" w:cstheme="minorHAnsi"/>
          <w:lang w:eastAsia="en-GB"/>
        </w:rPr>
        <w:t>, 2019).</w:t>
      </w:r>
      <w:r>
        <w:rPr>
          <w:rFonts w:asciiTheme="minorHAnsi" w:eastAsia="Times New Roman" w:hAnsiTheme="minorHAnsi" w:cstheme="minorHAnsi"/>
          <w:color w:val="000000"/>
          <w:sz w:val="24"/>
          <w:szCs w:val="24"/>
          <w:lang w:eastAsia="en-GB"/>
        </w:rPr>
        <w:t xml:space="preserve"> </w:t>
      </w:r>
      <w:r w:rsidR="00C05ED5" w:rsidRPr="0004375E">
        <w:rPr>
          <w:rFonts w:asciiTheme="minorHAnsi" w:eastAsia="Times New Roman" w:hAnsiTheme="minorHAnsi" w:cstheme="minorHAnsi"/>
          <w:lang w:eastAsia="en-GB"/>
        </w:rPr>
        <w:t>The term harassment can refer to a series of unwanted events that result in an unbearable situation</w:t>
      </w:r>
      <w:r w:rsidR="00A91F96">
        <w:rPr>
          <w:rFonts w:asciiTheme="minorHAnsi" w:eastAsia="Times New Roman" w:hAnsiTheme="minorHAnsi" w:cstheme="minorHAnsi"/>
          <w:lang w:eastAsia="en-GB"/>
        </w:rPr>
        <w:t xml:space="preserve"> as a result of </w:t>
      </w:r>
      <w:r w:rsidR="0082339A">
        <w:rPr>
          <w:rFonts w:asciiTheme="minorHAnsi" w:eastAsia="Times New Roman" w:hAnsiTheme="minorHAnsi" w:cstheme="minorHAnsi"/>
          <w:lang w:eastAsia="en-GB"/>
        </w:rPr>
        <w:t xml:space="preserve">gross </w:t>
      </w:r>
      <w:r w:rsidR="00A91F96" w:rsidRPr="00A91F96">
        <w:rPr>
          <w:rFonts w:asciiTheme="minorHAnsi" w:eastAsia="Times New Roman" w:hAnsiTheme="minorHAnsi" w:cstheme="minorHAnsi"/>
        </w:rPr>
        <w:t>conduct</w:t>
      </w:r>
      <w:r w:rsidR="0082339A">
        <w:rPr>
          <w:rFonts w:asciiTheme="minorHAnsi" w:eastAsia="Times New Roman" w:hAnsiTheme="minorHAnsi" w:cstheme="minorHAnsi"/>
        </w:rPr>
        <w:t xml:space="preserve">, for example </w:t>
      </w:r>
      <w:r w:rsidR="00381312">
        <w:rPr>
          <w:rFonts w:asciiTheme="minorHAnsi" w:eastAsia="Times New Roman" w:hAnsiTheme="minorHAnsi" w:cstheme="minorHAnsi"/>
        </w:rPr>
        <w:t xml:space="preserve">purposefully violating an </w:t>
      </w:r>
      <w:r w:rsidR="00C33044">
        <w:rPr>
          <w:rFonts w:asciiTheme="minorHAnsi" w:eastAsia="Times New Roman" w:hAnsiTheme="minorHAnsi" w:cstheme="minorHAnsi"/>
        </w:rPr>
        <w:t>individual’s</w:t>
      </w:r>
      <w:r w:rsidR="00381312">
        <w:rPr>
          <w:rFonts w:asciiTheme="minorHAnsi" w:eastAsia="Times New Roman" w:hAnsiTheme="minorHAnsi" w:cstheme="minorHAnsi"/>
        </w:rPr>
        <w:t xml:space="preserve"> </w:t>
      </w:r>
      <w:r w:rsidR="00A91F96" w:rsidRPr="002F4A0E">
        <w:rPr>
          <w:rFonts w:asciiTheme="minorHAnsi" w:eastAsia="Times New Roman" w:hAnsiTheme="minorHAnsi" w:cstheme="minorHAnsi"/>
        </w:rPr>
        <w:t xml:space="preserve">dignity </w:t>
      </w:r>
      <w:r w:rsidR="002F4A0E">
        <w:rPr>
          <w:rFonts w:asciiTheme="minorHAnsi" w:eastAsia="Times New Roman" w:hAnsiTheme="minorHAnsi" w:cstheme="minorHAnsi"/>
        </w:rPr>
        <w:t xml:space="preserve">by </w:t>
      </w:r>
      <w:r w:rsidR="00A80247">
        <w:rPr>
          <w:rFonts w:asciiTheme="minorHAnsi" w:eastAsia="Times New Roman" w:hAnsiTheme="minorHAnsi" w:cstheme="minorHAnsi"/>
        </w:rPr>
        <w:t xml:space="preserve">exercising </w:t>
      </w:r>
      <w:r w:rsidR="00A91F96" w:rsidRPr="002F4A0E">
        <w:rPr>
          <w:rFonts w:asciiTheme="minorHAnsi" w:eastAsia="Times New Roman" w:hAnsiTheme="minorHAnsi" w:cstheme="minorHAnsi"/>
        </w:rPr>
        <w:t xml:space="preserve">intimidating, degrading, humiliating or offensive </w:t>
      </w:r>
      <w:r w:rsidR="000B690F">
        <w:rPr>
          <w:rFonts w:asciiTheme="minorHAnsi" w:eastAsia="Times New Roman" w:hAnsiTheme="minorHAnsi" w:cstheme="minorHAnsi"/>
        </w:rPr>
        <w:t xml:space="preserve">acts. </w:t>
      </w:r>
      <w:r w:rsidRPr="00C33044">
        <w:rPr>
          <w:rFonts w:asciiTheme="minorHAnsi" w:eastAsia="Times New Roman" w:hAnsiTheme="minorHAnsi" w:cstheme="minorHAnsi"/>
          <w:lang w:eastAsia="en-GB"/>
        </w:rPr>
        <w:t>T</w:t>
      </w:r>
      <w:r w:rsidR="004309E2" w:rsidRPr="00C33044">
        <w:rPr>
          <w:rFonts w:asciiTheme="minorHAnsi" w:eastAsia="Times New Roman" w:hAnsiTheme="minorHAnsi" w:cstheme="minorHAnsi"/>
          <w:lang w:eastAsia="en-GB"/>
        </w:rPr>
        <w:t xml:space="preserve">he </w:t>
      </w:r>
      <w:r w:rsidR="00EE66AD" w:rsidRPr="00C33044">
        <w:rPr>
          <w:rFonts w:asciiTheme="minorHAnsi" w:eastAsia="Times New Roman" w:hAnsiTheme="minorHAnsi" w:cstheme="minorHAnsi"/>
          <w:lang w:eastAsia="en-GB"/>
        </w:rPr>
        <w:t xml:space="preserve">Equality Act 2010 </w:t>
      </w:r>
      <w:r w:rsidR="00CB560C" w:rsidRPr="00C33044">
        <w:rPr>
          <w:rFonts w:asciiTheme="minorHAnsi" w:eastAsia="Times New Roman" w:hAnsiTheme="minorHAnsi" w:cstheme="minorHAnsi"/>
          <w:lang w:eastAsia="en-GB"/>
        </w:rPr>
        <w:t>(S</w:t>
      </w:r>
      <w:r w:rsidR="00C05ED5" w:rsidRPr="00C33044">
        <w:rPr>
          <w:rFonts w:asciiTheme="minorHAnsi" w:eastAsia="Times New Roman" w:hAnsiTheme="minorHAnsi" w:cstheme="minorHAnsi"/>
          <w:lang w:eastAsia="en-GB"/>
        </w:rPr>
        <w:t xml:space="preserve">26) </w:t>
      </w:r>
      <w:r w:rsidR="001714AD" w:rsidRPr="00C33044">
        <w:rPr>
          <w:rFonts w:asciiTheme="minorHAnsi" w:eastAsia="Times New Roman" w:hAnsiTheme="minorHAnsi" w:cstheme="minorHAnsi"/>
          <w:lang w:eastAsia="en-GB"/>
        </w:rPr>
        <w:t>was established to protect workers against harassment</w:t>
      </w:r>
      <w:r w:rsidR="00993A41" w:rsidRPr="00C33044">
        <w:rPr>
          <w:rFonts w:asciiTheme="minorHAnsi" w:eastAsia="Times New Roman" w:hAnsiTheme="minorHAnsi" w:cstheme="minorHAnsi"/>
          <w:lang w:eastAsia="en-GB"/>
        </w:rPr>
        <w:t xml:space="preserve"> which may be received based on an </w:t>
      </w:r>
      <w:r w:rsidR="00C33044" w:rsidRPr="00C33044">
        <w:rPr>
          <w:rFonts w:asciiTheme="minorHAnsi" w:eastAsia="Times New Roman" w:hAnsiTheme="minorHAnsi" w:cstheme="minorHAnsi"/>
          <w:lang w:eastAsia="en-GB"/>
        </w:rPr>
        <w:t>individual’s</w:t>
      </w:r>
      <w:r w:rsidR="00993A41" w:rsidRPr="00C33044">
        <w:rPr>
          <w:rFonts w:asciiTheme="minorHAnsi" w:eastAsia="Times New Roman" w:hAnsiTheme="minorHAnsi" w:cstheme="minorHAnsi"/>
          <w:lang w:eastAsia="en-GB"/>
        </w:rPr>
        <w:t xml:space="preserve"> protected characteristics, such as sexual orientation </w:t>
      </w:r>
      <w:r w:rsidR="00C33044">
        <w:rPr>
          <w:rFonts w:asciiTheme="minorHAnsi" w:eastAsia="Times New Roman" w:hAnsiTheme="minorHAnsi" w:cstheme="minorHAnsi"/>
          <w:lang w:eastAsia="en-GB"/>
        </w:rPr>
        <w:t xml:space="preserve">or ethic background. </w:t>
      </w:r>
    </w:p>
    <w:p w14:paraId="4F7CD2B7" w14:textId="77777777" w:rsidR="00265631" w:rsidRDefault="00265631" w:rsidP="0051454B">
      <w:pPr>
        <w:pStyle w:val="ListParagraph"/>
        <w:spacing w:before="120" w:line="240" w:lineRule="auto"/>
        <w:ind w:left="360"/>
        <w:rPr>
          <w:rFonts w:asciiTheme="minorHAnsi" w:eastAsia="Times New Roman" w:hAnsiTheme="minorHAnsi" w:cstheme="minorHAnsi"/>
          <w:lang w:eastAsia="en-GB"/>
        </w:rPr>
      </w:pPr>
    </w:p>
    <w:tbl>
      <w:tblPr>
        <w:tblStyle w:val="TableGrid"/>
        <w:tblW w:w="0" w:type="auto"/>
        <w:tblInd w:w="360" w:type="dxa"/>
        <w:tblLook w:val="04A0" w:firstRow="1" w:lastRow="0" w:firstColumn="1" w:lastColumn="0" w:noHBand="0" w:noVBand="1"/>
      </w:tblPr>
      <w:tblGrid>
        <w:gridCol w:w="4322"/>
        <w:gridCol w:w="4334"/>
      </w:tblGrid>
      <w:tr w:rsidR="00265631" w14:paraId="33096CF5" w14:textId="77777777" w:rsidTr="00265631">
        <w:tc>
          <w:tcPr>
            <w:tcW w:w="4508" w:type="dxa"/>
            <w:tcBorders>
              <w:bottom w:val="nil"/>
            </w:tcBorders>
          </w:tcPr>
          <w:p w14:paraId="11A55B5B" w14:textId="77777777" w:rsidR="00265631" w:rsidRDefault="00265631" w:rsidP="0051454B">
            <w:pPr>
              <w:pStyle w:val="ListParagraph"/>
              <w:spacing w:before="120" w:line="240" w:lineRule="auto"/>
              <w:ind w:left="0"/>
              <w:rPr>
                <w:rFonts w:asciiTheme="minorHAnsi" w:eastAsia="Times New Roman" w:hAnsiTheme="minorHAnsi" w:cstheme="minorHAnsi"/>
                <w:lang w:eastAsia="en-GB"/>
              </w:rPr>
            </w:pPr>
          </w:p>
        </w:tc>
        <w:tc>
          <w:tcPr>
            <w:tcW w:w="4508" w:type="dxa"/>
          </w:tcPr>
          <w:p w14:paraId="0FAE769F" w14:textId="0CB72568" w:rsidR="00265631" w:rsidRDefault="00886FC8"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Sexual </w:t>
            </w:r>
            <w:r w:rsidR="000930B7">
              <w:rPr>
                <w:rFonts w:asciiTheme="minorHAnsi" w:eastAsia="Times New Roman" w:hAnsiTheme="minorHAnsi" w:cstheme="minorHAnsi"/>
                <w:lang w:eastAsia="en-GB"/>
              </w:rPr>
              <w:t>–</w:t>
            </w:r>
            <w:r>
              <w:rPr>
                <w:rFonts w:asciiTheme="minorHAnsi" w:eastAsia="Times New Roman" w:hAnsiTheme="minorHAnsi" w:cstheme="minorHAnsi"/>
                <w:lang w:eastAsia="en-GB"/>
              </w:rPr>
              <w:t xml:space="preserve"> </w:t>
            </w:r>
            <w:r w:rsidR="00834AE0">
              <w:rPr>
                <w:rFonts w:asciiTheme="minorHAnsi" w:eastAsia="Times New Roman" w:hAnsiTheme="minorHAnsi" w:cstheme="minorHAnsi"/>
                <w:lang w:eastAsia="en-GB"/>
              </w:rPr>
              <w:t>Unwanted vi</w:t>
            </w:r>
            <w:r w:rsidR="000930B7">
              <w:rPr>
                <w:rFonts w:asciiTheme="minorHAnsi" w:eastAsia="Times New Roman" w:hAnsiTheme="minorHAnsi" w:cstheme="minorHAnsi"/>
                <w:lang w:eastAsia="en-GB"/>
              </w:rPr>
              <w:t xml:space="preserve">sible, written, </w:t>
            </w:r>
            <w:r w:rsidR="00834AE0">
              <w:rPr>
                <w:rFonts w:asciiTheme="minorHAnsi" w:eastAsia="Times New Roman" w:hAnsiTheme="minorHAnsi" w:cstheme="minorHAnsi"/>
                <w:lang w:eastAsia="en-GB"/>
              </w:rPr>
              <w:t xml:space="preserve">or </w:t>
            </w:r>
            <w:r w:rsidR="000930B7">
              <w:rPr>
                <w:rFonts w:asciiTheme="minorHAnsi" w:eastAsia="Times New Roman" w:hAnsiTheme="minorHAnsi" w:cstheme="minorHAnsi"/>
                <w:lang w:eastAsia="en-GB"/>
              </w:rPr>
              <w:t xml:space="preserve">physical </w:t>
            </w:r>
            <w:r w:rsidR="002A51DC">
              <w:rPr>
                <w:rFonts w:asciiTheme="minorHAnsi" w:eastAsia="Times New Roman" w:hAnsiTheme="minorHAnsi" w:cstheme="minorHAnsi"/>
                <w:lang w:eastAsia="en-GB"/>
              </w:rPr>
              <w:t xml:space="preserve">sexual </w:t>
            </w:r>
            <w:r w:rsidR="00B238C7">
              <w:rPr>
                <w:rFonts w:asciiTheme="minorHAnsi" w:eastAsia="Times New Roman" w:hAnsiTheme="minorHAnsi" w:cstheme="minorHAnsi"/>
                <w:lang w:eastAsia="en-GB"/>
              </w:rPr>
              <w:t>acts</w:t>
            </w:r>
            <w:r w:rsidR="007D357B">
              <w:rPr>
                <w:rFonts w:asciiTheme="minorHAnsi" w:eastAsia="Times New Roman" w:hAnsiTheme="minorHAnsi" w:cstheme="minorHAnsi"/>
                <w:lang w:eastAsia="en-GB"/>
              </w:rPr>
              <w:t xml:space="preserve">. </w:t>
            </w:r>
          </w:p>
        </w:tc>
      </w:tr>
      <w:tr w:rsidR="00265631" w14:paraId="4D6F22AD" w14:textId="77777777" w:rsidTr="00265631">
        <w:tc>
          <w:tcPr>
            <w:tcW w:w="4508" w:type="dxa"/>
            <w:tcBorders>
              <w:top w:val="nil"/>
              <w:bottom w:val="nil"/>
            </w:tcBorders>
          </w:tcPr>
          <w:p w14:paraId="0BA5B984" w14:textId="738D8352" w:rsidR="00265631" w:rsidRPr="00886FC8" w:rsidRDefault="00265631" w:rsidP="0051454B">
            <w:pPr>
              <w:pStyle w:val="ListParagraph"/>
              <w:spacing w:before="120" w:line="240" w:lineRule="auto"/>
              <w:ind w:left="0"/>
              <w:jc w:val="center"/>
              <w:rPr>
                <w:rFonts w:asciiTheme="minorHAnsi" w:eastAsia="Times New Roman" w:hAnsiTheme="minorHAnsi" w:cstheme="minorHAnsi"/>
                <w:b/>
                <w:bCs/>
                <w:lang w:eastAsia="en-GB"/>
              </w:rPr>
            </w:pPr>
            <w:r w:rsidRPr="00886FC8">
              <w:rPr>
                <w:rFonts w:asciiTheme="minorHAnsi" w:eastAsia="Times New Roman" w:hAnsiTheme="minorHAnsi" w:cstheme="minorHAnsi"/>
                <w:b/>
                <w:bCs/>
                <w:lang w:eastAsia="en-GB"/>
              </w:rPr>
              <w:t xml:space="preserve">Types of </w:t>
            </w:r>
            <w:r w:rsidR="00886FC8" w:rsidRPr="00886FC8">
              <w:rPr>
                <w:rFonts w:asciiTheme="minorHAnsi" w:eastAsia="Times New Roman" w:hAnsiTheme="minorHAnsi" w:cstheme="minorHAnsi"/>
                <w:b/>
                <w:bCs/>
                <w:lang w:eastAsia="en-GB"/>
              </w:rPr>
              <w:t>Harassment</w:t>
            </w:r>
            <w:r w:rsidRPr="00886FC8">
              <w:rPr>
                <w:rFonts w:asciiTheme="minorHAnsi" w:eastAsia="Times New Roman" w:hAnsiTheme="minorHAnsi" w:cstheme="minorHAnsi"/>
                <w:b/>
                <w:bCs/>
                <w:lang w:eastAsia="en-GB"/>
              </w:rPr>
              <w:t xml:space="preserve"> that can be experienced </w:t>
            </w:r>
            <w:r w:rsidR="00886FC8" w:rsidRPr="00886FC8">
              <w:rPr>
                <w:rFonts w:asciiTheme="minorHAnsi" w:eastAsia="Times New Roman" w:hAnsiTheme="minorHAnsi" w:cstheme="minorHAnsi"/>
                <w:b/>
                <w:bCs/>
                <w:lang w:eastAsia="en-GB"/>
              </w:rPr>
              <w:t>within the workplace:</w:t>
            </w:r>
          </w:p>
        </w:tc>
        <w:tc>
          <w:tcPr>
            <w:tcW w:w="4508" w:type="dxa"/>
          </w:tcPr>
          <w:p w14:paraId="6FCAAD81" w14:textId="27AA2E5A" w:rsidR="00265631" w:rsidRDefault="00FD6D1C"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Intimidation </w:t>
            </w:r>
            <w:r w:rsidR="00834AE0">
              <w:rPr>
                <w:rFonts w:asciiTheme="minorHAnsi" w:eastAsia="Times New Roman" w:hAnsiTheme="minorHAnsi" w:cstheme="minorHAnsi"/>
                <w:lang w:eastAsia="en-GB"/>
              </w:rPr>
              <w:t>–</w:t>
            </w:r>
            <w:r>
              <w:rPr>
                <w:rFonts w:asciiTheme="minorHAnsi" w:eastAsia="Times New Roman" w:hAnsiTheme="minorHAnsi" w:cstheme="minorHAnsi"/>
                <w:lang w:eastAsia="en-GB"/>
              </w:rPr>
              <w:t xml:space="preserve"> </w:t>
            </w:r>
            <w:r w:rsidR="00834AE0">
              <w:rPr>
                <w:rFonts w:asciiTheme="minorHAnsi" w:eastAsia="Times New Roman" w:hAnsiTheme="minorHAnsi" w:cstheme="minorHAnsi"/>
                <w:lang w:eastAsia="en-GB"/>
              </w:rPr>
              <w:t>Purposefully trying to make others feel inferior</w:t>
            </w:r>
            <w:r w:rsidR="007D357B">
              <w:rPr>
                <w:rFonts w:asciiTheme="minorHAnsi" w:eastAsia="Times New Roman" w:hAnsiTheme="minorHAnsi" w:cstheme="minorHAnsi"/>
                <w:lang w:eastAsia="en-GB"/>
              </w:rPr>
              <w:t xml:space="preserve">. </w:t>
            </w:r>
          </w:p>
        </w:tc>
      </w:tr>
      <w:tr w:rsidR="00265631" w14:paraId="72503500" w14:textId="77777777" w:rsidTr="00265631">
        <w:tc>
          <w:tcPr>
            <w:tcW w:w="4508" w:type="dxa"/>
            <w:tcBorders>
              <w:top w:val="nil"/>
              <w:bottom w:val="nil"/>
            </w:tcBorders>
          </w:tcPr>
          <w:p w14:paraId="3B922795" w14:textId="77777777" w:rsidR="00265631" w:rsidRDefault="00265631" w:rsidP="0051454B">
            <w:pPr>
              <w:pStyle w:val="ListParagraph"/>
              <w:spacing w:before="120" w:line="240" w:lineRule="auto"/>
              <w:ind w:left="0"/>
              <w:rPr>
                <w:rFonts w:asciiTheme="minorHAnsi" w:eastAsia="Times New Roman" w:hAnsiTheme="minorHAnsi" w:cstheme="minorHAnsi"/>
                <w:lang w:eastAsia="en-GB"/>
              </w:rPr>
            </w:pPr>
          </w:p>
        </w:tc>
        <w:tc>
          <w:tcPr>
            <w:tcW w:w="4508" w:type="dxa"/>
          </w:tcPr>
          <w:p w14:paraId="710545B5" w14:textId="55CAE372" w:rsidR="00265631" w:rsidRDefault="0084089D"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Offensive ‘Banter’ – offensive jokes intended to hurt</w:t>
            </w:r>
            <w:r w:rsidR="00385219">
              <w:rPr>
                <w:rFonts w:asciiTheme="minorHAnsi" w:eastAsia="Times New Roman" w:hAnsiTheme="minorHAnsi" w:cstheme="minorHAnsi"/>
                <w:lang w:eastAsia="en-GB"/>
              </w:rPr>
              <w:t xml:space="preserve"> others based on ethnic background</w:t>
            </w:r>
            <w:r w:rsidR="002A51DC">
              <w:rPr>
                <w:rFonts w:asciiTheme="minorHAnsi" w:eastAsia="Times New Roman" w:hAnsiTheme="minorHAnsi" w:cstheme="minorHAnsi"/>
                <w:lang w:eastAsia="en-GB"/>
              </w:rPr>
              <w:t xml:space="preserve">, age, race etc. </w:t>
            </w:r>
          </w:p>
        </w:tc>
      </w:tr>
      <w:tr w:rsidR="00265631" w14:paraId="2E4ECD19" w14:textId="77777777" w:rsidTr="00265631">
        <w:tc>
          <w:tcPr>
            <w:tcW w:w="4508" w:type="dxa"/>
            <w:tcBorders>
              <w:top w:val="nil"/>
              <w:bottom w:val="nil"/>
            </w:tcBorders>
          </w:tcPr>
          <w:p w14:paraId="0A0E31C5" w14:textId="77777777" w:rsidR="00265631" w:rsidRDefault="00265631" w:rsidP="0051454B">
            <w:pPr>
              <w:pStyle w:val="ListParagraph"/>
              <w:spacing w:before="120" w:line="240" w:lineRule="auto"/>
              <w:ind w:left="0"/>
              <w:rPr>
                <w:rFonts w:asciiTheme="minorHAnsi" w:eastAsia="Times New Roman" w:hAnsiTheme="minorHAnsi" w:cstheme="minorHAnsi"/>
                <w:lang w:eastAsia="en-GB"/>
              </w:rPr>
            </w:pPr>
          </w:p>
        </w:tc>
        <w:tc>
          <w:tcPr>
            <w:tcW w:w="4508" w:type="dxa"/>
          </w:tcPr>
          <w:p w14:paraId="5D981447" w14:textId="38CCA802" w:rsidR="00265631" w:rsidRDefault="00644DE0"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Humiliating </w:t>
            </w:r>
            <w:r w:rsidR="006C19F4">
              <w:rPr>
                <w:rFonts w:asciiTheme="minorHAnsi" w:eastAsia="Times New Roman" w:hAnsiTheme="minorHAnsi" w:cstheme="minorHAnsi"/>
                <w:lang w:eastAsia="en-GB"/>
              </w:rPr>
              <w:t>–</w:t>
            </w:r>
            <w:r>
              <w:rPr>
                <w:rFonts w:asciiTheme="minorHAnsi" w:eastAsia="Times New Roman" w:hAnsiTheme="minorHAnsi" w:cstheme="minorHAnsi"/>
                <w:lang w:eastAsia="en-GB"/>
              </w:rPr>
              <w:t xml:space="preserve"> </w:t>
            </w:r>
            <w:r w:rsidR="006C19F4">
              <w:rPr>
                <w:rFonts w:asciiTheme="minorHAnsi" w:eastAsia="Times New Roman" w:hAnsiTheme="minorHAnsi" w:cstheme="minorHAnsi"/>
                <w:lang w:eastAsia="en-GB"/>
              </w:rPr>
              <w:t>Making fun of an individual</w:t>
            </w:r>
            <w:r w:rsidR="007D357B">
              <w:rPr>
                <w:rFonts w:asciiTheme="minorHAnsi" w:eastAsia="Times New Roman" w:hAnsiTheme="minorHAnsi" w:cstheme="minorHAnsi"/>
                <w:lang w:eastAsia="en-GB"/>
              </w:rPr>
              <w:t xml:space="preserve">. </w:t>
            </w:r>
          </w:p>
        </w:tc>
      </w:tr>
      <w:tr w:rsidR="00265631" w14:paraId="6E1F82C9" w14:textId="77777777" w:rsidTr="00265631">
        <w:tc>
          <w:tcPr>
            <w:tcW w:w="4508" w:type="dxa"/>
            <w:tcBorders>
              <w:top w:val="nil"/>
              <w:bottom w:val="nil"/>
            </w:tcBorders>
          </w:tcPr>
          <w:p w14:paraId="201F01BD" w14:textId="77777777" w:rsidR="00265631" w:rsidRDefault="00265631" w:rsidP="0051454B">
            <w:pPr>
              <w:pStyle w:val="ListParagraph"/>
              <w:spacing w:before="120" w:line="240" w:lineRule="auto"/>
              <w:ind w:left="0"/>
              <w:rPr>
                <w:rFonts w:asciiTheme="minorHAnsi" w:eastAsia="Times New Roman" w:hAnsiTheme="minorHAnsi" w:cstheme="minorHAnsi"/>
                <w:lang w:eastAsia="en-GB"/>
              </w:rPr>
            </w:pPr>
          </w:p>
        </w:tc>
        <w:tc>
          <w:tcPr>
            <w:tcW w:w="4508" w:type="dxa"/>
          </w:tcPr>
          <w:p w14:paraId="60927857" w14:textId="12AEF185" w:rsidR="00265631" w:rsidRDefault="00F13E29"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Power / authority </w:t>
            </w:r>
            <w:r w:rsidR="006C19F4">
              <w:rPr>
                <w:rFonts w:asciiTheme="minorHAnsi" w:eastAsia="Times New Roman" w:hAnsiTheme="minorHAnsi" w:cstheme="minorHAnsi"/>
                <w:lang w:eastAsia="en-GB"/>
              </w:rPr>
              <w:t>–</w:t>
            </w:r>
            <w:r>
              <w:rPr>
                <w:rFonts w:asciiTheme="minorHAnsi" w:eastAsia="Times New Roman" w:hAnsiTheme="minorHAnsi" w:cstheme="minorHAnsi"/>
                <w:lang w:eastAsia="en-GB"/>
              </w:rPr>
              <w:t xml:space="preserve"> Threat</w:t>
            </w:r>
            <w:r w:rsidR="006C19F4">
              <w:rPr>
                <w:rFonts w:asciiTheme="minorHAnsi" w:eastAsia="Times New Roman" w:hAnsiTheme="minorHAnsi" w:cstheme="minorHAnsi"/>
                <w:lang w:eastAsia="en-GB"/>
              </w:rPr>
              <w:t>ening workers through</w:t>
            </w:r>
            <w:r>
              <w:rPr>
                <w:rFonts w:asciiTheme="minorHAnsi" w:eastAsia="Times New Roman" w:hAnsiTheme="minorHAnsi" w:cstheme="minorHAnsi"/>
                <w:lang w:eastAsia="en-GB"/>
              </w:rPr>
              <w:t xml:space="preserve"> employment status</w:t>
            </w:r>
            <w:r w:rsidR="007D357B">
              <w:rPr>
                <w:rFonts w:asciiTheme="minorHAnsi" w:eastAsia="Times New Roman" w:hAnsiTheme="minorHAnsi" w:cstheme="minorHAnsi"/>
                <w:lang w:eastAsia="en-GB"/>
              </w:rPr>
              <w:t xml:space="preserve">. </w:t>
            </w:r>
          </w:p>
        </w:tc>
      </w:tr>
      <w:tr w:rsidR="00265631" w14:paraId="6F6868B2" w14:textId="77777777" w:rsidTr="00265631">
        <w:tc>
          <w:tcPr>
            <w:tcW w:w="4508" w:type="dxa"/>
            <w:tcBorders>
              <w:top w:val="nil"/>
            </w:tcBorders>
          </w:tcPr>
          <w:p w14:paraId="49E94969" w14:textId="77777777" w:rsidR="00265631" w:rsidRDefault="00265631" w:rsidP="0051454B">
            <w:pPr>
              <w:pStyle w:val="ListParagraph"/>
              <w:spacing w:before="120" w:line="240" w:lineRule="auto"/>
              <w:ind w:left="0"/>
              <w:rPr>
                <w:rFonts w:asciiTheme="minorHAnsi" w:eastAsia="Times New Roman" w:hAnsiTheme="minorHAnsi" w:cstheme="minorHAnsi"/>
                <w:lang w:eastAsia="en-GB"/>
              </w:rPr>
            </w:pPr>
          </w:p>
        </w:tc>
        <w:tc>
          <w:tcPr>
            <w:tcW w:w="4508" w:type="dxa"/>
          </w:tcPr>
          <w:p w14:paraId="15B22CAB" w14:textId="155B6D64" w:rsidR="00265631" w:rsidRDefault="00091AAC" w:rsidP="0051454B">
            <w:pPr>
              <w:pStyle w:val="ListParagraph"/>
              <w:spacing w:before="120" w:line="240" w:lineRule="auto"/>
              <w:ind w:left="0"/>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Protected Characteristics </w:t>
            </w:r>
            <w:r w:rsidR="007D357B">
              <w:rPr>
                <w:rFonts w:asciiTheme="minorHAnsi" w:eastAsia="Times New Roman" w:hAnsiTheme="minorHAnsi" w:cstheme="minorHAnsi"/>
                <w:lang w:eastAsia="en-GB"/>
              </w:rPr>
              <w:t>–</w:t>
            </w:r>
            <w:r>
              <w:rPr>
                <w:rFonts w:asciiTheme="minorHAnsi" w:eastAsia="Times New Roman" w:hAnsiTheme="minorHAnsi" w:cstheme="minorHAnsi"/>
                <w:lang w:eastAsia="en-GB"/>
              </w:rPr>
              <w:t xml:space="preserve"> </w:t>
            </w:r>
            <w:r w:rsidR="007D357B">
              <w:rPr>
                <w:rFonts w:asciiTheme="minorHAnsi" w:eastAsia="Times New Roman" w:hAnsiTheme="minorHAnsi" w:cstheme="minorHAnsi"/>
                <w:lang w:eastAsia="en-GB"/>
              </w:rPr>
              <w:t xml:space="preserve">using an individual’s protected characteristics against them in an unkind way. </w:t>
            </w:r>
          </w:p>
        </w:tc>
      </w:tr>
    </w:tbl>
    <w:p w14:paraId="19D4AB42" w14:textId="77777777" w:rsidR="0051454B" w:rsidRDefault="0051454B" w:rsidP="0051454B">
      <w:pPr>
        <w:pStyle w:val="NormalWeb"/>
        <w:spacing w:after="0"/>
        <w:rPr>
          <w:rFonts w:asciiTheme="minorHAnsi" w:hAnsiTheme="minorHAnsi" w:cstheme="minorHAnsi"/>
          <w:sz w:val="22"/>
          <w:szCs w:val="22"/>
          <w:shd w:val="clear" w:color="auto" w:fill="FFFFFF"/>
        </w:rPr>
      </w:pPr>
    </w:p>
    <w:p w14:paraId="2D77807C" w14:textId="77777777" w:rsidR="0051454B" w:rsidRDefault="0051454B" w:rsidP="0051454B">
      <w:pPr>
        <w:pStyle w:val="NormalWeb"/>
        <w:spacing w:after="0"/>
        <w:rPr>
          <w:rFonts w:asciiTheme="minorHAnsi" w:hAnsiTheme="minorHAnsi" w:cstheme="minorHAnsi"/>
          <w:sz w:val="22"/>
          <w:szCs w:val="22"/>
          <w:shd w:val="clear" w:color="auto" w:fill="FFFFFF"/>
        </w:rPr>
      </w:pPr>
    </w:p>
    <w:p w14:paraId="10288BFE" w14:textId="77777777" w:rsidR="00F06666" w:rsidRDefault="00BF5039" w:rsidP="00F06666">
      <w:pPr>
        <w:pStyle w:val="NormalWeb"/>
        <w:spacing w:after="0"/>
        <w:rPr>
          <w:rFonts w:asciiTheme="minorHAnsi" w:hAnsiTheme="minorHAnsi" w:cstheme="minorHAnsi"/>
          <w:sz w:val="22"/>
          <w:szCs w:val="22"/>
          <w:shd w:val="clear" w:color="auto" w:fill="FFFFFF"/>
        </w:rPr>
      </w:pPr>
      <w:r w:rsidRPr="00075C9B">
        <w:rPr>
          <w:rFonts w:asciiTheme="minorHAnsi" w:hAnsiTheme="minorHAnsi" w:cstheme="minorHAnsi"/>
          <w:sz w:val="22"/>
          <w:szCs w:val="22"/>
          <w:shd w:val="clear" w:color="auto" w:fill="FFFFFF"/>
        </w:rPr>
        <w:t>A</w:t>
      </w:r>
      <w:r w:rsidR="008A434C" w:rsidRPr="00075C9B">
        <w:rPr>
          <w:rFonts w:asciiTheme="minorHAnsi" w:hAnsiTheme="minorHAnsi" w:cstheme="minorHAnsi"/>
          <w:sz w:val="22"/>
          <w:szCs w:val="22"/>
          <w:shd w:val="clear" w:color="auto" w:fill="FFFFFF"/>
        </w:rPr>
        <w:t xml:space="preserve">lthough employers are required to </w:t>
      </w:r>
      <w:r w:rsidR="007218E6" w:rsidRPr="00075C9B">
        <w:rPr>
          <w:rFonts w:asciiTheme="minorHAnsi" w:hAnsiTheme="minorHAnsi" w:cstheme="minorHAnsi"/>
          <w:sz w:val="22"/>
          <w:szCs w:val="22"/>
          <w:shd w:val="clear" w:color="auto" w:fill="FFFFFF"/>
        </w:rPr>
        <w:t xml:space="preserve">abide by fair recruitment </w:t>
      </w:r>
      <w:r w:rsidRPr="00075C9B">
        <w:rPr>
          <w:rFonts w:asciiTheme="minorHAnsi" w:hAnsiTheme="minorHAnsi" w:cstheme="minorHAnsi"/>
          <w:sz w:val="22"/>
          <w:szCs w:val="22"/>
          <w:shd w:val="clear" w:color="auto" w:fill="FFFFFF"/>
        </w:rPr>
        <w:t xml:space="preserve">during recruitment activities, </w:t>
      </w:r>
      <w:r w:rsidR="00F825E4" w:rsidRPr="00075C9B">
        <w:rPr>
          <w:rFonts w:asciiTheme="minorHAnsi" w:hAnsiTheme="minorHAnsi" w:cstheme="minorHAnsi"/>
          <w:sz w:val="22"/>
          <w:szCs w:val="22"/>
        </w:rPr>
        <w:t>The Equality Act 2010 allows employees with protected characteristics to be restricted from applying for jobs where there is an 'occupational requirement', for example a bar worker advert may state an individual ages 18 or over may be required due to the requirement of serving alcohol.</w:t>
      </w:r>
      <w:r w:rsidR="00F825E4" w:rsidRPr="00075C9B">
        <w:rPr>
          <w:rFonts w:asciiTheme="minorHAnsi" w:hAnsiTheme="minorHAnsi" w:cstheme="minorHAnsi"/>
          <w:sz w:val="22"/>
          <w:szCs w:val="22"/>
          <w:shd w:val="clear" w:color="auto" w:fill="FFFFFF"/>
        </w:rPr>
        <w:t xml:space="preserve"> </w:t>
      </w:r>
      <w:r w:rsidR="001B1623">
        <w:rPr>
          <w:rFonts w:asciiTheme="minorHAnsi" w:hAnsiTheme="minorHAnsi" w:cstheme="minorHAnsi"/>
          <w:sz w:val="22"/>
          <w:szCs w:val="22"/>
          <w:shd w:val="clear" w:color="auto" w:fill="FFFFFF"/>
        </w:rPr>
        <w:t>C</w:t>
      </w:r>
      <w:r w:rsidR="00225B7C" w:rsidRPr="00075C9B">
        <w:rPr>
          <w:rFonts w:asciiTheme="minorHAnsi" w:hAnsiTheme="minorHAnsi" w:cstheme="minorHAnsi"/>
          <w:sz w:val="22"/>
          <w:szCs w:val="22"/>
          <w:shd w:val="clear" w:color="auto" w:fill="FFFFFF"/>
        </w:rPr>
        <w:t xml:space="preserve">urrent legislation </w:t>
      </w:r>
      <w:r w:rsidR="00225B7C">
        <w:rPr>
          <w:rFonts w:asciiTheme="minorHAnsi" w:hAnsiTheme="minorHAnsi" w:cstheme="minorHAnsi"/>
          <w:sz w:val="22"/>
          <w:szCs w:val="22"/>
          <w:shd w:val="clear" w:color="auto" w:fill="FFFFFF"/>
        </w:rPr>
        <w:t xml:space="preserve">on protected characteristics </w:t>
      </w:r>
      <w:r w:rsidR="00225B7C" w:rsidRPr="00075C9B">
        <w:rPr>
          <w:rFonts w:asciiTheme="minorHAnsi" w:hAnsiTheme="minorHAnsi" w:cstheme="minorHAnsi"/>
          <w:sz w:val="22"/>
          <w:szCs w:val="22"/>
          <w:shd w:val="clear" w:color="auto" w:fill="FFFFFF"/>
        </w:rPr>
        <w:t>sets out a "genuine occupational requirement" (GOR) defence</w:t>
      </w:r>
      <w:r w:rsidR="001B1623">
        <w:rPr>
          <w:rFonts w:asciiTheme="minorHAnsi" w:hAnsiTheme="minorHAnsi" w:cstheme="minorHAnsi"/>
          <w:sz w:val="22"/>
          <w:szCs w:val="22"/>
          <w:shd w:val="clear" w:color="auto" w:fill="FFFFFF"/>
        </w:rPr>
        <w:t xml:space="preserve"> for employees who require a specific individual in order to fit the needs of a role</w:t>
      </w:r>
      <w:r w:rsidR="00857E58">
        <w:rPr>
          <w:rFonts w:asciiTheme="minorHAnsi" w:hAnsiTheme="minorHAnsi" w:cstheme="minorHAnsi"/>
          <w:sz w:val="22"/>
          <w:szCs w:val="22"/>
          <w:shd w:val="clear" w:color="auto" w:fill="FFFFFF"/>
        </w:rPr>
        <w:t xml:space="preserve"> (</w:t>
      </w:r>
      <w:proofErr w:type="spellStart"/>
      <w:r w:rsidR="00857E58">
        <w:rPr>
          <w:rFonts w:asciiTheme="minorHAnsi" w:hAnsiTheme="minorHAnsi" w:cstheme="minorHAnsi"/>
          <w:sz w:val="22"/>
          <w:szCs w:val="22"/>
          <w:shd w:val="clear" w:color="auto" w:fill="FFFFFF"/>
        </w:rPr>
        <w:t>acas</w:t>
      </w:r>
      <w:proofErr w:type="spellEnd"/>
      <w:r w:rsidR="00857E58">
        <w:rPr>
          <w:rFonts w:asciiTheme="minorHAnsi" w:hAnsiTheme="minorHAnsi" w:cstheme="minorHAnsi"/>
          <w:sz w:val="22"/>
          <w:szCs w:val="22"/>
          <w:shd w:val="clear" w:color="auto" w:fill="FFFFFF"/>
        </w:rPr>
        <w:t xml:space="preserve">, 2022). </w:t>
      </w:r>
    </w:p>
    <w:p w14:paraId="58A4958F" w14:textId="77777777" w:rsidR="00F06666" w:rsidRDefault="00F06666" w:rsidP="00F06666">
      <w:pPr>
        <w:pStyle w:val="NormalWeb"/>
        <w:spacing w:after="0"/>
        <w:rPr>
          <w:rFonts w:asciiTheme="minorHAnsi" w:hAnsiTheme="minorHAnsi" w:cstheme="minorHAnsi"/>
          <w:sz w:val="22"/>
          <w:szCs w:val="22"/>
          <w:shd w:val="clear" w:color="auto" w:fill="FFFFFF"/>
        </w:rPr>
      </w:pPr>
    </w:p>
    <w:p w14:paraId="11F521E8" w14:textId="24601BB6" w:rsidR="00B53D6B" w:rsidRPr="00E1428B" w:rsidRDefault="00386AA7" w:rsidP="00E1428B">
      <w:pPr>
        <w:pStyle w:val="NormalWeb"/>
        <w:numPr>
          <w:ilvl w:val="0"/>
          <w:numId w:val="29"/>
        </w:numPr>
        <w:spacing w:after="0"/>
        <w:rPr>
          <w:rFonts w:asciiTheme="minorHAnsi" w:hAnsiTheme="minorHAnsi" w:cstheme="minorHAnsi"/>
          <w:b/>
          <w:sz w:val="22"/>
          <w:szCs w:val="22"/>
        </w:rPr>
      </w:pPr>
      <w:r w:rsidRPr="00E1428B">
        <w:rPr>
          <w:rFonts w:asciiTheme="minorHAnsi" w:hAnsiTheme="minorHAnsi" w:cstheme="minorHAnsi"/>
          <w:b/>
          <w:sz w:val="22"/>
          <w:szCs w:val="22"/>
        </w:rPr>
        <w:t>Equal pay (AC 2.2)</w:t>
      </w:r>
      <w:r w:rsidR="00E1428B">
        <w:rPr>
          <w:rFonts w:asciiTheme="minorHAnsi" w:hAnsiTheme="minorHAnsi" w:cstheme="minorHAnsi"/>
          <w:b/>
          <w:sz w:val="22"/>
          <w:szCs w:val="22"/>
        </w:rPr>
        <w:t xml:space="preserve"> </w:t>
      </w:r>
    </w:p>
    <w:p w14:paraId="70D46C78" w14:textId="77777777" w:rsidR="006B7513" w:rsidRDefault="00BC4668" w:rsidP="0051454B">
      <w:pPr>
        <w:spacing w:before="120"/>
        <w:ind w:left="360"/>
        <w:rPr>
          <w:rFonts w:asciiTheme="minorHAnsi" w:eastAsia="Times New Roman" w:hAnsiTheme="minorHAnsi" w:cstheme="minorHAnsi"/>
          <w:color w:val="000000"/>
          <w:lang w:eastAsia="en-GB"/>
        </w:rPr>
      </w:pPr>
      <w:r w:rsidRPr="005A2C61">
        <w:rPr>
          <w:rFonts w:asciiTheme="minorHAnsi" w:hAnsiTheme="minorHAnsi" w:cstheme="minorHAnsi"/>
          <w:shd w:val="clear" w:color="auto" w:fill="FFFFFF"/>
        </w:rPr>
        <w:t xml:space="preserve">The Equality Act 2010 </w:t>
      </w:r>
      <w:r w:rsidR="00100DA8" w:rsidRPr="005A2C61">
        <w:rPr>
          <w:rFonts w:asciiTheme="minorHAnsi" w:hAnsiTheme="minorHAnsi" w:cstheme="minorHAnsi"/>
          <w:shd w:val="clear" w:color="auto" w:fill="FFFFFF"/>
        </w:rPr>
        <w:t xml:space="preserve">was established to allow </w:t>
      </w:r>
      <w:r w:rsidRPr="005A2C61">
        <w:rPr>
          <w:rFonts w:asciiTheme="minorHAnsi" w:hAnsiTheme="minorHAnsi" w:cstheme="minorHAnsi"/>
          <w:shd w:val="clear" w:color="auto" w:fill="FFFFFF"/>
        </w:rPr>
        <w:t>both women and men the right to equal pay for equal work, with women and men being legally entitled to be paid at the same rate for like work, work rated as equivalent, and work of equal value</w:t>
      </w:r>
      <w:r w:rsidR="005A2C61" w:rsidRPr="005A2C61">
        <w:rPr>
          <w:rFonts w:asciiTheme="minorHAnsi" w:hAnsiTheme="minorHAnsi" w:cstheme="minorHAnsi"/>
          <w:shd w:val="clear" w:color="auto" w:fill="FFFFFF"/>
        </w:rPr>
        <w:t xml:space="preserve"> (CIPD, 2022). </w:t>
      </w:r>
      <w:r w:rsidR="00406F11" w:rsidRPr="00406F11">
        <w:rPr>
          <w:rFonts w:asciiTheme="minorHAnsi" w:eastAsia="Times New Roman" w:hAnsiTheme="minorHAnsi" w:cstheme="minorHAnsi"/>
          <w:color w:val="000000"/>
          <w:lang w:eastAsia="en-GB"/>
        </w:rPr>
        <w:t>Equal pay law applies to pay and terms and conditions of employment, including</w:t>
      </w:r>
      <w:r w:rsidR="00FA207E">
        <w:rPr>
          <w:rFonts w:asciiTheme="minorHAnsi" w:eastAsia="Times New Roman" w:hAnsiTheme="minorHAnsi" w:cstheme="minorHAnsi"/>
          <w:color w:val="000000"/>
          <w:lang w:eastAsia="en-GB"/>
        </w:rPr>
        <w:t xml:space="preserve"> basic salary, pension schemes, working hours, </w:t>
      </w:r>
      <w:r w:rsidR="00211660">
        <w:rPr>
          <w:rFonts w:asciiTheme="minorHAnsi" w:eastAsia="Times New Roman" w:hAnsiTheme="minorHAnsi" w:cstheme="minorHAnsi"/>
          <w:color w:val="000000"/>
          <w:lang w:eastAsia="en-GB"/>
        </w:rPr>
        <w:t>holiday allowances including holiday pay, over time pay, redundancy and any performance related pay such as bonuses</w:t>
      </w:r>
      <w:r w:rsidR="00050606">
        <w:rPr>
          <w:rFonts w:asciiTheme="minorHAnsi" w:eastAsia="Times New Roman" w:hAnsiTheme="minorHAnsi" w:cstheme="minorHAnsi"/>
          <w:color w:val="000000"/>
          <w:lang w:eastAsia="en-GB"/>
        </w:rPr>
        <w:t xml:space="preserve"> or benefits that are in the contact of employment. </w:t>
      </w:r>
    </w:p>
    <w:p w14:paraId="0AE61972" w14:textId="77777777" w:rsidR="006B7513" w:rsidRDefault="006B7513" w:rsidP="0051454B">
      <w:pPr>
        <w:spacing w:before="120"/>
        <w:ind w:left="360"/>
        <w:rPr>
          <w:rFonts w:asciiTheme="minorHAnsi" w:eastAsia="Times New Roman" w:hAnsiTheme="minorHAnsi" w:cstheme="minorHAnsi"/>
          <w:color w:val="000000"/>
          <w:lang w:eastAsia="en-GB"/>
        </w:rPr>
      </w:pPr>
    </w:p>
    <w:p w14:paraId="32E99B32" w14:textId="20522870" w:rsidR="00EB1830" w:rsidRPr="006B7513" w:rsidRDefault="00C823FF" w:rsidP="0051454B">
      <w:pPr>
        <w:spacing w:before="120"/>
        <w:ind w:left="360"/>
        <w:rPr>
          <w:rFonts w:asciiTheme="minorHAnsi" w:eastAsia="Times New Roman" w:hAnsiTheme="minorHAnsi" w:cstheme="minorHAnsi"/>
          <w:color w:val="000000"/>
          <w:lang w:eastAsia="en-GB"/>
        </w:rPr>
      </w:pPr>
      <w:r>
        <w:rPr>
          <w:rFonts w:asciiTheme="minorHAnsi" w:hAnsiTheme="minorHAnsi" w:cstheme="minorHAnsi"/>
          <w:shd w:val="clear" w:color="auto" w:fill="FFFFFF"/>
        </w:rPr>
        <w:t xml:space="preserve">Both full and part time employees </w:t>
      </w:r>
      <w:r w:rsidR="001B25EB">
        <w:rPr>
          <w:rFonts w:asciiTheme="minorHAnsi" w:hAnsiTheme="minorHAnsi" w:cstheme="minorHAnsi"/>
          <w:shd w:val="clear" w:color="auto" w:fill="FFFFFF"/>
        </w:rPr>
        <w:t xml:space="preserve">are entitled to </w:t>
      </w:r>
      <w:r w:rsidR="00251D7F">
        <w:rPr>
          <w:rFonts w:asciiTheme="minorHAnsi" w:hAnsiTheme="minorHAnsi" w:cstheme="minorHAnsi"/>
          <w:shd w:val="clear" w:color="auto" w:fill="FFFFFF"/>
        </w:rPr>
        <w:t xml:space="preserve">receive </w:t>
      </w:r>
      <w:r w:rsidR="001B25EB">
        <w:rPr>
          <w:rFonts w:asciiTheme="minorHAnsi" w:hAnsiTheme="minorHAnsi" w:cstheme="minorHAnsi"/>
          <w:shd w:val="clear" w:color="auto" w:fill="FFFFFF"/>
        </w:rPr>
        <w:t xml:space="preserve">equal </w:t>
      </w:r>
      <w:r w:rsidR="00251D7F">
        <w:rPr>
          <w:rFonts w:asciiTheme="minorHAnsi" w:hAnsiTheme="minorHAnsi" w:cstheme="minorHAnsi"/>
          <w:shd w:val="clear" w:color="auto" w:fill="FFFFFF"/>
        </w:rPr>
        <w:t>pay and benefits</w:t>
      </w:r>
      <w:r w:rsidR="001B25EB">
        <w:rPr>
          <w:rFonts w:asciiTheme="minorHAnsi" w:hAnsiTheme="minorHAnsi" w:cstheme="minorHAnsi"/>
          <w:shd w:val="clear" w:color="auto" w:fill="FFFFFF"/>
        </w:rPr>
        <w:t xml:space="preserve"> in proportion to each individuals contracted hours</w:t>
      </w:r>
      <w:r w:rsidR="00526ADD">
        <w:rPr>
          <w:rFonts w:asciiTheme="minorHAnsi" w:hAnsiTheme="minorHAnsi" w:cstheme="minorHAnsi"/>
          <w:shd w:val="clear" w:color="auto" w:fill="FFFFFF"/>
        </w:rPr>
        <w:t>. “</w:t>
      </w:r>
      <w:r w:rsidR="00F85D72">
        <w:t xml:space="preserve">This will avoid the risk of the employer putting part-time </w:t>
      </w:r>
      <w:r w:rsidR="00F85D72">
        <w:lastRenderedPageBreak/>
        <w:t>workers who share a protected characteristic at a disadvantage that could amount to unjustifiable indirect discrimination or that could be unlawful under the Part Time Workers</w:t>
      </w:r>
      <w:r w:rsidR="004F3E2C">
        <w:t xml:space="preserve"> Regulations 2000” (CIPD 2022)</w:t>
      </w:r>
      <w:r w:rsidR="00042586">
        <w:t>, however a</w:t>
      </w:r>
      <w:r>
        <w:t xml:space="preserve">n exception </w:t>
      </w:r>
      <w:r w:rsidR="00D2794C">
        <w:t>with</w:t>
      </w:r>
      <w:r>
        <w:t>in t</w:t>
      </w:r>
      <w:r w:rsidR="00D2794C">
        <w:t>his</w:t>
      </w:r>
      <w:r>
        <w:t xml:space="preserve"> Act</w:t>
      </w:r>
      <w:r w:rsidR="00D2794C">
        <w:t xml:space="preserve"> </w:t>
      </w:r>
      <w:r>
        <w:t>allows employers to base their pay structures for young workers on the pay bands set out in the National Minimum Wage Regulations 1999</w:t>
      </w:r>
      <w:r w:rsidR="00CB6306">
        <w:t xml:space="preserve"> which are set pay bands for age categories. </w:t>
      </w:r>
    </w:p>
    <w:p w14:paraId="086110D2" w14:textId="77777777" w:rsidR="00EB1830" w:rsidRDefault="00EB1830" w:rsidP="0051454B">
      <w:pPr>
        <w:spacing w:before="120"/>
        <w:ind w:left="360"/>
      </w:pPr>
    </w:p>
    <w:p w14:paraId="37C81DA4" w14:textId="35B45ED7" w:rsidR="00AE24AB" w:rsidRPr="00EB1830" w:rsidRDefault="00432F2A" w:rsidP="0051454B">
      <w:pPr>
        <w:spacing w:before="120"/>
        <w:ind w:left="360"/>
        <w:rPr>
          <w:rFonts w:asciiTheme="minorHAnsi" w:eastAsia="Times New Roman" w:hAnsiTheme="minorHAnsi" w:cstheme="minorHAnsi"/>
          <w:color w:val="000000"/>
          <w:lang w:eastAsia="en-GB"/>
        </w:rPr>
      </w:pPr>
      <w:r>
        <w:rPr>
          <w:rFonts w:asciiTheme="minorHAnsi" w:hAnsiTheme="minorHAnsi" w:cstheme="minorHAnsi"/>
          <w:shd w:val="clear" w:color="auto" w:fill="FFFFFF"/>
        </w:rPr>
        <w:t xml:space="preserve">In some cases, employers may be able to argue a defence </w:t>
      </w:r>
      <w:r w:rsidR="00354A89">
        <w:rPr>
          <w:rFonts w:asciiTheme="minorHAnsi" w:hAnsiTheme="minorHAnsi" w:cstheme="minorHAnsi"/>
          <w:shd w:val="clear" w:color="auto" w:fill="FFFFFF"/>
        </w:rPr>
        <w:t>in relation to awarding equal pay to workers</w:t>
      </w:r>
      <w:r w:rsidR="00917813">
        <w:rPr>
          <w:rFonts w:asciiTheme="minorHAnsi" w:hAnsiTheme="minorHAnsi" w:cstheme="minorHAnsi"/>
          <w:shd w:val="clear" w:color="auto" w:fill="FFFFFF"/>
        </w:rPr>
        <w:t xml:space="preserve"> which is typically referred to as</w:t>
      </w:r>
      <w:r w:rsidR="00B66421">
        <w:rPr>
          <w:rFonts w:asciiTheme="minorHAnsi" w:hAnsiTheme="minorHAnsi" w:cstheme="minorHAnsi"/>
          <w:shd w:val="clear" w:color="auto" w:fill="FFFFFF"/>
        </w:rPr>
        <w:t xml:space="preserve"> the</w:t>
      </w:r>
      <w:r w:rsidR="00917813">
        <w:rPr>
          <w:rFonts w:asciiTheme="minorHAnsi" w:hAnsiTheme="minorHAnsi" w:cstheme="minorHAnsi"/>
          <w:shd w:val="clear" w:color="auto" w:fill="FFFFFF"/>
        </w:rPr>
        <w:t xml:space="preserve"> ‘</w:t>
      </w:r>
      <w:r w:rsidR="0006567E">
        <w:rPr>
          <w:rFonts w:asciiTheme="minorHAnsi" w:hAnsiTheme="minorHAnsi" w:cstheme="minorHAnsi"/>
          <w:shd w:val="clear" w:color="auto" w:fill="FFFFFF"/>
        </w:rPr>
        <w:t>Material Factors’</w:t>
      </w:r>
      <w:r w:rsidR="00B66421">
        <w:rPr>
          <w:rFonts w:asciiTheme="minorHAnsi" w:hAnsiTheme="minorHAnsi" w:cstheme="minorHAnsi"/>
          <w:shd w:val="clear" w:color="auto" w:fill="FFFFFF"/>
        </w:rPr>
        <w:t xml:space="preserve"> defence</w:t>
      </w:r>
      <w:r w:rsidR="0006567E">
        <w:rPr>
          <w:rFonts w:asciiTheme="minorHAnsi" w:hAnsiTheme="minorHAnsi" w:cstheme="minorHAnsi"/>
          <w:shd w:val="clear" w:color="auto" w:fill="FFFFFF"/>
        </w:rPr>
        <w:t xml:space="preserve">. This term argues the </w:t>
      </w:r>
      <w:r w:rsidR="000E3EA0">
        <w:rPr>
          <w:rFonts w:asciiTheme="minorHAnsi" w:hAnsiTheme="minorHAnsi" w:cstheme="minorHAnsi"/>
          <w:shd w:val="clear" w:color="auto" w:fill="FFFFFF"/>
        </w:rPr>
        <w:t>reason</w:t>
      </w:r>
      <w:r w:rsidR="007178D0">
        <w:rPr>
          <w:rFonts w:asciiTheme="minorHAnsi" w:hAnsiTheme="minorHAnsi" w:cstheme="minorHAnsi"/>
          <w:shd w:val="clear" w:color="auto" w:fill="FFFFFF"/>
        </w:rPr>
        <w:t xml:space="preserve"> behind a possible difference in terms and conditions of workers</w:t>
      </w:r>
      <w:r w:rsidR="0014308B">
        <w:rPr>
          <w:rFonts w:asciiTheme="minorHAnsi" w:hAnsiTheme="minorHAnsi" w:cstheme="minorHAnsi"/>
          <w:shd w:val="clear" w:color="auto" w:fill="FFFFFF"/>
        </w:rPr>
        <w:t xml:space="preserve">, however this needs to be a genuine reason, and should a case be brought to </w:t>
      </w:r>
      <w:r w:rsidR="00DE445B">
        <w:rPr>
          <w:rFonts w:asciiTheme="minorHAnsi" w:hAnsiTheme="minorHAnsi" w:cstheme="minorHAnsi"/>
          <w:shd w:val="clear" w:color="auto" w:fill="FFFFFF"/>
        </w:rPr>
        <w:t xml:space="preserve">tribunal, it must be </w:t>
      </w:r>
      <w:r w:rsidR="000203FB">
        <w:rPr>
          <w:rFonts w:asciiTheme="minorHAnsi" w:hAnsiTheme="minorHAnsi" w:cstheme="minorHAnsi"/>
          <w:shd w:val="clear" w:color="auto" w:fill="FFFFFF"/>
        </w:rPr>
        <w:t>proven to be based on genuine circumstances</w:t>
      </w:r>
      <w:r w:rsidR="00825A00">
        <w:rPr>
          <w:rFonts w:asciiTheme="minorHAnsi" w:hAnsiTheme="minorHAnsi" w:cstheme="minorHAnsi"/>
          <w:shd w:val="clear" w:color="auto" w:fill="FFFFFF"/>
        </w:rPr>
        <w:t xml:space="preserve"> in order to win. </w:t>
      </w:r>
      <w:r w:rsidR="00AF365B">
        <w:rPr>
          <w:rFonts w:asciiTheme="minorHAnsi" w:hAnsiTheme="minorHAnsi" w:cstheme="minorHAnsi"/>
          <w:shd w:val="clear" w:color="auto" w:fill="FFFFFF"/>
        </w:rPr>
        <w:t>Defences</w:t>
      </w:r>
      <w:r w:rsidR="00E542B2">
        <w:rPr>
          <w:rFonts w:asciiTheme="minorHAnsi" w:hAnsiTheme="minorHAnsi" w:cstheme="minorHAnsi"/>
          <w:shd w:val="clear" w:color="auto" w:fill="FFFFFF"/>
        </w:rPr>
        <w:t xml:space="preserve"> against equal pay can be related to a number of factors, such as employees </w:t>
      </w:r>
      <w:r w:rsidR="00AF365B">
        <w:rPr>
          <w:rFonts w:asciiTheme="minorHAnsi" w:hAnsiTheme="minorHAnsi" w:cstheme="minorHAnsi"/>
          <w:shd w:val="clear" w:color="auto" w:fill="FFFFFF"/>
        </w:rPr>
        <w:t xml:space="preserve">working under </w:t>
      </w:r>
      <w:r w:rsidR="00E542B2">
        <w:rPr>
          <w:rFonts w:asciiTheme="minorHAnsi" w:hAnsiTheme="minorHAnsi" w:cstheme="minorHAnsi"/>
          <w:shd w:val="clear" w:color="auto" w:fill="FFFFFF"/>
        </w:rPr>
        <w:t xml:space="preserve">different </w:t>
      </w:r>
      <w:r w:rsidR="00AF365B">
        <w:rPr>
          <w:rFonts w:asciiTheme="minorHAnsi" w:hAnsiTheme="minorHAnsi" w:cstheme="minorHAnsi"/>
          <w:shd w:val="clear" w:color="auto" w:fill="FFFFFF"/>
        </w:rPr>
        <w:t>negotiating</w:t>
      </w:r>
      <w:r w:rsidR="00E542B2">
        <w:rPr>
          <w:rFonts w:asciiTheme="minorHAnsi" w:hAnsiTheme="minorHAnsi" w:cstheme="minorHAnsi"/>
          <w:shd w:val="clear" w:color="auto" w:fill="FFFFFF"/>
        </w:rPr>
        <w:t xml:space="preserve"> groups, </w:t>
      </w:r>
      <w:r w:rsidR="009F0C62">
        <w:rPr>
          <w:rFonts w:asciiTheme="minorHAnsi" w:hAnsiTheme="minorHAnsi" w:cstheme="minorHAnsi"/>
          <w:shd w:val="clear" w:color="auto" w:fill="FFFFFF"/>
        </w:rPr>
        <w:t xml:space="preserve">the experience or knowledge levels of workers, </w:t>
      </w:r>
      <w:r w:rsidR="00AD278B">
        <w:rPr>
          <w:rFonts w:asciiTheme="minorHAnsi" w:hAnsiTheme="minorHAnsi" w:cstheme="minorHAnsi"/>
          <w:shd w:val="clear" w:color="auto" w:fill="FFFFFF"/>
        </w:rPr>
        <w:t xml:space="preserve">red circling processes </w:t>
      </w:r>
      <w:r w:rsidR="00EB1830">
        <w:rPr>
          <w:rFonts w:asciiTheme="minorHAnsi" w:hAnsiTheme="minorHAnsi" w:cstheme="minorHAnsi"/>
          <w:shd w:val="clear" w:color="auto" w:fill="FFFFFF"/>
        </w:rPr>
        <w:t>whereby</w:t>
      </w:r>
      <w:r w:rsidR="00AD278B">
        <w:rPr>
          <w:rFonts w:asciiTheme="minorHAnsi" w:hAnsiTheme="minorHAnsi" w:cstheme="minorHAnsi"/>
          <w:shd w:val="clear" w:color="auto" w:fill="FFFFFF"/>
        </w:rPr>
        <w:t xml:space="preserve"> staff </w:t>
      </w:r>
      <w:r w:rsidR="00D55A49">
        <w:rPr>
          <w:rFonts w:asciiTheme="minorHAnsi" w:hAnsiTheme="minorHAnsi" w:cstheme="minorHAnsi"/>
          <w:shd w:val="clear" w:color="auto" w:fill="FFFFFF"/>
        </w:rPr>
        <w:t xml:space="preserve">have their pay protected for a certain timeframe, or </w:t>
      </w:r>
      <w:r w:rsidR="00B349A7">
        <w:rPr>
          <w:rFonts w:asciiTheme="minorHAnsi" w:hAnsiTheme="minorHAnsi" w:cstheme="minorHAnsi"/>
          <w:shd w:val="clear" w:color="auto" w:fill="FFFFFF"/>
        </w:rPr>
        <w:t xml:space="preserve">if </w:t>
      </w:r>
      <w:r w:rsidR="00D55A49">
        <w:rPr>
          <w:rFonts w:asciiTheme="minorHAnsi" w:hAnsiTheme="minorHAnsi" w:cstheme="minorHAnsi"/>
          <w:shd w:val="clear" w:color="auto" w:fill="FFFFFF"/>
        </w:rPr>
        <w:t xml:space="preserve">the base location </w:t>
      </w:r>
      <w:r w:rsidR="00B349A7">
        <w:rPr>
          <w:rFonts w:asciiTheme="minorHAnsi" w:hAnsiTheme="minorHAnsi" w:cstheme="minorHAnsi"/>
          <w:shd w:val="clear" w:color="auto" w:fill="FFFFFF"/>
        </w:rPr>
        <w:t xml:space="preserve">of </w:t>
      </w:r>
      <w:r w:rsidR="00D55A49">
        <w:rPr>
          <w:rFonts w:asciiTheme="minorHAnsi" w:hAnsiTheme="minorHAnsi" w:cstheme="minorHAnsi"/>
          <w:shd w:val="clear" w:color="auto" w:fill="FFFFFF"/>
        </w:rPr>
        <w:t xml:space="preserve">workers </w:t>
      </w:r>
      <w:r w:rsidR="00B349A7">
        <w:rPr>
          <w:rFonts w:asciiTheme="minorHAnsi" w:hAnsiTheme="minorHAnsi" w:cstheme="minorHAnsi"/>
          <w:shd w:val="clear" w:color="auto" w:fill="FFFFFF"/>
        </w:rPr>
        <w:t>are different</w:t>
      </w:r>
      <w:r w:rsidR="00AE24AB">
        <w:rPr>
          <w:rFonts w:asciiTheme="minorHAnsi" w:hAnsiTheme="minorHAnsi" w:cstheme="minorHAnsi"/>
          <w:shd w:val="clear" w:color="auto" w:fill="FFFFFF"/>
        </w:rPr>
        <w:t xml:space="preserve"> </w:t>
      </w:r>
      <w:r w:rsidR="00AE24AB">
        <w:rPr>
          <w:rFonts w:cs="Calibri"/>
          <w:bCs/>
          <w:color w:val="000000"/>
        </w:rPr>
        <w:t>(Daniels, CIPD, 2019).</w:t>
      </w:r>
    </w:p>
    <w:p w14:paraId="3BBFAB99" w14:textId="1325F239" w:rsidR="005A2C61" w:rsidRDefault="005A2C61" w:rsidP="0051454B">
      <w:pPr>
        <w:spacing w:before="120"/>
        <w:ind w:left="360"/>
        <w:rPr>
          <w:rFonts w:asciiTheme="minorHAnsi" w:hAnsiTheme="minorHAnsi" w:cstheme="minorHAnsi"/>
          <w:shd w:val="clear" w:color="auto" w:fill="FFFFFF"/>
        </w:rPr>
      </w:pPr>
    </w:p>
    <w:p w14:paraId="11F521EA" w14:textId="636884E8" w:rsidR="00B53D6B" w:rsidRDefault="00D01394" w:rsidP="0051454B">
      <w:pPr>
        <w:spacing w:before="120"/>
        <w:ind w:left="360"/>
      </w:pPr>
      <w:r>
        <w:t>According to t</w:t>
      </w:r>
      <w:r w:rsidR="00B87AD1">
        <w:t xml:space="preserve">he most recent updated employment law </w:t>
      </w:r>
      <w:r w:rsidR="007F393D">
        <w:t xml:space="preserve">guide </w:t>
      </w:r>
      <w:r w:rsidR="00B87AD1">
        <w:t>from CIPD, “</w:t>
      </w:r>
      <w:r w:rsidR="00C1038E">
        <w:t>Asda lost its appeal to the Supreme Court in a long-running case concerning equal pay claims made by some 35,000 female store-based staff using mainly male warehouse workers as their comparators. The company had argued that they could not use these men as their comparators as the two groups did not work under ‘common terms and conditions</w:t>
      </w:r>
      <w:r w:rsidR="008F0F0E">
        <w:t>”</w:t>
      </w:r>
      <w:r w:rsidR="00B11397">
        <w:t xml:space="preserve"> (CIPD, 2022). </w:t>
      </w:r>
    </w:p>
    <w:p w14:paraId="21D7C80D" w14:textId="77777777" w:rsidR="00EB1830" w:rsidRDefault="00EB1830" w:rsidP="0051454B">
      <w:pPr>
        <w:spacing w:before="120"/>
        <w:ind w:left="360"/>
      </w:pPr>
    </w:p>
    <w:p w14:paraId="3A4910B6" w14:textId="767F0DAB" w:rsidR="00EB1830" w:rsidRPr="005A2C61" w:rsidRDefault="007F0A91" w:rsidP="0051454B">
      <w:pPr>
        <w:spacing w:before="120"/>
        <w:ind w:left="360"/>
        <w:rPr>
          <w:rFonts w:asciiTheme="minorHAnsi" w:hAnsiTheme="minorHAnsi" w:cstheme="minorHAnsi"/>
        </w:rPr>
      </w:pPr>
      <w:r>
        <w:t xml:space="preserve">Employers are encouraged to conduct regular equal pay reviews to ensure </w:t>
      </w:r>
      <w:r w:rsidR="00E24AF2">
        <w:t xml:space="preserve">compliance, </w:t>
      </w:r>
      <w:r w:rsidR="00F867CD">
        <w:t xml:space="preserve">which is backed up by The Enterprise and Regulatory </w:t>
      </w:r>
      <w:r w:rsidR="0091083E">
        <w:t xml:space="preserve">Reform Act </w:t>
      </w:r>
      <w:r w:rsidR="00F867CD">
        <w:t>legislation</w:t>
      </w:r>
      <w:r w:rsidR="0091083E">
        <w:t xml:space="preserve">. This piece of legislation that was brought in back in 2014 </w:t>
      </w:r>
      <w:r w:rsidR="00AB7298">
        <w:t xml:space="preserve">ensures that, should an organisation </w:t>
      </w:r>
      <w:r w:rsidR="005E3E44">
        <w:t>lose</w:t>
      </w:r>
      <w:r w:rsidR="002D36A7">
        <w:t xml:space="preserve"> an equal pay claim they will be ordered to carry out </w:t>
      </w:r>
      <w:r w:rsidR="007636EA">
        <w:t>a pay review audit. The Employment Tribunal will give the organisation a timeframe whereby said audit will need to be completed by</w:t>
      </w:r>
      <w:r w:rsidR="00D34628">
        <w:t xml:space="preserve"> in order for the organisation to publish their results on their web page for </w:t>
      </w:r>
      <w:r w:rsidR="005E3E44">
        <w:t xml:space="preserve">the public to view for up to 3 years later </w:t>
      </w:r>
      <w:r w:rsidR="005E3E44">
        <w:rPr>
          <w:rFonts w:cs="Calibri"/>
          <w:bCs/>
          <w:color w:val="000000"/>
        </w:rPr>
        <w:t>(Daniels, CIPD, 2019).</w:t>
      </w:r>
    </w:p>
    <w:p w14:paraId="11F521EB" w14:textId="77777777" w:rsidR="00B53D6B" w:rsidRDefault="00B53D6B" w:rsidP="0051454B">
      <w:pPr>
        <w:pStyle w:val="Standard"/>
        <w:spacing w:line="240" w:lineRule="auto"/>
        <w:rPr>
          <w:b/>
        </w:rPr>
      </w:pPr>
    </w:p>
    <w:p w14:paraId="173B1D31" w14:textId="77777777" w:rsidR="008820ED" w:rsidRDefault="008820ED">
      <w:pPr>
        <w:pStyle w:val="Standard"/>
        <w:rPr>
          <w:b/>
        </w:rPr>
      </w:pPr>
    </w:p>
    <w:p w14:paraId="11F521EE" w14:textId="68BB765A" w:rsidR="00B53D6B" w:rsidRDefault="00386AA7">
      <w:pPr>
        <w:pStyle w:val="Standard"/>
        <w:rPr>
          <w:b/>
        </w:rPr>
      </w:pPr>
      <w:r>
        <w:rPr>
          <w:b/>
        </w:rPr>
        <w:t>Word count:</w:t>
      </w:r>
      <w:r w:rsidR="008820ED">
        <w:rPr>
          <w:b/>
        </w:rPr>
        <w:t xml:space="preserve"> 3</w:t>
      </w:r>
      <w:r w:rsidR="00DA02B6">
        <w:rPr>
          <w:b/>
        </w:rPr>
        <w:t xml:space="preserve">,384 </w:t>
      </w:r>
    </w:p>
    <w:p w14:paraId="11F521EF" w14:textId="77777777" w:rsidR="00B53D6B" w:rsidRDefault="00B53D6B">
      <w:pPr>
        <w:pStyle w:val="Standard"/>
        <w:rPr>
          <w:b/>
          <w:u w:val="single"/>
        </w:rPr>
      </w:pPr>
    </w:p>
    <w:p w14:paraId="11F521F0" w14:textId="77777777" w:rsidR="00B53D6B" w:rsidRDefault="00B53D6B">
      <w:pPr>
        <w:pStyle w:val="Standard"/>
        <w:rPr>
          <w:b/>
          <w:u w:val="single"/>
        </w:rPr>
      </w:pPr>
    </w:p>
    <w:p w14:paraId="11F521F1" w14:textId="77777777" w:rsidR="00B53D6B" w:rsidRDefault="00B53D6B">
      <w:pPr>
        <w:pStyle w:val="Standard"/>
        <w:rPr>
          <w:b/>
          <w:u w:val="single"/>
        </w:rPr>
      </w:pPr>
    </w:p>
    <w:p w14:paraId="11F521F2" w14:textId="77777777" w:rsidR="00B53D6B" w:rsidRDefault="00B53D6B">
      <w:pPr>
        <w:pStyle w:val="Standard"/>
        <w:rPr>
          <w:b/>
          <w:u w:val="single"/>
        </w:rPr>
      </w:pPr>
    </w:p>
    <w:p w14:paraId="6615AFA0" w14:textId="77777777" w:rsidR="00060D34" w:rsidRDefault="00060D34">
      <w:pPr>
        <w:pStyle w:val="Standard"/>
        <w:rPr>
          <w:b/>
          <w:u w:val="single"/>
        </w:rPr>
      </w:pPr>
    </w:p>
    <w:p w14:paraId="2E288956" w14:textId="77777777" w:rsidR="00060D34" w:rsidRDefault="00060D34">
      <w:pPr>
        <w:pStyle w:val="Standard"/>
        <w:rPr>
          <w:b/>
          <w:u w:val="single"/>
        </w:rPr>
      </w:pPr>
    </w:p>
    <w:p w14:paraId="2608E178" w14:textId="77777777" w:rsidR="00060D34" w:rsidRDefault="00060D34">
      <w:pPr>
        <w:pStyle w:val="Standard"/>
        <w:rPr>
          <w:b/>
          <w:u w:val="single"/>
        </w:rPr>
      </w:pPr>
    </w:p>
    <w:p w14:paraId="4FA904AA" w14:textId="77777777" w:rsidR="00060D34" w:rsidRDefault="00060D34">
      <w:pPr>
        <w:pStyle w:val="Standard"/>
        <w:rPr>
          <w:b/>
          <w:u w:val="single"/>
        </w:rPr>
      </w:pPr>
    </w:p>
    <w:p w14:paraId="78A82323" w14:textId="77777777" w:rsidR="00060D34" w:rsidRDefault="00060D34">
      <w:pPr>
        <w:pStyle w:val="Standard"/>
        <w:rPr>
          <w:b/>
          <w:u w:val="single"/>
        </w:rPr>
      </w:pPr>
    </w:p>
    <w:p w14:paraId="66C3DA39" w14:textId="77777777" w:rsidR="00C41683" w:rsidRDefault="00C41683">
      <w:pPr>
        <w:pStyle w:val="Standard"/>
        <w:rPr>
          <w:b/>
          <w:u w:val="single"/>
        </w:rPr>
      </w:pPr>
    </w:p>
    <w:p w14:paraId="11F521F3" w14:textId="1FADB9F6" w:rsidR="00B53D6B" w:rsidRDefault="00386AA7">
      <w:pPr>
        <w:pStyle w:val="Standard"/>
        <w:rPr>
          <w:b/>
          <w:u w:val="single"/>
        </w:rPr>
      </w:pPr>
      <w:r>
        <w:rPr>
          <w:b/>
          <w:u w:val="single"/>
        </w:rPr>
        <w:lastRenderedPageBreak/>
        <w:t>Bibliography</w:t>
      </w:r>
    </w:p>
    <w:p w14:paraId="11F521F4" w14:textId="77777777" w:rsidR="00B53D6B" w:rsidRDefault="00386AA7">
      <w:pPr>
        <w:pStyle w:val="ListParagraph"/>
        <w:numPr>
          <w:ilvl w:val="0"/>
          <w:numId w:val="26"/>
        </w:numPr>
      </w:pPr>
      <w:r>
        <w:t xml:space="preserve">BBC Bitesize. (2022). </w:t>
      </w:r>
      <w:r>
        <w:rPr>
          <w:i/>
        </w:rPr>
        <w:t>Employment Legislation</w:t>
      </w:r>
      <w:r>
        <w:t xml:space="preserve">, </w:t>
      </w:r>
      <w:hyperlink r:id="rId8" w:history="1">
        <w:r>
          <w:rPr>
            <w:rStyle w:val="Internetlink"/>
          </w:rPr>
          <w:t>https://www.bbc.co.uk/bitesize/guides/zcs4ng8/revision/1</w:t>
        </w:r>
      </w:hyperlink>
    </w:p>
    <w:p w14:paraId="11F521F5" w14:textId="77777777" w:rsidR="00B53D6B" w:rsidRDefault="00386AA7">
      <w:pPr>
        <w:pStyle w:val="ListParagraph"/>
        <w:numPr>
          <w:ilvl w:val="0"/>
          <w:numId w:val="19"/>
        </w:numPr>
      </w:pPr>
      <w:r>
        <w:t xml:space="preserve">CIPD. (2022). </w:t>
      </w:r>
      <w:r>
        <w:rPr>
          <w:i/>
        </w:rPr>
        <w:t>Employment Law</w:t>
      </w:r>
      <w:r>
        <w:t xml:space="preserve">, </w:t>
      </w:r>
      <w:hyperlink r:id="rId9" w:history="1">
        <w:r>
          <w:rPr>
            <w:rStyle w:val="Internetlink"/>
          </w:rPr>
          <w:t>https://www.cipd.co.uk/knowledge/fundamentals/emp-law</w:t>
        </w:r>
      </w:hyperlink>
    </w:p>
    <w:p w14:paraId="11F521F6" w14:textId="77777777" w:rsidR="00B53D6B" w:rsidRDefault="00386AA7">
      <w:pPr>
        <w:pStyle w:val="ListParagraph"/>
        <w:numPr>
          <w:ilvl w:val="0"/>
          <w:numId w:val="19"/>
        </w:numPr>
      </w:pPr>
      <w:r>
        <w:t xml:space="preserve">Wahab. Abdul &amp; Green. Melanie. (2021). CIPD - </w:t>
      </w:r>
      <w:r>
        <w:rPr>
          <w:i/>
        </w:rPr>
        <w:t>Inclusion and diversity in the workplace</w:t>
      </w:r>
      <w:r>
        <w:t xml:space="preserve">, </w:t>
      </w:r>
      <w:hyperlink r:id="rId10" w:history="1">
        <w:r>
          <w:rPr>
            <w:rStyle w:val="Internetlink"/>
          </w:rPr>
          <w:t>https://www.cipd.co.uk/knowledge/fundamentals/relations/diversity/factsheet</w:t>
        </w:r>
      </w:hyperlink>
    </w:p>
    <w:p w14:paraId="11F521F7" w14:textId="77777777" w:rsidR="00B53D6B" w:rsidRDefault="00386AA7">
      <w:pPr>
        <w:pStyle w:val="ListParagraph"/>
        <w:numPr>
          <w:ilvl w:val="0"/>
          <w:numId w:val="19"/>
        </w:numPr>
      </w:pPr>
      <w:r>
        <w:t xml:space="preserve">Smith, Darren. (2021) </w:t>
      </w:r>
      <w:r>
        <w:rPr>
          <w:i/>
        </w:rPr>
        <w:t>Employment Law: Regulation</w:t>
      </w:r>
      <w:r>
        <w:t>, (</w:t>
      </w:r>
      <w:hyperlink r:id="rId11" w:history="1">
        <w:r>
          <w:t>https://www.makingbusinessmatter.co.uk/employment-law/</w:t>
        </w:r>
      </w:hyperlink>
    </w:p>
    <w:p w14:paraId="11F521F8" w14:textId="77777777" w:rsidR="00B53D6B" w:rsidRDefault="00386AA7">
      <w:pPr>
        <w:pStyle w:val="ListParagraph"/>
        <w:numPr>
          <w:ilvl w:val="0"/>
          <w:numId w:val="19"/>
        </w:numPr>
      </w:pPr>
      <w:r>
        <w:t xml:space="preserve">Daniels. Kathy. (2019). CIPD - </w:t>
      </w:r>
      <w:r>
        <w:rPr>
          <w:i/>
          <w:iCs/>
        </w:rPr>
        <w:t>Introduction to employment law. 5</w:t>
      </w:r>
      <w:r>
        <w:rPr>
          <w:i/>
          <w:iCs/>
          <w:vertAlign w:val="superscript"/>
        </w:rPr>
        <w:t>th</w:t>
      </w:r>
      <w:r>
        <w:rPr>
          <w:i/>
          <w:iCs/>
        </w:rPr>
        <w:t xml:space="preserve"> edition</w:t>
      </w:r>
    </w:p>
    <w:p w14:paraId="11F521F9" w14:textId="77777777" w:rsidR="00B53D6B" w:rsidRDefault="00386AA7">
      <w:pPr>
        <w:pStyle w:val="ListParagraph"/>
        <w:numPr>
          <w:ilvl w:val="0"/>
          <w:numId w:val="19"/>
        </w:numPr>
      </w:pPr>
      <w:r>
        <w:t>European Union</w:t>
      </w:r>
      <w:r>
        <w:rPr>
          <w:i/>
          <w:iCs/>
        </w:rPr>
        <w:t>. (</w:t>
      </w:r>
      <w:r>
        <w:t>2022)</w:t>
      </w:r>
      <w:r>
        <w:rPr>
          <w:i/>
          <w:iCs/>
        </w:rPr>
        <w:t xml:space="preserve">. </w:t>
      </w:r>
      <w:r>
        <w:rPr>
          <w:i/>
          <w:iCs/>
          <w:color w:val="171A22"/>
        </w:rPr>
        <w:t xml:space="preserve">Court of Justice of the European Union (CJEU) - </w:t>
      </w:r>
      <w:hyperlink r:id="rId12" w:anchor=":~:text=Overview%201%20Role%3A%20Ensuring%20EU%20law%20is%20interpreted,in%3A%201952%204%20Location%3A%20Luxembourg%20More%20items...%20" w:history="1">
        <w:r>
          <w:rPr>
            <w:i/>
            <w:iCs/>
          </w:rPr>
          <w:t>Court of Justice of the European Union (CJEU) (europa.eu)</w:t>
        </w:r>
      </w:hyperlink>
    </w:p>
    <w:p w14:paraId="11F521FA" w14:textId="77777777" w:rsidR="00B53D6B" w:rsidRDefault="00386AA7">
      <w:pPr>
        <w:pStyle w:val="ListParagraph"/>
        <w:numPr>
          <w:ilvl w:val="0"/>
          <w:numId w:val="19"/>
        </w:numPr>
      </w:pPr>
      <w:r>
        <w:t>Taylor, Stephen. (2021)</w:t>
      </w:r>
      <w:r>
        <w:rPr>
          <w:i/>
          <w:iCs/>
        </w:rPr>
        <w:t xml:space="preserve">, CIPD - Employment law in the UK: the court system, </w:t>
      </w:r>
      <w:hyperlink r:id="rId13" w:history="1">
        <w:r>
          <w:rPr>
            <w:i/>
            <w:iCs/>
          </w:rPr>
          <w:t>UK Court System &amp; Employment Law | Factsheets | CIPD</w:t>
        </w:r>
      </w:hyperlink>
    </w:p>
    <w:p w14:paraId="11F521FB" w14:textId="77777777" w:rsidR="00B53D6B" w:rsidRDefault="00386AA7">
      <w:pPr>
        <w:pStyle w:val="ListParagraph"/>
        <w:numPr>
          <w:ilvl w:val="0"/>
          <w:numId w:val="19"/>
        </w:numPr>
      </w:pPr>
      <w:r>
        <w:t xml:space="preserve">Morris. Davidson. (2020), </w:t>
      </w:r>
      <w:r>
        <w:rPr>
          <w:i/>
          <w:iCs/>
        </w:rPr>
        <w:t xml:space="preserve">COT3 Agreement, </w:t>
      </w:r>
      <w:hyperlink r:id="rId14" w:anchor=":~:text=Within%20this%20context%2C%20the%20COT3%20form%20is%20a,conciliation%20with%20the%20assistance%20of%20an%20ACAS%20officer." w:history="1">
        <w:r>
          <w:rPr>
            <w:i/>
            <w:iCs/>
          </w:rPr>
          <w:t xml:space="preserve">COT3 Agreement (Settlement FAQs) | </w:t>
        </w:r>
        <w:proofErr w:type="spellStart"/>
        <w:r>
          <w:rPr>
            <w:i/>
            <w:iCs/>
          </w:rPr>
          <w:t>DavidsonMorris</w:t>
        </w:r>
        <w:proofErr w:type="spellEnd"/>
      </w:hyperlink>
    </w:p>
    <w:p w14:paraId="11F521FC" w14:textId="77777777" w:rsidR="00B53D6B" w:rsidRDefault="00386AA7">
      <w:pPr>
        <w:pStyle w:val="ListParagraph"/>
        <w:numPr>
          <w:ilvl w:val="0"/>
          <w:numId w:val="19"/>
        </w:numPr>
      </w:pPr>
      <w:bookmarkStart w:id="0" w:name="2-modal-title"/>
      <w:bookmarkEnd w:id="0"/>
      <w:r>
        <w:rPr>
          <w:i/>
          <w:iCs/>
        </w:rPr>
        <w:t xml:space="preserve">CIPD. </w:t>
      </w:r>
      <w:r>
        <w:t>(2022)</w:t>
      </w:r>
      <w:r>
        <w:rPr>
          <w:i/>
          <w:iCs/>
        </w:rPr>
        <w:t xml:space="preserve">. </w:t>
      </w:r>
      <w:r>
        <w:rPr>
          <w:i/>
          <w:iCs/>
          <w:color w:val="000000"/>
        </w:rPr>
        <w:t>Employment law update for CIPD tutors and students,</w:t>
      </w:r>
      <w:r>
        <w:rPr>
          <w:rFonts w:ascii="apple-system, BlinkMacSystemFon" w:hAnsi="apple-system, BlinkMacSystemFon"/>
          <w:i/>
          <w:iCs/>
          <w:color w:val="000000"/>
        </w:rPr>
        <w:t xml:space="preserve"> </w:t>
      </w:r>
      <w:hyperlink r:id="rId15" w:history="1">
        <w:r>
          <w:rPr>
            <w:color w:val="000000"/>
          </w:rPr>
          <w:t>Employment Law Update for CIPD Tutors and Students</w:t>
        </w:r>
      </w:hyperlink>
    </w:p>
    <w:p w14:paraId="11F521FD" w14:textId="77777777" w:rsidR="00B53D6B" w:rsidRDefault="00386AA7">
      <w:pPr>
        <w:pStyle w:val="ListParagraph"/>
        <w:numPr>
          <w:ilvl w:val="0"/>
          <w:numId w:val="19"/>
        </w:numPr>
      </w:pPr>
      <w:r>
        <w:rPr>
          <w:color w:val="000000"/>
        </w:rPr>
        <w:t xml:space="preserve">CIPD HR-Inform. (2022), </w:t>
      </w:r>
      <w:hyperlink r:id="rId16" w:history="1">
        <w:r>
          <w:t>April increases: Statutory payments are going… | CIPD HR-inform</w:t>
        </w:r>
      </w:hyperlink>
    </w:p>
    <w:p w14:paraId="11F521FE" w14:textId="77777777" w:rsidR="00B53D6B" w:rsidRDefault="00386AA7">
      <w:pPr>
        <w:pStyle w:val="ListParagraph"/>
        <w:numPr>
          <w:ilvl w:val="0"/>
          <w:numId w:val="19"/>
        </w:numPr>
      </w:pPr>
      <w:r>
        <w:rPr>
          <w:color w:val="000000"/>
        </w:rPr>
        <w:t xml:space="preserve">Government Webpage. (2022). </w:t>
      </w:r>
      <w:r>
        <w:rPr>
          <w:i/>
          <w:iCs/>
          <w:color w:val="000000"/>
        </w:rPr>
        <w:t>Minimum Wage Rates 2022,</w:t>
      </w:r>
      <w:r>
        <w:rPr>
          <w:color w:val="000000"/>
        </w:rPr>
        <w:t xml:space="preserve"> </w:t>
      </w:r>
      <w:hyperlink r:id="rId17" w:history="1">
        <w:r>
          <w:t>Minimum wage rates for 2022 - GOV.UK (www.gov.uk)</w:t>
        </w:r>
      </w:hyperlink>
    </w:p>
    <w:p w14:paraId="11F521FF" w14:textId="78B60EF8" w:rsidR="00B53D6B" w:rsidRDefault="00386AA7">
      <w:pPr>
        <w:pStyle w:val="ListParagraph"/>
        <w:numPr>
          <w:ilvl w:val="0"/>
          <w:numId w:val="19"/>
        </w:numPr>
      </w:pPr>
      <w:proofErr w:type="spellStart"/>
      <w:r>
        <w:rPr>
          <w:color w:val="000000"/>
        </w:rPr>
        <w:t>Suff</w:t>
      </w:r>
      <w:proofErr w:type="spellEnd"/>
      <w:r>
        <w:rPr>
          <w:color w:val="000000"/>
        </w:rPr>
        <w:t xml:space="preserve">, Rachel. (2021). </w:t>
      </w:r>
      <w:r>
        <w:rPr>
          <w:i/>
          <w:iCs/>
          <w:color w:val="000000"/>
        </w:rPr>
        <w:t xml:space="preserve">Maternity, paternity and adoption rights </w:t>
      </w:r>
      <w:hyperlink r:id="rId18" w:history="1">
        <w:r>
          <w:t>Maternity, Paternity &amp; Adoption Rights | Factsheets | CIPD</w:t>
        </w:r>
      </w:hyperlink>
    </w:p>
    <w:p w14:paraId="64D7CF8A" w14:textId="77777777" w:rsidR="008D5909" w:rsidRDefault="00022196" w:rsidP="008D5909">
      <w:pPr>
        <w:pStyle w:val="ListParagraph"/>
        <w:numPr>
          <w:ilvl w:val="0"/>
          <w:numId w:val="19"/>
        </w:numPr>
      </w:pPr>
      <w:r>
        <w:t xml:space="preserve">CIPD. (2022), </w:t>
      </w:r>
      <w:r w:rsidRPr="00022196">
        <w:rPr>
          <w:i/>
          <w:iCs/>
        </w:rPr>
        <w:t>Recruitment &amp; Selection Q&amp;A’s</w:t>
      </w:r>
      <w:r>
        <w:t xml:space="preserve">, </w:t>
      </w:r>
      <w:hyperlink r:id="rId19" w:history="1">
        <w:r>
          <w:rPr>
            <w:rStyle w:val="Hyperlink"/>
          </w:rPr>
          <w:t>Recruitment &amp; Selection Q&amp;As | CIPD</w:t>
        </w:r>
      </w:hyperlink>
    </w:p>
    <w:p w14:paraId="39CAB347" w14:textId="0B555CDA" w:rsidR="008D5909" w:rsidRPr="007322AA" w:rsidRDefault="003970AC" w:rsidP="008D5909">
      <w:pPr>
        <w:pStyle w:val="ListParagraph"/>
        <w:numPr>
          <w:ilvl w:val="0"/>
          <w:numId w:val="19"/>
        </w:numPr>
      </w:pPr>
      <w:hyperlink r:id="rId20" w:anchor=":~:text=Discrimination%20is%20the%20unfair%20and%20unequal%20treatment%20of,any%20reason%20other%20than%20their%20qualifications%20and%20experience." w:history="1">
        <w:proofErr w:type="spellStart"/>
        <w:r w:rsidR="008D5909" w:rsidRPr="008D5909">
          <w:rPr>
            <w:rFonts w:asciiTheme="minorHAnsi" w:hAnsiTheme="minorHAnsi" w:cstheme="minorHAnsi"/>
          </w:rPr>
          <w:t>Popat</w:t>
        </w:r>
        <w:proofErr w:type="spellEnd"/>
        <w:r w:rsidR="008D5909" w:rsidRPr="008D5909">
          <w:rPr>
            <w:rFonts w:asciiTheme="minorHAnsi" w:hAnsiTheme="minorHAnsi" w:cstheme="minorHAnsi"/>
          </w:rPr>
          <w:t xml:space="preserve">, Jai. (2019). </w:t>
        </w:r>
        <w:r w:rsidR="008D5909" w:rsidRPr="008D5909">
          <w:rPr>
            <w:rFonts w:asciiTheme="minorHAnsi" w:hAnsiTheme="minorHAnsi" w:cstheme="minorHAnsi"/>
            <w:i/>
            <w:iCs/>
          </w:rPr>
          <w:t xml:space="preserve">Avoiding discrimination during the recruitment process, </w:t>
        </w:r>
        <w:r w:rsidR="008D5909" w:rsidRPr="008D5909">
          <w:rPr>
            <w:rStyle w:val="Hyperlink"/>
            <w:rFonts w:asciiTheme="minorHAnsi" w:hAnsiTheme="minorHAnsi" w:cstheme="minorHAnsi"/>
            <w:color w:val="auto"/>
          </w:rPr>
          <w:t>Avoiding discrimination during the recruitment process (peoplemanagement.co.uk)</w:t>
        </w:r>
      </w:hyperlink>
    </w:p>
    <w:p w14:paraId="292FEC6A" w14:textId="5A63F0F4" w:rsidR="007322AA" w:rsidRDefault="00A04B5F" w:rsidP="008D5909">
      <w:pPr>
        <w:pStyle w:val="ListParagraph"/>
        <w:numPr>
          <w:ilvl w:val="0"/>
          <w:numId w:val="19"/>
        </w:numPr>
      </w:pPr>
      <w:r>
        <w:rPr>
          <w:rFonts w:asciiTheme="minorHAnsi" w:hAnsiTheme="minorHAnsi" w:cstheme="minorHAnsi"/>
        </w:rPr>
        <w:t xml:space="preserve">Morris, Davidson. (2020), </w:t>
      </w:r>
      <w:r w:rsidR="007322AA" w:rsidRPr="007322AA">
        <w:rPr>
          <w:rFonts w:asciiTheme="minorHAnsi" w:hAnsiTheme="minorHAnsi" w:cstheme="minorHAnsi"/>
          <w:i/>
          <w:iCs/>
        </w:rPr>
        <w:t>Direct discrimination at work,</w:t>
      </w:r>
      <w:r w:rsidR="007322AA">
        <w:rPr>
          <w:rFonts w:asciiTheme="minorHAnsi" w:hAnsiTheme="minorHAnsi" w:cstheme="minorHAnsi"/>
        </w:rPr>
        <w:t xml:space="preserve"> </w:t>
      </w:r>
      <w:hyperlink r:id="rId21" w:anchor=":~:text=Direct%20discrimination%20in%20the%20workplace%20is%20where%20an,employee%20on%20maternity%20leave%20is%20selected%20for%20redundancy." w:history="1">
        <w:r w:rsidR="007322AA">
          <w:rPr>
            <w:rStyle w:val="Hyperlink"/>
          </w:rPr>
          <w:t xml:space="preserve">Direct Discrimination at Work (HR Guide) | </w:t>
        </w:r>
        <w:proofErr w:type="spellStart"/>
        <w:r w:rsidR="007322AA">
          <w:rPr>
            <w:rStyle w:val="Hyperlink"/>
          </w:rPr>
          <w:t>DavidsonMorris</w:t>
        </w:r>
        <w:proofErr w:type="spellEnd"/>
      </w:hyperlink>
    </w:p>
    <w:p w14:paraId="4EE62DDA" w14:textId="786A42C7" w:rsidR="00C23710" w:rsidRDefault="00C23710" w:rsidP="008D5909">
      <w:pPr>
        <w:pStyle w:val="ListParagraph"/>
        <w:numPr>
          <w:ilvl w:val="0"/>
          <w:numId w:val="19"/>
        </w:numPr>
      </w:pPr>
      <w:r>
        <w:t>Swansea University</w:t>
      </w:r>
      <w:r w:rsidR="00E3547E">
        <w:t xml:space="preserve">. (2021), </w:t>
      </w:r>
      <w:r w:rsidR="00E3547E" w:rsidRPr="00E3547E">
        <w:rPr>
          <w:i/>
          <w:iCs/>
        </w:rPr>
        <w:t>Cultural Awareness</w:t>
      </w:r>
      <w:r w:rsidR="00E3547E">
        <w:t xml:space="preserve">, </w:t>
      </w:r>
      <w:hyperlink r:id="rId22" w:history="1">
        <w:r w:rsidR="00E3547E">
          <w:rPr>
            <w:rStyle w:val="Hyperlink"/>
          </w:rPr>
          <w:t>Cultural awareness - Swansea University</w:t>
        </w:r>
      </w:hyperlink>
    </w:p>
    <w:p w14:paraId="1F62622A" w14:textId="5F9C15A8" w:rsidR="001E4503" w:rsidRPr="008D5909" w:rsidRDefault="00D43A2A" w:rsidP="008D5909">
      <w:pPr>
        <w:pStyle w:val="ListParagraph"/>
        <w:numPr>
          <w:ilvl w:val="0"/>
          <w:numId w:val="19"/>
        </w:numPr>
      </w:pPr>
      <w:r>
        <w:t xml:space="preserve">ACAS. (2022), </w:t>
      </w:r>
      <w:r w:rsidRPr="00D43A2A">
        <w:rPr>
          <w:i/>
          <w:iCs/>
        </w:rPr>
        <w:t xml:space="preserve">Protected Characteristics, </w:t>
      </w:r>
      <w:hyperlink r:id="rId23" w:history="1">
        <w:r w:rsidR="001E4503">
          <w:rPr>
            <w:rStyle w:val="Hyperlink"/>
          </w:rPr>
          <w:t xml:space="preserve">When a protected characteristic is crucial for a job: When an employer may make a decision based on age, race or another protected characteristic - </w:t>
        </w:r>
        <w:proofErr w:type="spellStart"/>
        <w:r w:rsidR="001E4503">
          <w:rPr>
            <w:rStyle w:val="Hyperlink"/>
          </w:rPr>
          <w:t>Acas</w:t>
        </w:r>
        <w:proofErr w:type="spellEnd"/>
      </w:hyperlink>
    </w:p>
    <w:p w14:paraId="11F52200" w14:textId="77777777" w:rsidR="00B53D6B" w:rsidRDefault="00B53D6B">
      <w:pPr>
        <w:pStyle w:val="Standard"/>
        <w:rPr>
          <w:b/>
        </w:rPr>
      </w:pPr>
    </w:p>
    <w:p w14:paraId="11F52201" w14:textId="77777777" w:rsidR="00B53D6B" w:rsidRDefault="00B53D6B">
      <w:pPr>
        <w:pStyle w:val="Standard"/>
        <w:rPr>
          <w:b/>
        </w:rPr>
      </w:pPr>
    </w:p>
    <w:p w14:paraId="11F52202" w14:textId="77777777" w:rsidR="00B53D6B" w:rsidRDefault="00B53D6B">
      <w:pPr>
        <w:pStyle w:val="Standard"/>
        <w:rPr>
          <w:b/>
        </w:rPr>
      </w:pPr>
    </w:p>
    <w:p w14:paraId="11F52203" w14:textId="77777777" w:rsidR="00B53D6B" w:rsidRDefault="00B53D6B">
      <w:pPr>
        <w:pStyle w:val="Standard"/>
        <w:rPr>
          <w:b/>
        </w:rPr>
      </w:pPr>
    </w:p>
    <w:p w14:paraId="00B16A03" w14:textId="77777777" w:rsidR="00060D34" w:rsidRDefault="00060D34">
      <w:pPr>
        <w:pStyle w:val="Standard"/>
        <w:rPr>
          <w:b/>
        </w:rPr>
      </w:pPr>
    </w:p>
    <w:p w14:paraId="7E217F99" w14:textId="77777777" w:rsidR="00060D34" w:rsidRDefault="00060D34">
      <w:pPr>
        <w:pStyle w:val="Standard"/>
        <w:rPr>
          <w:b/>
        </w:rPr>
      </w:pPr>
    </w:p>
    <w:p w14:paraId="4E5AC8FA" w14:textId="77777777" w:rsidR="00060D34" w:rsidRDefault="00060D34">
      <w:pPr>
        <w:pStyle w:val="Standard"/>
        <w:rPr>
          <w:b/>
        </w:rPr>
      </w:pPr>
    </w:p>
    <w:p w14:paraId="38810E74" w14:textId="77777777" w:rsidR="00060D34" w:rsidRDefault="00060D34">
      <w:pPr>
        <w:pStyle w:val="Standard"/>
        <w:rPr>
          <w:b/>
        </w:rPr>
      </w:pPr>
    </w:p>
    <w:p w14:paraId="07BC85D1" w14:textId="77777777" w:rsidR="00060D34" w:rsidRDefault="00060D34">
      <w:pPr>
        <w:pStyle w:val="Standard"/>
        <w:rPr>
          <w:b/>
        </w:rPr>
      </w:pPr>
    </w:p>
    <w:p w14:paraId="008BCDE5" w14:textId="77777777" w:rsidR="00060D34" w:rsidRDefault="00060D34">
      <w:pPr>
        <w:pStyle w:val="Standard"/>
        <w:rPr>
          <w:b/>
        </w:rPr>
      </w:pPr>
    </w:p>
    <w:p w14:paraId="11F52204" w14:textId="6BD6636B" w:rsidR="00B53D6B" w:rsidRDefault="00386AA7">
      <w:pPr>
        <w:pStyle w:val="Standard"/>
      </w:pPr>
      <w:r>
        <w:rPr>
          <w:b/>
        </w:rPr>
        <w:lastRenderedPageBreak/>
        <w:t xml:space="preserve">TASK 2 – Email Response </w:t>
      </w:r>
    </w:p>
    <w:p w14:paraId="11F52205" w14:textId="77777777" w:rsidR="00B53D6B" w:rsidRDefault="00386AA7">
      <w:pPr>
        <w:pStyle w:val="Standard"/>
        <w:rPr>
          <w:b/>
        </w:rPr>
      </w:pPr>
      <w:r>
        <w:rPr>
          <w:b/>
        </w:rPr>
        <w:t>From: Ellie Boswell (HR officer – ABC Limited)</w:t>
      </w:r>
    </w:p>
    <w:p w14:paraId="11F52206" w14:textId="77777777" w:rsidR="00B53D6B" w:rsidRDefault="00386AA7">
      <w:pPr>
        <w:pStyle w:val="Standard"/>
        <w:rPr>
          <w:b/>
        </w:rPr>
      </w:pPr>
      <w:r>
        <w:rPr>
          <w:b/>
        </w:rPr>
        <w:t>To: (Managing Director – ABC Limited)</w:t>
      </w:r>
    </w:p>
    <w:p w14:paraId="11F52207" w14:textId="623D192F" w:rsidR="00B53D6B" w:rsidRDefault="00386AA7">
      <w:pPr>
        <w:pStyle w:val="Standard"/>
        <w:rPr>
          <w:b/>
        </w:rPr>
      </w:pPr>
      <w:r>
        <w:rPr>
          <w:b/>
        </w:rPr>
        <w:t xml:space="preserve">Date: </w:t>
      </w:r>
      <w:r w:rsidR="00AD305D">
        <w:rPr>
          <w:b/>
        </w:rPr>
        <w:t>14</w:t>
      </w:r>
      <w:r>
        <w:rPr>
          <w:b/>
        </w:rPr>
        <w:t>/0</w:t>
      </w:r>
      <w:r w:rsidR="00AD305D">
        <w:rPr>
          <w:b/>
        </w:rPr>
        <w:t>3</w:t>
      </w:r>
      <w:r>
        <w:rPr>
          <w:b/>
        </w:rPr>
        <w:t>/2022</w:t>
      </w:r>
    </w:p>
    <w:p w14:paraId="11F5220B" w14:textId="30AE92F8" w:rsidR="00B53D6B" w:rsidRDefault="00386AA7">
      <w:pPr>
        <w:pStyle w:val="Standard"/>
        <w:rPr>
          <w:b/>
        </w:rPr>
      </w:pPr>
      <w:r>
        <w:rPr>
          <w:b/>
        </w:rPr>
        <w:t>Subject: Advise for concerns relating to branch closure</w:t>
      </w:r>
    </w:p>
    <w:p w14:paraId="11F5220C" w14:textId="77777777" w:rsidR="00B53D6B" w:rsidRDefault="00B53D6B">
      <w:pPr>
        <w:pStyle w:val="Standard"/>
        <w:rPr>
          <w:b/>
        </w:rPr>
      </w:pPr>
    </w:p>
    <w:p w14:paraId="53CC74A9" w14:textId="77777777" w:rsidR="00426584" w:rsidRDefault="00386AA7" w:rsidP="00426584">
      <w:pPr>
        <w:pStyle w:val="ListParagraph"/>
        <w:numPr>
          <w:ilvl w:val="0"/>
          <w:numId w:val="35"/>
        </w:numPr>
        <w:rPr>
          <w:bCs/>
        </w:rPr>
      </w:pPr>
      <w:r>
        <w:rPr>
          <w:b/>
        </w:rPr>
        <w:t xml:space="preserve"> </w:t>
      </w:r>
      <w:r w:rsidR="00EB0200">
        <w:rPr>
          <w:bCs/>
        </w:rPr>
        <w:t>In preparation of moving your 5 employees from one site to another, you will need to o</w:t>
      </w:r>
      <w:r w:rsidR="00EB0200" w:rsidRPr="00EB0200">
        <w:rPr>
          <w:bCs/>
        </w:rPr>
        <w:t xml:space="preserve">btain </w:t>
      </w:r>
      <w:r w:rsidR="00EB0200">
        <w:rPr>
          <w:bCs/>
        </w:rPr>
        <w:t xml:space="preserve">an </w:t>
      </w:r>
      <w:r w:rsidR="00EB0200" w:rsidRPr="00EB0200">
        <w:rPr>
          <w:bCs/>
        </w:rPr>
        <w:t xml:space="preserve">express agreement and consent </w:t>
      </w:r>
      <w:r w:rsidR="00EB0200">
        <w:rPr>
          <w:bCs/>
        </w:rPr>
        <w:t xml:space="preserve">from the employees via a formal consultation. The first stage of moving staff should be making the employees aware of the situation and to communicate with them regarding the impact this may have on their work arrangements, for example a breach of contract. This communication will help to avoid any stress or worries the move may cause, and keep employees engaged with organisational developments. </w:t>
      </w:r>
    </w:p>
    <w:p w14:paraId="4B62E0E1" w14:textId="77777777" w:rsidR="00426584" w:rsidRDefault="00426584" w:rsidP="00426584">
      <w:pPr>
        <w:pStyle w:val="ListParagraph"/>
        <w:ind w:left="1080"/>
        <w:rPr>
          <w:rFonts w:asciiTheme="minorHAnsi" w:hAnsiTheme="minorHAnsi" w:cstheme="minorHAnsi"/>
          <w:color w:val="313131"/>
          <w:shd w:val="clear" w:color="auto" w:fill="FFFFFF"/>
        </w:rPr>
      </w:pPr>
    </w:p>
    <w:p w14:paraId="2463991E" w14:textId="77777777" w:rsidR="00610DF2" w:rsidRDefault="00EB0200" w:rsidP="00610DF2">
      <w:pPr>
        <w:pStyle w:val="ListParagraph"/>
        <w:ind w:left="1080"/>
        <w:rPr>
          <w:rFonts w:asciiTheme="minorHAnsi" w:hAnsiTheme="minorHAnsi" w:cstheme="minorHAnsi"/>
          <w:color w:val="313131"/>
        </w:rPr>
      </w:pPr>
      <w:r w:rsidRPr="00426584">
        <w:rPr>
          <w:rFonts w:asciiTheme="minorHAnsi" w:hAnsiTheme="minorHAnsi" w:cstheme="minorHAnsi"/>
          <w:color w:val="313131"/>
          <w:shd w:val="clear" w:color="auto" w:fill="FFFFFF"/>
        </w:rPr>
        <w:t>If the contract does not give the flexibility to make unilateral changes to employees’ contracts, it is necessary to get agreement to the change</w:t>
      </w:r>
      <w:r w:rsidR="00CA433A" w:rsidRPr="00426584">
        <w:rPr>
          <w:rFonts w:asciiTheme="minorHAnsi" w:hAnsiTheme="minorHAnsi" w:cstheme="minorHAnsi"/>
          <w:color w:val="313131"/>
          <w:shd w:val="clear" w:color="auto" w:fill="FFFFFF"/>
        </w:rPr>
        <w:t xml:space="preserve"> from the employees the change will affect</w:t>
      </w:r>
      <w:r w:rsidRPr="00426584">
        <w:rPr>
          <w:rFonts w:asciiTheme="minorHAnsi" w:hAnsiTheme="minorHAnsi" w:cstheme="minorHAnsi"/>
          <w:color w:val="313131"/>
          <w:shd w:val="clear" w:color="auto" w:fill="FFFFFF"/>
        </w:rPr>
        <w:t xml:space="preserve">, or </w:t>
      </w:r>
      <w:r w:rsidR="00CA433A" w:rsidRPr="00426584">
        <w:rPr>
          <w:rFonts w:asciiTheme="minorHAnsi" w:hAnsiTheme="minorHAnsi" w:cstheme="minorHAnsi"/>
          <w:color w:val="313131"/>
          <w:shd w:val="clear" w:color="auto" w:fill="FFFFFF"/>
        </w:rPr>
        <w:t xml:space="preserve">you would </w:t>
      </w:r>
      <w:r w:rsidRPr="00426584">
        <w:rPr>
          <w:rFonts w:asciiTheme="minorHAnsi" w:hAnsiTheme="minorHAnsi" w:cstheme="minorHAnsi"/>
          <w:color w:val="313131"/>
          <w:shd w:val="clear" w:color="auto" w:fill="FFFFFF"/>
        </w:rPr>
        <w:t>risk being in breach of contract.</w:t>
      </w:r>
      <w:r w:rsidR="00CA433A" w:rsidRPr="00426584">
        <w:rPr>
          <w:rFonts w:asciiTheme="minorHAnsi" w:hAnsiTheme="minorHAnsi" w:cstheme="minorHAnsi"/>
          <w:color w:val="313131"/>
          <w:shd w:val="clear" w:color="auto" w:fill="FFFFFF"/>
        </w:rPr>
        <w:t xml:space="preserve"> When negotiating an agreement with employees it is important to </w:t>
      </w:r>
      <w:r w:rsidR="00CA433A" w:rsidRPr="00426584">
        <w:rPr>
          <w:rFonts w:asciiTheme="minorHAnsi" w:hAnsiTheme="minorHAnsi" w:cstheme="minorHAnsi"/>
          <w:color w:val="313131"/>
        </w:rPr>
        <w:t>explain</w:t>
      </w:r>
      <w:r w:rsidR="00CA433A" w:rsidRPr="00426584">
        <w:rPr>
          <w:rFonts w:asciiTheme="minorHAnsi" w:hAnsiTheme="minorHAnsi" w:cstheme="minorHAnsi"/>
          <w:color w:val="313131"/>
        </w:rPr>
        <w:t xml:space="preserve"> to them </w:t>
      </w:r>
      <w:r w:rsidR="00CA433A" w:rsidRPr="00426584">
        <w:rPr>
          <w:rFonts w:asciiTheme="minorHAnsi" w:hAnsiTheme="minorHAnsi" w:cstheme="minorHAnsi"/>
          <w:color w:val="313131"/>
        </w:rPr>
        <w:t xml:space="preserve">the business needs, </w:t>
      </w:r>
      <w:r w:rsidR="00CA433A" w:rsidRPr="00426584">
        <w:rPr>
          <w:rFonts w:asciiTheme="minorHAnsi" w:hAnsiTheme="minorHAnsi" w:cstheme="minorHAnsi"/>
          <w:color w:val="313131"/>
        </w:rPr>
        <w:t xml:space="preserve">as this gives the employees an explanation that backs up the proposed change. When negotiating with workers, you should also give employees the </w:t>
      </w:r>
      <w:r w:rsidR="00CA433A" w:rsidRPr="00426584">
        <w:rPr>
          <w:rFonts w:asciiTheme="minorHAnsi" w:eastAsia="Times New Roman" w:hAnsiTheme="minorHAnsi" w:cstheme="minorHAnsi"/>
          <w:color w:val="313131"/>
          <w:lang w:eastAsia="en-GB"/>
        </w:rPr>
        <w:t>opportunity to suggest alternatives</w:t>
      </w:r>
      <w:r w:rsidR="00CA433A" w:rsidRPr="00426584">
        <w:rPr>
          <w:rFonts w:asciiTheme="minorHAnsi" w:hAnsiTheme="minorHAnsi" w:cstheme="minorHAnsi"/>
          <w:color w:val="313131"/>
        </w:rPr>
        <w:t xml:space="preserve"> (Springer, 2015). </w:t>
      </w:r>
    </w:p>
    <w:p w14:paraId="400832E0" w14:textId="77777777" w:rsidR="00610DF2" w:rsidRDefault="00610DF2" w:rsidP="00610DF2">
      <w:pPr>
        <w:pStyle w:val="ListParagraph"/>
        <w:ind w:left="1080"/>
        <w:rPr>
          <w:rFonts w:asciiTheme="minorHAnsi" w:hAnsiTheme="minorHAnsi" w:cstheme="minorHAnsi"/>
          <w:color w:val="313131"/>
        </w:rPr>
      </w:pPr>
    </w:p>
    <w:p w14:paraId="2505CC24" w14:textId="1BF5CEB8" w:rsidR="00EB0200" w:rsidRPr="00610DF2" w:rsidRDefault="00CA433A" w:rsidP="00610DF2">
      <w:pPr>
        <w:pStyle w:val="ListParagraph"/>
        <w:ind w:left="1080"/>
        <w:rPr>
          <w:rFonts w:asciiTheme="minorHAnsi" w:hAnsiTheme="minorHAnsi" w:cstheme="minorHAnsi"/>
          <w:color w:val="313131"/>
        </w:rPr>
      </w:pPr>
      <w:r w:rsidRPr="00610DF2">
        <w:rPr>
          <w:bCs/>
        </w:rPr>
        <w:t xml:space="preserve">If an agreement </w:t>
      </w:r>
      <w:r w:rsidR="00426584" w:rsidRPr="00610DF2">
        <w:rPr>
          <w:bCs/>
        </w:rPr>
        <w:t>can’t</w:t>
      </w:r>
      <w:r w:rsidRPr="00610DF2">
        <w:rPr>
          <w:bCs/>
        </w:rPr>
        <w:t xml:space="preserve"> be met with the employees for the change in site, you may want to explore the route of d</w:t>
      </w:r>
      <w:r w:rsidR="00EB0200" w:rsidRPr="00610DF2">
        <w:rPr>
          <w:bCs/>
        </w:rPr>
        <w:t>ismiss</w:t>
      </w:r>
      <w:r w:rsidRPr="00610DF2">
        <w:rPr>
          <w:bCs/>
        </w:rPr>
        <w:t>al</w:t>
      </w:r>
      <w:r w:rsidR="00EB0200" w:rsidRPr="00610DF2">
        <w:rPr>
          <w:bCs/>
        </w:rPr>
        <w:t xml:space="preserve"> for SOSR with </w:t>
      </w:r>
      <w:r w:rsidR="00426584" w:rsidRPr="00610DF2">
        <w:rPr>
          <w:bCs/>
        </w:rPr>
        <w:t>notice and</w:t>
      </w:r>
      <w:r w:rsidR="00EB0200" w:rsidRPr="00610DF2">
        <w:rPr>
          <w:bCs/>
        </w:rPr>
        <w:t xml:space="preserve"> </w:t>
      </w:r>
      <w:r w:rsidRPr="00610DF2">
        <w:rPr>
          <w:bCs/>
        </w:rPr>
        <w:t xml:space="preserve">offer employees to </w:t>
      </w:r>
      <w:r w:rsidR="00EB0200" w:rsidRPr="00610DF2">
        <w:rPr>
          <w:bCs/>
        </w:rPr>
        <w:t>re-engage on new terms</w:t>
      </w:r>
      <w:r w:rsidR="00610DF2" w:rsidRPr="00610DF2">
        <w:rPr>
          <w:bCs/>
        </w:rPr>
        <w:t xml:space="preserve"> through a collective labour agreement</w:t>
      </w:r>
      <w:r w:rsidRPr="00610DF2">
        <w:rPr>
          <w:bCs/>
        </w:rPr>
        <w:t xml:space="preserve">. </w:t>
      </w:r>
      <w:r w:rsidRPr="00610DF2">
        <w:rPr>
          <w:rFonts w:asciiTheme="minorHAnsi" w:hAnsiTheme="minorHAnsi" w:cstheme="minorHAnsi"/>
          <w:shd w:val="clear" w:color="auto" w:fill="FFFFFF"/>
        </w:rPr>
        <w:t xml:space="preserve">In order to demonstrate that this is a fair reason for dismissal you must be able to show that you were implementing the changes for ‘sound business </w:t>
      </w:r>
      <w:proofErr w:type="gramStart"/>
      <w:r w:rsidR="00426584" w:rsidRPr="00610DF2">
        <w:rPr>
          <w:rFonts w:asciiTheme="minorHAnsi" w:hAnsiTheme="minorHAnsi" w:cstheme="minorHAnsi"/>
          <w:shd w:val="clear" w:color="auto" w:fill="FFFFFF"/>
        </w:rPr>
        <w:t>reasons’</w:t>
      </w:r>
      <w:proofErr w:type="gramEnd"/>
      <w:r w:rsidR="00426584" w:rsidRPr="00610DF2">
        <w:rPr>
          <w:rFonts w:asciiTheme="minorHAnsi" w:hAnsiTheme="minorHAnsi" w:cstheme="minorHAnsi"/>
          <w:shd w:val="clear" w:color="auto" w:fill="FFFFFF"/>
        </w:rPr>
        <w:t xml:space="preserve">. </w:t>
      </w:r>
      <w:r w:rsidR="00426584" w:rsidRPr="00610DF2">
        <w:rPr>
          <w:rFonts w:asciiTheme="minorHAnsi" w:hAnsiTheme="minorHAnsi" w:cstheme="minorHAnsi"/>
          <w:shd w:val="clear" w:color="auto" w:fill="FFFFFF"/>
        </w:rPr>
        <w:t xml:space="preserve">The Employment Rights Act states that </w:t>
      </w:r>
      <w:r w:rsidR="00426584" w:rsidRPr="00610DF2">
        <w:rPr>
          <w:rFonts w:asciiTheme="minorHAnsi" w:hAnsiTheme="minorHAnsi" w:cstheme="minorHAnsi"/>
          <w:shd w:val="clear" w:color="auto" w:fill="FFFFFF"/>
        </w:rPr>
        <w:t xml:space="preserve">dismissals for SOSR (Dismissals that aren’t due to </w:t>
      </w:r>
      <w:r w:rsidR="00426584" w:rsidRPr="00610DF2">
        <w:rPr>
          <w:rFonts w:asciiTheme="minorHAnsi" w:hAnsiTheme="minorHAnsi" w:cstheme="minorHAnsi"/>
          <w:shd w:val="clear" w:color="auto" w:fill="FFFFFF"/>
        </w:rPr>
        <w:t>conduct, capability, redundancy and illegality)</w:t>
      </w:r>
      <w:r w:rsidR="00426584" w:rsidRPr="00610DF2">
        <w:rPr>
          <w:rFonts w:ascii="Libre Franklin" w:hAnsi="Libre Franklin"/>
          <w:sz w:val="26"/>
          <w:szCs w:val="26"/>
          <w:shd w:val="clear" w:color="auto" w:fill="FFFFFF"/>
        </w:rPr>
        <w:t xml:space="preserve"> </w:t>
      </w:r>
      <w:r w:rsidR="00426584" w:rsidRPr="00610DF2">
        <w:rPr>
          <w:rFonts w:asciiTheme="minorHAnsi" w:hAnsiTheme="minorHAnsi" w:cstheme="minorHAnsi"/>
          <w:shd w:val="clear" w:color="auto" w:fill="FFFFFF"/>
        </w:rPr>
        <w:t>must be of ‘</w:t>
      </w:r>
      <w:r w:rsidR="00426584" w:rsidRPr="00610DF2">
        <w:rPr>
          <w:rStyle w:val="Emphasis"/>
          <w:rFonts w:asciiTheme="minorHAnsi" w:hAnsiTheme="minorHAnsi" w:cstheme="minorHAnsi"/>
          <w:shd w:val="clear" w:color="auto" w:fill="FFFFFF"/>
        </w:rPr>
        <w:t>some other substantial reason of a kind such as to justify the dismissal of an employee holding the position which the employee held’</w:t>
      </w:r>
      <w:r w:rsidR="00426584" w:rsidRPr="00610DF2">
        <w:rPr>
          <w:rStyle w:val="Emphasis"/>
          <w:rFonts w:asciiTheme="minorHAnsi" w:hAnsiTheme="minorHAnsi" w:cstheme="minorHAnsi"/>
          <w:shd w:val="clear" w:color="auto" w:fill="FFFFFF"/>
        </w:rPr>
        <w:t xml:space="preserve"> </w:t>
      </w:r>
      <w:r w:rsidR="00426584" w:rsidRPr="00610DF2">
        <w:rPr>
          <w:rFonts w:asciiTheme="minorHAnsi" w:hAnsiTheme="minorHAnsi" w:cstheme="minorHAnsi"/>
          <w:shd w:val="clear" w:color="auto" w:fill="FFFFFF"/>
        </w:rPr>
        <w:t xml:space="preserve">(Colley, 2018). </w:t>
      </w:r>
    </w:p>
    <w:p w14:paraId="11F5220D" w14:textId="38162307" w:rsidR="00B53D6B" w:rsidRDefault="00B53D6B" w:rsidP="00206B25">
      <w:pPr>
        <w:pStyle w:val="ListParagraph"/>
        <w:ind w:left="1080"/>
        <w:rPr>
          <w:b/>
        </w:rPr>
      </w:pPr>
    </w:p>
    <w:p w14:paraId="641E7C5D" w14:textId="34AC7EB9" w:rsidR="00C03DD4" w:rsidRPr="00C03DD4" w:rsidRDefault="00C03DD4" w:rsidP="00C03DD4">
      <w:pPr>
        <w:pStyle w:val="ListParagraph"/>
        <w:numPr>
          <w:ilvl w:val="0"/>
          <w:numId w:val="35"/>
        </w:numPr>
        <w:shd w:val="clear" w:color="auto" w:fill="F7F6F6"/>
        <w:suppressAutoHyphens w:val="0"/>
        <w:autoSpaceDN/>
        <w:spacing w:before="100" w:beforeAutospacing="1" w:after="100" w:afterAutospacing="1"/>
        <w:textAlignment w:val="auto"/>
        <w:rPr>
          <w:rFonts w:asciiTheme="minorHAnsi" w:eastAsia="Times New Roman" w:hAnsiTheme="minorHAnsi" w:cstheme="minorHAnsi"/>
          <w:lang w:eastAsia="en-GB"/>
        </w:rPr>
      </w:pPr>
      <w:r w:rsidRPr="00C03DD4">
        <w:rPr>
          <w:rFonts w:asciiTheme="minorHAnsi" w:eastAsia="Times New Roman" w:hAnsiTheme="minorHAnsi" w:cstheme="minorHAnsi"/>
          <w:lang w:eastAsia="en-GB"/>
        </w:rPr>
        <w:t>“</w:t>
      </w:r>
      <w:r w:rsidRPr="00C03DD4">
        <w:rPr>
          <w:rFonts w:asciiTheme="minorHAnsi" w:eastAsia="Times New Roman" w:hAnsiTheme="minorHAnsi" w:cstheme="minorHAnsi"/>
          <w:lang w:eastAsia="en-GB"/>
        </w:rPr>
        <w:t>Redundancy is a special form of dismissal which happens when an employer needs to reduce the size of its workforce. In the UK, an employee is dismissed for redundancy if</w:t>
      </w:r>
      <w:r w:rsidRPr="00C03DD4">
        <w:rPr>
          <w:rFonts w:asciiTheme="minorHAnsi" w:eastAsia="Times New Roman" w:hAnsiTheme="minorHAnsi" w:cstheme="minorHAnsi"/>
          <w:lang w:eastAsia="en-GB"/>
        </w:rPr>
        <w:t xml:space="preserve"> t</w:t>
      </w:r>
      <w:r w:rsidRPr="00C03DD4">
        <w:rPr>
          <w:rFonts w:asciiTheme="minorHAnsi" w:eastAsia="Times New Roman" w:hAnsiTheme="minorHAnsi" w:cstheme="minorHAnsi"/>
          <w:lang w:eastAsia="en-GB"/>
        </w:rPr>
        <w:t>he employer has ceased, or intends to cease, continuing the business, or</w:t>
      </w:r>
      <w:r w:rsidRPr="00C03DD4">
        <w:rPr>
          <w:rFonts w:asciiTheme="minorHAnsi" w:eastAsia="Times New Roman" w:hAnsiTheme="minorHAnsi" w:cstheme="minorHAnsi"/>
          <w:lang w:eastAsia="en-GB"/>
        </w:rPr>
        <w:t xml:space="preserve"> if the </w:t>
      </w:r>
      <w:r w:rsidRPr="00C03DD4">
        <w:rPr>
          <w:rFonts w:asciiTheme="minorHAnsi" w:eastAsia="Times New Roman" w:hAnsiTheme="minorHAnsi" w:cstheme="minorHAnsi"/>
          <w:lang w:eastAsia="en-GB"/>
        </w:rPr>
        <w:t>requirements for employees to perform work of a specific type, or to conduct it at the location in which they are employed, has ceased or diminished, or are expected to do so</w:t>
      </w:r>
      <w:r w:rsidRPr="00C03DD4">
        <w:rPr>
          <w:rFonts w:asciiTheme="minorHAnsi" w:eastAsia="Times New Roman" w:hAnsiTheme="minorHAnsi" w:cstheme="minorHAnsi"/>
          <w:lang w:eastAsia="en-GB"/>
        </w:rPr>
        <w:t>” (</w:t>
      </w:r>
      <w:proofErr w:type="spellStart"/>
      <w:r w:rsidR="002F093D">
        <w:rPr>
          <w:rFonts w:asciiTheme="minorHAnsi" w:eastAsia="Times New Roman" w:hAnsiTheme="minorHAnsi" w:cstheme="minorHAnsi"/>
          <w:lang w:eastAsia="en-GB"/>
        </w:rPr>
        <w:t>Suff</w:t>
      </w:r>
      <w:proofErr w:type="spellEnd"/>
      <w:r w:rsidRPr="00C03DD4">
        <w:rPr>
          <w:rFonts w:asciiTheme="minorHAnsi" w:eastAsia="Times New Roman" w:hAnsiTheme="minorHAnsi" w:cstheme="minorHAnsi"/>
          <w:lang w:eastAsia="en-GB"/>
        </w:rPr>
        <w:t xml:space="preserve">, 2021). </w:t>
      </w:r>
    </w:p>
    <w:p w14:paraId="78075CD5" w14:textId="77777777" w:rsidR="00AC5923" w:rsidRDefault="00C558B4" w:rsidP="00AC5923">
      <w:pPr>
        <w:ind w:left="720"/>
        <w:rPr>
          <w:bCs/>
        </w:rPr>
      </w:pPr>
      <w:r w:rsidRPr="00C03DD4">
        <w:rPr>
          <w:bCs/>
        </w:rPr>
        <w:t>Redundancy c</w:t>
      </w:r>
      <w:r w:rsidRPr="00C03DD4">
        <w:rPr>
          <w:bCs/>
        </w:rPr>
        <w:t xml:space="preserve">onsultation </w:t>
      </w:r>
      <w:r w:rsidRPr="00C03DD4">
        <w:rPr>
          <w:bCs/>
        </w:rPr>
        <w:t>shares the</w:t>
      </w:r>
      <w:r w:rsidRPr="00C03DD4">
        <w:rPr>
          <w:bCs/>
        </w:rPr>
        <w:t xml:space="preserve"> same </w:t>
      </w:r>
      <w:r w:rsidRPr="00C03DD4">
        <w:rPr>
          <w:bCs/>
        </w:rPr>
        <w:t>principles</w:t>
      </w:r>
      <w:r w:rsidRPr="00C03DD4">
        <w:rPr>
          <w:bCs/>
        </w:rPr>
        <w:t xml:space="preserve"> for changing terms and conditions</w:t>
      </w:r>
      <w:r w:rsidRPr="00C03DD4">
        <w:rPr>
          <w:bCs/>
        </w:rPr>
        <w:t xml:space="preserve">, for example the need to come to a mutual agreement before actioning and implementing change. During </w:t>
      </w:r>
      <w:proofErr w:type="gramStart"/>
      <w:r w:rsidRPr="00C03DD4">
        <w:rPr>
          <w:bCs/>
        </w:rPr>
        <w:t>a</w:t>
      </w:r>
      <w:proofErr w:type="gramEnd"/>
      <w:r w:rsidRPr="00C03DD4">
        <w:rPr>
          <w:bCs/>
        </w:rPr>
        <w:t xml:space="preserve"> Individual Redundancy </w:t>
      </w:r>
      <w:r w:rsidR="00C03DD4" w:rsidRPr="00C03DD4">
        <w:rPr>
          <w:bCs/>
        </w:rPr>
        <w:t>Consultation</w:t>
      </w:r>
      <w:r w:rsidRPr="00C03DD4">
        <w:rPr>
          <w:bCs/>
        </w:rPr>
        <w:t>, the employee must be provided with information regarding the r</w:t>
      </w:r>
      <w:r w:rsidRPr="00C03DD4">
        <w:rPr>
          <w:bCs/>
        </w:rPr>
        <w:t>eason for redundancy</w:t>
      </w:r>
      <w:r w:rsidRPr="00C03DD4">
        <w:rPr>
          <w:bCs/>
        </w:rPr>
        <w:t>, the t</w:t>
      </w:r>
      <w:r w:rsidRPr="00C03DD4">
        <w:rPr>
          <w:bCs/>
        </w:rPr>
        <w:t xml:space="preserve">otal number of </w:t>
      </w:r>
      <w:r w:rsidRPr="00C03DD4">
        <w:rPr>
          <w:bCs/>
        </w:rPr>
        <w:t xml:space="preserve">speculated </w:t>
      </w:r>
      <w:r w:rsidRPr="00C03DD4">
        <w:rPr>
          <w:bCs/>
        </w:rPr>
        <w:t>redundancie</w:t>
      </w:r>
      <w:r w:rsidRPr="00C03DD4">
        <w:rPr>
          <w:bCs/>
        </w:rPr>
        <w:t>s, the p</w:t>
      </w:r>
      <w:r w:rsidRPr="00C03DD4">
        <w:rPr>
          <w:bCs/>
        </w:rPr>
        <w:t>roposed selection method</w:t>
      </w:r>
      <w:r w:rsidRPr="00C03DD4">
        <w:rPr>
          <w:bCs/>
        </w:rPr>
        <w:t xml:space="preserve"> for choosing workers selected, an explanation of the redundancy p</w:t>
      </w:r>
      <w:r w:rsidRPr="00C03DD4">
        <w:rPr>
          <w:bCs/>
        </w:rPr>
        <w:t>rocedure</w:t>
      </w:r>
      <w:r w:rsidRPr="00C03DD4">
        <w:rPr>
          <w:bCs/>
        </w:rPr>
        <w:t xml:space="preserve"> and their personal r</w:t>
      </w:r>
      <w:r w:rsidRPr="00C03DD4">
        <w:rPr>
          <w:bCs/>
        </w:rPr>
        <w:t>edundancy pay calculation</w:t>
      </w:r>
      <w:r w:rsidR="00C03DD4" w:rsidRPr="00C03DD4">
        <w:rPr>
          <w:bCs/>
        </w:rPr>
        <w:t xml:space="preserve">. </w:t>
      </w:r>
    </w:p>
    <w:p w14:paraId="72E4E516" w14:textId="77777777" w:rsidR="00AC5923" w:rsidRDefault="00AC5923" w:rsidP="00AC5923">
      <w:pPr>
        <w:ind w:left="720"/>
        <w:rPr>
          <w:bCs/>
        </w:rPr>
      </w:pPr>
    </w:p>
    <w:p w14:paraId="488C516C" w14:textId="3E42B957" w:rsidR="00AC5923" w:rsidRDefault="00C03DD4" w:rsidP="00AC5923">
      <w:pPr>
        <w:ind w:left="720"/>
        <w:rPr>
          <w:bCs/>
        </w:rPr>
      </w:pPr>
      <w:r w:rsidRPr="00AC5923">
        <w:rPr>
          <w:rFonts w:asciiTheme="minorHAnsi" w:hAnsiTheme="minorHAnsi" w:cstheme="minorHAnsi"/>
          <w:bCs/>
        </w:rPr>
        <w:lastRenderedPageBreak/>
        <w:t>Redundancies can be a stressful thing for workers t</w:t>
      </w:r>
      <w:r w:rsidR="00801ACB" w:rsidRPr="00AC5923">
        <w:rPr>
          <w:rFonts w:asciiTheme="minorHAnsi" w:hAnsiTheme="minorHAnsi" w:cstheme="minorHAnsi"/>
          <w:bCs/>
        </w:rPr>
        <w:t xml:space="preserve">o </w:t>
      </w:r>
      <w:r w:rsidRPr="00AC5923">
        <w:rPr>
          <w:rFonts w:asciiTheme="minorHAnsi" w:hAnsiTheme="minorHAnsi" w:cstheme="minorHAnsi"/>
          <w:bCs/>
        </w:rPr>
        <w:t xml:space="preserve">experience and should be handled sensitively. Employers should strive to ensure </w:t>
      </w:r>
      <w:r w:rsidRPr="00AC5923">
        <w:rPr>
          <w:rFonts w:asciiTheme="minorHAnsi" w:hAnsiTheme="minorHAnsi" w:cstheme="minorHAnsi"/>
          <w:shd w:val="clear" w:color="auto" w:fill="FFFFFF"/>
        </w:rPr>
        <w:t xml:space="preserve">fair treatment of redundant employees as well as the morale of the remaining workforce. </w:t>
      </w:r>
      <w:r w:rsidRPr="00AC5923">
        <w:rPr>
          <w:rFonts w:asciiTheme="minorHAnsi" w:hAnsiTheme="minorHAnsi" w:cstheme="minorHAnsi"/>
          <w:shd w:val="clear" w:color="auto" w:fill="FFFFFF"/>
        </w:rPr>
        <w:t xml:space="preserve">Employees must be made aware of their </w:t>
      </w:r>
      <w:r w:rsidRPr="00AC5923">
        <w:rPr>
          <w:rFonts w:asciiTheme="minorHAnsi" w:hAnsiTheme="minorHAnsi" w:cstheme="minorHAnsi"/>
          <w:shd w:val="clear" w:color="auto" w:fill="FFFFFF"/>
        </w:rPr>
        <w:t>obligations,</w:t>
      </w:r>
      <w:r w:rsidRPr="00AC5923">
        <w:rPr>
          <w:rFonts w:asciiTheme="minorHAnsi" w:hAnsiTheme="minorHAnsi" w:cstheme="minorHAnsi"/>
          <w:shd w:val="clear" w:color="auto" w:fill="FFFFFF"/>
        </w:rPr>
        <w:t xml:space="preserve"> </w:t>
      </w:r>
      <w:r w:rsidRPr="00AC5923">
        <w:rPr>
          <w:rFonts w:asciiTheme="minorHAnsi" w:hAnsiTheme="minorHAnsi" w:cstheme="minorHAnsi"/>
          <w:shd w:val="clear" w:color="auto" w:fill="FFFFFF"/>
        </w:rPr>
        <w:t>including employees' rights</w:t>
      </w:r>
      <w:r w:rsidRPr="00AC5923">
        <w:rPr>
          <w:rFonts w:asciiTheme="minorHAnsi" w:hAnsiTheme="minorHAnsi" w:cstheme="minorHAnsi"/>
          <w:shd w:val="clear" w:color="auto" w:fill="FFFFFF"/>
        </w:rPr>
        <w:t xml:space="preserve"> during the process. </w:t>
      </w:r>
      <w:r w:rsidR="00801ACB" w:rsidRPr="00AC5923">
        <w:rPr>
          <w:rFonts w:asciiTheme="minorHAnsi" w:hAnsiTheme="minorHAnsi" w:cstheme="minorHAnsi"/>
        </w:rPr>
        <w:t xml:space="preserve">The </w:t>
      </w:r>
      <w:r w:rsidR="00801ACB" w:rsidRPr="00AC5923">
        <w:rPr>
          <w:rFonts w:asciiTheme="minorHAnsi" w:hAnsiTheme="minorHAnsi" w:cstheme="minorHAnsi"/>
        </w:rPr>
        <w:t xml:space="preserve">selection pool for </w:t>
      </w:r>
      <w:r w:rsidR="00801ACB" w:rsidRPr="00AC5923">
        <w:rPr>
          <w:rFonts w:asciiTheme="minorHAnsi" w:hAnsiTheme="minorHAnsi" w:cstheme="minorHAnsi"/>
        </w:rPr>
        <w:t>group</w:t>
      </w:r>
      <w:r w:rsidR="00801ACB" w:rsidRPr="00AC5923">
        <w:rPr>
          <w:rFonts w:asciiTheme="minorHAnsi" w:hAnsiTheme="minorHAnsi" w:cstheme="minorHAnsi"/>
        </w:rPr>
        <w:t xml:space="preserve"> chosen</w:t>
      </w:r>
      <w:r w:rsidR="00801ACB" w:rsidRPr="00AC5923">
        <w:rPr>
          <w:rFonts w:asciiTheme="minorHAnsi" w:hAnsiTheme="minorHAnsi" w:cstheme="minorHAnsi"/>
        </w:rPr>
        <w:t xml:space="preserve"> f</w:t>
      </w:r>
      <w:r w:rsidR="00801ACB" w:rsidRPr="00AC5923">
        <w:rPr>
          <w:rFonts w:asciiTheme="minorHAnsi" w:hAnsiTheme="minorHAnsi" w:cstheme="minorHAnsi"/>
        </w:rPr>
        <w:t>or</w:t>
      </w:r>
      <w:r w:rsidR="00801ACB" w:rsidRPr="00AC5923">
        <w:rPr>
          <w:rFonts w:asciiTheme="minorHAnsi" w:hAnsiTheme="minorHAnsi" w:cstheme="minorHAnsi"/>
        </w:rPr>
        <w:t xml:space="preserve"> redundancy must be identified carefully</w:t>
      </w:r>
      <w:r w:rsidR="00801ACB" w:rsidRPr="00AC5923">
        <w:rPr>
          <w:rFonts w:asciiTheme="minorHAnsi" w:hAnsiTheme="minorHAnsi" w:cstheme="minorHAnsi"/>
        </w:rPr>
        <w:t xml:space="preserve"> to avoid discrimination claims. Failure to select </w:t>
      </w:r>
      <w:r w:rsidR="00AC5923" w:rsidRPr="00AC5923">
        <w:rPr>
          <w:rFonts w:asciiTheme="minorHAnsi" w:hAnsiTheme="minorHAnsi" w:cstheme="minorHAnsi"/>
        </w:rPr>
        <w:t>in line with policies and lead to legally unfair dismissals</w:t>
      </w:r>
      <w:r w:rsidR="00AC5923">
        <w:rPr>
          <w:rFonts w:asciiTheme="minorHAnsi" w:hAnsiTheme="minorHAnsi" w:cstheme="minorHAnsi"/>
        </w:rPr>
        <w:t xml:space="preserve">. </w:t>
      </w:r>
      <w:r w:rsidR="005E7C13">
        <w:rPr>
          <w:rFonts w:asciiTheme="minorHAnsi" w:hAnsiTheme="minorHAnsi" w:cstheme="minorHAnsi"/>
        </w:rPr>
        <w:t>(Daniels, 2019)</w:t>
      </w:r>
    </w:p>
    <w:p w14:paraId="406385A8" w14:textId="77777777" w:rsidR="00AC5923" w:rsidRDefault="00AC5923" w:rsidP="00AC5923">
      <w:pPr>
        <w:ind w:left="720"/>
        <w:rPr>
          <w:bCs/>
        </w:rPr>
      </w:pPr>
    </w:p>
    <w:p w14:paraId="3028DC42" w14:textId="133A2D45" w:rsidR="00C558B4" w:rsidRDefault="002F093D" w:rsidP="00AC5923">
      <w:pPr>
        <w:ind w:left="720"/>
        <w:rPr>
          <w:rFonts w:asciiTheme="minorHAnsi" w:hAnsiTheme="minorHAnsi" w:cstheme="minorHAnsi"/>
        </w:rPr>
      </w:pPr>
      <w:r w:rsidRPr="00AC5923">
        <w:rPr>
          <w:rFonts w:asciiTheme="minorHAnsi" w:hAnsiTheme="minorHAnsi" w:cstheme="minorHAnsi"/>
          <w:shd w:val="clear" w:color="auto" w:fill="FFFFFF"/>
        </w:rPr>
        <w:t>Workers can claim redundancy pay if employees have been employed for a continuous period of 2 years, with a maximum of 20 years’ service being taken into consideration.</w:t>
      </w:r>
      <w:r w:rsidR="007549FF" w:rsidRPr="00AC5923">
        <w:rPr>
          <w:rFonts w:asciiTheme="minorHAnsi" w:hAnsiTheme="minorHAnsi" w:cstheme="minorHAnsi"/>
          <w:shd w:val="clear" w:color="auto" w:fill="FFFFFF"/>
        </w:rPr>
        <w:t xml:space="preserve"> </w:t>
      </w:r>
      <w:r w:rsidR="00801ACB" w:rsidRPr="00AC5923">
        <w:rPr>
          <w:rFonts w:asciiTheme="minorHAnsi" w:hAnsiTheme="minorHAnsi" w:cstheme="minorHAnsi"/>
          <w:shd w:val="clear" w:color="auto" w:fill="FFFFFF"/>
        </w:rPr>
        <w:t xml:space="preserve">The </w:t>
      </w:r>
      <w:r w:rsidR="007549FF" w:rsidRPr="00AC5923">
        <w:rPr>
          <w:rFonts w:asciiTheme="minorHAnsi" w:hAnsiTheme="minorHAnsi" w:cstheme="minorHAnsi"/>
          <w:shd w:val="clear" w:color="auto" w:fill="FFFFFF"/>
        </w:rPr>
        <w:t xml:space="preserve">formula for calculating redundancy pay </w:t>
      </w:r>
      <w:r w:rsidR="00801ACB" w:rsidRPr="00AC5923">
        <w:rPr>
          <w:rFonts w:asciiTheme="minorHAnsi" w:hAnsiTheme="minorHAnsi" w:cstheme="minorHAnsi"/>
          <w:shd w:val="clear" w:color="auto" w:fill="FFFFFF"/>
        </w:rPr>
        <w:t xml:space="preserve">depends on </w:t>
      </w:r>
      <w:r w:rsidR="00801ACB" w:rsidRPr="00AC5923">
        <w:rPr>
          <w:rFonts w:asciiTheme="minorHAnsi" w:hAnsiTheme="minorHAnsi" w:cstheme="minorHAnsi"/>
          <w:shd w:val="clear" w:color="auto" w:fill="FFFFFF"/>
        </w:rPr>
        <w:t xml:space="preserve">the </w:t>
      </w:r>
      <w:r w:rsidR="00801ACB" w:rsidRPr="00AC5923">
        <w:rPr>
          <w:rFonts w:asciiTheme="minorHAnsi" w:hAnsiTheme="minorHAnsi" w:cstheme="minorHAnsi"/>
          <w:shd w:val="clear" w:color="auto" w:fill="FFFFFF"/>
        </w:rPr>
        <w:t>workers age, service length and gross pay</w:t>
      </w:r>
      <w:r w:rsidR="00801ACB" w:rsidRPr="00AC5923">
        <w:rPr>
          <w:rFonts w:asciiTheme="minorHAnsi" w:hAnsiTheme="minorHAnsi" w:cstheme="minorHAnsi"/>
          <w:shd w:val="clear" w:color="auto" w:fill="FFFFFF"/>
        </w:rPr>
        <w:t xml:space="preserve">. </w:t>
      </w:r>
      <w:r w:rsidR="007549FF" w:rsidRPr="00AC5923">
        <w:rPr>
          <w:rFonts w:asciiTheme="minorHAnsi" w:hAnsiTheme="minorHAnsi" w:cstheme="minorHAnsi"/>
        </w:rPr>
        <w:t>E</w:t>
      </w:r>
      <w:r w:rsidRPr="00AC5923">
        <w:rPr>
          <w:rFonts w:asciiTheme="minorHAnsi" w:hAnsiTheme="minorHAnsi" w:cstheme="minorHAnsi"/>
        </w:rPr>
        <w:t>mployer</w:t>
      </w:r>
      <w:r w:rsidR="007549FF" w:rsidRPr="00AC5923">
        <w:rPr>
          <w:rFonts w:asciiTheme="minorHAnsi" w:hAnsiTheme="minorHAnsi" w:cstheme="minorHAnsi"/>
        </w:rPr>
        <w:t>s</w:t>
      </w:r>
      <w:r w:rsidRPr="00AC5923">
        <w:rPr>
          <w:rFonts w:asciiTheme="minorHAnsi" w:hAnsiTheme="minorHAnsi" w:cstheme="minorHAnsi"/>
        </w:rPr>
        <w:t xml:space="preserve"> must give the employee a written statement showing how the redundancy payment was calculated</w:t>
      </w:r>
      <w:r w:rsidR="007549FF" w:rsidRPr="00AC5923">
        <w:rPr>
          <w:rFonts w:asciiTheme="minorHAnsi" w:hAnsiTheme="minorHAnsi" w:cstheme="minorHAnsi"/>
        </w:rPr>
        <w:t xml:space="preserve"> (</w:t>
      </w:r>
      <w:proofErr w:type="spellStart"/>
      <w:r w:rsidR="007549FF" w:rsidRPr="00AC5923">
        <w:rPr>
          <w:rFonts w:asciiTheme="minorHAnsi" w:hAnsiTheme="minorHAnsi" w:cstheme="minorHAnsi"/>
        </w:rPr>
        <w:t>Suff</w:t>
      </w:r>
      <w:proofErr w:type="spellEnd"/>
      <w:r w:rsidR="007549FF" w:rsidRPr="00AC5923">
        <w:rPr>
          <w:rFonts w:asciiTheme="minorHAnsi" w:hAnsiTheme="minorHAnsi" w:cstheme="minorHAnsi"/>
        </w:rPr>
        <w:t xml:space="preserve">, 2021). </w:t>
      </w:r>
    </w:p>
    <w:p w14:paraId="39E76258" w14:textId="7CB49F3C" w:rsidR="005E7C13" w:rsidRDefault="005E7C13" w:rsidP="00AC5923">
      <w:pPr>
        <w:ind w:left="720"/>
        <w:rPr>
          <w:rFonts w:asciiTheme="minorHAnsi" w:hAnsiTheme="minorHAnsi" w:cstheme="minorHAnsi"/>
        </w:rPr>
      </w:pPr>
    </w:p>
    <w:p w14:paraId="406F06B7" w14:textId="378D351F" w:rsidR="005E7C13" w:rsidRPr="002052EC" w:rsidRDefault="005E7C13" w:rsidP="002052EC">
      <w:pPr>
        <w:ind w:left="720"/>
        <w:rPr>
          <w:rFonts w:asciiTheme="minorHAnsi" w:hAnsiTheme="minorHAnsi" w:cstheme="minorHAnsi"/>
          <w:color w:val="000000" w:themeColor="text1"/>
        </w:rPr>
      </w:pPr>
      <w:r>
        <w:rPr>
          <w:rFonts w:asciiTheme="minorHAnsi" w:hAnsiTheme="minorHAnsi" w:cstheme="minorHAnsi"/>
        </w:rPr>
        <w:t xml:space="preserve">There is currently no minimum timescale for fewer than 20 employees to be consulted that they are being made redundant, however consultations may be more meaningful, and value based for both the employee and employer. </w:t>
      </w:r>
      <w:r w:rsidRPr="005E7C13">
        <w:rPr>
          <w:rFonts w:asciiTheme="minorHAnsi" w:hAnsiTheme="minorHAnsi" w:cstheme="minorHAnsi"/>
          <w:shd w:val="clear" w:color="auto" w:fill="F7F6F6"/>
        </w:rPr>
        <w:t xml:space="preserve">Employees are </w:t>
      </w:r>
      <w:r w:rsidRPr="005E7C13">
        <w:rPr>
          <w:rFonts w:asciiTheme="minorHAnsi" w:hAnsiTheme="minorHAnsi" w:cstheme="minorHAnsi"/>
          <w:shd w:val="clear" w:color="auto" w:fill="F7F6F6"/>
        </w:rPr>
        <w:t>entitled to be accompanied at all individual consultation meetings by a trade union representative or colleague</w:t>
      </w:r>
      <w:r>
        <w:rPr>
          <w:rFonts w:asciiTheme="minorHAnsi" w:hAnsiTheme="minorHAnsi" w:cstheme="minorHAnsi"/>
          <w:shd w:val="clear" w:color="auto" w:fill="F7F6F6"/>
        </w:rPr>
        <w:t xml:space="preserve"> if they wish due to the nature of the discussion. </w:t>
      </w:r>
      <w:r w:rsidR="002052EC">
        <w:rPr>
          <w:rFonts w:asciiTheme="minorHAnsi" w:hAnsiTheme="minorHAnsi" w:cstheme="minorHAnsi"/>
          <w:shd w:val="clear" w:color="auto" w:fill="F7F6F6"/>
        </w:rPr>
        <w:t xml:space="preserve">Both </w:t>
      </w:r>
      <w:r>
        <w:rPr>
          <w:rFonts w:asciiTheme="minorHAnsi" w:hAnsiTheme="minorHAnsi" w:cstheme="minorHAnsi"/>
          <w:shd w:val="clear" w:color="auto" w:fill="F7F6F6"/>
        </w:rPr>
        <w:t xml:space="preserve">The Employment Rights Act 1996 legislation </w:t>
      </w:r>
      <w:r w:rsidR="002052EC">
        <w:rPr>
          <w:rFonts w:asciiTheme="minorHAnsi" w:hAnsiTheme="minorHAnsi" w:cstheme="minorHAnsi"/>
          <w:shd w:val="clear" w:color="auto" w:fill="F7F6F6"/>
        </w:rPr>
        <w:t xml:space="preserve">and </w:t>
      </w:r>
      <w:proofErr w:type="gramStart"/>
      <w:r w:rsidR="002052EC">
        <w:rPr>
          <w:rFonts w:asciiTheme="minorHAnsi" w:hAnsiTheme="minorHAnsi" w:cstheme="minorHAnsi"/>
          <w:color w:val="000000" w:themeColor="text1"/>
          <w:shd w:val="clear" w:color="auto" w:fill="FFFFFF"/>
        </w:rPr>
        <w:t>T</w:t>
      </w:r>
      <w:r w:rsidR="002052EC" w:rsidRPr="002052EC">
        <w:rPr>
          <w:rFonts w:asciiTheme="minorHAnsi" w:hAnsiTheme="minorHAnsi" w:cstheme="minorHAnsi"/>
          <w:color w:val="000000" w:themeColor="text1"/>
          <w:shd w:val="clear" w:color="auto" w:fill="FFFFFF"/>
        </w:rPr>
        <w:t>he</w:t>
      </w:r>
      <w:proofErr w:type="gramEnd"/>
      <w:r w:rsidR="002052EC" w:rsidRPr="002052EC">
        <w:rPr>
          <w:rFonts w:asciiTheme="minorHAnsi" w:hAnsiTheme="minorHAnsi" w:cstheme="minorHAnsi"/>
          <w:color w:val="000000" w:themeColor="text1"/>
          <w:shd w:val="clear" w:color="auto" w:fill="FFFFFF"/>
        </w:rPr>
        <w:t> </w:t>
      </w:r>
      <w:hyperlink r:id="rId24" w:tgtFrame="_blank" w:history="1">
        <w:r w:rsidR="002052EC" w:rsidRPr="002052EC">
          <w:rPr>
            <w:rStyle w:val="Hyperlink"/>
            <w:rFonts w:asciiTheme="minorHAnsi" w:hAnsiTheme="minorHAnsi" w:cstheme="minorHAnsi"/>
            <w:color w:val="000000" w:themeColor="text1"/>
            <w:u w:val="none"/>
            <w:bdr w:val="none" w:sz="0" w:space="0" w:color="auto" w:frame="1"/>
          </w:rPr>
          <w:t>Trade Union and Labour Relations (Consolidation) Act 1992</w:t>
        </w:r>
      </w:hyperlink>
      <w:r w:rsidR="002052EC">
        <w:rPr>
          <w:rFonts w:asciiTheme="minorHAnsi" w:hAnsiTheme="minorHAnsi" w:cstheme="minorHAnsi"/>
          <w:color w:val="000000" w:themeColor="text1"/>
          <w:shd w:val="clear" w:color="auto" w:fill="FFFFFF"/>
        </w:rPr>
        <w:t xml:space="preserve"> </w:t>
      </w:r>
      <w:r>
        <w:rPr>
          <w:rFonts w:asciiTheme="minorHAnsi" w:hAnsiTheme="minorHAnsi" w:cstheme="minorHAnsi"/>
          <w:shd w:val="clear" w:color="auto" w:fill="F7F6F6"/>
        </w:rPr>
        <w:t>protects employees from unfair dismissal during redundancy</w:t>
      </w:r>
      <w:r w:rsidR="002052EC">
        <w:rPr>
          <w:rFonts w:asciiTheme="minorHAnsi" w:hAnsiTheme="minorHAnsi" w:cstheme="minorHAnsi"/>
          <w:shd w:val="clear" w:color="auto" w:fill="F7F6F6"/>
        </w:rPr>
        <w:t xml:space="preserve"> (Gov, 20221). </w:t>
      </w:r>
    </w:p>
    <w:p w14:paraId="38D4B949" w14:textId="6CEC34BE" w:rsidR="00801ACB" w:rsidRDefault="00801ACB" w:rsidP="00801ACB">
      <w:pPr>
        <w:pStyle w:val="ListParagraph"/>
        <w:ind w:left="1080"/>
        <w:rPr>
          <w:b/>
        </w:rPr>
      </w:pPr>
    </w:p>
    <w:p w14:paraId="33FECC5C" w14:textId="5872BAD6" w:rsidR="00F71603" w:rsidRPr="00A73E28" w:rsidRDefault="00A73E28" w:rsidP="00F71603">
      <w:pPr>
        <w:pStyle w:val="ListParagraph"/>
        <w:numPr>
          <w:ilvl w:val="0"/>
          <w:numId w:val="35"/>
        </w:numPr>
        <w:rPr>
          <w:rFonts w:asciiTheme="minorHAnsi" w:hAnsiTheme="minorHAnsi" w:cstheme="minorHAnsi"/>
          <w:color w:val="000000" w:themeColor="text1"/>
        </w:rPr>
      </w:pPr>
      <w:r>
        <w:rPr>
          <w:bCs/>
        </w:rPr>
        <w:t>In relation to the situation ABC Limited is facing, the</w:t>
      </w:r>
      <w:r w:rsidR="00F71603">
        <w:rPr>
          <w:bCs/>
        </w:rPr>
        <w:t xml:space="preserve"> transfer of undertakings (TUPE)</w:t>
      </w:r>
      <w:r>
        <w:rPr>
          <w:bCs/>
        </w:rPr>
        <w:t xml:space="preserve"> would benefit </w:t>
      </w:r>
      <w:r w:rsidR="00F71603" w:rsidRPr="00F71603">
        <w:rPr>
          <w:rFonts w:asciiTheme="minorHAnsi" w:hAnsiTheme="minorHAnsi" w:cstheme="minorHAnsi"/>
          <w:color w:val="000000" w:themeColor="text1"/>
          <w:shd w:val="clear" w:color="auto" w:fill="FFFFFF"/>
        </w:rPr>
        <w:t>its employees</w:t>
      </w:r>
      <w:r>
        <w:rPr>
          <w:rFonts w:asciiTheme="minorHAnsi" w:hAnsiTheme="minorHAnsi" w:cstheme="minorHAnsi"/>
          <w:color w:val="000000" w:themeColor="text1"/>
          <w:shd w:val="clear" w:color="auto" w:fill="FFFFFF"/>
        </w:rPr>
        <w:t xml:space="preserve"> as workers would be </w:t>
      </w:r>
      <w:r w:rsidR="00F71603" w:rsidRPr="00F71603">
        <w:rPr>
          <w:rFonts w:asciiTheme="minorHAnsi" w:hAnsiTheme="minorHAnsi" w:cstheme="minorHAnsi"/>
          <w:color w:val="000000" w:themeColor="text1"/>
          <w:shd w:val="clear" w:color="auto" w:fill="FFFFFF"/>
        </w:rPr>
        <w:t>protected under the Transfer of Undertakings (Protection of Employment) regulations</w:t>
      </w:r>
      <w:r>
        <w:rPr>
          <w:rFonts w:asciiTheme="minorHAnsi" w:hAnsiTheme="minorHAnsi" w:cstheme="minorHAnsi"/>
          <w:color w:val="000000" w:themeColor="text1"/>
          <w:shd w:val="clear" w:color="auto" w:fill="FFFFFF"/>
        </w:rPr>
        <w:t xml:space="preserve"> which </w:t>
      </w:r>
      <w:r w:rsidRPr="00A73E28">
        <w:rPr>
          <w:rFonts w:asciiTheme="minorHAnsi" w:hAnsiTheme="minorHAnsi" w:cstheme="minorHAnsi"/>
          <w:color w:val="000000" w:themeColor="text1"/>
          <w:shd w:val="clear" w:color="auto" w:fill="FFFFFF"/>
        </w:rPr>
        <w:t xml:space="preserve">currently </w:t>
      </w:r>
      <w:r w:rsidRPr="00A73E28">
        <w:rPr>
          <w:rFonts w:asciiTheme="minorHAnsi" w:hAnsiTheme="minorHAnsi" w:cstheme="minorHAnsi"/>
          <w:color w:val="000000" w:themeColor="text1"/>
          <w:shd w:val="clear" w:color="auto" w:fill="FFFFFF"/>
        </w:rPr>
        <w:t>provides UK workers with the</w:t>
      </w:r>
      <w:r w:rsidRPr="00A73E28">
        <w:rPr>
          <w:rFonts w:asciiTheme="minorHAnsi" w:hAnsiTheme="minorHAnsi" w:cstheme="minorHAnsi"/>
          <w:color w:val="000000" w:themeColor="text1"/>
          <w:shd w:val="clear" w:color="auto" w:fill="FFFFFF"/>
        </w:rPr>
        <w:t xml:space="preserve"> entitlement</w:t>
      </w:r>
      <w:r w:rsidRPr="00A73E28">
        <w:rPr>
          <w:rFonts w:asciiTheme="minorHAnsi" w:hAnsiTheme="minorHAnsi" w:cstheme="minorHAnsi"/>
          <w:color w:val="000000" w:themeColor="text1"/>
          <w:shd w:val="clear" w:color="auto" w:fill="FFFFFF"/>
        </w:rPr>
        <w:t xml:space="preserve"> </w:t>
      </w:r>
      <w:r w:rsidRPr="00A73E28">
        <w:rPr>
          <w:rFonts w:asciiTheme="minorHAnsi" w:hAnsiTheme="minorHAnsi" w:cstheme="minorHAnsi"/>
          <w:color w:val="000000" w:themeColor="text1"/>
          <w:shd w:val="clear" w:color="auto" w:fill="FFFFFF"/>
        </w:rPr>
        <w:t>to the same terms and conditions, with continuity of employment, as they had before the transfer</w:t>
      </w:r>
      <w:r>
        <w:rPr>
          <w:rFonts w:asciiTheme="minorHAnsi" w:hAnsiTheme="minorHAnsi" w:cstheme="minorHAnsi"/>
          <w:color w:val="000000" w:themeColor="text1"/>
          <w:shd w:val="clear" w:color="auto" w:fill="FFFFFF"/>
        </w:rPr>
        <w:t xml:space="preserve"> (</w:t>
      </w:r>
      <w:proofErr w:type="spellStart"/>
      <w:r>
        <w:rPr>
          <w:rFonts w:asciiTheme="minorHAnsi" w:hAnsiTheme="minorHAnsi" w:cstheme="minorHAnsi"/>
          <w:color w:val="000000" w:themeColor="text1"/>
          <w:shd w:val="clear" w:color="auto" w:fill="FFFFFF"/>
        </w:rPr>
        <w:t>Suff</w:t>
      </w:r>
      <w:proofErr w:type="spellEnd"/>
      <w:r>
        <w:rPr>
          <w:rFonts w:asciiTheme="minorHAnsi" w:hAnsiTheme="minorHAnsi" w:cstheme="minorHAnsi"/>
          <w:color w:val="000000" w:themeColor="text1"/>
          <w:shd w:val="clear" w:color="auto" w:fill="FFFFFF"/>
        </w:rPr>
        <w:t xml:space="preserve">, 2021). </w:t>
      </w:r>
    </w:p>
    <w:p w14:paraId="0759104A" w14:textId="77777777" w:rsidR="00F71603" w:rsidRDefault="00F71603" w:rsidP="00F71603">
      <w:pPr>
        <w:pStyle w:val="ListParagraph"/>
        <w:ind w:left="1080"/>
        <w:rPr>
          <w:bCs/>
        </w:rPr>
      </w:pPr>
    </w:p>
    <w:p w14:paraId="6E812CE9" w14:textId="4EB2CEFD" w:rsidR="00F71603" w:rsidRDefault="00F71603" w:rsidP="00F71603">
      <w:pPr>
        <w:pStyle w:val="ListParagraph"/>
        <w:ind w:left="1080"/>
        <w:rPr>
          <w:bCs/>
        </w:rPr>
      </w:pPr>
      <w:r w:rsidRPr="00F71603">
        <w:rPr>
          <w:bCs/>
        </w:rPr>
        <w:t>TUPE applies when</w:t>
      </w:r>
      <w:r>
        <w:rPr>
          <w:bCs/>
        </w:rPr>
        <w:t xml:space="preserve"> a business</w:t>
      </w:r>
      <w:r w:rsidRPr="00F71603">
        <w:rPr>
          <w:bCs/>
        </w:rPr>
        <w:t xml:space="preserve"> carried out by 1 person </w:t>
      </w:r>
      <w:r>
        <w:rPr>
          <w:bCs/>
        </w:rPr>
        <w:t xml:space="preserve">is transferred </w:t>
      </w:r>
      <w:r w:rsidRPr="00F71603">
        <w:rPr>
          <w:bCs/>
        </w:rPr>
        <w:t>to another person (outsourcing)</w:t>
      </w:r>
      <w:r>
        <w:rPr>
          <w:bCs/>
        </w:rPr>
        <w:t xml:space="preserve">, when a business is </w:t>
      </w:r>
      <w:r w:rsidRPr="00F71603">
        <w:rPr>
          <w:bCs/>
        </w:rPr>
        <w:t>currently carried out by one contractor and transferred to another contractor (second + generation outsourcing)</w:t>
      </w:r>
      <w:r>
        <w:rPr>
          <w:bCs/>
        </w:rPr>
        <w:t xml:space="preserve"> or when a business</w:t>
      </w:r>
      <w:r w:rsidRPr="00F71603">
        <w:rPr>
          <w:bCs/>
        </w:rPr>
        <w:t xml:space="preserve"> decides to carry out activities itself that are currently being done by a contractor (insourcing)</w:t>
      </w:r>
      <w:r>
        <w:rPr>
          <w:bCs/>
        </w:rPr>
        <w:t xml:space="preserve">. In short, TUPE stands for </w:t>
      </w:r>
      <w:r w:rsidR="00A73E28">
        <w:rPr>
          <w:bCs/>
        </w:rPr>
        <w:t xml:space="preserve">‘a change in service provider’. </w:t>
      </w:r>
    </w:p>
    <w:p w14:paraId="3CBBA73D" w14:textId="20DDA0DA" w:rsidR="00A73E28" w:rsidRDefault="00A73E28" w:rsidP="00F71603">
      <w:pPr>
        <w:pStyle w:val="ListParagraph"/>
        <w:ind w:left="1080"/>
        <w:rPr>
          <w:bCs/>
        </w:rPr>
      </w:pPr>
    </w:p>
    <w:p w14:paraId="19FC1FCD" w14:textId="77777777" w:rsidR="003970AC" w:rsidRDefault="00A73E28" w:rsidP="003970AC">
      <w:pPr>
        <w:pStyle w:val="ListParagraph"/>
        <w:ind w:left="1080"/>
        <w:rPr>
          <w:rFonts w:ascii="Open Sans" w:hAnsi="Open Sans" w:cs="Open Sans"/>
          <w:b/>
          <w:bCs/>
          <w:color w:val="58595B"/>
          <w:shd w:val="clear" w:color="auto" w:fill="F7F6F6"/>
        </w:rPr>
      </w:pPr>
      <w:r>
        <w:rPr>
          <w:bCs/>
        </w:rPr>
        <w:t>In relation to TUPE</w:t>
      </w:r>
      <w:r w:rsidR="003970AC">
        <w:rPr>
          <w:bCs/>
        </w:rPr>
        <w:t xml:space="preserve"> </w:t>
      </w:r>
      <w:r>
        <w:rPr>
          <w:bCs/>
        </w:rPr>
        <w:t xml:space="preserve">automatic transfer principles </w:t>
      </w:r>
      <w:r w:rsidR="003970AC">
        <w:rPr>
          <w:bCs/>
        </w:rPr>
        <w:t xml:space="preserve">would take place when the new transferee stepped into place, which </w:t>
      </w:r>
      <w:r>
        <w:rPr>
          <w:bCs/>
        </w:rPr>
        <w:t xml:space="preserve">include workers contracts of employment remaining the same, </w:t>
      </w:r>
      <w:r w:rsidR="003970AC">
        <w:rPr>
          <w:bCs/>
        </w:rPr>
        <w:t xml:space="preserve">any claims being handed over and the liability for all statutory rights of employees. </w:t>
      </w:r>
      <w:r w:rsidR="003970AC">
        <w:rPr>
          <w:rFonts w:ascii="Open Sans" w:hAnsi="Open Sans" w:cs="Open Sans"/>
          <w:b/>
          <w:bCs/>
          <w:color w:val="58595B"/>
          <w:shd w:val="clear" w:color="auto" w:fill="F7F6F6"/>
        </w:rPr>
        <w:t> </w:t>
      </w:r>
    </w:p>
    <w:p w14:paraId="176B498C" w14:textId="77777777" w:rsidR="003970AC" w:rsidRDefault="003970AC" w:rsidP="003970AC">
      <w:pPr>
        <w:pStyle w:val="ListParagraph"/>
        <w:ind w:left="1080"/>
        <w:rPr>
          <w:rFonts w:ascii="Open Sans" w:hAnsi="Open Sans" w:cs="Open Sans"/>
          <w:b/>
          <w:bCs/>
          <w:color w:val="58595B"/>
          <w:shd w:val="clear" w:color="auto" w:fill="F7F6F6"/>
        </w:rPr>
      </w:pPr>
    </w:p>
    <w:p w14:paraId="363D27B0" w14:textId="6B6000F5" w:rsidR="003970AC" w:rsidRPr="003970AC" w:rsidRDefault="003970AC" w:rsidP="003970AC">
      <w:pPr>
        <w:pStyle w:val="ListParagraph"/>
        <w:ind w:left="1080"/>
        <w:rPr>
          <w:rFonts w:ascii="Open Sans" w:hAnsi="Open Sans" w:cs="Open Sans"/>
          <w:b/>
          <w:bCs/>
          <w:color w:val="58595B"/>
          <w:shd w:val="clear" w:color="auto" w:fill="F7F6F6"/>
        </w:rPr>
      </w:pPr>
      <w:r>
        <w:rPr>
          <w:rFonts w:ascii="Open Sans" w:hAnsi="Open Sans" w:cs="Open Sans"/>
          <w:b/>
          <w:bCs/>
          <w:color w:val="58595B"/>
          <w:shd w:val="clear" w:color="auto" w:fill="F7F6F6"/>
        </w:rPr>
        <w:t>“</w:t>
      </w:r>
      <w:r w:rsidRPr="003970AC">
        <w:rPr>
          <w:rFonts w:asciiTheme="minorHAnsi" w:hAnsiTheme="minorHAnsi" w:cstheme="minorHAnsi"/>
          <w:color w:val="000000" w:themeColor="text1"/>
        </w:rPr>
        <w:t>Under TUPE, the new employer takes over employees’ employment contracts, including:</w:t>
      </w:r>
    </w:p>
    <w:p w14:paraId="63285304" w14:textId="77777777" w:rsidR="003970AC" w:rsidRPr="003970AC" w:rsidRDefault="003970AC" w:rsidP="003970AC">
      <w:pPr>
        <w:widowControl/>
        <w:numPr>
          <w:ilvl w:val="0"/>
          <w:numId w:val="43"/>
        </w:numPr>
        <w:shd w:val="clear" w:color="auto" w:fill="FFFFFF"/>
        <w:suppressAutoHyphens w:val="0"/>
        <w:autoSpaceDN/>
        <w:spacing w:after="75"/>
        <w:ind w:left="1020"/>
        <w:textAlignment w:val="auto"/>
        <w:rPr>
          <w:rFonts w:asciiTheme="minorHAnsi" w:hAnsiTheme="minorHAnsi" w:cstheme="minorHAnsi"/>
          <w:color w:val="000000" w:themeColor="text1"/>
        </w:rPr>
      </w:pPr>
      <w:r w:rsidRPr="003970AC">
        <w:rPr>
          <w:rFonts w:asciiTheme="minorHAnsi" w:hAnsiTheme="minorHAnsi" w:cstheme="minorHAnsi"/>
          <w:color w:val="000000" w:themeColor="text1"/>
        </w:rPr>
        <w:t>all the previous terms and conditions of employment</w:t>
      </w:r>
    </w:p>
    <w:p w14:paraId="1D05B69E" w14:textId="77777777" w:rsidR="003970AC" w:rsidRPr="003970AC" w:rsidRDefault="003970AC" w:rsidP="003970AC">
      <w:pPr>
        <w:widowControl/>
        <w:numPr>
          <w:ilvl w:val="0"/>
          <w:numId w:val="43"/>
        </w:numPr>
        <w:shd w:val="clear" w:color="auto" w:fill="FFFFFF"/>
        <w:suppressAutoHyphens w:val="0"/>
        <w:autoSpaceDN/>
        <w:spacing w:after="75"/>
        <w:ind w:left="1020"/>
        <w:textAlignment w:val="auto"/>
        <w:rPr>
          <w:rFonts w:asciiTheme="minorHAnsi" w:hAnsiTheme="minorHAnsi" w:cstheme="minorHAnsi"/>
          <w:color w:val="000000" w:themeColor="text1"/>
        </w:rPr>
      </w:pPr>
      <w:r w:rsidRPr="003970AC">
        <w:rPr>
          <w:rFonts w:asciiTheme="minorHAnsi" w:hAnsiTheme="minorHAnsi" w:cstheme="minorHAnsi"/>
          <w:color w:val="000000" w:themeColor="text1"/>
        </w:rPr>
        <w:t>any failures of the previous employer to observe employees’ rights (so employees could make a claim for discrimination against the new employer, even if it took place before the transfer)</w:t>
      </w:r>
    </w:p>
    <w:p w14:paraId="7F3B9007" w14:textId="77777777" w:rsidR="003970AC" w:rsidRPr="003970AC" w:rsidRDefault="003970AC" w:rsidP="003970AC">
      <w:pPr>
        <w:widowControl/>
        <w:numPr>
          <w:ilvl w:val="0"/>
          <w:numId w:val="43"/>
        </w:numPr>
        <w:shd w:val="clear" w:color="auto" w:fill="FFFFFF"/>
        <w:suppressAutoHyphens w:val="0"/>
        <w:autoSpaceDN/>
        <w:spacing w:after="75"/>
        <w:ind w:left="1020"/>
        <w:textAlignment w:val="auto"/>
        <w:rPr>
          <w:rFonts w:asciiTheme="minorHAnsi" w:hAnsiTheme="minorHAnsi" w:cstheme="minorHAnsi"/>
          <w:color w:val="000000" w:themeColor="text1"/>
        </w:rPr>
      </w:pPr>
      <w:hyperlink r:id="rId25" w:history="1">
        <w:r w:rsidRPr="003970AC">
          <w:rPr>
            <w:rStyle w:val="Hyperlink"/>
            <w:rFonts w:asciiTheme="minorHAnsi" w:hAnsiTheme="minorHAnsi" w:cstheme="minorHAnsi"/>
            <w:color w:val="000000" w:themeColor="text1"/>
          </w:rPr>
          <w:t>holiday entitlement</w:t>
        </w:r>
      </w:hyperlink>
    </w:p>
    <w:p w14:paraId="2B116B6F" w14:textId="77777777" w:rsidR="003970AC" w:rsidRPr="003970AC" w:rsidRDefault="003970AC" w:rsidP="003970AC">
      <w:pPr>
        <w:widowControl/>
        <w:numPr>
          <w:ilvl w:val="0"/>
          <w:numId w:val="43"/>
        </w:numPr>
        <w:shd w:val="clear" w:color="auto" w:fill="FFFFFF"/>
        <w:suppressAutoHyphens w:val="0"/>
        <w:autoSpaceDN/>
        <w:spacing w:after="75"/>
        <w:ind w:left="1020"/>
        <w:textAlignment w:val="auto"/>
        <w:rPr>
          <w:rFonts w:asciiTheme="minorHAnsi" w:hAnsiTheme="minorHAnsi" w:cstheme="minorHAnsi"/>
          <w:color w:val="000000" w:themeColor="text1"/>
        </w:rPr>
      </w:pPr>
      <w:r w:rsidRPr="003970AC">
        <w:rPr>
          <w:rFonts w:asciiTheme="minorHAnsi" w:hAnsiTheme="minorHAnsi" w:cstheme="minorHAnsi"/>
          <w:color w:val="000000" w:themeColor="text1"/>
        </w:rPr>
        <w:t>period of </w:t>
      </w:r>
      <w:hyperlink r:id="rId26" w:history="1">
        <w:r w:rsidRPr="003970AC">
          <w:rPr>
            <w:rStyle w:val="Hyperlink"/>
            <w:rFonts w:asciiTheme="minorHAnsi" w:hAnsiTheme="minorHAnsi" w:cstheme="minorHAnsi"/>
            <w:color w:val="000000" w:themeColor="text1"/>
          </w:rPr>
          <w:t>continuous employment</w:t>
        </w:r>
      </w:hyperlink>
      <w:r w:rsidRPr="003970AC">
        <w:rPr>
          <w:rFonts w:asciiTheme="minorHAnsi" w:hAnsiTheme="minorHAnsi" w:cstheme="minorHAnsi"/>
          <w:color w:val="000000" w:themeColor="text1"/>
        </w:rPr>
        <w:t> - an employee’s start date is the same as before the transfer, so continuous employment isn’t broken</w:t>
      </w:r>
    </w:p>
    <w:p w14:paraId="3FC926A9" w14:textId="77777777" w:rsidR="003970AC" w:rsidRDefault="003970AC" w:rsidP="003970AC">
      <w:pPr>
        <w:widowControl/>
        <w:numPr>
          <w:ilvl w:val="0"/>
          <w:numId w:val="43"/>
        </w:numPr>
        <w:shd w:val="clear" w:color="auto" w:fill="FFFFFF"/>
        <w:suppressAutoHyphens w:val="0"/>
        <w:autoSpaceDN/>
        <w:spacing w:after="75"/>
        <w:ind w:left="1020"/>
        <w:textAlignment w:val="auto"/>
        <w:rPr>
          <w:rFonts w:asciiTheme="minorHAnsi" w:hAnsiTheme="minorHAnsi" w:cstheme="minorHAnsi"/>
          <w:color w:val="000000" w:themeColor="text1"/>
        </w:rPr>
      </w:pPr>
      <w:r w:rsidRPr="003970AC">
        <w:rPr>
          <w:rFonts w:asciiTheme="minorHAnsi" w:hAnsiTheme="minorHAnsi" w:cstheme="minorHAnsi"/>
          <w:color w:val="000000" w:themeColor="text1"/>
        </w:rPr>
        <w:t>any collective agreements previously made</w:t>
      </w:r>
    </w:p>
    <w:p w14:paraId="535C5447" w14:textId="56ACC2BF" w:rsidR="003970AC" w:rsidRDefault="003970AC" w:rsidP="003970AC">
      <w:pPr>
        <w:widowControl/>
        <w:shd w:val="clear" w:color="auto" w:fill="FFFFFF"/>
        <w:suppressAutoHyphens w:val="0"/>
        <w:autoSpaceDN/>
        <w:spacing w:after="75"/>
        <w:ind w:left="1020"/>
        <w:textAlignment w:val="auto"/>
        <w:rPr>
          <w:rFonts w:asciiTheme="minorHAnsi" w:hAnsiTheme="minorHAnsi" w:cstheme="minorHAnsi"/>
          <w:color w:val="000000" w:themeColor="text1"/>
        </w:rPr>
      </w:pPr>
      <w:r w:rsidRPr="003970AC">
        <w:rPr>
          <w:rFonts w:asciiTheme="minorHAnsi" w:hAnsiTheme="minorHAnsi" w:cstheme="minorHAnsi"/>
          <w:color w:val="000000" w:themeColor="text1"/>
        </w:rPr>
        <w:lastRenderedPageBreak/>
        <w:t>It’s a breach of contract if the new employer doesn’t meet the terms of the employment contract</w:t>
      </w:r>
      <w:r w:rsidRPr="003970AC">
        <w:rPr>
          <w:rFonts w:asciiTheme="minorHAnsi" w:hAnsiTheme="minorHAnsi" w:cstheme="minorHAnsi"/>
          <w:color w:val="000000" w:themeColor="text1"/>
        </w:rPr>
        <w:t>” (Gov Website, 2022)</w:t>
      </w:r>
      <w:r>
        <w:rPr>
          <w:rFonts w:asciiTheme="minorHAnsi" w:hAnsiTheme="minorHAnsi" w:cstheme="minorHAnsi"/>
          <w:color w:val="000000" w:themeColor="text1"/>
        </w:rPr>
        <w:t xml:space="preserve">. </w:t>
      </w:r>
    </w:p>
    <w:p w14:paraId="3CB7FFE4" w14:textId="79E093E2" w:rsidR="003970AC" w:rsidRDefault="003970AC" w:rsidP="003970AC">
      <w:pPr>
        <w:widowControl/>
        <w:shd w:val="clear" w:color="auto" w:fill="FFFFFF"/>
        <w:suppressAutoHyphens w:val="0"/>
        <w:autoSpaceDN/>
        <w:spacing w:after="75"/>
        <w:ind w:left="1020"/>
        <w:textAlignment w:val="auto"/>
        <w:rPr>
          <w:rFonts w:asciiTheme="minorHAnsi" w:hAnsiTheme="minorHAnsi" w:cstheme="minorHAnsi"/>
          <w:color w:val="000000" w:themeColor="text1"/>
        </w:rPr>
      </w:pPr>
    </w:p>
    <w:p w14:paraId="11F52216" w14:textId="75246630" w:rsidR="00B53D6B" w:rsidRPr="003970AC" w:rsidRDefault="00386AA7" w:rsidP="003970AC">
      <w:pPr>
        <w:rPr>
          <w:b/>
        </w:rPr>
      </w:pPr>
      <w:r w:rsidRPr="003970AC">
        <w:rPr>
          <w:b/>
        </w:rPr>
        <w:t>Word count:</w:t>
      </w:r>
      <w:r w:rsidR="003970AC">
        <w:rPr>
          <w:b/>
        </w:rPr>
        <w:t xml:space="preserve"> 924 </w:t>
      </w:r>
    </w:p>
    <w:p w14:paraId="11F52217" w14:textId="77777777" w:rsidR="00B53D6B" w:rsidRDefault="00B53D6B">
      <w:pPr>
        <w:pStyle w:val="Standard"/>
        <w:rPr>
          <w:b/>
          <w:u w:val="single"/>
        </w:rPr>
      </w:pPr>
    </w:p>
    <w:p w14:paraId="11F52218" w14:textId="77777777" w:rsidR="00B53D6B" w:rsidRDefault="00B53D6B">
      <w:pPr>
        <w:pStyle w:val="Standard"/>
        <w:rPr>
          <w:b/>
          <w:u w:val="single"/>
        </w:rPr>
      </w:pPr>
    </w:p>
    <w:p w14:paraId="32C6C389" w14:textId="77777777" w:rsidR="002052EC" w:rsidRDefault="002052EC">
      <w:pPr>
        <w:pStyle w:val="Standard"/>
        <w:rPr>
          <w:b/>
          <w:u w:val="single"/>
        </w:rPr>
      </w:pPr>
    </w:p>
    <w:p w14:paraId="7F71FB3A" w14:textId="77777777" w:rsidR="002052EC" w:rsidRDefault="002052EC">
      <w:pPr>
        <w:pStyle w:val="Standard"/>
        <w:rPr>
          <w:b/>
          <w:u w:val="single"/>
        </w:rPr>
      </w:pPr>
    </w:p>
    <w:p w14:paraId="23B5CA14" w14:textId="77777777" w:rsidR="002052EC" w:rsidRDefault="002052EC">
      <w:pPr>
        <w:pStyle w:val="Standard"/>
        <w:rPr>
          <w:b/>
          <w:u w:val="single"/>
        </w:rPr>
      </w:pPr>
    </w:p>
    <w:p w14:paraId="3D1A8CAF" w14:textId="77777777" w:rsidR="002052EC" w:rsidRDefault="002052EC">
      <w:pPr>
        <w:pStyle w:val="Standard"/>
        <w:rPr>
          <w:b/>
          <w:u w:val="single"/>
        </w:rPr>
      </w:pPr>
    </w:p>
    <w:p w14:paraId="4AD078A3" w14:textId="77777777" w:rsidR="002052EC" w:rsidRDefault="002052EC">
      <w:pPr>
        <w:pStyle w:val="Standard"/>
        <w:rPr>
          <w:b/>
          <w:u w:val="single"/>
        </w:rPr>
      </w:pPr>
    </w:p>
    <w:p w14:paraId="313B6D4C" w14:textId="77777777" w:rsidR="002052EC" w:rsidRDefault="002052EC">
      <w:pPr>
        <w:pStyle w:val="Standard"/>
        <w:rPr>
          <w:b/>
          <w:u w:val="single"/>
        </w:rPr>
      </w:pPr>
    </w:p>
    <w:p w14:paraId="664129C4" w14:textId="77777777" w:rsidR="002052EC" w:rsidRDefault="002052EC">
      <w:pPr>
        <w:pStyle w:val="Standard"/>
        <w:rPr>
          <w:b/>
          <w:u w:val="single"/>
        </w:rPr>
      </w:pPr>
    </w:p>
    <w:p w14:paraId="61A39F58" w14:textId="77777777" w:rsidR="003970AC" w:rsidRDefault="003970AC">
      <w:pPr>
        <w:pStyle w:val="Standard"/>
        <w:rPr>
          <w:b/>
          <w:u w:val="single"/>
        </w:rPr>
      </w:pPr>
    </w:p>
    <w:p w14:paraId="697E3F99" w14:textId="77777777" w:rsidR="003970AC" w:rsidRDefault="003970AC">
      <w:pPr>
        <w:pStyle w:val="Standard"/>
        <w:rPr>
          <w:b/>
          <w:u w:val="single"/>
        </w:rPr>
      </w:pPr>
    </w:p>
    <w:p w14:paraId="55EEA1DB" w14:textId="77777777" w:rsidR="003970AC" w:rsidRDefault="003970AC">
      <w:pPr>
        <w:pStyle w:val="Standard"/>
        <w:rPr>
          <w:b/>
          <w:u w:val="single"/>
        </w:rPr>
      </w:pPr>
    </w:p>
    <w:p w14:paraId="060C85B4" w14:textId="77777777" w:rsidR="003970AC" w:rsidRDefault="003970AC">
      <w:pPr>
        <w:pStyle w:val="Standard"/>
        <w:rPr>
          <w:b/>
          <w:u w:val="single"/>
        </w:rPr>
      </w:pPr>
    </w:p>
    <w:p w14:paraId="17C880EE" w14:textId="77777777" w:rsidR="003970AC" w:rsidRDefault="003970AC">
      <w:pPr>
        <w:pStyle w:val="Standard"/>
        <w:rPr>
          <w:b/>
          <w:u w:val="single"/>
        </w:rPr>
      </w:pPr>
    </w:p>
    <w:p w14:paraId="60C44096" w14:textId="77777777" w:rsidR="003970AC" w:rsidRDefault="003970AC">
      <w:pPr>
        <w:pStyle w:val="Standard"/>
        <w:rPr>
          <w:b/>
          <w:u w:val="single"/>
        </w:rPr>
      </w:pPr>
    </w:p>
    <w:p w14:paraId="5316858B" w14:textId="77777777" w:rsidR="003970AC" w:rsidRDefault="003970AC">
      <w:pPr>
        <w:pStyle w:val="Standard"/>
        <w:rPr>
          <w:b/>
          <w:u w:val="single"/>
        </w:rPr>
      </w:pPr>
    </w:p>
    <w:p w14:paraId="10763BFC" w14:textId="77777777" w:rsidR="003970AC" w:rsidRDefault="003970AC">
      <w:pPr>
        <w:pStyle w:val="Standard"/>
        <w:rPr>
          <w:b/>
          <w:u w:val="single"/>
        </w:rPr>
      </w:pPr>
    </w:p>
    <w:p w14:paraId="34341414" w14:textId="77777777" w:rsidR="003970AC" w:rsidRDefault="003970AC">
      <w:pPr>
        <w:pStyle w:val="Standard"/>
        <w:rPr>
          <w:b/>
          <w:u w:val="single"/>
        </w:rPr>
      </w:pPr>
    </w:p>
    <w:p w14:paraId="2490F36A" w14:textId="77777777" w:rsidR="003970AC" w:rsidRDefault="003970AC">
      <w:pPr>
        <w:pStyle w:val="Standard"/>
        <w:rPr>
          <w:b/>
          <w:u w:val="single"/>
        </w:rPr>
      </w:pPr>
    </w:p>
    <w:p w14:paraId="3D1B90DA" w14:textId="77777777" w:rsidR="003970AC" w:rsidRDefault="003970AC">
      <w:pPr>
        <w:pStyle w:val="Standard"/>
        <w:rPr>
          <w:b/>
          <w:u w:val="single"/>
        </w:rPr>
      </w:pPr>
    </w:p>
    <w:p w14:paraId="7F35985A" w14:textId="77777777" w:rsidR="003970AC" w:rsidRDefault="003970AC">
      <w:pPr>
        <w:pStyle w:val="Standard"/>
        <w:rPr>
          <w:b/>
          <w:u w:val="single"/>
        </w:rPr>
      </w:pPr>
    </w:p>
    <w:p w14:paraId="3E3D5963" w14:textId="77777777" w:rsidR="003970AC" w:rsidRDefault="003970AC">
      <w:pPr>
        <w:pStyle w:val="Standard"/>
        <w:rPr>
          <w:b/>
          <w:u w:val="single"/>
        </w:rPr>
      </w:pPr>
    </w:p>
    <w:p w14:paraId="1DEF1D36" w14:textId="77777777" w:rsidR="003970AC" w:rsidRDefault="003970AC">
      <w:pPr>
        <w:pStyle w:val="Standard"/>
        <w:rPr>
          <w:b/>
          <w:u w:val="single"/>
        </w:rPr>
      </w:pPr>
    </w:p>
    <w:p w14:paraId="36CF6CE5" w14:textId="77777777" w:rsidR="003970AC" w:rsidRDefault="003970AC">
      <w:pPr>
        <w:pStyle w:val="Standard"/>
        <w:rPr>
          <w:b/>
          <w:u w:val="single"/>
        </w:rPr>
      </w:pPr>
    </w:p>
    <w:p w14:paraId="3C21A475" w14:textId="77777777" w:rsidR="003970AC" w:rsidRDefault="003970AC">
      <w:pPr>
        <w:pStyle w:val="Standard"/>
        <w:rPr>
          <w:b/>
          <w:u w:val="single"/>
        </w:rPr>
      </w:pPr>
    </w:p>
    <w:p w14:paraId="5EBD7031" w14:textId="77777777" w:rsidR="003970AC" w:rsidRDefault="003970AC">
      <w:pPr>
        <w:pStyle w:val="Standard"/>
        <w:rPr>
          <w:b/>
          <w:u w:val="single"/>
        </w:rPr>
      </w:pPr>
    </w:p>
    <w:p w14:paraId="4372711B" w14:textId="77777777" w:rsidR="003970AC" w:rsidRDefault="003970AC">
      <w:pPr>
        <w:pStyle w:val="Standard"/>
        <w:rPr>
          <w:b/>
          <w:u w:val="single"/>
        </w:rPr>
      </w:pPr>
    </w:p>
    <w:p w14:paraId="2AD1FAB7" w14:textId="77777777" w:rsidR="003970AC" w:rsidRDefault="003970AC">
      <w:pPr>
        <w:pStyle w:val="Standard"/>
        <w:rPr>
          <w:b/>
          <w:u w:val="single"/>
        </w:rPr>
      </w:pPr>
    </w:p>
    <w:p w14:paraId="11F52219" w14:textId="213C8BF5" w:rsidR="00B53D6B" w:rsidRDefault="00386AA7">
      <w:pPr>
        <w:pStyle w:val="Standard"/>
        <w:rPr>
          <w:b/>
          <w:u w:val="single"/>
        </w:rPr>
      </w:pPr>
      <w:r>
        <w:rPr>
          <w:b/>
          <w:u w:val="single"/>
        </w:rPr>
        <w:lastRenderedPageBreak/>
        <w:t>Bibliography</w:t>
      </w:r>
    </w:p>
    <w:p w14:paraId="7A9F7179" w14:textId="702E4E14" w:rsidR="00CA433A" w:rsidRPr="00426584" w:rsidRDefault="00CA433A" w:rsidP="00CA433A">
      <w:pPr>
        <w:pStyle w:val="Standard"/>
        <w:numPr>
          <w:ilvl w:val="0"/>
          <w:numId w:val="19"/>
        </w:numPr>
        <w:rPr>
          <w:b/>
          <w:u w:val="single"/>
        </w:rPr>
      </w:pPr>
      <w:r>
        <w:rPr>
          <w:bCs/>
        </w:rPr>
        <w:t xml:space="preserve">Springer, Clio. (2015). </w:t>
      </w:r>
      <w:r w:rsidRPr="00CA433A">
        <w:rPr>
          <w:bCs/>
          <w:i/>
          <w:iCs/>
        </w:rPr>
        <w:t>Changing contracts of employment</w:t>
      </w:r>
      <w:r>
        <w:rPr>
          <w:bCs/>
        </w:rPr>
        <w:t xml:space="preserve">, </w:t>
      </w:r>
      <w:hyperlink r:id="rId27" w:history="1">
        <w:r>
          <w:rPr>
            <w:rStyle w:val="Hyperlink"/>
          </w:rPr>
          <w:t>Changing contracts of employment (personneltoday.com)</w:t>
        </w:r>
      </w:hyperlink>
    </w:p>
    <w:p w14:paraId="3B76407D" w14:textId="62B0D26D" w:rsidR="00426584" w:rsidRPr="00C03DD4" w:rsidRDefault="00426584" w:rsidP="00CA433A">
      <w:pPr>
        <w:pStyle w:val="Standard"/>
        <w:numPr>
          <w:ilvl w:val="0"/>
          <w:numId w:val="19"/>
        </w:numPr>
        <w:rPr>
          <w:b/>
          <w:u w:val="single"/>
        </w:rPr>
      </w:pPr>
      <w:r>
        <w:t xml:space="preserve">Colley, Alison. (2018). </w:t>
      </w:r>
      <w:r w:rsidRPr="00426584">
        <w:rPr>
          <w:i/>
          <w:iCs/>
        </w:rPr>
        <w:t>Dismissal for SOSR</w:t>
      </w:r>
      <w:r>
        <w:t xml:space="preserve">, </w:t>
      </w:r>
      <w:hyperlink r:id="rId28" w:anchor=":~:text=%20Examples%20of%20SOSR%20dismissals%20%201%20Refusal,employ%20the%20employee%20because%20of%20the...%20More%20" w:history="1">
        <w:r>
          <w:rPr>
            <w:rStyle w:val="Hyperlink"/>
          </w:rPr>
          <w:t>Dismissal for Some Other Substantial Reason or SOSR | Real Employment Law Advice</w:t>
        </w:r>
      </w:hyperlink>
    </w:p>
    <w:p w14:paraId="34859503" w14:textId="00E4B663" w:rsidR="00C03DD4" w:rsidRPr="005E7C13" w:rsidRDefault="00C03DD4" w:rsidP="00CA433A">
      <w:pPr>
        <w:pStyle w:val="Standard"/>
        <w:numPr>
          <w:ilvl w:val="0"/>
          <w:numId w:val="19"/>
        </w:numPr>
        <w:rPr>
          <w:b/>
          <w:u w:val="single"/>
        </w:rPr>
      </w:pPr>
      <w:proofErr w:type="spellStart"/>
      <w:r>
        <w:t>Suff</w:t>
      </w:r>
      <w:proofErr w:type="spellEnd"/>
      <w:r>
        <w:t xml:space="preserve">, Rachel. (2021). </w:t>
      </w:r>
      <w:r w:rsidR="002F093D" w:rsidRPr="002F093D">
        <w:rPr>
          <w:i/>
          <w:iCs/>
        </w:rPr>
        <w:t>Redundancy</w:t>
      </w:r>
      <w:r w:rsidR="002F093D">
        <w:rPr>
          <w:i/>
          <w:iCs/>
        </w:rPr>
        <w:t xml:space="preserve">, </w:t>
      </w:r>
      <w:hyperlink r:id="rId29" w:history="1">
        <w:r w:rsidR="002F093D">
          <w:rPr>
            <w:rStyle w:val="Hyperlink"/>
          </w:rPr>
          <w:t>Redundancy | Factsheets | CIPD</w:t>
        </w:r>
      </w:hyperlink>
    </w:p>
    <w:p w14:paraId="62B8C7F9" w14:textId="77777777" w:rsidR="005E7C13" w:rsidRDefault="005E7C13" w:rsidP="005E7C13">
      <w:pPr>
        <w:pStyle w:val="ListParagraph"/>
        <w:numPr>
          <w:ilvl w:val="0"/>
          <w:numId w:val="19"/>
        </w:numPr>
      </w:pPr>
      <w:r>
        <w:t xml:space="preserve">Daniels. Kathy. (2019). CIPD - </w:t>
      </w:r>
      <w:r>
        <w:rPr>
          <w:i/>
          <w:iCs/>
        </w:rPr>
        <w:t>Introduction to employment law. 5</w:t>
      </w:r>
      <w:r>
        <w:rPr>
          <w:i/>
          <w:iCs/>
          <w:vertAlign w:val="superscript"/>
        </w:rPr>
        <w:t>th</w:t>
      </w:r>
      <w:r>
        <w:rPr>
          <w:i/>
          <w:iCs/>
        </w:rPr>
        <w:t xml:space="preserve"> edition</w:t>
      </w:r>
    </w:p>
    <w:p w14:paraId="6135A99D" w14:textId="44768AEB" w:rsidR="005E7C13" w:rsidRPr="00A73E28" w:rsidRDefault="002052EC" w:rsidP="00CA433A">
      <w:pPr>
        <w:pStyle w:val="Standard"/>
        <w:numPr>
          <w:ilvl w:val="0"/>
          <w:numId w:val="19"/>
        </w:numPr>
        <w:rPr>
          <w:b/>
          <w:u w:val="single"/>
        </w:rPr>
      </w:pPr>
      <w:r>
        <w:t xml:space="preserve">Gov Website. (2022), </w:t>
      </w:r>
      <w:r w:rsidRPr="002052EC">
        <w:rPr>
          <w:i/>
          <w:iCs/>
        </w:rPr>
        <w:t>Redundancies, dismissals and disciplinaries,</w:t>
      </w:r>
      <w:r>
        <w:t xml:space="preserve"> </w:t>
      </w:r>
      <w:hyperlink r:id="rId30" w:history="1">
        <w:r w:rsidRPr="00C6507F">
          <w:rPr>
            <w:rStyle w:val="Hyperlink"/>
          </w:rPr>
          <w:t>Browse: Redundancies, dismissals and disciplinaries - GOV.UK (www.gov.uk)</w:t>
        </w:r>
      </w:hyperlink>
    </w:p>
    <w:p w14:paraId="12BC37C9" w14:textId="4EBF3452" w:rsidR="00A73E28" w:rsidRPr="003970AC" w:rsidRDefault="00A73E28" w:rsidP="00CA433A">
      <w:pPr>
        <w:pStyle w:val="Standard"/>
        <w:numPr>
          <w:ilvl w:val="0"/>
          <w:numId w:val="19"/>
        </w:numPr>
        <w:rPr>
          <w:b/>
          <w:u w:val="single"/>
        </w:rPr>
      </w:pPr>
      <w:proofErr w:type="spellStart"/>
      <w:r>
        <w:t>Suff</w:t>
      </w:r>
      <w:proofErr w:type="spellEnd"/>
      <w:r>
        <w:t>, Rachel. (2021)</w:t>
      </w:r>
      <w:r w:rsidR="003970AC">
        <w:t xml:space="preserve">, </w:t>
      </w:r>
      <w:r w:rsidRPr="003970AC">
        <w:rPr>
          <w:i/>
          <w:iCs/>
        </w:rPr>
        <w:t>TUPE</w:t>
      </w:r>
      <w:r>
        <w:t xml:space="preserve">, </w:t>
      </w:r>
      <w:hyperlink r:id="rId31" w:history="1">
        <w:r>
          <w:rPr>
            <w:rStyle w:val="Hyperlink"/>
          </w:rPr>
          <w:t>TUPE (Transfer of Undertakings) | Factsheets | CIPD</w:t>
        </w:r>
      </w:hyperlink>
    </w:p>
    <w:p w14:paraId="117CAB89" w14:textId="72450813" w:rsidR="003970AC" w:rsidRDefault="003970AC" w:rsidP="00CA433A">
      <w:pPr>
        <w:pStyle w:val="Standard"/>
        <w:numPr>
          <w:ilvl w:val="0"/>
          <w:numId w:val="19"/>
        </w:numPr>
        <w:rPr>
          <w:b/>
          <w:u w:val="single"/>
        </w:rPr>
      </w:pPr>
      <w:r>
        <w:t xml:space="preserve">Gov Website. (2022), </w:t>
      </w:r>
      <w:r w:rsidRPr="003970AC">
        <w:rPr>
          <w:i/>
          <w:iCs/>
        </w:rPr>
        <w:t>TUPE Guidelines</w:t>
      </w:r>
      <w:r>
        <w:t xml:space="preserve">, </w:t>
      </w:r>
      <w:hyperlink w:history="1">
        <w:r w:rsidRPr="00C6507F">
          <w:rPr>
            <w:rStyle w:val="Hyperlink"/>
          </w:rPr>
          <w:t>Print Business transfers, takeovers and TUPE - GOV.UK (www.gov.uk)</w:t>
        </w:r>
      </w:hyperlink>
    </w:p>
    <w:sectPr w:rsidR="003970A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FE8A" w14:textId="77777777" w:rsidR="00386AA7" w:rsidRDefault="00386AA7">
      <w:r>
        <w:separator/>
      </w:r>
    </w:p>
  </w:endnote>
  <w:endnote w:type="continuationSeparator" w:id="0">
    <w:p w14:paraId="416D57A7" w14:textId="77777777" w:rsidR="00386AA7" w:rsidRDefault="00386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Open Sans">
    <w:altName w:val="Open Sans"/>
    <w:charset w:val="00"/>
    <w:family w:val="swiss"/>
    <w:pitch w:val="variable"/>
    <w:sig w:usb0="E00002EF" w:usb1="4000205B" w:usb2="00000028" w:usb3="00000000" w:csb0="0000019F" w:csb1="00000000"/>
  </w:font>
  <w:font w:name="apple-system, BlinkMacSystemFon">
    <w:altName w:val="Calibri"/>
    <w:charset w:val="00"/>
    <w:family w:val="auto"/>
    <w:pitch w:val="default"/>
  </w:font>
  <w:font w:name="Libre Frankli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559C6" w14:textId="77777777" w:rsidR="00386AA7" w:rsidRDefault="00386AA7">
      <w:r>
        <w:rPr>
          <w:color w:val="000000"/>
        </w:rPr>
        <w:separator/>
      </w:r>
    </w:p>
  </w:footnote>
  <w:footnote w:type="continuationSeparator" w:id="0">
    <w:p w14:paraId="049D7BCB" w14:textId="77777777" w:rsidR="00386AA7" w:rsidRDefault="00386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7D0"/>
    <w:multiLevelType w:val="multilevel"/>
    <w:tmpl w:val="D8F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36E93"/>
    <w:multiLevelType w:val="multilevel"/>
    <w:tmpl w:val="A6BAE246"/>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09761A57"/>
    <w:multiLevelType w:val="multilevel"/>
    <w:tmpl w:val="4E9E63F2"/>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A934F2B"/>
    <w:multiLevelType w:val="hybridMultilevel"/>
    <w:tmpl w:val="24427978"/>
    <w:lvl w:ilvl="0" w:tplc="C4F450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A501BC"/>
    <w:multiLevelType w:val="multilevel"/>
    <w:tmpl w:val="912A8D5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0F271105"/>
    <w:multiLevelType w:val="multilevel"/>
    <w:tmpl w:val="614E73C4"/>
    <w:styleLink w:val="WWNum11"/>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12D27D6"/>
    <w:multiLevelType w:val="hybridMultilevel"/>
    <w:tmpl w:val="BF1E6D98"/>
    <w:lvl w:ilvl="0" w:tplc="78409530">
      <w:start w:val="1"/>
      <w:numFmt w:val="lowerLetter"/>
      <w:lvlText w:val="%1)"/>
      <w:lvlJc w:val="left"/>
      <w:pPr>
        <w:ind w:left="720" w:hanging="360"/>
      </w:pPr>
      <w:rPr>
        <w:rFonts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AC6C6E"/>
    <w:multiLevelType w:val="hybridMultilevel"/>
    <w:tmpl w:val="1220D936"/>
    <w:lvl w:ilvl="0" w:tplc="679EA60E">
      <w:start w:val="1"/>
      <w:numFmt w:val="bullet"/>
      <w:lvlText w:val="•"/>
      <w:lvlJc w:val="left"/>
      <w:pPr>
        <w:tabs>
          <w:tab w:val="num" w:pos="720"/>
        </w:tabs>
        <w:ind w:left="720" w:hanging="360"/>
      </w:pPr>
      <w:rPr>
        <w:rFonts w:ascii="Arial" w:hAnsi="Arial" w:hint="default"/>
      </w:rPr>
    </w:lvl>
    <w:lvl w:ilvl="1" w:tplc="FA7AB2FA" w:tentative="1">
      <w:start w:val="1"/>
      <w:numFmt w:val="bullet"/>
      <w:lvlText w:val="•"/>
      <w:lvlJc w:val="left"/>
      <w:pPr>
        <w:tabs>
          <w:tab w:val="num" w:pos="1440"/>
        </w:tabs>
        <w:ind w:left="1440" w:hanging="360"/>
      </w:pPr>
      <w:rPr>
        <w:rFonts w:ascii="Arial" w:hAnsi="Arial" w:hint="default"/>
      </w:rPr>
    </w:lvl>
    <w:lvl w:ilvl="2" w:tplc="9CC84324" w:tentative="1">
      <w:start w:val="1"/>
      <w:numFmt w:val="bullet"/>
      <w:lvlText w:val="•"/>
      <w:lvlJc w:val="left"/>
      <w:pPr>
        <w:tabs>
          <w:tab w:val="num" w:pos="2160"/>
        </w:tabs>
        <w:ind w:left="2160" w:hanging="360"/>
      </w:pPr>
      <w:rPr>
        <w:rFonts w:ascii="Arial" w:hAnsi="Arial" w:hint="default"/>
      </w:rPr>
    </w:lvl>
    <w:lvl w:ilvl="3" w:tplc="252A0AB8" w:tentative="1">
      <w:start w:val="1"/>
      <w:numFmt w:val="bullet"/>
      <w:lvlText w:val="•"/>
      <w:lvlJc w:val="left"/>
      <w:pPr>
        <w:tabs>
          <w:tab w:val="num" w:pos="2880"/>
        </w:tabs>
        <w:ind w:left="2880" w:hanging="360"/>
      </w:pPr>
      <w:rPr>
        <w:rFonts w:ascii="Arial" w:hAnsi="Arial" w:hint="default"/>
      </w:rPr>
    </w:lvl>
    <w:lvl w:ilvl="4" w:tplc="7BC6ED88" w:tentative="1">
      <w:start w:val="1"/>
      <w:numFmt w:val="bullet"/>
      <w:lvlText w:val="•"/>
      <w:lvlJc w:val="left"/>
      <w:pPr>
        <w:tabs>
          <w:tab w:val="num" w:pos="3600"/>
        </w:tabs>
        <w:ind w:left="3600" w:hanging="360"/>
      </w:pPr>
      <w:rPr>
        <w:rFonts w:ascii="Arial" w:hAnsi="Arial" w:hint="default"/>
      </w:rPr>
    </w:lvl>
    <w:lvl w:ilvl="5" w:tplc="22AA3A98" w:tentative="1">
      <w:start w:val="1"/>
      <w:numFmt w:val="bullet"/>
      <w:lvlText w:val="•"/>
      <w:lvlJc w:val="left"/>
      <w:pPr>
        <w:tabs>
          <w:tab w:val="num" w:pos="4320"/>
        </w:tabs>
        <w:ind w:left="4320" w:hanging="360"/>
      </w:pPr>
      <w:rPr>
        <w:rFonts w:ascii="Arial" w:hAnsi="Arial" w:hint="default"/>
      </w:rPr>
    </w:lvl>
    <w:lvl w:ilvl="6" w:tplc="4AA4D38A" w:tentative="1">
      <w:start w:val="1"/>
      <w:numFmt w:val="bullet"/>
      <w:lvlText w:val="•"/>
      <w:lvlJc w:val="left"/>
      <w:pPr>
        <w:tabs>
          <w:tab w:val="num" w:pos="5040"/>
        </w:tabs>
        <w:ind w:left="5040" w:hanging="360"/>
      </w:pPr>
      <w:rPr>
        <w:rFonts w:ascii="Arial" w:hAnsi="Arial" w:hint="default"/>
      </w:rPr>
    </w:lvl>
    <w:lvl w:ilvl="7" w:tplc="CD1C22B2" w:tentative="1">
      <w:start w:val="1"/>
      <w:numFmt w:val="bullet"/>
      <w:lvlText w:val="•"/>
      <w:lvlJc w:val="left"/>
      <w:pPr>
        <w:tabs>
          <w:tab w:val="num" w:pos="5760"/>
        </w:tabs>
        <w:ind w:left="5760" w:hanging="360"/>
      </w:pPr>
      <w:rPr>
        <w:rFonts w:ascii="Arial" w:hAnsi="Arial" w:hint="default"/>
      </w:rPr>
    </w:lvl>
    <w:lvl w:ilvl="8" w:tplc="839EC9D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764B67"/>
    <w:multiLevelType w:val="multilevel"/>
    <w:tmpl w:val="C352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E72C3"/>
    <w:multiLevelType w:val="multilevel"/>
    <w:tmpl w:val="E8140AE2"/>
    <w:styleLink w:val="WWNum18"/>
    <w:lvl w:ilvl="0">
      <w:numFmt w:val="bullet"/>
      <w:lvlText w:val=""/>
      <w:lvlJc w:val="left"/>
      <w:pPr>
        <w:ind w:left="720" w:hanging="360"/>
      </w:pPr>
      <w:rPr>
        <w:rFonts w:ascii="Symbol" w:eastAsia="Calibri" w:hAnsi="Symbol"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42B3D61"/>
    <w:multiLevelType w:val="multilevel"/>
    <w:tmpl w:val="CF16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FD5051"/>
    <w:multiLevelType w:val="hybridMultilevel"/>
    <w:tmpl w:val="E222C94A"/>
    <w:lvl w:ilvl="0" w:tplc="C4BC1864">
      <w:start w:val="1"/>
      <w:numFmt w:val="bullet"/>
      <w:lvlText w:val="•"/>
      <w:lvlJc w:val="left"/>
      <w:pPr>
        <w:tabs>
          <w:tab w:val="num" w:pos="720"/>
        </w:tabs>
        <w:ind w:left="720" w:hanging="360"/>
      </w:pPr>
      <w:rPr>
        <w:rFonts w:ascii="Arial" w:hAnsi="Arial" w:hint="default"/>
      </w:rPr>
    </w:lvl>
    <w:lvl w:ilvl="1" w:tplc="25743546">
      <w:numFmt w:val="bullet"/>
      <w:lvlText w:val="•"/>
      <w:lvlJc w:val="left"/>
      <w:pPr>
        <w:tabs>
          <w:tab w:val="num" w:pos="1440"/>
        </w:tabs>
        <w:ind w:left="1440" w:hanging="360"/>
      </w:pPr>
      <w:rPr>
        <w:rFonts w:ascii="Arial" w:hAnsi="Arial" w:hint="default"/>
      </w:rPr>
    </w:lvl>
    <w:lvl w:ilvl="2" w:tplc="3F88CE34" w:tentative="1">
      <w:start w:val="1"/>
      <w:numFmt w:val="bullet"/>
      <w:lvlText w:val="•"/>
      <w:lvlJc w:val="left"/>
      <w:pPr>
        <w:tabs>
          <w:tab w:val="num" w:pos="2160"/>
        </w:tabs>
        <w:ind w:left="2160" w:hanging="360"/>
      </w:pPr>
      <w:rPr>
        <w:rFonts w:ascii="Arial" w:hAnsi="Arial" w:hint="default"/>
      </w:rPr>
    </w:lvl>
    <w:lvl w:ilvl="3" w:tplc="31224B30" w:tentative="1">
      <w:start w:val="1"/>
      <w:numFmt w:val="bullet"/>
      <w:lvlText w:val="•"/>
      <w:lvlJc w:val="left"/>
      <w:pPr>
        <w:tabs>
          <w:tab w:val="num" w:pos="2880"/>
        </w:tabs>
        <w:ind w:left="2880" w:hanging="360"/>
      </w:pPr>
      <w:rPr>
        <w:rFonts w:ascii="Arial" w:hAnsi="Arial" w:hint="default"/>
      </w:rPr>
    </w:lvl>
    <w:lvl w:ilvl="4" w:tplc="E0748670" w:tentative="1">
      <w:start w:val="1"/>
      <w:numFmt w:val="bullet"/>
      <w:lvlText w:val="•"/>
      <w:lvlJc w:val="left"/>
      <w:pPr>
        <w:tabs>
          <w:tab w:val="num" w:pos="3600"/>
        </w:tabs>
        <w:ind w:left="3600" w:hanging="360"/>
      </w:pPr>
      <w:rPr>
        <w:rFonts w:ascii="Arial" w:hAnsi="Arial" w:hint="default"/>
      </w:rPr>
    </w:lvl>
    <w:lvl w:ilvl="5" w:tplc="02003B58" w:tentative="1">
      <w:start w:val="1"/>
      <w:numFmt w:val="bullet"/>
      <w:lvlText w:val="•"/>
      <w:lvlJc w:val="left"/>
      <w:pPr>
        <w:tabs>
          <w:tab w:val="num" w:pos="4320"/>
        </w:tabs>
        <w:ind w:left="4320" w:hanging="360"/>
      </w:pPr>
      <w:rPr>
        <w:rFonts w:ascii="Arial" w:hAnsi="Arial" w:hint="default"/>
      </w:rPr>
    </w:lvl>
    <w:lvl w:ilvl="6" w:tplc="FA9A8246" w:tentative="1">
      <w:start w:val="1"/>
      <w:numFmt w:val="bullet"/>
      <w:lvlText w:val="•"/>
      <w:lvlJc w:val="left"/>
      <w:pPr>
        <w:tabs>
          <w:tab w:val="num" w:pos="5040"/>
        </w:tabs>
        <w:ind w:left="5040" w:hanging="360"/>
      </w:pPr>
      <w:rPr>
        <w:rFonts w:ascii="Arial" w:hAnsi="Arial" w:hint="default"/>
      </w:rPr>
    </w:lvl>
    <w:lvl w:ilvl="7" w:tplc="5AF86D7A" w:tentative="1">
      <w:start w:val="1"/>
      <w:numFmt w:val="bullet"/>
      <w:lvlText w:val="•"/>
      <w:lvlJc w:val="left"/>
      <w:pPr>
        <w:tabs>
          <w:tab w:val="num" w:pos="5760"/>
        </w:tabs>
        <w:ind w:left="5760" w:hanging="360"/>
      </w:pPr>
      <w:rPr>
        <w:rFonts w:ascii="Arial" w:hAnsi="Arial" w:hint="default"/>
      </w:rPr>
    </w:lvl>
    <w:lvl w:ilvl="8" w:tplc="561870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2E249FA"/>
    <w:multiLevelType w:val="multilevel"/>
    <w:tmpl w:val="6E84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957E46"/>
    <w:multiLevelType w:val="multilevel"/>
    <w:tmpl w:val="5324ECB0"/>
    <w:styleLink w:val="WWNum9"/>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99F3A5A"/>
    <w:multiLevelType w:val="multilevel"/>
    <w:tmpl w:val="8C4A9988"/>
    <w:styleLink w:val="WWNum6"/>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0873B6A"/>
    <w:multiLevelType w:val="multilevel"/>
    <w:tmpl w:val="3BC42978"/>
    <w:styleLink w:val="WWNum17"/>
    <w:lvl w:ilvl="0">
      <w:numFmt w:val="bullet"/>
      <w:lvlText w:val=""/>
      <w:lvlJc w:val="left"/>
      <w:pPr>
        <w:ind w:left="1080" w:hanging="360"/>
      </w:pPr>
      <w:rPr>
        <w:rFonts w:ascii="Symbol" w:eastAsia="Calibri" w:hAnsi="Symbol" w:cs="Tahoma"/>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4312518C"/>
    <w:multiLevelType w:val="multilevel"/>
    <w:tmpl w:val="55F2A44C"/>
    <w:styleLink w:val="WWNum5"/>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9D83738"/>
    <w:multiLevelType w:val="multilevel"/>
    <w:tmpl w:val="355C8A6A"/>
    <w:styleLink w:val="WWNum7"/>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4B356F92"/>
    <w:multiLevelType w:val="hybridMultilevel"/>
    <w:tmpl w:val="6360C1BC"/>
    <w:lvl w:ilvl="0" w:tplc="0ECC243C">
      <w:start w:val="1"/>
      <w:numFmt w:val="decimal"/>
      <w:lvlText w:val="%1."/>
      <w:lvlJc w:val="left"/>
      <w:pPr>
        <w:ind w:left="720" w:hanging="360"/>
      </w:pPr>
      <w:rPr>
        <w:rFonts w:cs="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0807BF"/>
    <w:multiLevelType w:val="multilevel"/>
    <w:tmpl w:val="BFA0FB9E"/>
    <w:styleLink w:val="WWNum13"/>
    <w:lvl w:ilvl="0">
      <w:start w:val="1"/>
      <w:numFmt w:val="lowerLetter"/>
      <w:lvlText w:val="%1"/>
      <w:lvlJc w:val="left"/>
      <w:pPr>
        <w:ind w:left="1080" w:hanging="360"/>
      </w:p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0" w15:restartNumberingAfterBreak="0">
    <w:nsid w:val="4E63655C"/>
    <w:multiLevelType w:val="multilevel"/>
    <w:tmpl w:val="77D0DE06"/>
    <w:styleLink w:val="WWNum10"/>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4FA535B6"/>
    <w:multiLevelType w:val="multilevel"/>
    <w:tmpl w:val="6774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FC3083"/>
    <w:multiLevelType w:val="multilevel"/>
    <w:tmpl w:val="B16E407E"/>
    <w:styleLink w:val="WWNum14"/>
    <w:lvl w:ilvl="0">
      <w:start w:val="1"/>
      <w:numFmt w:val="lowerLetter"/>
      <w:lvlText w:val="%1"/>
      <w:lvlJc w:val="left"/>
      <w:pPr>
        <w:ind w:left="720" w:hanging="360"/>
      </w:pPr>
      <w:rPr>
        <w:b w:val="0"/>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509235F5"/>
    <w:multiLevelType w:val="multilevel"/>
    <w:tmpl w:val="5716505C"/>
    <w:lvl w:ilvl="0">
      <w:start w:val="1"/>
      <w:numFmt w:val="decimal"/>
      <w:lvlText w:val="%1."/>
      <w:lvlJc w:val="left"/>
      <w:pPr>
        <w:ind w:left="360" w:hanging="360"/>
      </w:pPr>
      <w:rPr>
        <w:rFonts w:cs="Calibri" w:hint="default"/>
      </w:rPr>
    </w:lvl>
    <w:lvl w:ilvl="1">
      <w:start w:val="2"/>
      <w:numFmt w:val="decimal"/>
      <w:lvlText w:val="%1.%2)"/>
      <w:lvlJc w:val="left"/>
      <w:pPr>
        <w:ind w:left="1080" w:hanging="36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2880" w:hanging="72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4680" w:hanging="1080"/>
      </w:pPr>
      <w:rPr>
        <w:rFonts w:cs="Calibri" w:hint="default"/>
      </w:rPr>
    </w:lvl>
    <w:lvl w:ilvl="6">
      <w:start w:val="1"/>
      <w:numFmt w:val="decimal"/>
      <w:lvlText w:val="%1.%2)%3.%4.%5.%6.%7."/>
      <w:lvlJc w:val="left"/>
      <w:pPr>
        <w:ind w:left="5760" w:hanging="1440"/>
      </w:pPr>
      <w:rPr>
        <w:rFonts w:cs="Calibri" w:hint="default"/>
      </w:rPr>
    </w:lvl>
    <w:lvl w:ilvl="7">
      <w:start w:val="1"/>
      <w:numFmt w:val="decimal"/>
      <w:lvlText w:val="%1.%2)%3.%4.%5.%6.%7.%8."/>
      <w:lvlJc w:val="left"/>
      <w:pPr>
        <w:ind w:left="6480" w:hanging="1440"/>
      </w:pPr>
      <w:rPr>
        <w:rFonts w:cs="Calibri" w:hint="default"/>
      </w:rPr>
    </w:lvl>
    <w:lvl w:ilvl="8">
      <w:start w:val="1"/>
      <w:numFmt w:val="decimal"/>
      <w:lvlText w:val="%1.%2)%3.%4.%5.%6.%7.%8.%9."/>
      <w:lvlJc w:val="left"/>
      <w:pPr>
        <w:ind w:left="7560" w:hanging="1800"/>
      </w:pPr>
      <w:rPr>
        <w:rFonts w:cs="Calibri" w:hint="default"/>
      </w:rPr>
    </w:lvl>
  </w:abstractNum>
  <w:abstractNum w:abstractNumId="24" w15:restartNumberingAfterBreak="0">
    <w:nsid w:val="510F755C"/>
    <w:multiLevelType w:val="multilevel"/>
    <w:tmpl w:val="3190AA28"/>
    <w:styleLink w:val="WWNum8"/>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52100642"/>
    <w:multiLevelType w:val="hybridMultilevel"/>
    <w:tmpl w:val="904AEA62"/>
    <w:lvl w:ilvl="0" w:tplc="5BB6C058">
      <w:start w:val="1"/>
      <w:numFmt w:val="bullet"/>
      <w:lvlText w:val="•"/>
      <w:lvlJc w:val="left"/>
      <w:pPr>
        <w:tabs>
          <w:tab w:val="num" w:pos="720"/>
        </w:tabs>
        <w:ind w:left="720" w:hanging="360"/>
      </w:pPr>
      <w:rPr>
        <w:rFonts w:ascii="Arial" w:hAnsi="Arial" w:hint="default"/>
      </w:rPr>
    </w:lvl>
    <w:lvl w:ilvl="1" w:tplc="8EACF1D4" w:tentative="1">
      <w:start w:val="1"/>
      <w:numFmt w:val="bullet"/>
      <w:lvlText w:val="•"/>
      <w:lvlJc w:val="left"/>
      <w:pPr>
        <w:tabs>
          <w:tab w:val="num" w:pos="1440"/>
        </w:tabs>
        <w:ind w:left="1440" w:hanging="360"/>
      </w:pPr>
      <w:rPr>
        <w:rFonts w:ascii="Arial" w:hAnsi="Arial" w:hint="default"/>
      </w:rPr>
    </w:lvl>
    <w:lvl w:ilvl="2" w:tplc="FAB82EB0" w:tentative="1">
      <w:start w:val="1"/>
      <w:numFmt w:val="bullet"/>
      <w:lvlText w:val="•"/>
      <w:lvlJc w:val="left"/>
      <w:pPr>
        <w:tabs>
          <w:tab w:val="num" w:pos="2160"/>
        </w:tabs>
        <w:ind w:left="2160" w:hanging="360"/>
      </w:pPr>
      <w:rPr>
        <w:rFonts w:ascii="Arial" w:hAnsi="Arial" w:hint="default"/>
      </w:rPr>
    </w:lvl>
    <w:lvl w:ilvl="3" w:tplc="889C47E4" w:tentative="1">
      <w:start w:val="1"/>
      <w:numFmt w:val="bullet"/>
      <w:lvlText w:val="•"/>
      <w:lvlJc w:val="left"/>
      <w:pPr>
        <w:tabs>
          <w:tab w:val="num" w:pos="2880"/>
        </w:tabs>
        <w:ind w:left="2880" w:hanging="360"/>
      </w:pPr>
      <w:rPr>
        <w:rFonts w:ascii="Arial" w:hAnsi="Arial" w:hint="default"/>
      </w:rPr>
    </w:lvl>
    <w:lvl w:ilvl="4" w:tplc="6B529640" w:tentative="1">
      <w:start w:val="1"/>
      <w:numFmt w:val="bullet"/>
      <w:lvlText w:val="•"/>
      <w:lvlJc w:val="left"/>
      <w:pPr>
        <w:tabs>
          <w:tab w:val="num" w:pos="3600"/>
        </w:tabs>
        <w:ind w:left="3600" w:hanging="360"/>
      </w:pPr>
      <w:rPr>
        <w:rFonts w:ascii="Arial" w:hAnsi="Arial" w:hint="default"/>
      </w:rPr>
    </w:lvl>
    <w:lvl w:ilvl="5" w:tplc="8FBCCC0C" w:tentative="1">
      <w:start w:val="1"/>
      <w:numFmt w:val="bullet"/>
      <w:lvlText w:val="•"/>
      <w:lvlJc w:val="left"/>
      <w:pPr>
        <w:tabs>
          <w:tab w:val="num" w:pos="4320"/>
        </w:tabs>
        <w:ind w:left="4320" w:hanging="360"/>
      </w:pPr>
      <w:rPr>
        <w:rFonts w:ascii="Arial" w:hAnsi="Arial" w:hint="default"/>
      </w:rPr>
    </w:lvl>
    <w:lvl w:ilvl="6" w:tplc="82B4CC9A" w:tentative="1">
      <w:start w:val="1"/>
      <w:numFmt w:val="bullet"/>
      <w:lvlText w:val="•"/>
      <w:lvlJc w:val="left"/>
      <w:pPr>
        <w:tabs>
          <w:tab w:val="num" w:pos="5040"/>
        </w:tabs>
        <w:ind w:left="5040" w:hanging="360"/>
      </w:pPr>
      <w:rPr>
        <w:rFonts w:ascii="Arial" w:hAnsi="Arial" w:hint="default"/>
      </w:rPr>
    </w:lvl>
    <w:lvl w:ilvl="7" w:tplc="AA1EE888" w:tentative="1">
      <w:start w:val="1"/>
      <w:numFmt w:val="bullet"/>
      <w:lvlText w:val="•"/>
      <w:lvlJc w:val="left"/>
      <w:pPr>
        <w:tabs>
          <w:tab w:val="num" w:pos="5760"/>
        </w:tabs>
        <w:ind w:left="5760" w:hanging="360"/>
      </w:pPr>
      <w:rPr>
        <w:rFonts w:ascii="Arial" w:hAnsi="Arial" w:hint="default"/>
      </w:rPr>
    </w:lvl>
    <w:lvl w:ilvl="8" w:tplc="29482B6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2AA1B30"/>
    <w:multiLevelType w:val="multilevel"/>
    <w:tmpl w:val="74E298E8"/>
    <w:styleLink w:val="WWNum16"/>
    <w:lvl w:ilvl="0">
      <w:start w:val="1"/>
      <w:numFmt w:val="lowerLetter"/>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549E0384"/>
    <w:multiLevelType w:val="multilevel"/>
    <w:tmpl w:val="F6FE392E"/>
    <w:styleLink w:val="WW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68B5355"/>
    <w:multiLevelType w:val="multilevel"/>
    <w:tmpl w:val="79226CA6"/>
    <w:styleLink w:val="WWNum15"/>
    <w:lvl w:ilvl="0">
      <w:start w:val="1"/>
      <w:numFmt w:val="lowerLetter"/>
      <w:lvlText w:val="%1"/>
      <w:lvlJc w:val="left"/>
      <w:pPr>
        <w:ind w:left="720" w:hanging="360"/>
      </w:pPr>
      <w:rPr>
        <w:b/>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9AF516D"/>
    <w:multiLevelType w:val="multilevel"/>
    <w:tmpl w:val="FA1ED644"/>
    <w:styleLink w:val="WWNum2"/>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5B092FFE"/>
    <w:multiLevelType w:val="hybridMultilevel"/>
    <w:tmpl w:val="D758E7E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D4C7ADF"/>
    <w:multiLevelType w:val="multilevel"/>
    <w:tmpl w:val="13D057C0"/>
    <w:styleLink w:val="WWNum19"/>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608A5F58"/>
    <w:multiLevelType w:val="multilevel"/>
    <w:tmpl w:val="E3F4B62E"/>
    <w:styleLink w:val="WWNum12"/>
    <w:lvl w:ilvl="0">
      <w:start w:val="1"/>
      <w:numFmt w:val="decimal"/>
      <w:lvlText w:val="%1"/>
      <w:lvlJc w:val="left"/>
      <w:pPr>
        <w:ind w:left="360" w:hanging="360"/>
      </w:pPr>
      <w:rPr>
        <w:b/>
        <w:color w:val="auto"/>
      </w:r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3" w15:restartNumberingAfterBreak="0">
    <w:nsid w:val="69216461"/>
    <w:multiLevelType w:val="multilevel"/>
    <w:tmpl w:val="2ED2B5C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34" w15:restartNumberingAfterBreak="0">
    <w:nsid w:val="73CD55CA"/>
    <w:multiLevelType w:val="multilevel"/>
    <w:tmpl w:val="E5E05552"/>
    <w:styleLink w:val="WWNum4"/>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771779B6"/>
    <w:multiLevelType w:val="multilevel"/>
    <w:tmpl w:val="0496708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36" w15:restartNumberingAfterBreak="0">
    <w:nsid w:val="7E305301"/>
    <w:multiLevelType w:val="multilevel"/>
    <w:tmpl w:val="32B835DE"/>
    <w:styleLink w:val="WWNum20"/>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37" w15:restartNumberingAfterBreak="0">
    <w:nsid w:val="7F105E73"/>
    <w:multiLevelType w:val="multilevel"/>
    <w:tmpl w:val="74B4B2C6"/>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38" w15:restartNumberingAfterBreak="0">
    <w:nsid w:val="7FDC6919"/>
    <w:multiLevelType w:val="multilevel"/>
    <w:tmpl w:val="69EC17EA"/>
    <w:styleLink w:val="WWNum21"/>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1"/>
  </w:num>
  <w:num w:numId="2">
    <w:abstractNumId w:val="2"/>
  </w:num>
  <w:num w:numId="3">
    <w:abstractNumId w:val="29"/>
  </w:num>
  <w:num w:numId="4">
    <w:abstractNumId w:val="27"/>
  </w:num>
  <w:num w:numId="5">
    <w:abstractNumId w:val="34"/>
  </w:num>
  <w:num w:numId="6">
    <w:abstractNumId w:val="16"/>
  </w:num>
  <w:num w:numId="7">
    <w:abstractNumId w:val="14"/>
  </w:num>
  <w:num w:numId="8">
    <w:abstractNumId w:val="17"/>
  </w:num>
  <w:num w:numId="9">
    <w:abstractNumId w:val="24"/>
  </w:num>
  <w:num w:numId="10">
    <w:abstractNumId w:val="13"/>
  </w:num>
  <w:num w:numId="11">
    <w:abstractNumId w:val="20"/>
  </w:num>
  <w:num w:numId="12">
    <w:abstractNumId w:val="5"/>
  </w:num>
  <w:num w:numId="13">
    <w:abstractNumId w:val="32"/>
  </w:num>
  <w:num w:numId="14">
    <w:abstractNumId w:val="19"/>
  </w:num>
  <w:num w:numId="15">
    <w:abstractNumId w:val="22"/>
  </w:num>
  <w:num w:numId="16">
    <w:abstractNumId w:val="28"/>
  </w:num>
  <w:num w:numId="17">
    <w:abstractNumId w:val="26"/>
  </w:num>
  <w:num w:numId="18">
    <w:abstractNumId w:val="15"/>
  </w:num>
  <w:num w:numId="19">
    <w:abstractNumId w:val="9"/>
  </w:num>
  <w:num w:numId="20">
    <w:abstractNumId w:val="31"/>
  </w:num>
  <w:num w:numId="21">
    <w:abstractNumId w:val="36"/>
  </w:num>
  <w:num w:numId="22">
    <w:abstractNumId w:val="38"/>
  </w:num>
  <w:num w:numId="23">
    <w:abstractNumId w:val="32"/>
    <w:lvlOverride w:ilvl="0">
      <w:startOverride w:val="1"/>
    </w:lvlOverride>
  </w:num>
  <w:num w:numId="24">
    <w:abstractNumId w:val="4"/>
  </w:num>
  <w:num w:numId="25">
    <w:abstractNumId w:val="26"/>
    <w:lvlOverride w:ilvl="0">
      <w:startOverride w:val="1"/>
    </w:lvlOverride>
  </w:num>
  <w:num w:numId="26">
    <w:abstractNumId w:val="9"/>
  </w:num>
  <w:num w:numId="27">
    <w:abstractNumId w:val="5"/>
    <w:lvlOverride w:ilvl="0">
      <w:startOverride w:val="1"/>
    </w:lvlOverride>
  </w:num>
  <w:num w:numId="28">
    <w:abstractNumId w:val="35"/>
  </w:num>
  <w:num w:numId="29">
    <w:abstractNumId w:val="6"/>
  </w:num>
  <w:num w:numId="30">
    <w:abstractNumId w:val="0"/>
  </w:num>
  <w:num w:numId="31">
    <w:abstractNumId w:val="12"/>
  </w:num>
  <w:num w:numId="32">
    <w:abstractNumId w:val="18"/>
  </w:num>
  <w:num w:numId="33">
    <w:abstractNumId w:val="23"/>
  </w:num>
  <w:num w:numId="34">
    <w:abstractNumId w:val="37"/>
  </w:num>
  <w:num w:numId="35">
    <w:abstractNumId w:val="3"/>
  </w:num>
  <w:num w:numId="36">
    <w:abstractNumId w:val="25"/>
  </w:num>
  <w:num w:numId="37">
    <w:abstractNumId w:val="7"/>
  </w:num>
  <w:num w:numId="38">
    <w:abstractNumId w:val="21"/>
  </w:num>
  <w:num w:numId="39">
    <w:abstractNumId w:val="33"/>
  </w:num>
  <w:num w:numId="40">
    <w:abstractNumId w:val="30"/>
  </w:num>
  <w:num w:numId="41">
    <w:abstractNumId w:val="8"/>
  </w:num>
  <w:num w:numId="42">
    <w:abstractNumId w:val="11"/>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D6B"/>
    <w:rsid w:val="000203FB"/>
    <w:rsid w:val="00022196"/>
    <w:rsid w:val="00026E75"/>
    <w:rsid w:val="000300FD"/>
    <w:rsid w:val="00036E84"/>
    <w:rsid w:val="00042586"/>
    <w:rsid w:val="0004375E"/>
    <w:rsid w:val="00050606"/>
    <w:rsid w:val="00060D34"/>
    <w:rsid w:val="0006567E"/>
    <w:rsid w:val="00075C9B"/>
    <w:rsid w:val="00091AAC"/>
    <w:rsid w:val="000930B7"/>
    <w:rsid w:val="000B690F"/>
    <w:rsid w:val="000D2CB1"/>
    <w:rsid w:val="000D3733"/>
    <w:rsid w:val="000E3EA0"/>
    <w:rsid w:val="00100DA8"/>
    <w:rsid w:val="001013CA"/>
    <w:rsid w:val="00107D37"/>
    <w:rsid w:val="0014308B"/>
    <w:rsid w:val="001714AD"/>
    <w:rsid w:val="00196100"/>
    <w:rsid w:val="001A7473"/>
    <w:rsid w:val="001B1623"/>
    <w:rsid w:val="001B25EB"/>
    <w:rsid w:val="001D4A03"/>
    <w:rsid w:val="001E4503"/>
    <w:rsid w:val="002052EC"/>
    <w:rsid w:val="00206B25"/>
    <w:rsid w:val="00211660"/>
    <w:rsid w:val="00225B7C"/>
    <w:rsid w:val="00251D7F"/>
    <w:rsid w:val="002530C1"/>
    <w:rsid w:val="00256188"/>
    <w:rsid w:val="00265631"/>
    <w:rsid w:val="00273961"/>
    <w:rsid w:val="00281950"/>
    <w:rsid w:val="0028302E"/>
    <w:rsid w:val="002A51DC"/>
    <w:rsid w:val="002D36A7"/>
    <w:rsid w:val="002F093D"/>
    <w:rsid w:val="002F4A0E"/>
    <w:rsid w:val="003036A3"/>
    <w:rsid w:val="003142F2"/>
    <w:rsid w:val="0032432F"/>
    <w:rsid w:val="003257E9"/>
    <w:rsid w:val="00326B0F"/>
    <w:rsid w:val="00354A89"/>
    <w:rsid w:val="00381312"/>
    <w:rsid w:val="00385219"/>
    <w:rsid w:val="00386AA7"/>
    <w:rsid w:val="00391014"/>
    <w:rsid w:val="003970AC"/>
    <w:rsid w:val="003B5175"/>
    <w:rsid w:val="003C72BC"/>
    <w:rsid w:val="00406F11"/>
    <w:rsid w:val="00426584"/>
    <w:rsid w:val="004309E2"/>
    <w:rsid w:val="00432F2A"/>
    <w:rsid w:val="00455169"/>
    <w:rsid w:val="004D00D4"/>
    <w:rsid w:val="004F2A81"/>
    <w:rsid w:val="004F3E2C"/>
    <w:rsid w:val="00504A50"/>
    <w:rsid w:val="0051454B"/>
    <w:rsid w:val="005245F9"/>
    <w:rsid w:val="00526ADD"/>
    <w:rsid w:val="00532152"/>
    <w:rsid w:val="005A2C61"/>
    <w:rsid w:val="005A7451"/>
    <w:rsid w:val="005E3E44"/>
    <w:rsid w:val="005E7C13"/>
    <w:rsid w:val="00604819"/>
    <w:rsid w:val="006108A6"/>
    <w:rsid w:val="00610DF2"/>
    <w:rsid w:val="00627FCB"/>
    <w:rsid w:val="00644DE0"/>
    <w:rsid w:val="0064579D"/>
    <w:rsid w:val="00670E97"/>
    <w:rsid w:val="00692F76"/>
    <w:rsid w:val="006B1645"/>
    <w:rsid w:val="006B7513"/>
    <w:rsid w:val="006C19F4"/>
    <w:rsid w:val="006D3222"/>
    <w:rsid w:val="006D7A6F"/>
    <w:rsid w:val="00702673"/>
    <w:rsid w:val="00705509"/>
    <w:rsid w:val="007178D0"/>
    <w:rsid w:val="007218E6"/>
    <w:rsid w:val="007322AA"/>
    <w:rsid w:val="007549FF"/>
    <w:rsid w:val="007636EA"/>
    <w:rsid w:val="00773C12"/>
    <w:rsid w:val="00791BC3"/>
    <w:rsid w:val="007D357B"/>
    <w:rsid w:val="007F0A91"/>
    <w:rsid w:val="007F393D"/>
    <w:rsid w:val="00801ACB"/>
    <w:rsid w:val="00804615"/>
    <w:rsid w:val="00822CDA"/>
    <w:rsid w:val="0082339A"/>
    <w:rsid w:val="00825A00"/>
    <w:rsid w:val="00834AE0"/>
    <w:rsid w:val="0084089D"/>
    <w:rsid w:val="0084756C"/>
    <w:rsid w:val="00857E58"/>
    <w:rsid w:val="008820ED"/>
    <w:rsid w:val="00886FC8"/>
    <w:rsid w:val="008A434C"/>
    <w:rsid w:val="008C3656"/>
    <w:rsid w:val="008D5909"/>
    <w:rsid w:val="008F0F0E"/>
    <w:rsid w:val="0090762B"/>
    <w:rsid w:val="0091083E"/>
    <w:rsid w:val="00917813"/>
    <w:rsid w:val="00952D8A"/>
    <w:rsid w:val="00993A41"/>
    <w:rsid w:val="009B5815"/>
    <w:rsid w:val="009F0C62"/>
    <w:rsid w:val="00A04B5F"/>
    <w:rsid w:val="00A419AD"/>
    <w:rsid w:val="00A5649D"/>
    <w:rsid w:val="00A73E28"/>
    <w:rsid w:val="00A80247"/>
    <w:rsid w:val="00A91F96"/>
    <w:rsid w:val="00AB7298"/>
    <w:rsid w:val="00AC5923"/>
    <w:rsid w:val="00AC5C02"/>
    <w:rsid w:val="00AD278B"/>
    <w:rsid w:val="00AD305D"/>
    <w:rsid w:val="00AD55D2"/>
    <w:rsid w:val="00AE24AB"/>
    <w:rsid w:val="00AF17DB"/>
    <w:rsid w:val="00AF365B"/>
    <w:rsid w:val="00B11397"/>
    <w:rsid w:val="00B163B4"/>
    <w:rsid w:val="00B238C7"/>
    <w:rsid w:val="00B270FC"/>
    <w:rsid w:val="00B3043D"/>
    <w:rsid w:val="00B349A7"/>
    <w:rsid w:val="00B43DDE"/>
    <w:rsid w:val="00B53D6B"/>
    <w:rsid w:val="00B66421"/>
    <w:rsid w:val="00B87AD1"/>
    <w:rsid w:val="00B9438B"/>
    <w:rsid w:val="00BA7618"/>
    <w:rsid w:val="00BA79FB"/>
    <w:rsid w:val="00BC27A7"/>
    <w:rsid w:val="00BC4668"/>
    <w:rsid w:val="00BD166A"/>
    <w:rsid w:val="00BE1B9D"/>
    <w:rsid w:val="00BF5039"/>
    <w:rsid w:val="00C03DD4"/>
    <w:rsid w:val="00C05ED5"/>
    <w:rsid w:val="00C1038E"/>
    <w:rsid w:val="00C23710"/>
    <w:rsid w:val="00C25769"/>
    <w:rsid w:val="00C33044"/>
    <w:rsid w:val="00C3622E"/>
    <w:rsid w:val="00C41683"/>
    <w:rsid w:val="00C558B4"/>
    <w:rsid w:val="00C74FF4"/>
    <w:rsid w:val="00C80C4A"/>
    <w:rsid w:val="00C823FF"/>
    <w:rsid w:val="00CA433A"/>
    <w:rsid w:val="00CB0EC3"/>
    <w:rsid w:val="00CB560C"/>
    <w:rsid w:val="00CB6306"/>
    <w:rsid w:val="00CD215C"/>
    <w:rsid w:val="00D01394"/>
    <w:rsid w:val="00D2794C"/>
    <w:rsid w:val="00D27EF8"/>
    <w:rsid w:val="00D34628"/>
    <w:rsid w:val="00D40966"/>
    <w:rsid w:val="00D43A2A"/>
    <w:rsid w:val="00D55A49"/>
    <w:rsid w:val="00D55DF0"/>
    <w:rsid w:val="00DA02B6"/>
    <w:rsid w:val="00DC54A8"/>
    <w:rsid w:val="00DE445B"/>
    <w:rsid w:val="00E1428B"/>
    <w:rsid w:val="00E24AF2"/>
    <w:rsid w:val="00E26E7E"/>
    <w:rsid w:val="00E33877"/>
    <w:rsid w:val="00E3547E"/>
    <w:rsid w:val="00E542B2"/>
    <w:rsid w:val="00EA4AF6"/>
    <w:rsid w:val="00EB0200"/>
    <w:rsid w:val="00EB1830"/>
    <w:rsid w:val="00EC17A4"/>
    <w:rsid w:val="00EE66AD"/>
    <w:rsid w:val="00EF677D"/>
    <w:rsid w:val="00F06666"/>
    <w:rsid w:val="00F07F23"/>
    <w:rsid w:val="00F13E29"/>
    <w:rsid w:val="00F62188"/>
    <w:rsid w:val="00F648AB"/>
    <w:rsid w:val="00F66B70"/>
    <w:rsid w:val="00F71603"/>
    <w:rsid w:val="00F825E4"/>
    <w:rsid w:val="00F85D72"/>
    <w:rsid w:val="00F867CD"/>
    <w:rsid w:val="00FA207E"/>
    <w:rsid w:val="00FD6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2182"/>
  <w15:docId w15:val="{B172ABAC-4399-4B72-8155-210449134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en-GB"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Liberation Serif" w:eastAsia="Segoe UI" w:hAnsi="Liberation Serif" w:cs="Tahoma"/>
      <w:b/>
      <w:bCs/>
      <w:sz w:val="48"/>
      <w:szCs w:val="48"/>
    </w:rPr>
  </w:style>
  <w:style w:type="paragraph" w:styleId="Heading3">
    <w:name w:val="heading 3"/>
    <w:basedOn w:val="Heading"/>
    <w:next w:val="Textbody"/>
    <w:uiPriority w:val="9"/>
    <w:unhideWhenUsed/>
    <w:qFormat/>
    <w:pPr>
      <w:spacing w:before="140"/>
      <w:outlineLvl w:val="2"/>
    </w:pPr>
    <w:rPr>
      <w:rFonts w:ascii="Liberation Serif" w:eastAsia="Segoe UI" w:hAnsi="Liberation Serif" w:cs="Tahoma"/>
      <w:b/>
      <w:bCs/>
    </w:rPr>
  </w:style>
  <w:style w:type="paragraph" w:styleId="Heading5">
    <w:name w:val="heading 5"/>
    <w:basedOn w:val="Heading"/>
    <w:next w:val="Textbody"/>
    <w:uiPriority w:val="9"/>
    <w:semiHidden/>
    <w:unhideWhenUsed/>
    <w:qFormat/>
    <w:pPr>
      <w:spacing w:before="120" w:after="60"/>
      <w:outlineLvl w:val="4"/>
    </w:pPr>
    <w:rPr>
      <w:rFonts w:ascii="Liberation Serif" w:eastAsia="Segoe UI" w:hAnsi="Liberation Serif"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
    <w:name w:val="List"/>
    <w:basedOn w:val="Textbody"/>
    <w:rPr>
      <w:rFonts w:cs="Lucida Sans"/>
      <w:sz w:val="24"/>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ListParagraph">
    <w:name w:val="List Paragraph"/>
    <w:basedOn w:val="Standard"/>
    <w:uiPriority w:val="34"/>
    <w:qFormat/>
    <w:pPr>
      <w:ind w:left="720"/>
      <w:contextualSpacing/>
    </w:pPr>
  </w:style>
  <w:style w:type="paragraph" w:styleId="NormalWeb">
    <w:name w:val="Normal (Web)"/>
    <w:basedOn w:val="Standard"/>
    <w:uiPriority w:val="99"/>
    <w:pPr>
      <w:spacing w:after="150" w:line="240" w:lineRule="auto"/>
    </w:pPr>
    <w:rPr>
      <w:rFonts w:ascii="Open Sans" w:eastAsia="Times New Roman" w:hAnsi="Open Sans" w:cs="Times New Roman"/>
      <w:sz w:val="27"/>
      <w:szCs w:val="27"/>
      <w:lang w:eastAsia="en-GB"/>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Internetlink">
    <w:name w:val="Internet link"/>
    <w:basedOn w:val="DefaultParagraphFont"/>
    <w:rPr>
      <w:color w:val="0563C1"/>
      <w:u w:val="single"/>
    </w:rPr>
  </w:style>
  <w:style w:type="character" w:customStyle="1" w:styleId="ListLabel1">
    <w:name w:val="ListLabel 1"/>
    <w:rPr>
      <w:b/>
      <w:color w:val="auto"/>
    </w:rPr>
  </w:style>
  <w:style w:type="character" w:customStyle="1" w:styleId="ListLabel2">
    <w:name w:val="ListLabel 2"/>
    <w:rPr>
      <w:b w:val="0"/>
    </w:rPr>
  </w:style>
  <w:style w:type="character" w:customStyle="1" w:styleId="ListLabel3">
    <w:name w:val="ListLabel 3"/>
    <w:rPr>
      <w:b/>
    </w:rPr>
  </w:style>
  <w:style w:type="character" w:customStyle="1" w:styleId="ListLabel4">
    <w:name w:val="ListLabel 4"/>
    <w:rPr>
      <w:rFonts w:eastAsia="Calibri" w:cs="Tahoma"/>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Calibri" w:cs="Tahoma"/>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StrongEmphasis">
    <w:name w:val="Strong Emphasis"/>
    <w:rPr>
      <w:b/>
      <w:bCs/>
    </w:rPr>
  </w:style>
  <w:style w:type="character" w:customStyle="1" w:styleId="BulletSymbols">
    <w:name w:val="Bullet Symbols"/>
    <w:rPr>
      <w:rFonts w:ascii="OpenSymbol" w:eastAsia="OpenSymbol" w:hAnsi="OpenSymbol" w:cs="OpenSymbol"/>
    </w:rPr>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character" w:styleId="Hyperlink">
    <w:name w:val="Hyperlink"/>
    <w:basedOn w:val="DefaultParagraphFont"/>
    <w:uiPriority w:val="99"/>
    <w:unhideWhenUsed/>
    <w:rsid w:val="00022196"/>
    <w:rPr>
      <w:color w:val="0000FF"/>
      <w:u w:val="single"/>
    </w:rPr>
  </w:style>
  <w:style w:type="paragraph" w:styleId="NoSpacing">
    <w:name w:val="No Spacing"/>
    <w:uiPriority w:val="1"/>
    <w:qFormat/>
    <w:rsid w:val="00F07F23"/>
  </w:style>
  <w:style w:type="table" w:styleId="TableGrid">
    <w:name w:val="Table Grid"/>
    <w:basedOn w:val="TableNormal"/>
    <w:uiPriority w:val="39"/>
    <w:rsid w:val="00D40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26584"/>
    <w:rPr>
      <w:i/>
      <w:iCs/>
    </w:rPr>
  </w:style>
  <w:style w:type="character" w:styleId="Strong">
    <w:name w:val="Strong"/>
    <w:basedOn w:val="DefaultParagraphFont"/>
    <w:uiPriority w:val="22"/>
    <w:qFormat/>
    <w:rsid w:val="00610DF2"/>
    <w:rPr>
      <w:b/>
      <w:bCs/>
    </w:rPr>
  </w:style>
  <w:style w:type="character" w:styleId="UnresolvedMention">
    <w:name w:val="Unresolved Mention"/>
    <w:basedOn w:val="DefaultParagraphFont"/>
    <w:uiPriority w:val="99"/>
    <w:semiHidden/>
    <w:unhideWhenUsed/>
    <w:rsid w:val="00205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4201">
      <w:bodyDiv w:val="1"/>
      <w:marLeft w:val="0"/>
      <w:marRight w:val="0"/>
      <w:marTop w:val="0"/>
      <w:marBottom w:val="0"/>
      <w:divBdr>
        <w:top w:val="none" w:sz="0" w:space="0" w:color="auto"/>
        <w:left w:val="none" w:sz="0" w:space="0" w:color="auto"/>
        <w:bottom w:val="none" w:sz="0" w:space="0" w:color="auto"/>
        <w:right w:val="none" w:sz="0" w:space="0" w:color="auto"/>
      </w:divBdr>
    </w:div>
    <w:div w:id="14426307">
      <w:bodyDiv w:val="1"/>
      <w:marLeft w:val="0"/>
      <w:marRight w:val="0"/>
      <w:marTop w:val="0"/>
      <w:marBottom w:val="0"/>
      <w:divBdr>
        <w:top w:val="none" w:sz="0" w:space="0" w:color="auto"/>
        <w:left w:val="none" w:sz="0" w:space="0" w:color="auto"/>
        <w:bottom w:val="none" w:sz="0" w:space="0" w:color="auto"/>
        <w:right w:val="none" w:sz="0" w:space="0" w:color="auto"/>
      </w:divBdr>
    </w:div>
    <w:div w:id="347175147">
      <w:bodyDiv w:val="1"/>
      <w:marLeft w:val="0"/>
      <w:marRight w:val="0"/>
      <w:marTop w:val="0"/>
      <w:marBottom w:val="0"/>
      <w:divBdr>
        <w:top w:val="none" w:sz="0" w:space="0" w:color="auto"/>
        <w:left w:val="none" w:sz="0" w:space="0" w:color="auto"/>
        <w:bottom w:val="none" w:sz="0" w:space="0" w:color="auto"/>
        <w:right w:val="none" w:sz="0" w:space="0" w:color="auto"/>
      </w:divBdr>
    </w:div>
    <w:div w:id="420879803">
      <w:bodyDiv w:val="1"/>
      <w:marLeft w:val="0"/>
      <w:marRight w:val="0"/>
      <w:marTop w:val="0"/>
      <w:marBottom w:val="0"/>
      <w:divBdr>
        <w:top w:val="none" w:sz="0" w:space="0" w:color="auto"/>
        <w:left w:val="none" w:sz="0" w:space="0" w:color="auto"/>
        <w:bottom w:val="none" w:sz="0" w:space="0" w:color="auto"/>
        <w:right w:val="none" w:sz="0" w:space="0" w:color="auto"/>
      </w:divBdr>
      <w:divsChild>
        <w:div w:id="321736483">
          <w:marLeft w:val="0"/>
          <w:marRight w:val="0"/>
          <w:marTop w:val="480"/>
          <w:marBottom w:val="480"/>
          <w:divBdr>
            <w:top w:val="none" w:sz="0" w:space="0" w:color="auto"/>
            <w:left w:val="single" w:sz="48" w:space="12" w:color="B1B4B6"/>
            <w:bottom w:val="none" w:sz="0" w:space="0" w:color="auto"/>
            <w:right w:val="none" w:sz="0" w:space="0" w:color="auto"/>
          </w:divBdr>
        </w:div>
      </w:divsChild>
    </w:div>
    <w:div w:id="440298200">
      <w:bodyDiv w:val="1"/>
      <w:marLeft w:val="0"/>
      <w:marRight w:val="0"/>
      <w:marTop w:val="0"/>
      <w:marBottom w:val="0"/>
      <w:divBdr>
        <w:top w:val="none" w:sz="0" w:space="0" w:color="auto"/>
        <w:left w:val="none" w:sz="0" w:space="0" w:color="auto"/>
        <w:bottom w:val="none" w:sz="0" w:space="0" w:color="auto"/>
        <w:right w:val="none" w:sz="0" w:space="0" w:color="auto"/>
      </w:divBdr>
    </w:div>
    <w:div w:id="449712256">
      <w:bodyDiv w:val="1"/>
      <w:marLeft w:val="0"/>
      <w:marRight w:val="0"/>
      <w:marTop w:val="0"/>
      <w:marBottom w:val="0"/>
      <w:divBdr>
        <w:top w:val="none" w:sz="0" w:space="0" w:color="auto"/>
        <w:left w:val="none" w:sz="0" w:space="0" w:color="auto"/>
        <w:bottom w:val="none" w:sz="0" w:space="0" w:color="auto"/>
        <w:right w:val="none" w:sz="0" w:space="0" w:color="auto"/>
      </w:divBdr>
    </w:div>
    <w:div w:id="465200431">
      <w:bodyDiv w:val="1"/>
      <w:marLeft w:val="0"/>
      <w:marRight w:val="0"/>
      <w:marTop w:val="0"/>
      <w:marBottom w:val="0"/>
      <w:divBdr>
        <w:top w:val="none" w:sz="0" w:space="0" w:color="auto"/>
        <w:left w:val="none" w:sz="0" w:space="0" w:color="auto"/>
        <w:bottom w:val="none" w:sz="0" w:space="0" w:color="auto"/>
        <w:right w:val="none" w:sz="0" w:space="0" w:color="auto"/>
      </w:divBdr>
    </w:div>
    <w:div w:id="471555497">
      <w:bodyDiv w:val="1"/>
      <w:marLeft w:val="0"/>
      <w:marRight w:val="0"/>
      <w:marTop w:val="0"/>
      <w:marBottom w:val="0"/>
      <w:divBdr>
        <w:top w:val="none" w:sz="0" w:space="0" w:color="auto"/>
        <w:left w:val="none" w:sz="0" w:space="0" w:color="auto"/>
        <w:bottom w:val="none" w:sz="0" w:space="0" w:color="auto"/>
        <w:right w:val="none" w:sz="0" w:space="0" w:color="auto"/>
      </w:divBdr>
    </w:div>
    <w:div w:id="605233922">
      <w:bodyDiv w:val="1"/>
      <w:marLeft w:val="0"/>
      <w:marRight w:val="0"/>
      <w:marTop w:val="0"/>
      <w:marBottom w:val="0"/>
      <w:divBdr>
        <w:top w:val="none" w:sz="0" w:space="0" w:color="auto"/>
        <w:left w:val="none" w:sz="0" w:space="0" w:color="auto"/>
        <w:bottom w:val="none" w:sz="0" w:space="0" w:color="auto"/>
        <w:right w:val="none" w:sz="0" w:space="0" w:color="auto"/>
      </w:divBdr>
    </w:div>
    <w:div w:id="679164837">
      <w:bodyDiv w:val="1"/>
      <w:marLeft w:val="0"/>
      <w:marRight w:val="0"/>
      <w:marTop w:val="0"/>
      <w:marBottom w:val="0"/>
      <w:divBdr>
        <w:top w:val="none" w:sz="0" w:space="0" w:color="auto"/>
        <w:left w:val="none" w:sz="0" w:space="0" w:color="auto"/>
        <w:bottom w:val="none" w:sz="0" w:space="0" w:color="auto"/>
        <w:right w:val="none" w:sz="0" w:space="0" w:color="auto"/>
      </w:divBdr>
    </w:div>
    <w:div w:id="751660952">
      <w:bodyDiv w:val="1"/>
      <w:marLeft w:val="0"/>
      <w:marRight w:val="0"/>
      <w:marTop w:val="0"/>
      <w:marBottom w:val="0"/>
      <w:divBdr>
        <w:top w:val="none" w:sz="0" w:space="0" w:color="auto"/>
        <w:left w:val="none" w:sz="0" w:space="0" w:color="auto"/>
        <w:bottom w:val="none" w:sz="0" w:space="0" w:color="auto"/>
        <w:right w:val="none" w:sz="0" w:space="0" w:color="auto"/>
      </w:divBdr>
    </w:div>
    <w:div w:id="805901085">
      <w:bodyDiv w:val="1"/>
      <w:marLeft w:val="0"/>
      <w:marRight w:val="0"/>
      <w:marTop w:val="0"/>
      <w:marBottom w:val="0"/>
      <w:divBdr>
        <w:top w:val="none" w:sz="0" w:space="0" w:color="auto"/>
        <w:left w:val="none" w:sz="0" w:space="0" w:color="auto"/>
        <w:bottom w:val="none" w:sz="0" w:space="0" w:color="auto"/>
        <w:right w:val="none" w:sz="0" w:space="0" w:color="auto"/>
      </w:divBdr>
    </w:div>
    <w:div w:id="972062011">
      <w:bodyDiv w:val="1"/>
      <w:marLeft w:val="0"/>
      <w:marRight w:val="0"/>
      <w:marTop w:val="0"/>
      <w:marBottom w:val="0"/>
      <w:divBdr>
        <w:top w:val="none" w:sz="0" w:space="0" w:color="auto"/>
        <w:left w:val="none" w:sz="0" w:space="0" w:color="auto"/>
        <w:bottom w:val="none" w:sz="0" w:space="0" w:color="auto"/>
        <w:right w:val="none" w:sz="0" w:space="0" w:color="auto"/>
      </w:divBdr>
    </w:div>
    <w:div w:id="1253779360">
      <w:bodyDiv w:val="1"/>
      <w:marLeft w:val="0"/>
      <w:marRight w:val="0"/>
      <w:marTop w:val="0"/>
      <w:marBottom w:val="0"/>
      <w:divBdr>
        <w:top w:val="none" w:sz="0" w:space="0" w:color="auto"/>
        <w:left w:val="none" w:sz="0" w:space="0" w:color="auto"/>
        <w:bottom w:val="none" w:sz="0" w:space="0" w:color="auto"/>
        <w:right w:val="none" w:sz="0" w:space="0" w:color="auto"/>
      </w:divBdr>
    </w:div>
    <w:div w:id="1298415180">
      <w:bodyDiv w:val="1"/>
      <w:marLeft w:val="0"/>
      <w:marRight w:val="0"/>
      <w:marTop w:val="0"/>
      <w:marBottom w:val="0"/>
      <w:divBdr>
        <w:top w:val="none" w:sz="0" w:space="0" w:color="auto"/>
        <w:left w:val="none" w:sz="0" w:space="0" w:color="auto"/>
        <w:bottom w:val="none" w:sz="0" w:space="0" w:color="auto"/>
        <w:right w:val="none" w:sz="0" w:space="0" w:color="auto"/>
      </w:divBdr>
    </w:div>
    <w:div w:id="1356887701">
      <w:bodyDiv w:val="1"/>
      <w:marLeft w:val="0"/>
      <w:marRight w:val="0"/>
      <w:marTop w:val="0"/>
      <w:marBottom w:val="0"/>
      <w:divBdr>
        <w:top w:val="none" w:sz="0" w:space="0" w:color="auto"/>
        <w:left w:val="none" w:sz="0" w:space="0" w:color="auto"/>
        <w:bottom w:val="none" w:sz="0" w:space="0" w:color="auto"/>
        <w:right w:val="none" w:sz="0" w:space="0" w:color="auto"/>
      </w:divBdr>
    </w:div>
    <w:div w:id="1411148908">
      <w:bodyDiv w:val="1"/>
      <w:marLeft w:val="0"/>
      <w:marRight w:val="0"/>
      <w:marTop w:val="0"/>
      <w:marBottom w:val="0"/>
      <w:divBdr>
        <w:top w:val="none" w:sz="0" w:space="0" w:color="auto"/>
        <w:left w:val="none" w:sz="0" w:space="0" w:color="auto"/>
        <w:bottom w:val="none" w:sz="0" w:space="0" w:color="auto"/>
        <w:right w:val="none" w:sz="0" w:space="0" w:color="auto"/>
      </w:divBdr>
    </w:div>
    <w:div w:id="1475947944">
      <w:bodyDiv w:val="1"/>
      <w:marLeft w:val="0"/>
      <w:marRight w:val="0"/>
      <w:marTop w:val="0"/>
      <w:marBottom w:val="0"/>
      <w:divBdr>
        <w:top w:val="none" w:sz="0" w:space="0" w:color="auto"/>
        <w:left w:val="none" w:sz="0" w:space="0" w:color="auto"/>
        <w:bottom w:val="none" w:sz="0" w:space="0" w:color="auto"/>
        <w:right w:val="none" w:sz="0" w:space="0" w:color="auto"/>
      </w:divBdr>
      <w:divsChild>
        <w:div w:id="101652046">
          <w:marLeft w:val="547"/>
          <w:marRight w:val="0"/>
          <w:marTop w:val="200"/>
          <w:marBottom w:val="0"/>
          <w:divBdr>
            <w:top w:val="none" w:sz="0" w:space="0" w:color="auto"/>
            <w:left w:val="none" w:sz="0" w:space="0" w:color="auto"/>
            <w:bottom w:val="none" w:sz="0" w:space="0" w:color="auto"/>
            <w:right w:val="none" w:sz="0" w:space="0" w:color="auto"/>
          </w:divBdr>
        </w:div>
        <w:div w:id="1901206675">
          <w:marLeft w:val="547"/>
          <w:marRight w:val="0"/>
          <w:marTop w:val="200"/>
          <w:marBottom w:val="0"/>
          <w:divBdr>
            <w:top w:val="none" w:sz="0" w:space="0" w:color="auto"/>
            <w:left w:val="none" w:sz="0" w:space="0" w:color="auto"/>
            <w:bottom w:val="none" w:sz="0" w:space="0" w:color="auto"/>
            <w:right w:val="none" w:sz="0" w:space="0" w:color="auto"/>
          </w:divBdr>
        </w:div>
        <w:div w:id="703598598">
          <w:marLeft w:val="547"/>
          <w:marRight w:val="0"/>
          <w:marTop w:val="200"/>
          <w:marBottom w:val="0"/>
          <w:divBdr>
            <w:top w:val="none" w:sz="0" w:space="0" w:color="auto"/>
            <w:left w:val="none" w:sz="0" w:space="0" w:color="auto"/>
            <w:bottom w:val="none" w:sz="0" w:space="0" w:color="auto"/>
            <w:right w:val="none" w:sz="0" w:space="0" w:color="auto"/>
          </w:divBdr>
        </w:div>
        <w:div w:id="1574898744">
          <w:marLeft w:val="547"/>
          <w:marRight w:val="0"/>
          <w:marTop w:val="200"/>
          <w:marBottom w:val="0"/>
          <w:divBdr>
            <w:top w:val="none" w:sz="0" w:space="0" w:color="auto"/>
            <w:left w:val="none" w:sz="0" w:space="0" w:color="auto"/>
            <w:bottom w:val="none" w:sz="0" w:space="0" w:color="auto"/>
            <w:right w:val="none" w:sz="0" w:space="0" w:color="auto"/>
          </w:divBdr>
        </w:div>
        <w:div w:id="455411843">
          <w:marLeft w:val="547"/>
          <w:marRight w:val="0"/>
          <w:marTop w:val="200"/>
          <w:marBottom w:val="0"/>
          <w:divBdr>
            <w:top w:val="none" w:sz="0" w:space="0" w:color="auto"/>
            <w:left w:val="none" w:sz="0" w:space="0" w:color="auto"/>
            <w:bottom w:val="none" w:sz="0" w:space="0" w:color="auto"/>
            <w:right w:val="none" w:sz="0" w:space="0" w:color="auto"/>
          </w:divBdr>
        </w:div>
        <w:div w:id="269942809">
          <w:marLeft w:val="547"/>
          <w:marRight w:val="0"/>
          <w:marTop w:val="200"/>
          <w:marBottom w:val="0"/>
          <w:divBdr>
            <w:top w:val="none" w:sz="0" w:space="0" w:color="auto"/>
            <w:left w:val="none" w:sz="0" w:space="0" w:color="auto"/>
            <w:bottom w:val="none" w:sz="0" w:space="0" w:color="auto"/>
            <w:right w:val="none" w:sz="0" w:space="0" w:color="auto"/>
          </w:divBdr>
        </w:div>
      </w:divsChild>
    </w:div>
    <w:div w:id="1777826485">
      <w:bodyDiv w:val="1"/>
      <w:marLeft w:val="0"/>
      <w:marRight w:val="0"/>
      <w:marTop w:val="0"/>
      <w:marBottom w:val="0"/>
      <w:divBdr>
        <w:top w:val="none" w:sz="0" w:space="0" w:color="auto"/>
        <w:left w:val="none" w:sz="0" w:space="0" w:color="auto"/>
        <w:bottom w:val="none" w:sz="0" w:space="0" w:color="auto"/>
        <w:right w:val="none" w:sz="0" w:space="0" w:color="auto"/>
      </w:divBdr>
    </w:div>
    <w:div w:id="1793476049">
      <w:bodyDiv w:val="1"/>
      <w:marLeft w:val="0"/>
      <w:marRight w:val="0"/>
      <w:marTop w:val="0"/>
      <w:marBottom w:val="0"/>
      <w:divBdr>
        <w:top w:val="none" w:sz="0" w:space="0" w:color="auto"/>
        <w:left w:val="none" w:sz="0" w:space="0" w:color="auto"/>
        <w:bottom w:val="none" w:sz="0" w:space="0" w:color="auto"/>
        <w:right w:val="none" w:sz="0" w:space="0" w:color="auto"/>
      </w:divBdr>
      <w:divsChild>
        <w:div w:id="652562960">
          <w:marLeft w:val="547"/>
          <w:marRight w:val="0"/>
          <w:marTop w:val="200"/>
          <w:marBottom w:val="0"/>
          <w:divBdr>
            <w:top w:val="none" w:sz="0" w:space="0" w:color="auto"/>
            <w:left w:val="none" w:sz="0" w:space="0" w:color="auto"/>
            <w:bottom w:val="none" w:sz="0" w:space="0" w:color="auto"/>
            <w:right w:val="none" w:sz="0" w:space="0" w:color="auto"/>
          </w:divBdr>
        </w:div>
        <w:div w:id="189758188">
          <w:marLeft w:val="547"/>
          <w:marRight w:val="0"/>
          <w:marTop w:val="200"/>
          <w:marBottom w:val="0"/>
          <w:divBdr>
            <w:top w:val="none" w:sz="0" w:space="0" w:color="auto"/>
            <w:left w:val="none" w:sz="0" w:space="0" w:color="auto"/>
            <w:bottom w:val="none" w:sz="0" w:space="0" w:color="auto"/>
            <w:right w:val="none" w:sz="0" w:space="0" w:color="auto"/>
          </w:divBdr>
        </w:div>
        <w:div w:id="1472748096">
          <w:marLeft w:val="1267"/>
          <w:marRight w:val="0"/>
          <w:marTop w:val="200"/>
          <w:marBottom w:val="0"/>
          <w:divBdr>
            <w:top w:val="none" w:sz="0" w:space="0" w:color="auto"/>
            <w:left w:val="none" w:sz="0" w:space="0" w:color="auto"/>
            <w:bottom w:val="none" w:sz="0" w:space="0" w:color="auto"/>
            <w:right w:val="none" w:sz="0" w:space="0" w:color="auto"/>
          </w:divBdr>
        </w:div>
        <w:div w:id="650404011">
          <w:marLeft w:val="1267"/>
          <w:marRight w:val="0"/>
          <w:marTop w:val="200"/>
          <w:marBottom w:val="0"/>
          <w:divBdr>
            <w:top w:val="none" w:sz="0" w:space="0" w:color="auto"/>
            <w:left w:val="none" w:sz="0" w:space="0" w:color="auto"/>
            <w:bottom w:val="none" w:sz="0" w:space="0" w:color="auto"/>
            <w:right w:val="none" w:sz="0" w:space="0" w:color="auto"/>
          </w:divBdr>
        </w:div>
        <w:div w:id="2003503614">
          <w:marLeft w:val="1267"/>
          <w:marRight w:val="0"/>
          <w:marTop w:val="200"/>
          <w:marBottom w:val="0"/>
          <w:divBdr>
            <w:top w:val="none" w:sz="0" w:space="0" w:color="auto"/>
            <w:left w:val="none" w:sz="0" w:space="0" w:color="auto"/>
            <w:bottom w:val="none" w:sz="0" w:space="0" w:color="auto"/>
            <w:right w:val="none" w:sz="0" w:space="0" w:color="auto"/>
          </w:divBdr>
        </w:div>
      </w:divsChild>
    </w:div>
    <w:div w:id="1889562067">
      <w:bodyDiv w:val="1"/>
      <w:marLeft w:val="0"/>
      <w:marRight w:val="0"/>
      <w:marTop w:val="0"/>
      <w:marBottom w:val="0"/>
      <w:divBdr>
        <w:top w:val="none" w:sz="0" w:space="0" w:color="auto"/>
        <w:left w:val="none" w:sz="0" w:space="0" w:color="auto"/>
        <w:bottom w:val="none" w:sz="0" w:space="0" w:color="auto"/>
        <w:right w:val="none" w:sz="0" w:space="0" w:color="auto"/>
      </w:divBdr>
      <w:divsChild>
        <w:div w:id="1500005419">
          <w:marLeft w:val="547"/>
          <w:marRight w:val="0"/>
          <w:marTop w:val="200"/>
          <w:marBottom w:val="0"/>
          <w:divBdr>
            <w:top w:val="none" w:sz="0" w:space="0" w:color="auto"/>
            <w:left w:val="none" w:sz="0" w:space="0" w:color="auto"/>
            <w:bottom w:val="none" w:sz="0" w:space="0" w:color="auto"/>
            <w:right w:val="none" w:sz="0" w:space="0" w:color="auto"/>
          </w:divBdr>
        </w:div>
        <w:div w:id="1004018323">
          <w:marLeft w:val="547"/>
          <w:marRight w:val="0"/>
          <w:marTop w:val="200"/>
          <w:marBottom w:val="0"/>
          <w:divBdr>
            <w:top w:val="none" w:sz="0" w:space="0" w:color="auto"/>
            <w:left w:val="none" w:sz="0" w:space="0" w:color="auto"/>
            <w:bottom w:val="none" w:sz="0" w:space="0" w:color="auto"/>
            <w:right w:val="none" w:sz="0" w:space="0" w:color="auto"/>
          </w:divBdr>
        </w:div>
        <w:div w:id="1790780958">
          <w:marLeft w:val="547"/>
          <w:marRight w:val="0"/>
          <w:marTop w:val="200"/>
          <w:marBottom w:val="0"/>
          <w:divBdr>
            <w:top w:val="none" w:sz="0" w:space="0" w:color="auto"/>
            <w:left w:val="none" w:sz="0" w:space="0" w:color="auto"/>
            <w:bottom w:val="none" w:sz="0" w:space="0" w:color="auto"/>
            <w:right w:val="none" w:sz="0" w:space="0" w:color="auto"/>
          </w:divBdr>
        </w:div>
      </w:divsChild>
    </w:div>
    <w:div w:id="2143569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emp-law/about/uk-court-system-factsheet" TargetMode="External"/><Relationship Id="rId18" Type="http://schemas.openxmlformats.org/officeDocument/2006/relationships/hyperlink" Target="https://www.cipd.co.uk/knowledge/fundamentals/emp-law/maternity-paternity-rights/factsheet" TargetMode="External"/><Relationship Id="rId26" Type="http://schemas.openxmlformats.org/officeDocument/2006/relationships/hyperlink" Target="https://www.gov.uk/continuous-employment-what-it-is" TargetMode="External"/><Relationship Id="rId3" Type="http://schemas.openxmlformats.org/officeDocument/2006/relationships/settings" Target="settings.xml"/><Relationship Id="rId21" Type="http://schemas.openxmlformats.org/officeDocument/2006/relationships/hyperlink" Target="https://www.davidsonmorris.com/direct-discrimination/" TargetMode="External"/><Relationship Id="rId7" Type="http://schemas.openxmlformats.org/officeDocument/2006/relationships/image" Target="media/image1.jpeg"/><Relationship Id="rId12" Type="http://schemas.openxmlformats.org/officeDocument/2006/relationships/hyperlink" Target="https://european-union.europa.eu/institutions-law-budget/institutions-and-bodies/institutions-and-bodies-profiles/court-justice-european-union-cjeu_en" TargetMode="External"/><Relationship Id="rId17" Type="http://schemas.openxmlformats.org/officeDocument/2006/relationships/hyperlink" Target="https://www.gov.uk/government/publications/minimum-wage-rates-for-2022" TargetMode="External"/><Relationship Id="rId25" Type="http://schemas.openxmlformats.org/officeDocument/2006/relationships/hyperlink" Target="https://www.gov.uk/holiday-entitlement-righ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r-inform.co.uk/news-article/april-increases-statutory-payments-are-going-up" TargetMode="External"/><Relationship Id="rId20" Type="http://schemas.openxmlformats.org/officeDocument/2006/relationships/hyperlink" Target="https://www.peoplemanagement.co.uk/experts/legal/avoiding-discrimination-during-recruitment-process" TargetMode="External"/><Relationship Id="rId29" Type="http://schemas.openxmlformats.org/officeDocument/2006/relationships/hyperlink" Target="https://www.cipd.co.uk/knowledge/fundamentals/emp-law/redundancy/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kingbusinessmatter.co.uk/employment-law/" TargetMode="External"/><Relationship Id="rId24" Type="http://schemas.openxmlformats.org/officeDocument/2006/relationships/hyperlink" Target="http://www.legislation.gov.uk/ukpga/1992/52/content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co.uk/knowledge/fundamentals/emp-law/student-tutor-update" TargetMode="External"/><Relationship Id="rId23" Type="http://schemas.openxmlformats.org/officeDocument/2006/relationships/hyperlink" Target="https://www.acas.org.uk/employer-decision-protected-characteristic/crucial-for-job" TargetMode="External"/><Relationship Id="rId28" Type="http://schemas.openxmlformats.org/officeDocument/2006/relationships/hyperlink" Target="https://realemploymentlawadvice.co.uk/2018/09/25/dismissal-for-some-other-substantial-reason-or-sosr/" TargetMode="External"/><Relationship Id="rId10" Type="http://schemas.openxmlformats.org/officeDocument/2006/relationships/hyperlink" Target="https://www.cipd.co.uk/knowledge/fundamentals/relations/diversity/factsheet" TargetMode="External"/><Relationship Id="rId19" Type="http://schemas.openxmlformats.org/officeDocument/2006/relationships/hyperlink" Target="https://www.cipd.co.uk/knowledge/fundamentals/emp-law/recruitment/questions" TargetMode="External"/><Relationship Id="rId31" Type="http://schemas.openxmlformats.org/officeDocument/2006/relationships/hyperlink" Target="https://www.cipd.co.uk/knowledge/fundamentals/emp-law/tupe/factsheet" TargetMode="External"/><Relationship Id="rId4" Type="http://schemas.openxmlformats.org/officeDocument/2006/relationships/webSettings" Target="webSettings.xml"/><Relationship Id="rId9" Type="http://schemas.openxmlformats.org/officeDocument/2006/relationships/hyperlink" Target="https://www.cipd.co.uk/knowledge/fundamentals/emp-law" TargetMode="External"/><Relationship Id="rId14" Type="http://schemas.openxmlformats.org/officeDocument/2006/relationships/hyperlink" Target="https://www.davidsonmorris.com/cot3/" TargetMode="External"/><Relationship Id="rId22" Type="http://schemas.openxmlformats.org/officeDocument/2006/relationships/hyperlink" Target="https://myuni.swansea.ac.uk/sea/cdc/cultural-awareness/" TargetMode="External"/><Relationship Id="rId27" Type="http://schemas.openxmlformats.org/officeDocument/2006/relationships/hyperlink" Target="https://www.personneltoday.com/hr/changing-contracts-of-employment-varying-contracts-of-employment/" TargetMode="External"/><Relationship Id="rId30" Type="http://schemas.openxmlformats.org/officeDocument/2006/relationships/hyperlink" Target="http://Browse:%20Redundancies,%20dismissals%20and%20disciplinaries%20-%20GOV.UK%20(www.gov.uk)" TargetMode="External"/><Relationship Id="rId8" Type="http://schemas.openxmlformats.org/officeDocument/2006/relationships/hyperlink" Target="https://www.bbc.co.uk/bitesize/guides/zcs4ng8/revis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13</Pages>
  <Words>5134</Words>
  <Characters>29267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Ellie Boswell</dc:creator>
  <cp:lastModifiedBy>Ellie Boswell (Hywel Dda UHB - Resourcing Administrator)</cp:lastModifiedBy>
  <cp:revision>7</cp:revision>
  <dcterms:created xsi:type="dcterms:W3CDTF">2022-03-14T11:53:00Z</dcterms:created>
  <dcterms:modified xsi:type="dcterms:W3CDTF">2022-03-14T17:13:00Z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Hywel Dda University Health Board</vt:lpwstr>
  </property>
</Properties>
</file>