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12E3C" w14:textId="77777777" w:rsidR="004B5677" w:rsidRPr="00B32280" w:rsidRDefault="004B5677" w:rsidP="004B5677">
      <w:pPr>
        <w:spacing w:line="360" w:lineRule="auto"/>
        <w:ind w:right="-283"/>
        <w:jc w:val="both"/>
        <w:rPr>
          <w:rFonts w:ascii="Arial" w:hAnsi="Arial" w:cs="Arial"/>
        </w:rPr>
      </w:pPr>
      <w:r w:rsidRPr="00B32280">
        <w:rPr>
          <w:rFonts w:ascii="Arial" w:hAnsi="Arial" w:cs="Arial"/>
        </w:rPr>
        <w:t>STUDENT NAME: JENNIFER BASIL AKANG</w:t>
      </w:r>
    </w:p>
    <w:p w14:paraId="28279A4D" w14:textId="77777777" w:rsidR="004B5677" w:rsidRPr="00B32280" w:rsidRDefault="004B5677" w:rsidP="004B5677">
      <w:pPr>
        <w:spacing w:line="360" w:lineRule="auto"/>
        <w:ind w:right="-283"/>
        <w:jc w:val="both"/>
        <w:rPr>
          <w:rFonts w:ascii="Arial" w:hAnsi="Arial" w:cs="Arial"/>
        </w:rPr>
      </w:pPr>
      <w:r w:rsidRPr="00B32280">
        <w:rPr>
          <w:rFonts w:ascii="Arial" w:hAnsi="Arial" w:cs="Arial"/>
        </w:rPr>
        <w:t>STUDENT NUMBER: 2439326</w:t>
      </w:r>
    </w:p>
    <w:p w14:paraId="12574209" w14:textId="77777777" w:rsidR="004B5677" w:rsidRPr="00B32280" w:rsidRDefault="004B5677" w:rsidP="004B5677">
      <w:pPr>
        <w:spacing w:line="360" w:lineRule="auto"/>
        <w:ind w:right="-283"/>
        <w:jc w:val="both"/>
        <w:rPr>
          <w:rFonts w:ascii="Arial" w:hAnsi="Arial" w:cs="Arial"/>
        </w:rPr>
      </w:pPr>
      <w:r w:rsidRPr="00B32280">
        <w:rPr>
          <w:rFonts w:ascii="Arial" w:hAnsi="Arial" w:cs="Arial"/>
        </w:rPr>
        <w:t>MODULE CODE: BMHP5016</w:t>
      </w:r>
    </w:p>
    <w:p w14:paraId="388D0061" w14:textId="77777777" w:rsidR="004B5677" w:rsidRPr="00B32280" w:rsidRDefault="004B5677" w:rsidP="004B5677">
      <w:pPr>
        <w:spacing w:line="360" w:lineRule="auto"/>
        <w:ind w:right="-283"/>
        <w:jc w:val="both"/>
        <w:rPr>
          <w:rFonts w:ascii="Arial" w:hAnsi="Arial" w:cs="Arial"/>
        </w:rPr>
      </w:pPr>
      <w:r w:rsidRPr="00B32280">
        <w:rPr>
          <w:rFonts w:ascii="Arial" w:hAnsi="Arial" w:cs="Arial"/>
        </w:rPr>
        <w:t>MODULE NAME:  PRINCIPLES OF HEALTH AND SOCIAL CARE PRACTICE</w:t>
      </w:r>
    </w:p>
    <w:p w14:paraId="14544A0E" w14:textId="77777777" w:rsidR="004B5677" w:rsidRPr="00B32280" w:rsidRDefault="004B5677" w:rsidP="004B5677">
      <w:pPr>
        <w:spacing w:line="360" w:lineRule="auto"/>
        <w:ind w:right="-283"/>
        <w:jc w:val="both"/>
        <w:rPr>
          <w:rFonts w:ascii="Arial" w:hAnsi="Arial" w:cs="Arial"/>
        </w:rPr>
      </w:pPr>
      <w:r w:rsidRPr="00B32280">
        <w:rPr>
          <w:rFonts w:ascii="Arial" w:hAnsi="Arial" w:cs="Arial"/>
        </w:rPr>
        <w:t>LECTURER’S NAME: AZIDA ZAINOL</w:t>
      </w:r>
    </w:p>
    <w:p w14:paraId="00A9B323" w14:textId="2F77CBC9" w:rsidR="004B5677" w:rsidRPr="00B32280" w:rsidRDefault="004B5677" w:rsidP="004B5677">
      <w:pPr>
        <w:spacing w:line="360" w:lineRule="auto"/>
        <w:ind w:right="-283"/>
        <w:jc w:val="both"/>
        <w:rPr>
          <w:rFonts w:ascii="Arial" w:hAnsi="Arial" w:cs="Arial"/>
        </w:rPr>
      </w:pPr>
      <w:r w:rsidRPr="00B32280">
        <w:rPr>
          <w:rFonts w:ascii="Arial" w:hAnsi="Arial" w:cs="Arial"/>
        </w:rPr>
        <w:t xml:space="preserve">ASSIGNMENT: </w:t>
      </w:r>
      <w:r>
        <w:rPr>
          <w:rFonts w:ascii="Arial" w:hAnsi="Arial" w:cs="Arial"/>
        </w:rPr>
        <w:t xml:space="preserve"> WRITTEN </w:t>
      </w:r>
      <w:r w:rsidRPr="00B32280">
        <w:rPr>
          <w:rFonts w:ascii="Arial" w:hAnsi="Arial" w:cs="Arial"/>
        </w:rPr>
        <w:t>REPORT</w:t>
      </w:r>
      <w:r w:rsidR="004328D2">
        <w:rPr>
          <w:rFonts w:ascii="Arial" w:hAnsi="Arial" w:cs="Arial"/>
        </w:rPr>
        <w:t xml:space="preserve"> </w:t>
      </w:r>
    </w:p>
    <w:p w14:paraId="78F73BE6" w14:textId="6917E856" w:rsidR="00E43F69" w:rsidRDefault="004B5677" w:rsidP="00E000A0">
      <w:pPr>
        <w:spacing w:line="360" w:lineRule="auto"/>
        <w:ind w:right="-283"/>
        <w:jc w:val="both"/>
        <w:rPr>
          <w:rFonts w:ascii="Arial" w:hAnsi="Arial" w:cs="Arial"/>
        </w:rPr>
      </w:pPr>
      <w:r w:rsidRPr="00B32280">
        <w:rPr>
          <w:rFonts w:ascii="Arial" w:hAnsi="Arial" w:cs="Arial"/>
        </w:rPr>
        <w:t xml:space="preserve">DATE: </w:t>
      </w:r>
      <w:r>
        <w:rPr>
          <w:rFonts w:ascii="Arial" w:hAnsi="Arial" w:cs="Arial"/>
        </w:rPr>
        <w:t>26</w:t>
      </w:r>
      <w:r w:rsidRPr="00B32280">
        <w:rPr>
          <w:rFonts w:ascii="Arial" w:hAnsi="Arial" w:cs="Arial"/>
        </w:rPr>
        <w:t>/0</w:t>
      </w:r>
      <w:r>
        <w:rPr>
          <w:rFonts w:ascii="Arial" w:hAnsi="Arial" w:cs="Arial"/>
        </w:rPr>
        <w:t>7</w:t>
      </w:r>
      <w:r w:rsidRPr="00B32280">
        <w:rPr>
          <w:rFonts w:ascii="Arial" w:hAnsi="Arial" w:cs="Arial"/>
        </w:rPr>
        <w:t>/2026</w:t>
      </w:r>
    </w:p>
    <w:p w14:paraId="65F2AF47" w14:textId="77777777" w:rsidR="00461ED3" w:rsidRDefault="00461ED3" w:rsidP="00E000A0">
      <w:pPr>
        <w:spacing w:line="360" w:lineRule="auto"/>
        <w:ind w:right="-283"/>
        <w:jc w:val="both"/>
        <w:rPr>
          <w:rFonts w:ascii="Arial" w:hAnsi="Arial" w:cs="Arial"/>
        </w:rPr>
      </w:pPr>
    </w:p>
    <w:p w14:paraId="65083B22" w14:textId="77777777" w:rsidR="00461ED3" w:rsidRPr="00D21107" w:rsidRDefault="00461ED3" w:rsidP="00D21107">
      <w:pPr>
        <w:spacing w:line="360" w:lineRule="auto"/>
        <w:ind w:right="-283"/>
        <w:jc w:val="both"/>
        <w:rPr>
          <w:rFonts w:ascii="Arial" w:hAnsi="Arial" w:cs="Arial"/>
          <w:sz w:val="22"/>
          <w:szCs w:val="22"/>
        </w:rPr>
      </w:pPr>
    </w:p>
    <w:p w14:paraId="06BE2426" w14:textId="77777777" w:rsidR="00461ED3" w:rsidRPr="00D21107" w:rsidRDefault="00461ED3" w:rsidP="00D21107">
      <w:pPr>
        <w:spacing w:line="360" w:lineRule="auto"/>
        <w:ind w:right="-283"/>
        <w:jc w:val="both"/>
        <w:rPr>
          <w:rFonts w:ascii="Arial" w:hAnsi="Arial" w:cs="Arial"/>
          <w:sz w:val="22"/>
          <w:szCs w:val="22"/>
        </w:rPr>
      </w:pPr>
    </w:p>
    <w:p w14:paraId="5FD27068" w14:textId="77777777" w:rsidR="003F7039"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Abstract</w:t>
      </w:r>
    </w:p>
    <w:p w14:paraId="2AD6DA1E" w14:textId="708935F3" w:rsidR="009208FD" w:rsidRPr="00D21107" w:rsidRDefault="00C0137F" w:rsidP="00D21107">
      <w:pPr>
        <w:spacing w:line="360" w:lineRule="auto"/>
        <w:rPr>
          <w:rFonts w:ascii="Arial" w:hAnsi="Arial" w:cs="Arial"/>
          <w:sz w:val="22"/>
          <w:szCs w:val="22"/>
        </w:rPr>
      </w:pPr>
      <w:r w:rsidRPr="00D21107">
        <w:rPr>
          <w:rFonts w:ascii="Arial" w:hAnsi="Arial" w:cs="Arial"/>
          <w:sz w:val="22"/>
          <w:szCs w:val="22"/>
        </w:rPr>
        <w:t>This report examines the principles of person-centred care (PCC) and partnership working (PW) within a community care home in health and social care in the United Kingdom, focusing on older adults living with long-term conditions. It explores the theoretical and policy foundations of person-centred care, including Carl Rogers' Person-Centred Theory, the Person-Centred Practice Framework, Maslow's Hierarchy of Needs, the Health and Social Care Act 2008 (Regulated Activities) Regulations, and NICE (2021) guidance on person-centred care. The report also evaluates the ethical principles of autonomy, beneficence, non-maleficence, and justice, demonstrating how they inform professional decision-making, benefit individuals, and promote safe, compassionate, and individualised care. Furthermore, it examines the role of partnership working through multidisciplinary teams and Integrated Care Systems (ICSs) (Petch, Cook and Miller, 2013), while considering barriers such as funding, poor communication, workforce shortages, and resource limitations. The report analyses key legislation and policies in the UK, including the Health and Care Act 2022, the Health and Social Care Act 2012, the Care Act 2014, the Equality Act 2010, and the Human Rights Act 1998, highlighting their contribution to improving the quality, safety, and accessibility of community care. It concludes that effective person-centred care depends on ethical practice, collaborative working, and compliance with legislative and regulatory frameworks. Recommendations are made to strengthen care through greater partnership working and ongoing staff training to improve the duty of care offered in a community care home</w:t>
      </w:r>
      <w:r w:rsidR="003C41F7" w:rsidRPr="00D21107">
        <w:rPr>
          <w:rFonts w:ascii="Arial" w:hAnsi="Arial" w:cs="Arial"/>
          <w:sz w:val="22"/>
          <w:szCs w:val="22"/>
        </w:rPr>
        <w:t>.</w:t>
      </w:r>
    </w:p>
    <w:p w14:paraId="660A93DA" w14:textId="21B683F1" w:rsidR="001720FC"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lastRenderedPageBreak/>
        <w:t>Introduction</w:t>
      </w:r>
    </w:p>
    <w:p w14:paraId="76B2FDB4" w14:textId="71E05BCD" w:rsidR="003001D8" w:rsidRPr="00D21107" w:rsidRDefault="003001D8" w:rsidP="00D21107">
      <w:pPr>
        <w:spacing w:line="360" w:lineRule="auto"/>
        <w:rPr>
          <w:rFonts w:ascii="Arial" w:hAnsi="Arial" w:cs="Arial"/>
          <w:sz w:val="22"/>
          <w:szCs w:val="22"/>
        </w:rPr>
      </w:pPr>
      <w:r w:rsidRPr="00D21107">
        <w:rPr>
          <w:rFonts w:ascii="Arial" w:hAnsi="Arial" w:cs="Arial"/>
          <w:sz w:val="22"/>
          <w:szCs w:val="22"/>
        </w:rPr>
        <w:t>This report critically examines person-centred care (PCC) and partnership working (PW) and their application within UK health and social care. The chosen setting for this report is a community care home, focusing on older adults living in the care home with long-term health conditions that affect their ability to carry out daily activities and require ongoing support, such as recovery from illnesses or surgery that requires additional support. Individuals receive care from a multidisciplinary team, including district nurses, carers, general practitioners (GPs), social workers, and other healthcare professionals.</w:t>
      </w:r>
    </w:p>
    <w:p w14:paraId="67622651" w14:textId="5722E7B2" w:rsidR="001720FC" w:rsidRPr="00D21107" w:rsidRDefault="00D61721" w:rsidP="00D21107">
      <w:pPr>
        <w:spacing w:after="200" w:line="360" w:lineRule="auto"/>
        <w:jc w:val="both"/>
        <w:rPr>
          <w:rFonts w:ascii="Arial" w:hAnsi="Arial" w:cs="Arial"/>
          <w:sz w:val="22"/>
          <w:szCs w:val="22"/>
        </w:rPr>
      </w:pPr>
      <w:r w:rsidRPr="00D21107">
        <w:rPr>
          <w:rFonts w:ascii="Arial" w:hAnsi="Arial" w:cs="Arial"/>
          <w:sz w:val="22"/>
          <w:szCs w:val="22"/>
        </w:rPr>
        <w:t>The report begins by defining person-centred care and evaluating its strengths and limitations. It then examines the theories that underpin PCC before discussing the ethical principles that guide effective practice. Furthermore, it evaluates the role of partnership working in supporting high-quality care and analyses the UK legislation and policies that influence practice in this setting. Finally, the report provides recommendations and concludes by summarising the key findings.</w:t>
      </w:r>
    </w:p>
    <w:p w14:paraId="67B0B08B" w14:textId="5AC59C45" w:rsidR="003F7039"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Definition of Person-Centred Care</w:t>
      </w:r>
    </w:p>
    <w:p w14:paraId="7584AE9C" w14:textId="556A3E41" w:rsidR="00BE376E" w:rsidRPr="00D21107" w:rsidRDefault="00BE376E" w:rsidP="00D21107">
      <w:pPr>
        <w:spacing w:after="200" w:line="360" w:lineRule="auto"/>
        <w:jc w:val="both"/>
        <w:rPr>
          <w:rFonts w:ascii="Arial" w:hAnsi="Arial" w:cs="Arial"/>
          <w:sz w:val="22"/>
          <w:szCs w:val="22"/>
        </w:rPr>
      </w:pPr>
      <w:r w:rsidRPr="00D21107">
        <w:rPr>
          <w:rFonts w:ascii="Arial" w:eastAsia="Calibri" w:hAnsi="Arial" w:cs="Arial"/>
          <w:sz w:val="22"/>
          <w:szCs w:val="22"/>
        </w:rPr>
        <w:t xml:space="preserve">Person-centred care in UK health and social care means putting the person at the centre of decisions about their own care, and building respectful, working relationships between the person, their family and staff, so decisions are made together stating people should be treated with dignity, kindness and respect, and should be fully involved in choices about their care. In community care, this means looking beyond a person's illness. Staff should also think about how the person feels, their social life, and their day-to-day life at home. </w:t>
      </w:r>
      <w:r w:rsidR="00EB3287" w:rsidRPr="00D21107">
        <w:rPr>
          <w:rFonts w:ascii="Arial" w:eastAsia="Calibri" w:hAnsi="Arial" w:cs="Arial"/>
          <w:sz w:val="22"/>
          <w:szCs w:val="22"/>
        </w:rPr>
        <w:t>(</w:t>
      </w:r>
      <w:r w:rsidRPr="00D21107">
        <w:rPr>
          <w:rFonts w:ascii="Arial" w:eastAsia="Calibri" w:hAnsi="Arial" w:cs="Arial"/>
          <w:sz w:val="22"/>
          <w:szCs w:val="22"/>
        </w:rPr>
        <w:t xml:space="preserve">NICE </w:t>
      </w:r>
      <w:r w:rsidR="00EB3287" w:rsidRPr="00D21107">
        <w:rPr>
          <w:rFonts w:ascii="Arial" w:eastAsia="Calibri" w:hAnsi="Arial" w:cs="Arial"/>
          <w:sz w:val="22"/>
          <w:szCs w:val="22"/>
        </w:rPr>
        <w:t>,</w:t>
      </w:r>
      <w:r w:rsidRPr="00D21107">
        <w:rPr>
          <w:rFonts w:ascii="Arial" w:eastAsia="Calibri" w:hAnsi="Arial" w:cs="Arial"/>
          <w:sz w:val="22"/>
          <w:szCs w:val="22"/>
        </w:rPr>
        <w:t>2021).</w:t>
      </w:r>
    </w:p>
    <w:p w14:paraId="0071A409" w14:textId="6080FF70" w:rsidR="003F7039" w:rsidRPr="00D21107" w:rsidRDefault="00327383" w:rsidP="00D21107">
      <w:pPr>
        <w:spacing w:after="200" w:line="360" w:lineRule="auto"/>
        <w:jc w:val="both"/>
        <w:rPr>
          <w:rFonts w:ascii="Arial" w:hAnsi="Arial" w:cs="Arial"/>
          <w:sz w:val="22"/>
          <w:szCs w:val="22"/>
        </w:rPr>
      </w:pPr>
      <w:r w:rsidRPr="00D21107">
        <w:rPr>
          <w:rFonts w:ascii="Arial" w:hAnsi="Arial" w:cs="Arial"/>
          <w:sz w:val="22"/>
          <w:szCs w:val="22"/>
        </w:rPr>
        <w:t xml:space="preserve">Person-centred </w:t>
      </w:r>
      <w:r w:rsidR="00FD465E" w:rsidRPr="00D21107">
        <w:rPr>
          <w:rFonts w:ascii="Arial" w:hAnsi="Arial" w:cs="Arial"/>
          <w:sz w:val="22"/>
          <w:szCs w:val="22"/>
        </w:rPr>
        <w:t>care brings</w:t>
      </w:r>
      <w:r w:rsidR="003F7039" w:rsidRPr="00D21107">
        <w:rPr>
          <w:rFonts w:ascii="Arial" w:hAnsi="Arial" w:cs="Arial"/>
          <w:sz w:val="22"/>
          <w:szCs w:val="22"/>
        </w:rPr>
        <w:t xml:space="preserve"> real benefits. When an older adult helps plan their own care, they usually trust staff more and feel more </w:t>
      </w:r>
      <w:r w:rsidR="005642B3" w:rsidRPr="00D21107">
        <w:rPr>
          <w:rFonts w:ascii="Arial" w:hAnsi="Arial" w:cs="Arial"/>
          <w:sz w:val="22"/>
          <w:szCs w:val="22"/>
        </w:rPr>
        <w:t>satisfied,</w:t>
      </w:r>
      <w:r w:rsidR="00E30D41" w:rsidRPr="00D21107">
        <w:rPr>
          <w:rFonts w:ascii="Arial" w:hAnsi="Arial" w:cs="Arial"/>
          <w:sz w:val="22"/>
          <w:szCs w:val="22"/>
        </w:rPr>
        <w:t xml:space="preserve"> also </w:t>
      </w:r>
      <w:r w:rsidR="003F7039" w:rsidRPr="00D21107">
        <w:rPr>
          <w:rFonts w:ascii="Arial" w:hAnsi="Arial" w:cs="Arial"/>
          <w:sz w:val="22"/>
          <w:szCs w:val="22"/>
        </w:rPr>
        <w:t>leads to better communication</w:t>
      </w:r>
      <w:r w:rsidR="00E30D41" w:rsidRPr="00D21107">
        <w:rPr>
          <w:rFonts w:ascii="Arial" w:hAnsi="Arial" w:cs="Arial"/>
          <w:sz w:val="22"/>
          <w:szCs w:val="22"/>
        </w:rPr>
        <w:t xml:space="preserve"> to </w:t>
      </w:r>
      <w:r w:rsidR="003F7039" w:rsidRPr="00D21107">
        <w:rPr>
          <w:rFonts w:ascii="Arial" w:hAnsi="Arial" w:cs="Arial"/>
          <w:sz w:val="22"/>
          <w:szCs w:val="22"/>
        </w:rPr>
        <w:t xml:space="preserve">helps </w:t>
      </w:r>
      <w:r w:rsidR="005642B3" w:rsidRPr="00D21107">
        <w:rPr>
          <w:rFonts w:ascii="Arial" w:hAnsi="Arial" w:cs="Arial"/>
          <w:sz w:val="22"/>
          <w:szCs w:val="22"/>
        </w:rPr>
        <w:t xml:space="preserve">manage their medical </w:t>
      </w:r>
      <w:r w:rsidR="003F7039" w:rsidRPr="00D21107">
        <w:rPr>
          <w:rFonts w:ascii="Arial" w:hAnsi="Arial" w:cs="Arial"/>
          <w:sz w:val="22"/>
          <w:szCs w:val="22"/>
        </w:rPr>
        <w:t>conditions</w:t>
      </w:r>
      <w:r w:rsidR="005642B3" w:rsidRPr="00D21107">
        <w:rPr>
          <w:rFonts w:ascii="Arial" w:hAnsi="Arial" w:cs="Arial"/>
          <w:sz w:val="22"/>
          <w:szCs w:val="22"/>
        </w:rPr>
        <w:t xml:space="preserve"> </w:t>
      </w:r>
      <w:r w:rsidR="003F7039" w:rsidRPr="00D21107">
        <w:rPr>
          <w:rFonts w:ascii="Arial" w:hAnsi="Arial" w:cs="Arial"/>
          <w:sz w:val="22"/>
          <w:szCs w:val="22"/>
        </w:rPr>
        <w:t xml:space="preserve">and can lower the number of unplanned hospital visits. Involving </w:t>
      </w:r>
      <w:r w:rsidR="005642B3" w:rsidRPr="00D21107">
        <w:rPr>
          <w:rFonts w:ascii="Arial" w:hAnsi="Arial" w:cs="Arial"/>
          <w:sz w:val="22"/>
          <w:szCs w:val="22"/>
        </w:rPr>
        <w:t>family, carers</w:t>
      </w:r>
      <w:r w:rsidR="003F7039" w:rsidRPr="00D21107">
        <w:rPr>
          <w:rFonts w:ascii="Arial" w:hAnsi="Arial" w:cs="Arial"/>
          <w:sz w:val="22"/>
          <w:szCs w:val="22"/>
        </w:rPr>
        <w:t xml:space="preserve"> in planning also helps keep care joined up and reduces gaps between services.</w:t>
      </w:r>
      <w:r w:rsidR="001D1E4F" w:rsidRPr="00D21107">
        <w:rPr>
          <w:rFonts w:ascii="Arial" w:hAnsi="Arial" w:cs="Arial"/>
          <w:sz w:val="22"/>
          <w:szCs w:val="22"/>
        </w:rPr>
        <w:t xml:space="preserve"> </w:t>
      </w:r>
      <w:r w:rsidR="002532CF" w:rsidRPr="00D21107">
        <w:rPr>
          <w:rFonts w:ascii="Arial" w:hAnsi="Arial" w:cs="Arial"/>
          <w:sz w:val="22"/>
          <w:szCs w:val="22"/>
        </w:rPr>
        <w:t>(</w:t>
      </w:r>
      <w:r w:rsidR="001D1E4F" w:rsidRPr="00D21107">
        <w:rPr>
          <w:rFonts w:ascii="Arial" w:hAnsi="Arial" w:cs="Arial"/>
          <w:sz w:val="22"/>
          <w:szCs w:val="22"/>
        </w:rPr>
        <w:t xml:space="preserve">The King's Fund </w:t>
      </w:r>
      <w:r w:rsidR="00EB3287" w:rsidRPr="00D21107">
        <w:rPr>
          <w:rFonts w:ascii="Arial" w:hAnsi="Arial" w:cs="Arial"/>
          <w:sz w:val="22"/>
          <w:szCs w:val="22"/>
        </w:rPr>
        <w:t>,</w:t>
      </w:r>
      <w:r w:rsidR="001D1E4F" w:rsidRPr="00D21107">
        <w:rPr>
          <w:rFonts w:ascii="Arial" w:hAnsi="Arial" w:cs="Arial"/>
          <w:sz w:val="22"/>
          <w:szCs w:val="22"/>
        </w:rPr>
        <w:t>20</w:t>
      </w:r>
      <w:r w:rsidR="00EF0455" w:rsidRPr="00D21107">
        <w:rPr>
          <w:rFonts w:ascii="Arial" w:hAnsi="Arial" w:cs="Arial"/>
          <w:sz w:val="22"/>
          <w:szCs w:val="22"/>
        </w:rPr>
        <w:t>04</w:t>
      </w:r>
      <w:r w:rsidR="001D1E4F" w:rsidRPr="00D21107">
        <w:rPr>
          <w:rFonts w:ascii="Arial" w:hAnsi="Arial" w:cs="Arial"/>
          <w:sz w:val="22"/>
          <w:szCs w:val="22"/>
        </w:rPr>
        <w:t>)</w:t>
      </w:r>
      <w:r w:rsidR="002532CF" w:rsidRPr="00D21107">
        <w:rPr>
          <w:rFonts w:ascii="Arial" w:hAnsi="Arial" w:cs="Arial"/>
          <w:sz w:val="22"/>
          <w:szCs w:val="22"/>
        </w:rPr>
        <w:t>.</w:t>
      </w:r>
    </w:p>
    <w:p w14:paraId="7C4B5FCD" w14:textId="3D8360EB" w:rsidR="00A93A0B" w:rsidRPr="00D21107" w:rsidRDefault="00A93A0B" w:rsidP="00D21107">
      <w:pPr>
        <w:spacing w:after="200" w:line="360" w:lineRule="auto"/>
        <w:jc w:val="both"/>
        <w:rPr>
          <w:rFonts w:ascii="Arial" w:hAnsi="Arial" w:cs="Arial"/>
          <w:sz w:val="22"/>
          <w:szCs w:val="22"/>
        </w:rPr>
      </w:pPr>
      <w:r w:rsidRPr="00D21107">
        <w:rPr>
          <w:rFonts w:ascii="Arial" w:hAnsi="Arial" w:cs="Arial"/>
          <w:sz w:val="22"/>
          <w:szCs w:val="22"/>
        </w:rPr>
        <w:t xml:space="preserve">The main limitations of person-centred care are resource constraints, such as limited staff, time, and funding, which can make it difficult to provide personalised support to everyone. Another limitation is resistance to change, where some services or professionals continue to make decisions for people instead of involving them in planning their own care. As a result, care may focus more on completing tasks than on understanding the individual's needs, preferences, and </w:t>
      </w:r>
      <w:r w:rsidR="00CD787B" w:rsidRPr="00D21107">
        <w:rPr>
          <w:rFonts w:ascii="Arial" w:hAnsi="Arial" w:cs="Arial"/>
          <w:sz w:val="22"/>
          <w:szCs w:val="22"/>
        </w:rPr>
        <w:t>goals. (</w:t>
      </w:r>
      <w:r w:rsidR="0071630D" w:rsidRPr="00D21107">
        <w:rPr>
          <w:rFonts w:ascii="Arial" w:hAnsi="Arial" w:cs="Arial"/>
          <w:sz w:val="22"/>
          <w:szCs w:val="22"/>
        </w:rPr>
        <w:t>Human Right</w:t>
      </w:r>
      <w:r w:rsidR="00E93B87" w:rsidRPr="00D21107">
        <w:rPr>
          <w:rFonts w:ascii="Arial" w:hAnsi="Arial" w:cs="Arial"/>
          <w:sz w:val="22"/>
          <w:szCs w:val="22"/>
        </w:rPr>
        <w:t xml:space="preserve"> </w:t>
      </w:r>
      <w:r w:rsidR="00CD787B" w:rsidRPr="00D21107">
        <w:rPr>
          <w:rFonts w:ascii="Arial" w:hAnsi="Arial" w:cs="Arial"/>
          <w:sz w:val="22"/>
          <w:szCs w:val="22"/>
        </w:rPr>
        <w:t>Act,</w:t>
      </w:r>
      <w:r w:rsidR="007F499B" w:rsidRPr="00D21107">
        <w:rPr>
          <w:rFonts w:ascii="Arial" w:hAnsi="Arial" w:cs="Arial"/>
          <w:sz w:val="22"/>
          <w:szCs w:val="22"/>
        </w:rPr>
        <w:t>1998</w:t>
      </w:r>
      <w:r w:rsidR="00CD787B" w:rsidRPr="00D21107">
        <w:rPr>
          <w:rFonts w:ascii="Arial" w:hAnsi="Arial" w:cs="Arial"/>
          <w:sz w:val="22"/>
          <w:szCs w:val="22"/>
        </w:rPr>
        <w:t>).</w:t>
      </w:r>
    </w:p>
    <w:p w14:paraId="1E00CC17" w14:textId="2A4B106B" w:rsidR="003F7039"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lastRenderedPageBreak/>
        <w:t>Relevant Theories</w:t>
      </w:r>
    </w:p>
    <w:p w14:paraId="2D415291" w14:textId="5232A5A3" w:rsidR="004E3749" w:rsidRPr="00D21107" w:rsidRDefault="004E3749" w:rsidP="00D21107">
      <w:pPr>
        <w:spacing w:after="200" w:line="360" w:lineRule="auto"/>
        <w:jc w:val="both"/>
        <w:rPr>
          <w:rFonts w:ascii="Arial" w:hAnsi="Arial" w:cs="Arial"/>
          <w:sz w:val="22"/>
          <w:szCs w:val="22"/>
        </w:rPr>
      </w:pPr>
      <w:r w:rsidRPr="00D21107">
        <w:rPr>
          <w:rFonts w:ascii="Arial" w:hAnsi="Arial" w:cs="Arial"/>
          <w:sz w:val="22"/>
          <w:szCs w:val="22"/>
        </w:rPr>
        <w:t>Some of these theories help explain Person-Centred Care and how it works in community care</w:t>
      </w:r>
      <w:r w:rsidR="00941289" w:rsidRPr="00D21107">
        <w:rPr>
          <w:rFonts w:ascii="Arial" w:hAnsi="Arial" w:cs="Arial"/>
          <w:sz w:val="22"/>
          <w:szCs w:val="22"/>
        </w:rPr>
        <w:t xml:space="preserve"> home</w:t>
      </w:r>
      <w:r w:rsidRPr="00D21107">
        <w:rPr>
          <w:rFonts w:ascii="Arial" w:hAnsi="Arial" w:cs="Arial"/>
          <w:sz w:val="22"/>
          <w:szCs w:val="22"/>
        </w:rPr>
        <w:t xml:space="preserve">. Person-centred care promotes fair treatment through empathy, honesty, and full respect. It is built on trust and by genuinely listening to the person. In community care, this could mean a district nurse working with an older adult who wants to continue living at home despite having mobility problems. The nurse should work with the person to find safe solutions rather than making decisions for them. (Rogers, 1961). Critics argue in person-centred theory that people appreciate genuineness, empathy, and unconditional positive care that meet their need and build trust by listening to them. This approach takes time, </w:t>
      </w:r>
      <w:r w:rsidR="000F7840" w:rsidRPr="00D21107">
        <w:rPr>
          <w:rFonts w:ascii="Arial" w:hAnsi="Arial" w:cs="Arial"/>
          <w:sz w:val="22"/>
          <w:szCs w:val="22"/>
        </w:rPr>
        <w:t xml:space="preserve">due to </w:t>
      </w:r>
      <w:r w:rsidRPr="00D21107">
        <w:rPr>
          <w:rFonts w:ascii="Arial" w:hAnsi="Arial" w:cs="Arial"/>
          <w:sz w:val="22"/>
          <w:szCs w:val="22"/>
        </w:rPr>
        <w:t>heavy workloads often make it difficult to implement effectively (Care Act, 2014).</w:t>
      </w:r>
    </w:p>
    <w:p w14:paraId="6D7A75A4" w14:textId="0A620786" w:rsidR="00122974" w:rsidRPr="00D21107" w:rsidRDefault="002C785C" w:rsidP="00D21107">
      <w:pPr>
        <w:spacing w:after="200" w:line="360" w:lineRule="auto"/>
        <w:rPr>
          <w:rFonts w:ascii="Arial" w:hAnsi="Arial" w:cs="Arial"/>
          <w:sz w:val="22"/>
          <w:szCs w:val="22"/>
        </w:rPr>
      </w:pPr>
      <w:r w:rsidRPr="00D21107">
        <w:rPr>
          <w:rFonts w:ascii="Arial" w:hAnsi="Arial" w:cs="Arial"/>
          <w:sz w:val="22"/>
          <w:szCs w:val="22"/>
        </w:rPr>
        <w:t>T</w:t>
      </w:r>
      <w:r w:rsidR="00122974" w:rsidRPr="00D21107">
        <w:rPr>
          <w:rFonts w:ascii="Arial" w:hAnsi="Arial" w:cs="Arial"/>
          <w:sz w:val="22"/>
          <w:szCs w:val="22"/>
        </w:rPr>
        <w:t>he Person-Centred</w:t>
      </w:r>
      <w:r w:rsidR="00B1213F" w:rsidRPr="00D21107">
        <w:rPr>
          <w:rFonts w:ascii="Arial" w:hAnsi="Arial" w:cs="Arial"/>
          <w:sz w:val="22"/>
          <w:szCs w:val="22"/>
        </w:rPr>
        <w:t xml:space="preserve"> </w:t>
      </w:r>
      <w:r w:rsidR="00104647" w:rsidRPr="00D21107">
        <w:rPr>
          <w:rFonts w:ascii="Arial" w:hAnsi="Arial" w:cs="Arial"/>
          <w:sz w:val="22"/>
          <w:szCs w:val="22"/>
        </w:rPr>
        <w:t>framework breaks</w:t>
      </w:r>
      <w:r w:rsidR="00122974" w:rsidRPr="00D21107">
        <w:rPr>
          <w:rFonts w:ascii="Arial" w:hAnsi="Arial" w:cs="Arial"/>
          <w:sz w:val="22"/>
          <w:szCs w:val="22"/>
        </w:rPr>
        <w:t xml:space="preserve"> person-centred care down into clear, interconnected components. It suggests that positive outcomes depend on three key factors: staff having the appropriate skills and values, a supportive care environment with effective leadership, and care processes such as shared decision-making and comprehensive assessments. This framework aligns well with community settings, where multidisciplinary teams and different services work together to plan and deliver coordinated care. However, staff shortages and ineffective leadership can make it difficult to implement person-centred care consistently.</w:t>
      </w:r>
      <w:r w:rsidR="00ED75A0" w:rsidRPr="00D21107">
        <w:rPr>
          <w:rFonts w:ascii="Arial" w:hAnsi="Arial" w:cs="Arial"/>
          <w:sz w:val="22"/>
          <w:szCs w:val="22"/>
        </w:rPr>
        <w:t xml:space="preserve"> </w:t>
      </w:r>
      <w:r w:rsidR="00104647" w:rsidRPr="00D21107">
        <w:rPr>
          <w:rFonts w:ascii="Arial" w:hAnsi="Arial" w:cs="Arial"/>
          <w:sz w:val="22"/>
          <w:szCs w:val="22"/>
        </w:rPr>
        <w:t>(</w:t>
      </w:r>
      <w:r w:rsidR="00ED75A0" w:rsidRPr="00D21107">
        <w:rPr>
          <w:rFonts w:ascii="Arial" w:hAnsi="Arial" w:cs="Arial"/>
          <w:sz w:val="22"/>
          <w:szCs w:val="22"/>
        </w:rPr>
        <w:t>Person-</w:t>
      </w:r>
      <w:r w:rsidR="00104647" w:rsidRPr="00D21107">
        <w:rPr>
          <w:rFonts w:ascii="Arial" w:hAnsi="Arial" w:cs="Arial"/>
          <w:sz w:val="22"/>
          <w:szCs w:val="22"/>
        </w:rPr>
        <w:t>Centred approaches</w:t>
      </w:r>
      <w:r w:rsidR="00ED75A0" w:rsidRPr="00D21107">
        <w:rPr>
          <w:rFonts w:ascii="Arial" w:hAnsi="Arial" w:cs="Arial"/>
          <w:sz w:val="22"/>
          <w:szCs w:val="22"/>
        </w:rPr>
        <w:t>, 2017)</w:t>
      </w:r>
      <w:r w:rsidR="00104647" w:rsidRPr="00D21107">
        <w:rPr>
          <w:rFonts w:ascii="Arial" w:hAnsi="Arial" w:cs="Arial"/>
          <w:sz w:val="22"/>
          <w:szCs w:val="22"/>
        </w:rPr>
        <w:t>.</w:t>
      </w:r>
    </w:p>
    <w:p w14:paraId="22C56155" w14:textId="293D39C7" w:rsidR="00B4795F" w:rsidRPr="00D21107" w:rsidRDefault="00D51476" w:rsidP="00D21107">
      <w:pPr>
        <w:spacing w:after="200" w:line="360" w:lineRule="auto"/>
        <w:rPr>
          <w:rFonts w:ascii="Arial" w:hAnsi="Arial" w:cs="Arial"/>
          <w:sz w:val="22"/>
          <w:szCs w:val="22"/>
        </w:rPr>
      </w:pPr>
      <w:r w:rsidRPr="00D21107">
        <w:rPr>
          <w:rFonts w:ascii="Arial" w:hAnsi="Arial" w:cs="Arial"/>
          <w:sz w:val="22"/>
          <w:szCs w:val="22"/>
        </w:rPr>
        <w:t xml:space="preserve">Maslow's Hierarchy of Needs also supports person-centred care. It suggests that people cannot focus on higher-level needs, such as confidence or independence, until their basic needs, including safety, food, and shelter, are met first. In community care, when working with someone who has a medical condition, professionals must consider their housing, diet, and social relationships, not just their illness. Critics argue that Maslow's model is too simple and does not reflect everyone's cultural or individual background equally well. </w:t>
      </w:r>
      <w:r w:rsidR="00EE7B17" w:rsidRPr="00D21107">
        <w:rPr>
          <w:rFonts w:ascii="Arial" w:hAnsi="Arial" w:cs="Arial"/>
          <w:sz w:val="22"/>
          <w:szCs w:val="22"/>
        </w:rPr>
        <w:t>Therefore,</w:t>
      </w:r>
      <w:r w:rsidR="00243759" w:rsidRPr="00D21107">
        <w:rPr>
          <w:rFonts w:ascii="Arial" w:hAnsi="Arial" w:cs="Arial"/>
          <w:sz w:val="22"/>
          <w:szCs w:val="22"/>
        </w:rPr>
        <w:t xml:space="preserve"> </w:t>
      </w:r>
      <w:r w:rsidRPr="00D21107">
        <w:rPr>
          <w:rFonts w:ascii="Arial" w:hAnsi="Arial" w:cs="Arial"/>
          <w:sz w:val="22"/>
          <w:szCs w:val="22"/>
        </w:rPr>
        <w:t>all three theories agree that</w:t>
      </w:r>
      <w:r w:rsidR="00FD465E" w:rsidRPr="00D21107">
        <w:rPr>
          <w:rFonts w:ascii="Arial" w:hAnsi="Arial" w:cs="Arial"/>
          <w:sz w:val="22"/>
          <w:szCs w:val="22"/>
        </w:rPr>
        <w:t xml:space="preserve"> </w:t>
      </w:r>
      <w:r w:rsidRPr="00D21107">
        <w:rPr>
          <w:rFonts w:ascii="Arial" w:hAnsi="Arial" w:cs="Arial"/>
          <w:sz w:val="22"/>
          <w:szCs w:val="22"/>
        </w:rPr>
        <w:t xml:space="preserve">community care should treat </w:t>
      </w:r>
      <w:r w:rsidR="00F75BE9" w:rsidRPr="00D21107">
        <w:rPr>
          <w:rFonts w:ascii="Arial" w:hAnsi="Arial" w:cs="Arial"/>
          <w:sz w:val="22"/>
          <w:szCs w:val="22"/>
        </w:rPr>
        <w:t>everything</w:t>
      </w:r>
      <w:r w:rsidR="00611C51" w:rsidRPr="00D21107">
        <w:rPr>
          <w:rFonts w:ascii="Arial" w:hAnsi="Arial" w:cs="Arial"/>
          <w:sz w:val="22"/>
          <w:szCs w:val="22"/>
        </w:rPr>
        <w:t xml:space="preserve"> about the</w:t>
      </w:r>
      <w:r w:rsidRPr="00D21107">
        <w:rPr>
          <w:rFonts w:ascii="Arial" w:hAnsi="Arial" w:cs="Arial"/>
          <w:sz w:val="22"/>
          <w:szCs w:val="22"/>
        </w:rPr>
        <w:t xml:space="preserve"> person</w:t>
      </w:r>
      <w:r w:rsidR="00611C51" w:rsidRPr="00D21107">
        <w:rPr>
          <w:rFonts w:ascii="Arial" w:hAnsi="Arial" w:cs="Arial"/>
          <w:sz w:val="22"/>
          <w:szCs w:val="22"/>
        </w:rPr>
        <w:t xml:space="preserve"> need</w:t>
      </w:r>
      <w:r w:rsidRPr="00D21107">
        <w:rPr>
          <w:rFonts w:ascii="Arial" w:hAnsi="Arial" w:cs="Arial"/>
          <w:sz w:val="22"/>
          <w:szCs w:val="22"/>
        </w:rPr>
        <w:t xml:space="preserve"> rather than focusing only on their condition (Maslow, 1943).</w:t>
      </w:r>
    </w:p>
    <w:p w14:paraId="69BA7163" w14:textId="77777777" w:rsidR="00180BAE" w:rsidRPr="00D21107" w:rsidRDefault="00180BAE" w:rsidP="00D21107">
      <w:pPr>
        <w:spacing w:after="200" w:line="360" w:lineRule="auto"/>
        <w:jc w:val="both"/>
        <w:rPr>
          <w:rFonts w:ascii="Arial" w:hAnsi="Arial" w:cs="Arial"/>
          <w:sz w:val="22"/>
          <w:szCs w:val="22"/>
        </w:rPr>
      </w:pPr>
    </w:p>
    <w:p w14:paraId="68AF63E0" w14:textId="0BEEFE5E" w:rsidR="00D339CB"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Ethical Fundamentals</w:t>
      </w:r>
    </w:p>
    <w:p w14:paraId="6F6AE6EB" w14:textId="66BC5096" w:rsidR="00D339CB" w:rsidRPr="00D21107" w:rsidRDefault="005204DA" w:rsidP="00D21107">
      <w:pPr>
        <w:spacing w:line="360" w:lineRule="auto"/>
        <w:rPr>
          <w:rFonts w:ascii="Arial" w:hAnsi="Arial" w:cs="Arial"/>
          <w:sz w:val="22"/>
          <w:szCs w:val="22"/>
        </w:rPr>
      </w:pPr>
      <w:r w:rsidRPr="00D21107">
        <w:rPr>
          <w:rFonts w:ascii="Arial" w:hAnsi="Arial" w:cs="Arial"/>
          <w:sz w:val="22"/>
          <w:szCs w:val="22"/>
        </w:rPr>
        <w:t>Person-Centred Care and Partnership Working rest on four ethical principles: autonomy, beneficence, non-maleficence, and justice. Autonomy means respecting a person's right to make their own choices. For example, an older adult may choose to</w:t>
      </w:r>
      <w:r w:rsidR="00AB6F26" w:rsidRPr="00D21107">
        <w:rPr>
          <w:rFonts w:ascii="Arial" w:hAnsi="Arial" w:cs="Arial"/>
          <w:sz w:val="22"/>
          <w:szCs w:val="22"/>
        </w:rPr>
        <w:t xml:space="preserve"> </w:t>
      </w:r>
      <w:r w:rsidR="00A4569B" w:rsidRPr="00D21107">
        <w:rPr>
          <w:rFonts w:ascii="Arial" w:hAnsi="Arial" w:cs="Arial"/>
          <w:sz w:val="22"/>
          <w:szCs w:val="22"/>
        </w:rPr>
        <w:t xml:space="preserve">decline using </w:t>
      </w:r>
      <w:r w:rsidR="00204E59" w:rsidRPr="00D21107">
        <w:rPr>
          <w:rFonts w:ascii="Arial" w:hAnsi="Arial" w:cs="Arial"/>
          <w:sz w:val="22"/>
          <w:szCs w:val="22"/>
        </w:rPr>
        <w:t xml:space="preserve">mobility aids </w:t>
      </w:r>
      <w:r w:rsidRPr="00D21107">
        <w:rPr>
          <w:rFonts w:ascii="Arial" w:hAnsi="Arial" w:cs="Arial"/>
          <w:sz w:val="22"/>
          <w:szCs w:val="22"/>
        </w:rPr>
        <w:t>even though there is a risk of falling. This can be hard for staff, who must balance respecting the person's choice with keeping them safe (Mental Capacity Act, 2005).</w:t>
      </w:r>
    </w:p>
    <w:p w14:paraId="5D35DFD0" w14:textId="1F7D5F05" w:rsidR="00FB2006" w:rsidRPr="00D21107" w:rsidRDefault="00AD3383" w:rsidP="00D21107">
      <w:pPr>
        <w:spacing w:after="200" w:line="360" w:lineRule="auto"/>
        <w:jc w:val="both"/>
        <w:rPr>
          <w:rFonts w:ascii="Arial" w:hAnsi="Arial" w:cs="Arial"/>
          <w:sz w:val="22"/>
          <w:szCs w:val="22"/>
        </w:rPr>
      </w:pPr>
      <w:r w:rsidRPr="00D21107">
        <w:rPr>
          <w:rFonts w:ascii="Arial" w:hAnsi="Arial" w:cs="Arial"/>
          <w:sz w:val="22"/>
          <w:szCs w:val="22"/>
        </w:rPr>
        <w:lastRenderedPageBreak/>
        <w:t>B</w:t>
      </w:r>
      <w:r w:rsidR="00027BC2" w:rsidRPr="00D21107">
        <w:rPr>
          <w:rFonts w:ascii="Arial" w:hAnsi="Arial" w:cs="Arial"/>
          <w:sz w:val="22"/>
          <w:szCs w:val="22"/>
        </w:rPr>
        <w:t>eneficence means acting in the person's best interests. For example, a care team may plan to support an individual to move around due to mobility issues. Non-maleficence means avoiding harm; this includes safe practice, clear records, and good communication between staff, because poor information sharing between healthcare professionals can lead to errors or missed safety concerns.</w:t>
      </w:r>
    </w:p>
    <w:p w14:paraId="1B92E7B5" w14:textId="3EA1EBFA" w:rsidR="00FD02F9" w:rsidRPr="00D21107" w:rsidRDefault="003F7039" w:rsidP="00D21107">
      <w:pPr>
        <w:spacing w:after="200" w:line="360" w:lineRule="auto"/>
        <w:jc w:val="both"/>
        <w:rPr>
          <w:rFonts w:ascii="Arial" w:hAnsi="Arial" w:cs="Arial"/>
          <w:sz w:val="22"/>
          <w:szCs w:val="22"/>
        </w:rPr>
      </w:pPr>
      <w:r w:rsidRPr="00D21107">
        <w:rPr>
          <w:rFonts w:ascii="Arial" w:hAnsi="Arial" w:cs="Arial"/>
          <w:sz w:val="22"/>
          <w:szCs w:val="22"/>
        </w:rPr>
        <w:t xml:space="preserve">Justice is about fairness in how limited resources are shared. Long </w:t>
      </w:r>
      <w:r w:rsidR="000563A1" w:rsidRPr="00D21107">
        <w:rPr>
          <w:rFonts w:ascii="Arial" w:hAnsi="Arial" w:cs="Arial"/>
          <w:sz w:val="22"/>
          <w:szCs w:val="22"/>
        </w:rPr>
        <w:t>a</w:t>
      </w:r>
      <w:r w:rsidRPr="00D21107">
        <w:rPr>
          <w:rFonts w:ascii="Arial" w:hAnsi="Arial" w:cs="Arial"/>
          <w:sz w:val="22"/>
          <w:szCs w:val="22"/>
        </w:rPr>
        <w:t>wait</w:t>
      </w:r>
      <w:r w:rsidR="000563A1" w:rsidRPr="00D21107">
        <w:rPr>
          <w:rFonts w:ascii="Arial" w:hAnsi="Arial" w:cs="Arial"/>
          <w:sz w:val="22"/>
          <w:szCs w:val="22"/>
        </w:rPr>
        <w:t>ed</w:t>
      </w:r>
      <w:r w:rsidRPr="00D21107">
        <w:rPr>
          <w:rFonts w:ascii="Arial" w:hAnsi="Arial" w:cs="Arial"/>
          <w:sz w:val="22"/>
          <w:szCs w:val="22"/>
        </w:rPr>
        <w:t xml:space="preserve"> </w:t>
      </w:r>
      <w:r w:rsidR="000563A1" w:rsidRPr="00D21107">
        <w:rPr>
          <w:rFonts w:ascii="Arial" w:hAnsi="Arial" w:cs="Arial"/>
          <w:sz w:val="22"/>
          <w:szCs w:val="22"/>
        </w:rPr>
        <w:t xml:space="preserve">treatment </w:t>
      </w:r>
      <w:r w:rsidR="00E07B63" w:rsidRPr="00D21107">
        <w:rPr>
          <w:rFonts w:ascii="Arial" w:hAnsi="Arial" w:cs="Arial"/>
          <w:sz w:val="22"/>
          <w:szCs w:val="22"/>
        </w:rPr>
        <w:t>or support</w:t>
      </w:r>
      <w:r w:rsidRPr="00D21107">
        <w:rPr>
          <w:rFonts w:ascii="Arial" w:hAnsi="Arial" w:cs="Arial"/>
          <w:sz w:val="22"/>
          <w:szCs w:val="22"/>
        </w:rPr>
        <w:t xml:space="preserve"> show how funding problems can clash with fair access, no matter someone's age, disability or </w:t>
      </w:r>
      <w:r w:rsidR="006F3551" w:rsidRPr="00D21107">
        <w:rPr>
          <w:rFonts w:ascii="Arial" w:hAnsi="Arial" w:cs="Arial"/>
          <w:sz w:val="22"/>
          <w:szCs w:val="22"/>
        </w:rPr>
        <w:t>background</w:t>
      </w:r>
      <w:r w:rsidR="00855C32" w:rsidRPr="00D21107">
        <w:rPr>
          <w:rFonts w:ascii="Arial" w:hAnsi="Arial" w:cs="Arial"/>
          <w:sz w:val="22"/>
          <w:szCs w:val="22"/>
        </w:rPr>
        <w:t xml:space="preserve"> and</w:t>
      </w:r>
      <w:r w:rsidR="00062FA0" w:rsidRPr="00D21107">
        <w:rPr>
          <w:rFonts w:ascii="Arial" w:hAnsi="Arial" w:cs="Arial"/>
          <w:sz w:val="22"/>
          <w:szCs w:val="22"/>
        </w:rPr>
        <w:t xml:space="preserve"> provision of funding to covered </w:t>
      </w:r>
      <w:r w:rsidR="00AD5BEE" w:rsidRPr="00D21107">
        <w:rPr>
          <w:rFonts w:ascii="Arial" w:hAnsi="Arial" w:cs="Arial"/>
          <w:sz w:val="22"/>
          <w:szCs w:val="22"/>
        </w:rPr>
        <w:t>care needed.</w:t>
      </w:r>
      <w:r w:rsidR="006F3551" w:rsidRPr="00D21107">
        <w:rPr>
          <w:rFonts w:ascii="Arial" w:hAnsi="Arial" w:cs="Arial"/>
          <w:sz w:val="22"/>
          <w:szCs w:val="22"/>
        </w:rPr>
        <w:t xml:space="preserve"> (</w:t>
      </w:r>
      <w:r w:rsidR="00111672" w:rsidRPr="00D21107">
        <w:rPr>
          <w:rFonts w:ascii="Arial" w:hAnsi="Arial" w:cs="Arial"/>
          <w:sz w:val="22"/>
          <w:szCs w:val="22"/>
        </w:rPr>
        <w:t>Equality Act,2010</w:t>
      </w:r>
      <w:r w:rsidR="00304EBB" w:rsidRPr="00D21107">
        <w:rPr>
          <w:rFonts w:ascii="Arial" w:hAnsi="Arial" w:cs="Arial"/>
          <w:sz w:val="22"/>
          <w:szCs w:val="22"/>
        </w:rPr>
        <w:t>)</w:t>
      </w:r>
      <w:r w:rsidR="00FD02F9" w:rsidRPr="00D21107">
        <w:rPr>
          <w:rFonts w:ascii="Arial" w:hAnsi="Arial" w:cs="Arial"/>
          <w:sz w:val="22"/>
          <w:szCs w:val="22"/>
        </w:rPr>
        <w:t>.</w:t>
      </w:r>
    </w:p>
    <w:p w14:paraId="3922D574" w14:textId="3B23C884" w:rsidR="003F7039" w:rsidRPr="00D21107" w:rsidRDefault="00822FD6" w:rsidP="00D21107">
      <w:pPr>
        <w:spacing w:after="200" w:line="360" w:lineRule="auto"/>
        <w:jc w:val="both"/>
        <w:rPr>
          <w:rFonts w:ascii="Arial" w:hAnsi="Arial" w:cs="Arial"/>
          <w:sz w:val="22"/>
          <w:szCs w:val="22"/>
        </w:rPr>
      </w:pPr>
      <w:r w:rsidRPr="00D21107">
        <w:rPr>
          <w:rFonts w:ascii="Arial" w:hAnsi="Arial" w:cs="Arial"/>
          <w:sz w:val="22"/>
          <w:szCs w:val="22"/>
        </w:rPr>
        <w:t>These four principles often pull against each other. Respecting individual choice may interfere with keeping them safe if they refuse help. Staff need to work through these problems together by talking openly, rather than one person deciding alone. Different staff may also see things differently. For example, a social worker may focus more on what the person wants, while a nurse may focus more on physical risk. Talking these through as a team, rather than one view simply, will help as a good ethical practice (Beauchamp and Childress, 2019).</w:t>
      </w:r>
    </w:p>
    <w:p w14:paraId="0863A261" w14:textId="77777777" w:rsidR="003F7039"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Evaluation of Partnership Working</w:t>
      </w:r>
    </w:p>
    <w:p w14:paraId="3EA828A1" w14:textId="39114888" w:rsidR="00E43BA5" w:rsidRPr="00D21107" w:rsidRDefault="00315088" w:rsidP="00D21107">
      <w:pPr>
        <w:spacing w:after="200" w:line="360" w:lineRule="auto"/>
        <w:rPr>
          <w:rFonts w:ascii="Arial" w:hAnsi="Arial" w:cs="Arial"/>
          <w:sz w:val="22"/>
          <w:szCs w:val="22"/>
        </w:rPr>
      </w:pPr>
      <w:r w:rsidRPr="00D21107">
        <w:rPr>
          <w:rFonts w:ascii="Arial" w:hAnsi="Arial" w:cs="Arial"/>
          <w:sz w:val="22"/>
          <w:szCs w:val="22"/>
        </w:rPr>
        <w:t>Partnership working in health and social care helps professionals work together effectively through joint planning, communication, and the appropriate sharing of information about the people receiving care. This collaborative approach supports coordinated services, improves decision-making, and helps ensure that individuals receive safe, person-centred, and high-quality care.</w:t>
      </w:r>
      <w:r w:rsidR="00301FD6" w:rsidRPr="00D21107">
        <w:rPr>
          <w:rFonts w:ascii="Arial" w:hAnsi="Arial" w:cs="Arial"/>
          <w:sz w:val="22"/>
          <w:szCs w:val="22"/>
        </w:rPr>
        <w:t xml:space="preserve"> (Department of Health and Social Care, 2018).</w:t>
      </w:r>
      <w:r w:rsidR="003F7039" w:rsidRPr="00D21107">
        <w:rPr>
          <w:rFonts w:ascii="Arial" w:hAnsi="Arial" w:cs="Arial"/>
          <w:sz w:val="22"/>
          <w:szCs w:val="22"/>
        </w:rPr>
        <w:t xml:space="preserve"> </w:t>
      </w:r>
    </w:p>
    <w:p w14:paraId="28B9C6E7" w14:textId="30CDC8DD" w:rsidR="004F0AB8" w:rsidRPr="00D21107" w:rsidRDefault="0032783E" w:rsidP="00D21107">
      <w:pPr>
        <w:spacing w:after="200" w:line="360" w:lineRule="auto"/>
        <w:jc w:val="both"/>
        <w:rPr>
          <w:rFonts w:ascii="Arial" w:hAnsi="Arial" w:cs="Arial"/>
          <w:sz w:val="22"/>
          <w:szCs w:val="22"/>
        </w:rPr>
      </w:pPr>
      <w:r w:rsidRPr="00D21107">
        <w:rPr>
          <w:rFonts w:ascii="Arial" w:hAnsi="Arial" w:cs="Arial"/>
          <w:sz w:val="22"/>
          <w:szCs w:val="22"/>
        </w:rPr>
        <w:t>Integrated Care Systems</w:t>
      </w:r>
      <w:r w:rsidR="004A6BDE" w:rsidRPr="00D21107">
        <w:rPr>
          <w:rFonts w:ascii="Arial" w:hAnsi="Arial" w:cs="Arial"/>
          <w:sz w:val="22"/>
          <w:szCs w:val="22"/>
        </w:rPr>
        <w:t xml:space="preserve"> </w:t>
      </w:r>
      <w:r w:rsidRPr="00D21107">
        <w:rPr>
          <w:rFonts w:ascii="Arial" w:hAnsi="Arial" w:cs="Arial"/>
          <w:sz w:val="22"/>
          <w:szCs w:val="22"/>
        </w:rPr>
        <w:t>were established to encourage healthcare professionals from different sectors to collaborate rather than work in isolation. This approach aims to provide service users with coordinated support across community and care home settings, ensuring that their individual person-centred care needs are met (NHS England, 2022).</w:t>
      </w:r>
    </w:p>
    <w:p w14:paraId="5AFC1E44" w14:textId="77777777" w:rsidR="00461ED3" w:rsidRPr="00D21107" w:rsidRDefault="00344AA7" w:rsidP="00D21107">
      <w:pPr>
        <w:spacing w:after="200" w:line="360" w:lineRule="auto"/>
        <w:rPr>
          <w:rFonts w:ascii="Arial" w:eastAsia="Calibri" w:hAnsi="Arial" w:cs="Arial"/>
          <w:sz w:val="22"/>
          <w:szCs w:val="22"/>
        </w:rPr>
      </w:pPr>
      <w:r w:rsidRPr="00D21107">
        <w:rPr>
          <w:rFonts w:ascii="Arial" w:hAnsi="Arial" w:cs="Arial"/>
          <w:sz w:val="22"/>
          <w:szCs w:val="22"/>
        </w:rPr>
        <w:t>Benefit</w:t>
      </w:r>
      <w:r w:rsidR="0069651B" w:rsidRPr="00D21107">
        <w:rPr>
          <w:rFonts w:ascii="Arial" w:hAnsi="Arial" w:cs="Arial"/>
          <w:sz w:val="22"/>
          <w:szCs w:val="22"/>
        </w:rPr>
        <w:t>s</w:t>
      </w:r>
      <w:r w:rsidR="0069651B" w:rsidRPr="00D21107">
        <w:rPr>
          <w:rFonts w:ascii="Arial" w:eastAsia="Calibri" w:hAnsi="Arial" w:cs="Arial"/>
          <w:sz w:val="22"/>
          <w:szCs w:val="22"/>
        </w:rPr>
        <w:t xml:space="preserve"> of partnership working include </w:t>
      </w:r>
      <w:r w:rsidR="005D6F75" w:rsidRPr="00D21107">
        <w:rPr>
          <w:rFonts w:ascii="Arial" w:eastAsia="Calibri" w:hAnsi="Arial" w:cs="Arial"/>
          <w:sz w:val="22"/>
          <w:szCs w:val="22"/>
        </w:rPr>
        <w:t xml:space="preserve">as set out under the Health and Social Care </w:t>
      </w:r>
      <w:r w:rsidR="009A2832" w:rsidRPr="00D21107">
        <w:rPr>
          <w:rFonts w:ascii="Arial" w:eastAsia="Calibri" w:hAnsi="Arial" w:cs="Arial"/>
          <w:sz w:val="22"/>
          <w:szCs w:val="22"/>
        </w:rPr>
        <w:t>Act, (</w:t>
      </w:r>
      <w:r w:rsidR="005D6F75" w:rsidRPr="00D21107">
        <w:rPr>
          <w:rFonts w:ascii="Arial" w:eastAsia="Calibri" w:hAnsi="Arial" w:cs="Arial"/>
          <w:sz w:val="22"/>
          <w:szCs w:val="22"/>
        </w:rPr>
        <w:t>2012</w:t>
      </w:r>
      <w:r w:rsidR="009A2832" w:rsidRPr="00D21107">
        <w:rPr>
          <w:rFonts w:ascii="Arial" w:eastAsia="Calibri" w:hAnsi="Arial" w:cs="Arial"/>
          <w:sz w:val="22"/>
          <w:szCs w:val="22"/>
        </w:rPr>
        <w:t>). supporting</w:t>
      </w:r>
      <w:r w:rsidR="0069651B" w:rsidRPr="00D21107">
        <w:rPr>
          <w:rFonts w:ascii="Arial" w:eastAsia="Calibri" w:hAnsi="Arial" w:cs="Arial"/>
          <w:sz w:val="22"/>
          <w:szCs w:val="22"/>
        </w:rPr>
        <w:t xml:space="preserve"> service users to stay well and independently; caring for people with multiple needs and long-term conditions for better outcomes; using collective information effectively; reducing workload; supporting better decision-making,</w:t>
      </w:r>
      <w:r w:rsidR="00407E54" w:rsidRPr="00D21107">
        <w:rPr>
          <w:rFonts w:ascii="Arial" w:eastAsia="Calibri" w:hAnsi="Arial" w:cs="Arial"/>
          <w:sz w:val="22"/>
          <w:szCs w:val="22"/>
        </w:rPr>
        <w:t xml:space="preserve"> budgeting </w:t>
      </w:r>
      <w:r w:rsidR="00E24869" w:rsidRPr="00D21107">
        <w:rPr>
          <w:rFonts w:ascii="Arial" w:eastAsia="Calibri" w:hAnsi="Arial" w:cs="Arial"/>
          <w:sz w:val="22"/>
          <w:szCs w:val="22"/>
        </w:rPr>
        <w:t>to cover care package,</w:t>
      </w:r>
      <w:r w:rsidR="0002189B" w:rsidRPr="00D21107">
        <w:rPr>
          <w:rFonts w:ascii="Arial" w:eastAsia="Calibri" w:hAnsi="Arial" w:cs="Arial"/>
          <w:sz w:val="22"/>
          <w:szCs w:val="22"/>
        </w:rPr>
        <w:t xml:space="preserve"> staff training,</w:t>
      </w:r>
      <w:r w:rsidR="0069651B" w:rsidRPr="00D21107">
        <w:rPr>
          <w:rFonts w:ascii="Arial" w:eastAsia="Calibri" w:hAnsi="Arial" w:cs="Arial"/>
          <w:sz w:val="22"/>
          <w:szCs w:val="22"/>
        </w:rPr>
        <w:t xml:space="preserve"> effective communicatio</w:t>
      </w:r>
      <w:r w:rsidR="0002189B" w:rsidRPr="00D21107">
        <w:rPr>
          <w:rFonts w:ascii="Arial" w:eastAsia="Calibri" w:hAnsi="Arial" w:cs="Arial"/>
          <w:sz w:val="22"/>
          <w:szCs w:val="22"/>
        </w:rPr>
        <w:t>n</w:t>
      </w:r>
      <w:r w:rsidR="009A2832" w:rsidRPr="00D21107">
        <w:rPr>
          <w:rFonts w:ascii="Arial" w:eastAsia="Calibri" w:hAnsi="Arial" w:cs="Arial"/>
          <w:sz w:val="22"/>
          <w:szCs w:val="22"/>
        </w:rPr>
        <w:t xml:space="preserve"> and connectivity</w:t>
      </w:r>
      <w:r w:rsidR="0069651B" w:rsidRPr="00D21107">
        <w:rPr>
          <w:rFonts w:ascii="Arial" w:eastAsia="Calibri" w:hAnsi="Arial" w:cs="Arial"/>
          <w:sz w:val="22"/>
          <w:szCs w:val="22"/>
        </w:rPr>
        <w:t xml:space="preserve"> </w:t>
      </w:r>
      <w:r w:rsidR="009A2832" w:rsidRPr="00D21107">
        <w:rPr>
          <w:rFonts w:ascii="Arial" w:eastAsia="Calibri" w:hAnsi="Arial" w:cs="Arial"/>
          <w:sz w:val="22"/>
          <w:szCs w:val="22"/>
        </w:rPr>
        <w:t>teamwork.</w:t>
      </w:r>
      <w:r w:rsidR="0069651B" w:rsidRPr="00D21107">
        <w:rPr>
          <w:rFonts w:ascii="Arial" w:eastAsia="Calibri" w:hAnsi="Arial" w:cs="Arial"/>
          <w:sz w:val="22"/>
          <w:szCs w:val="22"/>
        </w:rPr>
        <w:t xml:space="preserve"> Evidence suggests that such partnerships can deliver improved outcomes for service users and carers, although results are not always consistent across areas</w:t>
      </w:r>
      <w:r w:rsidR="009D538C" w:rsidRPr="00D21107">
        <w:rPr>
          <w:rFonts w:ascii="Arial" w:eastAsia="Calibri" w:hAnsi="Arial" w:cs="Arial"/>
          <w:sz w:val="22"/>
          <w:szCs w:val="22"/>
        </w:rPr>
        <w:t xml:space="preserve"> </w:t>
      </w:r>
      <w:r w:rsidR="00A27C9C" w:rsidRPr="00D21107">
        <w:rPr>
          <w:rFonts w:ascii="Arial" w:eastAsia="Calibri" w:hAnsi="Arial" w:cs="Arial"/>
          <w:sz w:val="22"/>
          <w:szCs w:val="22"/>
        </w:rPr>
        <w:t>(</w:t>
      </w:r>
      <w:r w:rsidR="00A27C9C" w:rsidRPr="00D21107">
        <w:rPr>
          <w:rFonts w:ascii="Arial" w:hAnsi="Arial" w:cs="Arial"/>
          <w:sz w:val="22"/>
          <w:szCs w:val="22"/>
        </w:rPr>
        <w:t>Glasby, J. and Dickinson, H. ,2021).</w:t>
      </w:r>
      <w:r w:rsidR="0069651B" w:rsidRPr="00D21107">
        <w:rPr>
          <w:rFonts w:ascii="Arial" w:eastAsia="Calibri" w:hAnsi="Arial" w:cs="Arial"/>
          <w:sz w:val="22"/>
          <w:szCs w:val="22"/>
        </w:rPr>
        <w:t xml:space="preserve"> </w:t>
      </w:r>
    </w:p>
    <w:p w14:paraId="7B1E3552" w14:textId="4AA94656" w:rsidR="008E1F2C" w:rsidRPr="00D21107" w:rsidRDefault="006E484E" w:rsidP="00D21107">
      <w:pPr>
        <w:spacing w:after="200" w:line="360" w:lineRule="auto"/>
        <w:rPr>
          <w:rFonts w:ascii="Arial" w:eastAsia="Calibri" w:hAnsi="Arial" w:cs="Arial"/>
          <w:sz w:val="22"/>
          <w:szCs w:val="22"/>
        </w:rPr>
      </w:pPr>
      <w:r w:rsidRPr="00D21107">
        <w:rPr>
          <w:rFonts w:ascii="Arial" w:eastAsia="Calibri" w:hAnsi="Arial" w:cs="Arial"/>
          <w:sz w:val="22"/>
          <w:szCs w:val="22"/>
        </w:rPr>
        <w:lastRenderedPageBreak/>
        <w:t xml:space="preserve">Challenges in partnership working include cultural differences and differing organisational policies, which can create conflicting priorities and slow the planning and delivery of care. Poor communication between professionals may delay decision-making, while unclear roles and responsibilities can reduce accountability and lead to confusion regarding care coordination. In addition, inadequate information sharing, limited resources, staff shortages, and burnout can affect the quality and continuity of care. </w:t>
      </w:r>
      <w:r w:rsidR="00787CAD" w:rsidRPr="00D21107">
        <w:rPr>
          <w:rFonts w:ascii="Arial" w:eastAsia="Calibri" w:hAnsi="Arial" w:cs="Arial"/>
          <w:sz w:val="22"/>
          <w:szCs w:val="22"/>
        </w:rPr>
        <w:t>(Petch, Cook and Miller, 2013).</w:t>
      </w:r>
    </w:p>
    <w:p w14:paraId="0049735B" w14:textId="144B211D" w:rsidR="006E484E" w:rsidRPr="00D21107" w:rsidRDefault="006E484E" w:rsidP="00D21107">
      <w:pPr>
        <w:spacing w:after="200" w:line="360" w:lineRule="auto"/>
        <w:rPr>
          <w:rFonts w:ascii="Arial" w:eastAsia="Calibri" w:hAnsi="Arial" w:cs="Arial"/>
          <w:sz w:val="22"/>
          <w:szCs w:val="22"/>
        </w:rPr>
      </w:pPr>
      <w:r w:rsidRPr="00D21107">
        <w:rPr>
          <w:rFonts w:ascii="Arial" w:eastAsia="Calibri" w:hAnsi="Arial" w:cs="Arial"/>
          <w:sz w:val="22"/>
          <w:szCs w:val="22"/>
        </w:rPr>
        <w:t xml:space="preserve">A lack of effective collaboration between health and social care professionals may result in fragmented services and poorer outcomes for individuals. Financial constraints can also limit the availability of appropriate care packages, while long working hours may reduce the time available for staff meetings and handovers, increasing the risk of communication errors and affecting the continuity of person-centred care. </w:t>
      </w:r>
      <w:r w:rsidR="00A85A5C" w:rsidRPr="00D21107">
        <w:rPr>
          <w:rFonts w:ascii="Arial" w:eastAsia="Calibri" w:hAnsi="Arial" w:cs="Arial"/>
          <w:sz w:val="22"/>
          <w:szCs w:val="22"/>
        </w:rPr>
        <w:t>(</w:t>
      </w:r>
      <w:r w:rsidR="00A85A5C" w:rsidRPr="00D21107">
        <w:rPr>
          <w:rFonts w:ascii="Arial" w:hAnsi="Arial" w:cs="Arial"/>
          <w:sz w:val="22"/>
          <w:szCs w:val="22"/>
        </w:rPr>
        <w:t>Skills for Care,2024).</w:t>
      </w:r>
    </w:p>
    <w:p w14:paraId="660D23C6" w14:textId="0B8B3843" w:rsidR="00AC6207" w:rsidRPr="00D21107" w:rsidRDefault="00AC6207" w:rsidP="00D21107">
      <w:pPr>
        <w:spacing w:after="200" w:line="360" w:lineRule="auto"/>
        <w:rPr>
          <w:rFonts w:ascii="Arial" w:eastAsia="Calibri" w:hAnsi="Arial" w:cs="Arial"/>
          <w:sz w:val="22"/>
          <w:szCs w:val="22"/>
        </w:rPr>
      </w:pPr>
      <w:r w:rsidRPr="00D21107">
        <w:rPr>
          <w:rFonts w:ascii="Arial" w:eastAsia="Calibri" w:hAnsi="Arial" w:cs="Arial"/>
          <w:sz w:val="22"/>
          <w:szCs w:val="22"/>
        </w:rPr>
        <w:t xml:space="preserve">The impact on health and social care, with different rules on who is eligible for NHS or council support, can also leave people unsure of who is responsible for what. Partnership working brings mixed results: it works well to give a clear approach that helps reduce isolation within the team and supports a flow of information for better collaborative work and independence in community care (CQC, </w:t>
      </w:r>
      <w:r w:rsidR="009B3285" w:rsidRPr="00D21107">
        <w:rPr>
          <w:rFonts w:ascii="Arial" w:eastAsia="Calibri" w:hAnsi="Arial" w:cs="Arial"/>
          <w:sz w:val="22"/>
          <w:szCs w:val="22"/>
        </w:rPr>
        <w:t>2023</w:t>
      </w:r>
      <w:r w:rsidRPr="00D21107">
        <w:rPr>
          <w:rFonts w:ascii="Arial" w:eastAsia="Calibri" w:hAnsi="Arial" w:cs="Arial"/>
          <w:sz w:val="22"/>
          <w:szCs w:val="22"/>
        </w:rPr>
        <w:t>).</w:t>
      </w:r>
    </w:p>
    <w:p w14:paraId="3C638A08" w14:textId="68DF853B" w:rsidR="00E84086" w:rsidRPr="00D21107" w:rsidRDefault="009469FB" w:rsidP="00D21107">
      <w:pPr>
        <w:spacing w:after="200" w:line="360" w:lineRule="auto"/>
        <w:jc w:val="both"/>
        <w:rPr>
          <w:rFonts w:ascii="Arial" w:hAnsi="Arial" w:cs="Arial"/>
          <w:sz w:val="22"/>
          <w:szCs w:val="22"/>
        </w:rPr>
      </w:pPr>
      <w:r w:rsidRPr="00D21107">
        <w:rPr>
          <w:rFonts w:ascii="Arial" w:eastAsia="Calibri" w:hAnsi="Arial" w:cs="Arial"/>
          <w:sz w:val="22"/>
          <w:szCs w:val="22"/>
        </w:rPr>
        <w:t>Also, w</w:t>
      </w:r>
      <w:r w:rsidR="00AC6207" w:rsidRPr="00D21107">
        <w:rPr>
          <w:rFonts w:ascii="Arial" w:eastAsia="Calibri" w:hAnsi="Arial" w:cs="Arial"/>
          <w:sz w:val="22"/>
          <w:szCs w:val="22"/>
        </w:rPr>
        <w:t>hen communication or resources break down, people may face delays, repeated errors, or gaps in care. Partnership working helps strengthen leadership and shared, informed</w:t>
      </w:r>
      <w:r w:rsidR="00CA11A4" w:rsidRPr="00D21107">
        <w:rPr>
          <w:rFonts w:ascii="Arial" w:eastAsia="Calibri" w:hAnsi="Arial" w:cs="Arial"/>
          <w:sz w:val="22"/>
          <w:szCs w:val="22"/>
        </w:rPr>
        <w:t xml:space="preserve"> </w:t>
      </w:r>
      <w:r w:rsidR="00CA11A4" w:rsidRPr="00D21107">
        <w:rPr>
          <w:rFonts w:ascii="Arial" w:hAnsi="Arial" w:cs="Arial"/>
          <w:sz w:val="22"/>
          <w:szCs w:val="22"/>
        </w:rPr>
        <w:t xml:space="preserve">decision-making, but its impact can be unbalanced when all these are missing (NICE,202). </w:t>
      </w:r>
    </w:p>
    <w:p w14:paraId="6B9E1E0B" w14:textId="2846B836" w:rsidR="00207235"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Policy and Legislation</w:t>
      </w:r>
    </w:p>
    <w:p w14:paraId="7ED16725" w14:textId="77777777" w:rsidR="00CE3E9A" w:rsidRPr="00D21107" w:rsidRDefault="00207235" w:rsidP="00D21107">
      <w:pPr>
        <w:spacing w:line="360" w:lineRule="auto"/>
        <w:rPr>
          <w:rFonts w:ascii="Arial" w:hAnsi="Arial" w:cs="Arial"/>
          <w:sz w:val="22"/>
          <w:szCs w:val="22"/>
        </w:rPr>
      </w:pPr>
      <w:r w:rsidRPr="00D21107">
        <w:rPr>
          <w:rFonts w:ascii="Arial" w:hAnsi="Arial" w:cs="Arial"/>
          <w:sz w:val="22"/>
          <w:szCs w:val="22"/>
        </w:rPr>
        <w:t>UK laws, policies, and legislation shape how person-centred care</w:t>
      </w:r>
      <w:r w:rsidR="00F932E6" w:rsidRPr="00D21107">
        <w:rPr>
          <w:rFonts w:ascii="Arial" w:hAnsi="Arial" w:cs="Arial"/>
          <w:sz w:val="22"/>
          <w:szCs w:val="22"/>
        </w:rPr>
        <w:t xml:space="preserve"> </w:t>
      </w:r>
      <w:r w:rsidRPr="00D21107">
        <w:rPr>
          <w:rFonts w:ascii="Arial" w:hAnsi="Arial" w:cs="Arial"/>
          <w:sz w:val="22"/>
          <w:szCs w:val="22"/>
        </w:rPr>
        <w:t>and partnership working</w:t>
      </w:r>
      <w:r w:rsidR="00F932E6" w:rsidRPr="00D21107">
        <w:rPr>
          <w:rFonts w:ascii="Arial" w:hAnsi="Arial" w:cs="Arial"/>
          <w:sz w:val="22"/>
          <w:szCs w:val="22"/>
        </w:rPr>
        <w:t xml:space="preserve"> </w:t>
      </w:r>
      <w:r w:rsidRPr="00D21107">
        <w:rPr>
          <w:rFonts w:ascii="Arial" w:hAnsi="Arial" w:cs="Arial"/>
          <w:sz w:val="22"/>
          <w:szCs w:val="22"/>
        </w:rPr>
        <w:t xml:space="preserve">are delivered in community </w:t>
      </w:r>
      <w:r w:rsidR="00FD02F9" w:rsidRPr="00D21107">
        <w:rPr>
          <w:rFonts w:ascii="Arial" w:hAnsi="Arial" w:cs="Arial"/>
          <w:sz w:val="22"/>
          <w:szCs w:val="22"/>
        </w:rPr>
        <w:t>care. The</w:t>
      </w:r>
      <w:r w:rsidRPr="00D21107">
        <w:rPr>
          <w:rFonts w:ascii="Arial" w:hAnsi="Arial" w:cs="Arial"/>
          <w:sz w:val="22"/>
          <w:szCs w:val="22"/>
        </w:rPr>
        <w:t xml:space="preserve"> Health and Care Act 2022 established Integrated Care Systems (ICSs), replacing competition with collaboration as the main way services are organised (Department of Health and Social Care, 2022). In practice, this supports shared care plans between GPs, community nurses, and social workers for people with multiple long-term conditions. However, staff shortages still limit how well this works in some </w:t>
      </w:r>
      <w:r w:rsidR="008E1F2C" w:rsidRPr="00D21107">
        <w:rPr>
          <w:rFonts w:ascii="Arial" w:hAnsi="Arial" w:cs="Arial"/>
          <w:sz w:val="22"/>
          <w:szCs w:val="22"/>
        </w:rPr>
        <w:t>areas. The</w:t>
      </w:r>
      <w:r w:rsidRPr="00D21107">
        <w:rPr>
          <w:rFonts w:ascii="Arial" w:hAnsi="Arial" w:cs="Arial"/>
          <w:sz w:val="22"/>
          <w:szCs w:val="22"/>
        </w:rPr>
        <w:t xml:space="preserve"> Care Act 2014 places a person's wellbeing at the centre of adult social care. It requires councils to involve people and the</w:t>
      </w:r>
      <w:r w:rsidR="00C80CDE" w:rsidRPr="00D21107">
        <w:rPr>
          <w:rFonts w:ascii="Arial" w:hAnsi="Arial" w:cs="Arial"/>
          <w:sz w:val="22"/>
          <w:szCs w:val="22"/>
        </w:rPr>
        <w:t>ir</w:t>
      </w:r>
      <w:r w:rsidRPr="00D21107">
        <w:rPr>
          <w:rFonts w:ascii="Arial" w:hAnsi="Arial" w:cs="Arial"/>
          <w:sz w:val="22"/>
          <w:szCs w:val="22"/>
        </w:rPr>
        <w:t xml:space="preserve"> </w:t>
      </w:r>
      <w:proofErr w:type="spellStart"/>
      <w:r w:rsidR="006A1EE1" w:rsidRPr="00D21107">
        <w:rPr>
          <w:rFonts w:ascii="Arial" w:hAnsi="Arial" w:cs="Arial"/>
          <w:sz w:val="22"/>
          <w:szCs w:val="22"/>
        </w:rPr>
        <w:t>carers</w:t>
      </w:r>
      <w:proofErr w:type="spellEnd"/>
      <w:r w:rsidRPr="00D21107">
        <w:rPr>
          <w:rFonts w:ascii="Arial" w:hAnsi="Arial" w:cs="Arial"/>
          <w:sz w:val="22"/>
          <w:szCs w:val="22"/>
        </w:rPr>
        <w:t xml:space="preserve"> in decisions and gives unpaid carers the right to their own assessment (Department of Health, 2014).</w:t>
      </w:r>
    </w:p>
    <w:p w14:paraId="682BABBB" w14:textId="747670C7" w:rsidR="00207235" w:rsidRPr="00D21107" w:rsidRDefault="00207235" w:rsidP="00D21107">
      <w:pPr>
        <w:spacing w:line="360" w:lineRule="auto"/>
        <w:rPr>
          <w:rFonts w:ascii="Arial" w:hAnsi="Arial" w:cs="Arial"/>
          <w:sz w:val="22"/>
          <w:szCs w:val="22"/>
        </w:rPr>
      </w:pPr>
      <w:r w:rsidRPr="00D21107">
        <w:rPr>
          <w:rFonts w:ascii="Arial" w:hAnsi="Arial" w:cs="Arial"/>
          <w:sz w:val="22"/>
          <w:szCs w:val="22"/>
        </w:rPr>
        <w:t xml:space="preserve"> In community care, assessments should consider emotional wellbeing and social life, not just physical health. However, rising demand can delay access to </w:t>
      </w:r>
      <w:r w:rsidR="009738DF" w:rsidRPr="00D21107">
        <w:rPr>
          <w:rFonts w:ascii="Arial" w:hAnsi="Arial" w:cs="Arial"/>
          <w:sz w:val="22"/>
          <w:szCs w:val="22"/>
        </w:rPr>
        <w:t>support. The</w:t>
      </w:r>
      <w:r w:rsidRPr="00D21107">
        <w:rPr>
          <w:rFonts w:ascii="Arial" w:hAnsi="Arial" w:cs="Arial"/>
          <w:sz w:val="22"/>
          <w:szCs w:val="22"/>
        </w:rPr>
        <w:t xml:space="preserve"> Health and Social Care Act 2012 aimed to improve patient choice and joined-up care but was criticised for increasing competition between providers. The Health and Care Act 2022 addressed this </w:t>
      </w:r>
      <w:r w:rsidRPr="00D21107">
        <w:rPr>
          <w:rFonts w:ascii="Arial" w:hAnsi="Arial" w:cs="Arial"/>
          <w:sz w:val="22"/>
          <w:szCs w:val="22"/>
        </w:rPr>
        <w:lastRenderedPageBreak/>
        <w:t>by focusing on collaboration instead. This explains why some services are still adapting from working independently to working together.</w:t>
      </w:r>
    </w:p>
    <w:p w14:paraId="6E681792" w14:textId="13508136" w:rsidR="00207235" w:rsidRPr="00D21107" w:rsidRDefault="00F90780" w:rsidP="00D21107">
      <w:pPr>
        <w:spacing w:line="360" w:lineRule="auto"/>
        <w:rPr>
          <w:rFonts w:ascii="Arial" w:hAnsi="Arial" w:cs="Arial"/>
          <w:sz w:val="22"/>
          <w:szCs w:val="22"/>
        </w:rPr>
      </w:pPr>
      <w:r w:rsidRPr="00D21107">
        <w:rPr>
          <w:rFonts w:ascii="Arial" w:hAnsi="Arial" w:cs="Arial"/>
          <w:sz w:val="22"/>
          <w:szCs w:val="22"/>
        </w:rPr>
        <w:t>The Equality Act 2010</w:t>
      </w:r>
      <w:r w:rsidR="00207235" w:rsidRPr="00D21107">
        <w:rPr>
          <w:rFonts w:ascii="Arial" w:hAnsi="Arial" w:cs="Arial"/>
          <w:sz w:val="22"/>
          <w:szCs w:val="22"/>
        </w:rPr>
        <w:t xml:space="preserve"> requires community services to provide equal access and prevent discrimination. This may include using interpreters or providing culturally appropriate care. Despite this, inequalities in access still exist.</w:t>
      </w:r>
    </w:p>
    <w:p w14:paraId="5BFF6454" w14:textId="623ABAFB" w:rsidR="00207235" w:rsidRPr="00D21107" w:rsidRDefault="00F90780" w:rsidP="00D21107">
      <w:pPr>
        <w:spacing w:line="360" w:lineRule="auto"/>
        <w:rPr>
          <w:rFonts w:ascii="Arial" w:hAnsi="Arial" w:cs="Arial"/>
          <w:sz w:val="22"/>
          <w:szCs w:val="22"/>
        </w:rPr>
      </w:pPr>
      <w:r w:rsidRPr="00D21107">
        <w:rPr>
          <w:rFonts w:ascii="Arial" w:hAnsi="Arial" w:cs="Arial"/>
          <w:sz w:val="22"/>
          <w:szCs w:val="22"/>
        </w:rPr>
        <w:t>The Human Rights Act 1998</w:t>
      </w:r>
      <w:r w:rsidR="00207235" w:rsidRPr="00D21107">
        <w:rPr>
          <w:rFonts w:ascii="Arial" w:hAnsi="Arial" w:cs="Arial"/>
          <w:sz w:val="22"/>
          <w:szCs w:val="22"/>
        </w:rPr>
        <w:t xml:space="preserve"> promotes dignity and choice by requiring staff to balance a person's right to private and family life with the duty to keep them safe. For example, staff may need to support someone who wishes to remain at home despite safety </w:t>
      </w:r>
      <w:r w:rsidR="00614455" w:rsidRPr="00D21107">
        <w:rPr>
          <w:rFonts w:ascii="Arial" w:hAnsi="Arial" w:cs="Arial"/>
          <w:sz w:val="22"/>
          <w:szCs w:val="22"/>
        </w:rPr>
        <w:t>concerns. Overall</w:t>
      </w:r>
      <w:r w:rsidR="00207235" w:rsidRPr="00D21107">
        <w:rPr>
          <w:rFonts w:ascii="Arial" w:hAnsi="Arial" w:cs="Arial"/>
          <w:sz w:val="22"/>
          <w:szCs w:val="22"/>
        </w:rPr>
        <w:t>, these laws provide a strong framework for person-centred care and partnership working. However, their success still depends on adequate funding, enough staff, and consistent implementation across different areas.</w:t>
      </w:r>
    </w:p>
    <w:p w14:paraId="548A2527" w14:textId="77777777" w:rsidR="003F7039"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Recommendations</w:t>
      </w:r>
    </w:p>
    <w:p w14:paraId="654026C0" w14:textId="77777777" w:rsidR="00335A27" w:rsidRDefault="00335A27" w:rsidP="00335A27">
      <w:pPr>
        <w:spacing w:line="360" w:lineRule="auto"/>
        <w:rPr>
          <w:rFonts w:ascii="Arial" w:hAnsi="Arial" w:cs="Arial"/>
          <w:sz w:val="22"/>
          <w:szCs w:val="22"/>
        </w:rPr>
      </w:pPr>
      <w:r w:rsidRPr="00335A27">
        <w:rPr>
          <w:rFonts w:ascii="Arial" w:hAnsi="Arial" w:cs="Arial"/>
          <w:sz w:val="22"/>
          <w:szCs w:val="22"/>
        </w:rPr>
        <w:t>Community care home would benefit from shared digital health records that GPs, nurses, and social workers can access. This would reduce repeated assessments and support more joined-up, person-centred care. This requires investment in technology, staff training, and strong data protection to keep service users safe.</w:t>
      </w:r>
    </w:p>
    <w:p w14:paraId="0CA0A872" w14:textId="7CBC726A" w:rsidR="00AA1B7E" w:rsidRPr="007906C7" w:rsidRDefault="00FD12CB" w:rsidP="007906C7">
      <w:pPr>
        <w:spacing w:line="360" w:lineRule="auto"/>
        <w:rPr>
          <w:rFonts w:ascii="Arial" w:hAnsi="Arial" w:cs="Arial"/>
          <w:sz w:val="22"/>
          <w:szCs w:val="22"/>
        </w:rPr>
      </w:pPr>
      <w:r w:rsidRPr="00FD12CB">
        <w:rPr>
          <w:rFonts w:ascii="Arial" w:hAnsi="Arial" w:cs="Arial"/>
          <w:sz w:val="22"/>
          <w:szCs w:val="22"/>
        </w:rPr>
        <w:t xml:space="preserve">Training in communication, cultural awareness, and ethical decision-making would help staff involve people more in care decisions. Addressing staff shortages and improving time management would also improve care quality. Finally, closer partnership working between the NHS, councils, social care, </w:t>
      </w:r>
      <w:r w:rsidR="005C57D7">
        <w:rPr>
          <w:rFonts w:ascii="Arial" w:hAnsi="Arial" w:cs="Arial"/>
          <w:sz w:val="22"/>
          <w:szCs w:val="22"/>
        </w:rPr>
        <w:t>family,</w:t>
      </w:r>
      <w:r w:rsidR="005C57D7" w:rsidRPr="00FD12CB">
        <w:rPr>
          <w:rFonts w:ascii="Arial" w:hAnsi="Arial" w:cs="Arial"/>
          <w:sz w:val="22"/>
          <w:szCs w:val="22"/>
        </w:rPr>
        <w:t xml:space="preserve"> and</w:t>
      </w:r>
      <w:r w:rsidRPr="00FD12CB">
        <w:rPr>
          <w:rFonts w:ascii="Arial" w:hAnsi="Arial" w:cs="Arial"/>
          <w:sz w:val="22"/>
          <w:szCs w:val="22"/>
        </w:rPr>
        <w:t xml:space="preserve"> community care organisations is needed to tackle issues such as mental wellbeing support and medical care, as well as emotional support to reduce loneliness. The government needs to prioritise funding arrangements to avoid slow progress in the care needed. Having strong leadership and clear planning is essential to improve community care outcomes (Social Work England, 2020).</w:t>
      </w:r>
    </w:p>
    <w:p w14:paraId="33603605" w14:textId="77777777" w:rsidR="003F7039" w:rsidRPr="00D21107" w:rsidRDefault="003F7039" w:rsidP="00D21107">
      <w:pPr>
        <w:pStyle w:val="Heading1"/>
        <w:spacing w:before="300" w:after="150" w:line="360" w:lineRule="auto"/>
        <w:jc w:val="both"/>
        <w:rPr>
          <w:rFonts w:ascii="Arial" w:hAnsi="Arial" w:cs="Arial"/>
          <w:sz w:val="22"/>
          <w:szCs w:val="22"/>
        </w:rPr>
      </w:pPr>
      <w:r w:rsidRPr="00D21107">
        <w:rPr>
          <w:rFonts w:ascii="Arial" w:hAnsi="Arial" w:cs="Arial"/>
          <w:sz w:val="22"/>
          <w:szCs w:val="22"/>
        </w:rPr>
        <w:t>Conclusion</w:t>
      </w:r>
    </w:p>
    <w:p w14:paraId="5D418C0E" w14:textId="19FDA407" w:rsidR="0014534E" w:rsidRPr="00D21107" w:rsidRDefault="00D937E2" w:rsidP="00D21107">
      <w:pPr>
        <w:spacing w:line="360" w:lineRule="auto"/>
        <w:rPr>
          <w:rFonts w:ascii="Arial" w:hAnsi="Arial" w:cs="Arial"/>
          <w:sz w:val="22"/>
          <w:szCs w:val="22"/>
        </w:rPr>
      </w:pPr>
      <w:r w:rsidRPr="00D21107">
        <w:rPr>
          <w:rFonts w:ascii="Arial" w:hAnsi="Arial" w:cs="Arial"/>
          <w:sz w:val="22"/>
          <w:szCs w:val="22"/>
        </w:rPr>
        <w:t xml:space="preserve">This report has looked closely at person-centred care and partnership working in community care in health and social care. It has shown that PCC puts the person at the centre of decisions, while PW helps professionals work together to give joined-up, whole-person care. Using the example of a community care home with people living in the community who have long-term conditions, the report has covered the theories and ethics behind good practice, along with key laws such as the Health and Care Act 2022 and the Care Act 2014. Even with real progress, staff shortages, funding problems, and poor communication still limit how consistently these ideas are put into practice. Better digital tools, stronger staff training, and </w:t>
      </w:r>
      <w:r w:rsidRPr="00D21107">
        <w:rPr>
          <w:rFonts w:ascii="Arial" w:hAnsi="Arial" w:cs="Arial"/>
          <w:sz w:val="22"/>
          <w:szCs w:val="22"/>
        </w:rPr>
        <w:lastRenderedPageBreak/>
        <w:t>closer teamwork between services, as recommended, will be needed to keep PCC and PW at the centre of good, fair community care</w:t>
      </w:r>
      <w:r w:rsidR="00CE5F10" w:rsidRPr="00D21107">
        <w:rPr>
          <w:rFonts w:ascii="Arial" w:hAnsi="Arial" w:cs="Arial"/>
          <w:sz w:val="22"/>
          <w:szCs w:val="22"/>
        </w:rPr>
        <w:t xml:space="preserve"> home</w:t>
      </w:r>
      <w:r w:rsidR="00E74718" w:rsidRPr="00D21107">
        <w:rPr>
          <w:rFonts w:ascii="Arial" w:hAnsi="Arial" w:cs="Arial"/>
          <w:sz w:val="22"/>
          <w:szCs w:val="22"/>
        </w:rPr>
        <w:t>.</w:t>
      </w:r>
    </w:p>
    <w:p w14:paraId="3A799375" w14:textId="77777777" w:rsidR="0014534E" w:rsidRPr="00D21107" w:rsidRDefault="0014534E" w:rsidP="00D21107">
      <w:pPr>
        <w:spacing w:line="360" w:lineRule="auto"/>
        <w:rPr>
          <w:rFonts w:ascii="Arial" w:hAnsi="Arial" w:cs="Arial"/>
          <w:sz w:val="22"/>
          <w:szCs w:val="22"/>
        </w:rPr>
      </w:pPr>
    </w:p>
    <w:p w14:paraId="4E587DE3" w14:textId="388E520B" w:rsidR="0014534E" w:rsidRPr="00D21107" w:rsidRDefault="003F7039" w:rsidP="00D21107">
      <w:pPr>
        <w:pStyle w:val="Heading1"/>
        <w:spacing w:before="300" w:after="150" w:line="360" w:lineRule="auto"/>
        <w:rPr>
          <w:rFonts w:ascii="Arial" w:hAnsi="Arial" w:cs="Arial"/>
          <w:sz w:val="22"/>
          <w:szCs w:val="22"/>
        </w:rPr>
      </w:pPr>
      <w:r w:rsidRPr="00D21107">
        <w:rPr>
          <w:rFonts w:ascii="Arial" w:hAnsi="Arial" w:cs="Arial"/>
          <w:sz w:val="22"/>
          <w:szCs w:val="22"/>
        </w:rPr>
        <w:t>References</w:t>
      </w:r>
      <w:r w:rsidR="0014534E" w:rsidRPr="00D21107">
        <w:rPr>
          <w:rFonts w:ascii="Arial" w:hAnsi="Arial" w:cs="Arial"/>
          <w:vanish/>
          <w:sz w:val="22"/>
          <w:szCs w:val="22"/>
        </w:rPr>
        <w:t>Top of FormBottom of Form</w:t>
      </w:r>
    </w:p>
    <w:p w14:paraId="33E253D1"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Beauchamp, T.L. and Childress, J.F. (2019) </w:t>
      </w:r>
      <w:r w:rsidRPr="00D21107">
        <w:rPr>
          <w:rFonts w:ascii="Arial" w:hAnsi="Arial" w:cs="Arial"/>
          <w:i/>
          <w:iCs/>
          <w:sz w:val="22"/>
          <w:szCs w:val="22"/>
        </w:rPr>
        <w:t>Principles of Biomedical Ethics</w:t>
      </w:r>
      <w:r w:rsidRPr="00D21107">
        <w:rPr>
          <w:rFonts w:ascii="Arial" w:hAnsi="Arial" w:cs="Arial"/>
          <w:sz w:val="22"/>
          <w:szCs w:val="22"/>
        </w:rPr>
        <w:t xml:space="preserve">. 8th </w:t>
      </w:r>
      <w:proofErr w:type="spellStart"/>
      <w:r w:rsidRPr="00D21107">
        <w:rPr>
          <w:rFonts w:ascii="Arial" w:hAnsi="Arial" w:cs="Arial"/>
          <w:sz w:val="22"/>
          <w:szCs w:val="22"/>
        </w:rPr>
        <w:t>edn</w:t>
      </w:r>
      <w:proofErr w:type="spellEnd"/>
      <w:r w:rsidRPr="00D21107">
        <w:rPr>
          <w:rFonts w:ascii="Arial" w:hAnsi="Arial" w:cs="Arial"/>
          <w:sz w:val="22"/>
          <w:szCs w:val="22"/>
        </w:rPr>
        <w:t xml:space="preserve">. New York: Oxford University Press. Available at: </w:t>
      </w:r>
      <w:hyperlink r:id="rId8" w:tgtFrame="_new" w:history="1">
        <w:r w:rsidRPr="00D21107">
          <w:rPr>
            <w:rStyle w:val="Hyperlink"/>
            <w:rFonts w:ascii="Arial" w:hAnsi="Arial" w:cs="Arial"/>
            <w:sz w:val="22"/>
            <w:szCs w:val="22"/>
          </w:rPr>
          <w:t>https://global.oup.com/academic/product/principles-of-biomedical-ethics-9780190640873</w:t>
        </w:r>
      </w:hyperlink>
      <w:r w:rsidRPr="00D21107">
        <w:rPr>
          <w:rFonts w:ascii="Arial" w:hAnsi="Arial" w:cs="Arial"/>
          <w:sz w:val="22"/>
          <w:szCs w:val="22"/>
        </w:rPr>
        <w:t xml:space="preserve"> (Accessed: 1 July 2026).</w:t>
      </w:r>
    </w:p>
    <w:p w14:paraId="0CB6576A"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Care Act 2014. London: The Stationery Office. Available at: </w:t>
      </w:r>
      <w:hyperlink r:id="rId9" w:tgtFrame="_new" w:history="1">
        <w:r w:rsidRPr="00D21107">
          <w:rPr>
            <w:rStyle w:val="Hyperlink"/>
            <w:rFonts w:ascii="Arial" w:hAnsi="Arial" w:cs="Arial"/>
            <w:sz w:val="22"/>
            <w:szCs w:val="22"/>
          </w:rPr>
          <w:t>https://www.legislation.gov.uk/ukpga/2014/23/contents</w:t>
        </w:r>
      </w:hyperlink>
      <w:r w:rsidRPr="00D21107">
        <w:rPr>
          <w:rFonts w:ascii="Arial" w:hAnsi="Arial" w:cs="Arial"/>
          <w:sz w:val="22"/>
          <w:szCs w:val="22"/>
        </w:rPr>
        <w:t xml:space="preserve"> (Accessed: 9 July 2026).</w:t>
      </w:r>
    </w:p>
    <w:p w14:paraId="4A4432DB"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Care Quality Commission (2023) </w:t>
      </w:r>
      <w:r w:rsidRPr="00D21107">
        <w:rPr>
          <w:rFonts w:ascii="Arial" w:hAnsi="Arial" w:cs="Arial"/>
          <w:i/>
          <w:iCs/>
          <w:sz w:val="22"/>
          <w:szCs w:val="22"/>
        </w:rPr>
        <w:t>The state of health care and adult social care in England 2022/23</w:t>
      </w:r>
      <w:r w:rsidRPr="00D21107">
        <w:rPr>
          <w:rFonts w:ascii="Arial" w:hAnsi="Arial" w:cs="Arial"/>
          <w:sz w:val="22"/>
          <w:szCs w:val="22"/>
        </w:rPr>
        <w:t xml:space="preserve">. Newcastle upon Tyne: Care Quality Commission. Available at: </w:t>
      </w:r>
      <w:hyperlink r:id="rId10" w:tgtFrame="_new" w:history="1">
        <w:r w:rsidRPr="00D21107">
          <w:rPr>
            <w:rStyle w:val="Hyperlink"/>
            <w:rFonts w:ascii="Arial" w:hAnsi="Arial" w:cs="Arial"/>
            <w:sz w:val="22"/>
            <w:szCs w:val="22"/>
          </w:rPr>
          <w:t>https://www.cqc.org.uk</w:t>
        </w:r>
      </w:hyperlink>
      <w:r w:rsidRPr="00D21107">
        <w:rPr>
          <w:rFonts w:ascii="Arial" w:hAnsi="Arial" w:cs="Arial"/>
          <w:sz w:val="22"/>
          <w:szCs w:val="22"/>
        </w:rPr>
        <w:t xml:space="preserve"> (Accessed: 16 July 2026).</w:t>
      </w:r>
    </w:p>
    <w:p w14:paraId="355FE1FD"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Care Quality Commission (n.d.) </w:t>
      </w:r>
      <w:r w:rsidRPr="00D21107">
        <w:rPr>
          <w:rFonts w:ascii="Arial" w:hAnsi="Arial" w:cs="Arial"/>
          <w:i/>
          <w:iCs/>
          <w:sz w:val="22"/>
          <w:szCs w:val="22"/>
        </w:rPr>
        <w:t>Our partnerships with other organisations</w:t>
      </w:r>
      <w:r w:rsidRPr="00D21107">
        <w:rPr>
          <w:rFonts w:ascii="Arial" w:hAnsi="Arial" w:cs="Arial"/>
          <w:sz w:val="22"/>
          <w:szCs w:val="22"/>
        </w:rPr>
        <w:t xml:space="preserve">. Available at: </w:t>
      </w:r>
      <w:hyperlink r:id="rId11" w:tgtFrame="_new" w:history="1">
        <w:r w:rsidRPr="00D21107">
          <w:rPr>
            <w:rStyle w:val="Hyperlink"/>
            <w:rFonts w:ascii="Arial" w:hAnsi="Arial" w:cs="Arial"/>
            <w:sz w:val="22"/>
            <w:szCs w:val="22"/>
          </w:rPr>
          <w:t>https://www.cqc.org.uk/about-us/our-partnerships</w:t>
        </w:r>
      </w:hyperlink>
      <w:r w:rsidRPr="00D21107">
        <w:rPr>
          <w:rFonts w:ascii="Arial" w:hAnsi="Arial" w:cs="Arial"/>
          <w:sz w:val="22"/>
          <w:szCs w:val="22"/>
        </w:rPr>
        <w:t xml:space="preserve"> (Accessed: 14 July 2026).</w:t>
      </w:r>
    </w:p>
    <w:p w14:paraId="3A6D6600"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Department of Health and Social Care (2018) </w:t>
      </w:r>
      <w:r w:rsidRPr="00D21107">
        <w:rPr>
          <w:rFonts w:ascii="Arial" w:hAnsi="Arial" w:cs="Arial"/>
          <w:i/>
          <w:iCs/>
          <w:sz w:val="22"/>
          <w:szCs w:val="22"/>
        </w:rPr>
        <w:t>Care and Support Statutory Guidance: Issued under the Care Act 2014</w:t>
      </w:r>
      <w:r w:rsidRPr="00D21107">
        <w:rPr>
          <w:rFonts w:ascii="Arial" w:hAnsi="Arial" w:cs="Arial"/>
          <w:sz w:val="22"/>
          <w:szCs w:val="22"/>
        </w:rPr>
        <w:t xml:space="preserve">. Available at: </w:t>
      </w:r>
      <w:hyperlink r:id="rId12" w:tgtFrame="_new" w:history="1">
        <w:r w:rsidRPr="00D21107">
          <w:rPr>
            <w:rStyle w:val="Hyperlink"/>
            <w:rFonts w:ascii="Arial" w:hAnsi="Arial" w:cs="Arial"/>
            <w:sz w:val="22"/>
            <w:szCs w:val="22"/>
          </w:rPr>
          <w:t>https://www.gov.uk/government/publications/care-act-statutory-guidance</w:t>
        </w:r>
      </w:hyperlink>
      <w:r w:rsidRPr="00D21107">
        <w:rPr>
          <w:rFonts w:ascii="Arial" w:hAnsi="Arial" w:cs="Arial"/>
          <w:sz w:val="22"/>
          <w:szCs w:val="22"/>
        </w:rPr>
        <w:t xml:space="preserve"> (Accessed: 16 July 2026).</w:t>
      </w:r>
    </w:p>
    <w:p w14:paraId="11EEE598"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Equality Act 2010. London: The Stationery Office. Available at: </w:t>
      </w:r>
      <w:hyperlink r:id="rId13" w:tgtFrame="_new" w:history="1">
        <w:r w:rsidRPr="00D21107">
          <w:rPr>
            <w:rStyle w:val="Hyperlink"/>
            <w:rFonts w:ascii="Arial" w:hAnsi="Arial" w:cs="Arial"/>
            <w:sz w:val="22"/>
            <w:szCs w:val="22"/>
          </w:rPr>
          <w:t>https://www.legislation.gov.uk/ukpga/2010/15/contents</w:t>
        </w:r>
      </w:hyperlink>
      <w:r w:rsidRPr="00D21107">
        <w:rPr>
          <w:rFonts w:ascii="Arial" w:hAnsi="Arial" w:cs="Arial"/>
          <w:sz w:val="22"/>
          <w:szCs w:val="22"/>
        </w:rPr>
        <w:t xml:space="preserve"> (Accessed: 16 July 2026).</w:t>
      </w:r>
    </w:p>
    <w:p w14:paraId="14EAB8A9"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Glasby, J. and Dickinson, H. (2021) </w:t>
      </w:r>
      <w:r w:rsidRPr="00D21107">
        <w:rPr>
          <w:rFonts w:ascii="Arial" w:hAnsi="Arial" w:cs="Arial"/>
          <w:i/>
          <w:iCs/>
          <w:sz w:val="22"/>
          <w:szCs w:val="22"/>
        </w:rPr>
        <w:t>Partnership Working in Health and Social Care</w:t>
      </w:r>
      <w:r w:rsidRPr="00D21107">
        <w:rPr>
          <w:rFonts w:ascii="Arial" w:hAnsi="Arial" w:cs="Arial"/>
          <w:sz w:val="22"/>
          <w:szCs w:val="22"/>
        </w:rPr>
        <w:t xml:space="preserve">. 3rd </w:t>
      </w:r>
      <w:proofErr w:type="spellStart"/>
      <w:r w:rsidRPr="00D21107">
        <w:rPr>
          <w:rFonts w:ascii="Arial" w:hAnsi="Arial" w:cs="Arial"/>
          <w:sz w:val="22"/>
          <w:szCs w:val="22"/>
        </w:rPr>
        <w:t>edn</w:t>
      </w:r>
      <w:proofErr w:type="spellEnd"/>
      <w:r w:rsidRPr="00D21107">
        <w:rPr>
          <w:rFonts w:ascii="Arial" w:hAnsi="Arial" w:cs="Arial"/>
          <w:sz w:val="22"/>
          <w:szCs w:val="22"/>
        </w:rPr>
        <w:t xml:space="preserve">. Bristol: Policy Press. Available at: </w:t>
      </w:r>
      <w:hyperlink r:id="rId14" w:tgtFrame="_new" w:history="1">
        <w:r w:rsidRPr="00D21107">
          <w:rPr>
            <w:rStyle w:val="Hyperlink"/>
            <w:rFonts w:ascii="Arial" w:hAnsi="Arial" w:cs="Arial"/>
            <w:sz w:val="22"/>
            <w:szCs w:val="22"/>
          </w:rPr>
          <w:t>https://policy.bristoluniversitypress.co.uk/partnership-working-in-health-and-social-care-2</w:t>
        </w:r>
      </w:hyperlink>
      <w:r w:rsidRPr="00D21107">
        <w:rPr>
          <w:rFonts w:ascii="Arial" w:hAnsi="Arial" w:cs="Arial"/>
          <w:sz w:val="22"/>
          <w:szCs w:val="22"/>
        </w:rPr>
        <w:t xml:space="preserve"> (Accessed: 16 July 2026).</w:t>
      </w:r>
    </w:p>
    <w:p w14:paraId="0BBAE6F7"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Health and Care Act 2022. London: The Stationery Office. Available at: </w:t>
      </w:r>
      <w:hyperlink r:id="rId15" w:tgtFrame="_new" w:history="1">
        <w:r w:rsidRPr="00D21107">
          <w:rPr>
            <w:rStyle w:val="Hyperlink"/>
            <w:rFonts w:ascii="Arial" w:hAnsi="Arial" w:cs="Arial"/>
            <w:sz w:val="22"/>
            <w:szCs w:val="22"/>
          </w:rPr>
          <w:t>https://www.legislation.gov.uk/ukpga/2022/31/contents</w:t>
        </w:r>
      </w:hyperlink>
      <w:r w:rsidRPr="00D21107">
        <w:rPr>
          <w:rFonts w:ascii="Arial" w:hAnsi="Arial" w:cs="Arial"/>
          <w:sz w:val="22"/>
          <w:szCs w:val="22"/>
        </w:rPr>
        <w:t xml:space="preserve"> (Accessed: 10 July 2026).</w:t>
      </w:r>
    </w:p>
    <w:p w14:paraId="1C3B54B8"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Health and Social Care Act 2012. London: The Stationery Office. Available at: </w:t>
      </w:r>
      <w:hyperlink r:id="rId16" w:tgtFrame="_new" w:history="1">
        <w:r w:rsidRPr="00D21107">
          <w:rPr>
            <w:rStyle w:val="Hyperlink"/>
            <w:rFonts w:ascii="Arial" w:hAnsi="Arial" w:cs="Arial"/>
            <w:sz w:val="22"/>
            <w:szCs w:val="22"/>
          </w:rPr>
          <w:t>https://www.legislation.gov.uk/ukpga/2012/7/contents</w:t>
        </w:r>
      </w:hyperlink>
      <w:r w:rsidRPr="00D21107">
        <w:rPr>
          <w:rFonts w:ascii="Arial" w:hAnsi="Arial" w:cs="Arial"/>
          <w:sz w:val="22"/>
          <w:szCs w:val="22"/>
        </w:rPr>
        <w:t xml:space="preserve"> (Accessed: 12 July 2026).</w:t>
      </w:r>
    </w:p>
    <w:p w14:paraId="2B2DD928"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Human Rights Act 1998. London: The Stationery Office. Available at: </w:t>
      </w:r>
      <w:hyperlink r:id="rId17" w:tgtFrame="_new" w:history="1">
        <w:r w:rsidRPr="00D21107">
          <w:rPr>
            <w:rStyle w:val="Hyperlink"/>
            <w:rFonts w:ascii="Arial" w:hAnsi="Arial" w:cs="Arial"/>
            <w:sz w:val="22"/>
            <w:szCs w:val="22"/>
          </w:rPr>
          <w:t>https://www.legislation.gov.uk/ukpga/1998/42/contents</w:t>
        </w:r>
      </w:hyperlink>
      <w:r w:rsidRPr="00D21107">
        <w:rPr>
          <w:rFonts w:ascii="Arial" w:hAnsi="Arial" w:cs="Arial"/>
          <w:sz w:val="22"/>
          <w:szCs w:val="22"/>
        </w:rPr>
        <w:t xml:space="preserve"> (Accessed: 8 July 2026).</w:t>
      </w:r>
    </w:p>
    <w:p w14:paraId="18F0A3DB"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Maslow, A.H. (1943) 'A theory of human motivation', </w:t>
      </w:r>
      <w:r w:rsidRPr="00D21107">
        <w:rPr>
          <w:rFonts w:ascii="Arial" w:hAnsi="Arial" w:cs="Arial"/>
          <w:i/>
          <w:iCs/>
          <w:sz w:val="22"/>
          <w:szCs w:val="22"/>
        </w:rPr>
        <w:t>Psychological Review</w:t>
      </w:r>
      <w:r w:rsidRPr="00D21107">
        <w:rPr>
          <w:rFonts w:ascii="Arial" w:hAnsi="Arial" w:cs="Arial"/>
          <w:sz w:val="22"/>
          <w:szCs w:val="22"/>
        </w:rPr>
        <w:t xml:space="preserve">, 50(4), pp. 370–396. Available at: </w:t>
      </w:r>
      <w:hyperlink r:id="rId18" w:tgtFrame="_new" w:history="1">
        <w:r w:rsidRPr="00D21107">
          <w:rPr>
            <w:rStyle w:val="Hyperlink"/>
            <w:rFonts w:ascii="Arial" w:hAnsi="Arial" w:cs="Arial"/>
            <w:sz w:val="22"/>
            <w:szCs w:val="22"/>
          </w:rPr>
          <w:t>https://doi.org/10.1037/h0054346</w:t>
        </w:r>
      </w:hyperlink>
      <w:r w:rsidRPr="00D21107">
        <w:rPr>
          <w:rFonts w:ascii="Arial" w:hAnsi="Arial" w:cs="Arial"/>
          <w:sz w:val="22"/>
          <w:szCs w:val="22"/>
        </w:rPr>
        <w:t xml:space="preserve"> (Accessed: 16 July 2026).</w:t>
      </w:r>
    </w:p>
    <w:p w14:paraId="62CAD79B"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lastRenderedPageBreak/>
        <w:t xml:space="preserve">Mental Capacity Act 2005. London: The Stationery Office. Available at: </w:t>
      </w:r>
      <w:hyperlink r:id="rId19" w:tgtFrame="_new" w:history="1">
        <w:r w:rsidRPr="00D21107">
          <w:rPr>
            <w:rStyle w:val="Hyperlink"/>
            <w:rFonts w:ascii="Arial" w:hAnsi="Arial" w:cs="Arial"/>
            <w:sz w:val="22"/>
            <w:szCs w:val="22"/>
          </w:rPr>
          <w:t>https://www.legislation.gov.uk/ukpga/2005/9/contents</w:t>
        </w:r>
      </w:hyperlink>
      <w:r w:rsidRPr="00D21107">
        <w:rPr>
          <w:rFonts w:ascii="Arial" w:hAnsi="Arial" w:cs="Arial"/>
          <w:sz w:val="22"/>
          <w:szCs w:val="22"/>
        </w:rPr>
        <w:t xml:space="preserve"> (Accessed: 16 July 2026).</w:t>
      </w:r>
    </w:p>
    <w:p w14:paraId="1ABE475A"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National Institute for Health and Care Excellence (2022) </w:t>
      </w:r>
      <w:r w:rsidRPr="00D21107">
        <w:rPr>
          <w:rFonts w:ascii="Arial" w:hAnsi="Arial" w:cs="Arial"/>
          <w:i/>
          <w:iCs/>
          <w:sz w:val="22"/>
          <w:szCs w:val="22"/>
        </w:rPr>
        <w:t>People's experience in adult social care: Improving the experience of care and support (NG86)</w:t>
      </w:r>
      <w:r w:rsidRPr="00D21107">
        <w:rPr>
          <w:rFonts w:ascii="Arial" w:hAnsi="Arial" w:cs="Arial"/>
          <w:sz w:val="22"/>
          <w:szCs w:val="22"/>
        </w:rPr>
        <w:t xml:space="preserve">. London: NICE. Available at: </w:t>
      </w:r>
      <w:hyperlink r:id="rId20" w:tgtFrame="_new" w:history="1">
        <w:r w:rsidRPr="00D21107">
          <w:rPr>
            <w:rStyle w:val="Hyperlink"/>
            <w:rFonts w:ascii="Arial" w:hAnsi="Arial" w:cs="Arial"/>
            <w:sz w:val="22"/>
            <w:szCs w:val="22"/>
          </w:rPr>
          <w:t>https://www.nice.org.uk/guidance/ng86</w:t>
        </w:r>
      </w:hyperlink>
      <w:r w:rsidRPr="00D21107">
        <w:rPr>
          <w:rFonts w:ascii="Arial" w:hAnsi="Arial" w:cs="Arial"/>
          <w:sz w:val="22"/>
          <w:szCs w:val="22"/>
        </w:rPr>
        <w:t xml:space="preserve"> (Accessed: 11 July 2026).</w:t>
      </w:r>
    </w:p>
    <w:p w14:paraId="10C40CB5"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NHS England (2022) </w:t>
      </w:r>
      <w:r w:rsidRPr="00D21107">
        <w:rPr>
          <w:rFonts w:ascii="Arial" w:hAnsi="Arial" w:cs="Arial"/>
          <w:i/>
          <w:iCs/>
          <w:sz w:val="22"/>
          <w:szCs w:val="22"/>
        </w:rPr>
        <w:t>Integrated Care Systems: Design Framework</w:t>
      </w:r>
      <w:r w:rsidRPr="00D21107">
        <w:rPr>
          <w:rFonts w:ascii="Arial" w:hAnsi="Arial" w:cs="Arial"/>
          <w:sz w:val="22"/>
          <w:szCs w:val="22"/>
        </w:rPr>
        <w:t xml:space="preserve">. London: NHS England. Available at: </w:t>
      </w:r>
      <w:hyperlink r:id="rId21" w:tgtFrame="_new" w:history="1">
        <w:r w:rsidRPr="00D21107">
          <w:rPr>
            <w:rStyle w:val="Hyperlink"/>
            <w:rFonts w:ascii="Arial" w:hAnsi="Arial" w:cs="Arial"/>
            <w:sz w:val="22"/>
            <w:szCs w:val="22"/>
          </w:rPr>
          <w:t>https://www.england.nhs.uk/wp-content/uploads/2021/06/B0642-ics-design-framework-june-2021.pdf</w:t>
        </w:r>
      </w:hyperlink>
      <w:r w:rsidRPr="00D21107">
        <w:rPr>
          <w:rFonts w:ascii="Arial" w:hAnsi="Arial" w:cs="Arial"/>
          <w:sz w:val="22"/>
          <w:szCs w:val="22"/>
        </w:rPr>
        <w:t xml:space="preserve"> (Accessed:12July 2026).</w:t>
      </w:r>
    </w:p>
    <w:p w14:paraId="4C283A65"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NHS England (n.d.) </w:t>
      </w:r>
      <w:r w:rsidRPr="00D21107">
        <w:rPr>
          <w:rFonts w:ascii="Arial" w:hAnsi="Arial" w:cs="Arial"/>
          <w:i/>
          <w:iCs/>
          <w:sz w:val="22"/>
          <w:szCs w:val="22"/>
        </w:rPr>
        <w:t>Interoperability</w:t>
      </w:r>
      <w:r w:rsidRPr="00D21107">
        <w:rPr>
          <w:rFonts w:ascii="Arial" w:hAnsi="Arial" w:cs="Arial"/>
          <w:sz w:val="22"/>
          <w:szCs w:val="22"/>
        </w:rPr>
        <w:t xml:space="preserve">. Available at: </w:t>
      </w:r>
      <w:hyperlink r:id="rId22" w:tgtFrame="_new" w:history="1">
        <w:r w:rsidRPr="00D21107">
          <w:rPr>
            <w:rStyle w:val="Hyperlink"/>
            <w:rFonts w:ascii="Arial" w:hAnsi="Arial" w:cs="Arial"/>
            <w:sz w:val="22"/>
            <w:szCs w:val="22"/>
          </w:rPr>
          <w:t>https://www.england.nhs.uk/digitaltechnology/connecting-health-and-social-care/interoperability/</w:t>
        </w:r>
      </w:hyperlink>
      <w:r w:rsidRPr="00D21107">
        <w:rPr>
          <w:rFonts w:ascii="Arial" w:hAnsi="Arial" w:cs="Arial"/>
          <w:sz w:val="22"/>
          <w:szCs w:val="22"/>
        </w:rPr>
        <w:t xml:space="preserve"> (Accessed: 1 July 2026).</w:t>
      </w:r>
    </w:p>
    <w:p w14:paraId="3E5508D6"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Nursing and Midwifery Council (2018) </w:t>
      </w:r>
      <w:r w:rsidRPr="00D21107">
        <w:rPr>
          <w:rFonts w:ascii="Arial" w:hAnsi="Arial" w:cs="Arial"/>
          <w:i/>
          <w:iCs/>
          <w:sz w:val="22"/>
          <w:szCs w:val="22"/>
        </w:rPr>
        <w:t>The Code: Professional Standards of Practice and Behaviour for Nurses, Midwives and Nursing Associates</w:t>
      </w:r>
      <w:r w:rsidRPr="00D21107">
        <w:rPr>
          <w:rFonts w:ascii="Arial" w:hAnsi="Arial" w:cs="Arial"/>
          <w:sz w:val="22"/>
          <w:szCs w:val="22"/>
        </w:rPr>
        <w:t xml:space="preserve">. London: NMC. Available at: </w:t>
      </w:r>
      <w:hyperlink r:id="rId23" w:tgtFrame="_new" w:history="1">
        <w:r w:rsidRPr="00D21107">
          <w:rPr>
            <w:rStyle w:val="Hyperlink"/>
            <w:rFonts w:ascii="Arial" w:hAnsi="Arial" w:cs="Arial"/>
            <w:sz w:val="22"/>
            <w:szCs w:val="22"/>
          </w:rPr>
          <w:t>https://www.nmc.org.uk/globalassets/sitedocuments/nmc-publications/nmc-code.pdf</w:t>
        </w:r>
      </w:hyperlink>
      <w:r w:rsidRPr="00D21107">
        <w:rPr>
          <w:rFonts w:ascii="Arial" w:hAnsi="Arial" w:cs="Arial"/>
          <w:sz w:val="22"/>
          <w:szCs w:val="22"/>
        </w:rPr>
        <w:t xml:space="preserve"> (Accessed: 3 July 2026).</w:t>
      </w:r>
    </w:p>
    <w:p w14:paraId="5F40D2E8"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Petch, A., Cook, A. and Miller, E. (2013) 'Partnership working and outcomes: Do health and social care partnerships deliver for users and carers?', </w:t>
      </w:r>
      <w:r w:rsidRPr="00D21107">
        <w:rPr>
          <w:rFonts w:ascii="Arial" w:hAnsi="Arial" w:cs="Arial"/>
          <w:i/>
          <w:iCs/>
          <w:sz w:val="22"/>
          <w:szCs w:val="22"/>
        </w:rPr>
        <w:t>Health &amp; Social Care in the Community</w:t>
      </w:r>
      <w:r w:rsidRPr="00D21107">
        <w:rPr>
          <w:rFonts w:ascii="Arial" w:hAnsi="Arial" w:cs="Arial"/>
          <w:sz w:val="22"/>
          <w:szCs w:val="22"/>
        </w:rPr>
        <w:t xml:space="preserve">, 21(6), pp. 623–633. Available at: </w:t>
      </w:r>
      <w:hyperlink r:id="rId24" w:tgtFrame="_new" w:history="1">
        <w:r w:rsidRPr="00D21107">
          <w:rPr>
            <w:rStyle w:val="Hyperlink"/>
            <w:rFonts w:ascii="Arial" w:hAnsi="Arial" w:cs="Arial"/>
            <w:sz w:val="22"/>
            <w:szCs w:val="22"/>
          </w:rPr>
          <w:t>https://doi.org/10.1111/hsc.12050</w:t>
        </w:r>
      </w:hyperlink>
      <w:r w:rsidRPr="00D21107">
        <w:rPr>
          <w:rFonts w:ascii="Arial" w:hAnsi="Arial" w:cs="Arial"/>
          <w:sz w:val="22"/>
          <w:szCs w:val="22"/>
        </w:rPr>
        <w:t xml:space="preserve"> (Accessed: 10 July 2026).</w:t>
      </w:r>
    </w:p>
    <w:p w14:paraId="54E7EDF7"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Rogers, C.R. (1961) </w:t>
      </w:r>
      <w:r w:rsidRPr="00D21107">
        <w:rPr>
          <w:rFonts w:ascii="Arial" w:hAnsi="Arial" w:cs="Arial"/>
          <w:i/>
          <w:iCs/>
          <w:sz w:val="22"/>
          <w:szCs w:val="22"/>
        </w:rPr>
        <w:t>On Becoming a Person: A Therapist's View of Psychotherapy</w:t>
      </w:r>
      <w:r w:rsidRPr="00D21107">
        <w:rPr>
          <w:rFonts w:ascii="Arial" w:hAnsi="Arial" w:cs="Arial"/>
          <w:sz w:val="22"/>
          <w:szCs w:val="22"/>
        </w:rPr>
        <w:t xml:space="preserve">. Boston: Houghton Mifflin. Available at: </w:t>
      </w:r>
      <w:hyperlink r:id="rId25" w:tgtFrame="_new" w:history="1">
        <w:r w:rsidRPr="00D21107">
          <w:rPr>
            <w:rStyle w:val="Hyperlink"/>
            <w:rFonts w:ascii="Arial" w:hAnsi="Arial" w:cs="Arial"/>
            <w:sz w:val="22"/>
            <w:szCs w:val="22"/>
          </w:rPr>
          <w:t>https://search.worldcat.org/title/on-becoming-a-person-a-therapists-view-of-psychotherapy/oclc/246147</w:t>
        </w:r>
      </w:hyperlink>
      <w:r w:rsidRPr="00D21107">
        <w:rPr>
          <w:rFonts w:ascii="Arial" w:hAnsi="Arial" w:cs="Arial"/>
          <w:sz w:val="22"/>
          <w:szCs w:val="22"/>
        </w:rPr>
        <w:t xml:space="preserve"> (Accessed: 11 July 2026).</w:t>
      </w:r>
    </w:p>
    <w:p w14:paraId="60A0F4D8"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Skills for Care (2024) </w:t>
      </w:r>
      <w:r w:rsidRPr="00D21107">
        <w:rPr>
          <w:rFonts w:ascii="Arial" w:hAnsi="Arial" w:cs="Arial"/>
          <w:i/>
          <w:iCs/>
          <w:sz w:val="22"/>
          <w:szCs w:val="22"/>
        </w:rPr>
        <w:t>The state of the adult social care sector and workforce in England</w:t>
      </w:r>
      <w:r w:rsidRPr="00D21107">
        <w:rPr>
          <w:rFonts w:ascii="Arial" w:hAnsi="Arial" w:cs="Arial"/>
          <w:sz w:val="22"/>
          <w:szCs w:val="22"/>
        </w:rPr>
        <w:t xml:space="preserve">. Leeds: Skills for Care. Available at: </w:t>
      </w:r>
      <w:hyperlink r:id="rId26" w:tgtFrame="_new" w:history="1">
        <w:r w:rsidRPr="00D21107">
          <w:rPr>
            <w:rStyle w:val="Hyperlink"/>
            <w:rFonts w:ascii="Arial" w:hAnsi="Arial" w:cs="Arial"/>
            <w:sz w:val="22"/>
            <w:szCs w:val="22"/>
          </w:rPr>
          <w:t>https://www.skillsforcare.org.uk</w:t>
        </w:r>
      </w:hyperlink>
      <w:r w:rsidRPr="00D21107">
        <w:rPr>
          <w:rFonts w:ascii="Arial" w:hAnsi="Arial" w:cs="Arial"/>
          <w:sz w:val="22"/>
          <w:szCs w:val="22"/>
        </w:rPr>
        <w:t xml:space="preserve"> (Accessed: 23 July 2026).</w:t>
      </w:r>
    </w:p>
    <w:p w14:paraId="19DDF3B0"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Social Work England (2020) </w:t>
      </w:r>
      <w:r w:rsidRPr="00D21107">
        <w:rPr>
          <w:rFonts w:ascii="Arial" w:hAnsi="Arial" w:cs="Arial"/>
          <w:i/>
          <w:iCs/>
          <w:sz w:val="22"/>
          <w:szCs w:val="22"/>
        </w:rPr>
        <w:t>Professional Standards</w:t>
      </w:r>
      <w:r w:rsidRPr="00D21107">
        <w:rPr>
          <w:rFonts w:ascii="Arial" w:hAnsi="Arial" w:cs="Arial"/>
          <w:sz w:val="22"/>
          <w:szCs w:val="22"/>
        </w:rPr>
        <w:t xml:space="preserve">. Sheffield: Social Work England. Available at: </w:t>
      </w:r>
      <w:hyperlink r:id="rId27" w:tgtFrame="_new" w:history="1">
        <w:r w:rsidRPr="00D21107">
          <w:rPr>
            <w:rStyle w:val="Hyperlink"/>
            <w:rFonts w:ascii="Arial" w:hAnsi="Arial" w:cs="Arial"/>
            <w:sz w:val="22"/>
            <w:szCs w:val="22"/>
          </w:rPr>
          <w:t>https://www.socialworkengland.org.uk/standards/professional-standards-guidance/</w:t>
        </w:r>
      </w:hyperlink>
      <w:r w:rsidRPr="00D21107">
        <w:rPr>
          <w:rFonts w:ascii="Arial" w:hAnsi="Arial" w:cs="Arial"/>
          <w:sz w:val="22"/>
          <w:szCs w:val="22"/>
        </w:rPr>
        <w:t xml:space="preserve"> (Accessed: 5 July 2026).</w:t>
      </w:r>
    </w:p>
    <w:p w14:paraId="72DA6C05"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t xml:space="preserve">The Health and social care Act 2008 </w:t>
      </w:r>
      <w:hyperlink r:id="rId28" w:anchor=":~:text=Health%20and%20Social%20Care%20Act,is%20personalised%20specifically%20for%20them.he" w:history="1">
        <w:r w:rsidRPr="00D21107">
          <w:rPr>
            <w:rStyle w:val="Hyperlink"/>
            <w:rFonts w:ascii="Arial" w:hAnsi="Arial" w:cs="Arial"/>
            <w:sz w:val="22"/>
            <w:szCs w:val="22"/>
          </w:rPr>
          <w:t>https://www.cqc.org.uk/guidance-regulation/providers/regulations-service-providers-and-managers/health-social-care-act/regulation-9#:~:text=Health%20and%20Social%20Care%20Act,is%20personalised%20specifically%20for%20them.he</w:t>
        </w:r>
      </w:hyperlink>
      <w:r w:rsidRPr="00D21107">
        <w:rPr>
          <w:rFonts w:ascii="Arial" w:hAnsi="Arial" w:cs="Arial"/>
          <w:sz w:val="22"/>
          <w:szCs w:val="22"/>
        </w:rPr>
        <w:t xml:space="preserve"> Accessed: 7 July 2026).</w:t>
      </w:r>
    </w:p>
    <w:p w14:paraId="406EE7CA" w14:textId="77777777" w:rsidR="0014534E" w:rsidRPr="00D21107" w:rsidRDefault="0014534E" w:rsidP="00D21107">
      <w:pPr>
        <w:spacing w:line="360" w:lineRule="auto"/>
        <w:rPr>
          <w:rFonts w:ascii="Arial" w:hAnsi="Arial" w:cs="Arial"/>
          <w:sz w:val="22"/>
          <w:szCs w:val="22"/>
        </w:rPr>
      </w:pPr>
      <w:r w:rsidRPr="00D21107">
        <w:rPr>
          <w:rFonts w:ascii="Arial" w:hAnsi="Arial" w:cs="Arial"/>
          <w:sz w:val="22"/>
          <w:szCs w:val="22"/>
        </w:rPr>
        <w:lastRenderedPageBreak/>
        <w:t xml:space="preserve">The King's Fund (2004) </w:t>
      </w:r>
      <w:r w:rsidRPr="00D21107">
        <w:rPr>
          <w:rFonts w:ascii="Arial" w:hAnsi="Arial" w:cs="Arial"/>
          <w:i/>
          <w:iCs/>
          <w:sz w:val="22"/>
          <w:szCs w:val="22"/>
        </w:rPr>
        <w:t>Integrated care systems explained</w:t>
      </w:r>
      <w:r w:rsidRPr="00D21107">
        <w:rPr>
          <w:rFonts w:ascii="Arial" w:hAnsi="Arial" w:cs="Arial"/>
          <w:sz w:val="22"/>
          <w:szCs w:val="22"/>
        </w:rPr>
        <w:t xml:space="preserve">. London: The King's Fund. Available at: </w:t>
      </w:r>
      <w:hyperlink r:id="rId29" w:tgtFrame="_new" w:history="1">
        <w:r w:rsidRPr="00D21107">
          <w:rPr>
            <w:rStyle w:val="Hyperlink"/>
            <w:rFonts w:ascii="Arial" w:hAnsi="Arial" w:cs="Arial"/>
            <w:sz w:val="22"/>
            <w:szCs w:val="22"/>
          </w:rPr>
          <w:t>https://www.kingsfund.org.uk/insight-and-analysis/long-reads/integrated-care-systems-explained</w:t>
        </w:r>
      </w:hyperlink>
      <w:r w:rsidRPr="00D21107">
        <w:rPr>
          <w:rFonts w:ascii="Arial" w:hAnsi="Arial" w:cs="Arial"/>
          <w:sz w:val="22"/>
          <w:szCs w:val="22"/>
        </w:rPr>
        <w:t xml:space="preserve"> (Accessed: 12 July 2026).</w:t>
      </w:r>
    </w:p>
    <w:sectPr w:rsidR="0014534E" w:rsidRPr="00D2110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6AE93" w14:textId="77777777" w:rsidR="009F3842" w:rsidRDefault="009F3842" w:rsidP="00A105E4">
      <w:pPr>
        <w:spacing w:after="0" w:line="240" w:lineRule="auto"/>
      </w:pPr>
      <w:r>
        <w:separator/>
      </w:r>
    </w:p>
  </w:endnote>
  <w:endnote w:type="continuationSeparator" w:id="0">
    <w:p w14:paraId="548754F0" w14:textId="77777777" w:rsidR="009F3842" w:rsidRDefault="009F3842" w:rsidP="00A10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90351"/>
      <w:docPartObj>
        <w:docPartGallery w:val="Page Numbers (Bottom of Page)"/>
        <w:docPartUnique/>
      </w:docPartObj>
    </w:sdtPr>
    <w:sdtEndPr/>
    <w:sdtContent>
      <w:p w14:paraId="1B5C1969" w14:textId="5AB59531" w:rsidR="006D2955" w:rsidRDefault="006D2955">
        <w:pPr>
          <w:pStyle w:val="Footer"/>
          <w:jc w:val="center"/>
        </w:pPr>
        <w:r>
          <w:fldChar w:fldCharType="begin"/>
        </w:r>
        <w:r>
          <w:instrText>PAGE   \* MERGEFORMAT</w:instrText>
        </w:r>
        <w:r>
          <w:fldChar w:fldCharType="separate"/>
        </w:r>
        <w:r>
          <w:t>2</w:t>
        </w:r>
        <w:r>
          <w:fldChar w:fldCharType="end"/>
        </w:r>
      </w:p>
    </w:sdtContent>
  </w:sdt>
  <w:p w14:paraId="0AA8D59B" w14:textId="77777777" w:rsidR="00A105E4" w:rsidRDefault="00A10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EF0BB6" w14:textId="77777777" w:rsidR="009F3842" w:rsidRDefault="009F3842" w:rsidP="00A105E4">
      <w:pPr>
        <w:spacing w:after="0" w:line="240" w:lineRule="auto"/>
      </w:pPr>
      <w:r>
        <w:separator/>
      </w:r>
    </w:p>
  </w:footnote>
  <w:footnote w:type="continuationSeparator" w:id="0">
    <w:p w14:paraId="25A2F281" w14:textId="77777777" w:rsidR="009F3842" w:rsidRDefault="009F3842" w:rsidP="00A10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11D01"/>
    <w:multiLevelType w:val="multilevel"/>
    <w:tmpl w:val="E0F49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71392F"/>
    <w:multiLevelType w:val="multilevel"/>
    <w:tmpl w:val="E0969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0F5406"/>
    <w:multiLevelType w:val="multilevel"/>
    <w:tmpl w:val="5434D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DD0F66"/>
    <w:multiLevelType w:val="multilevel"/>
    <w:tmpl w:val="CC7A1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5537CA"/>
    <w:multiLevelType w:val="multilevel"/>
    <w:tmpl w:val="DBCE2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3969624">
    <w:abstractNumId w:val="2"/>
  </w:num>
  <w:num w:numId="2" w16cid:durableId="691230489">
    <w:abstractNumId w:val="4"/>
  </w:num>
  <w:num w:numId="3" w16cid:durableId="1512521988">
    <w:abstractNumId w:val="3"/>
  </w:num>
  <w:num w:numId="4" w16cid:durableId="566190527">
    <w:abstractNumId w:val="1"/>
  </w:num>
  <w:num w:numId="5" w16cid:durableId="1327321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677"/>
    <w:rsid w:val="00011522"/>
    <w:rsid w:val="000122E5"/>
    <w:rsid w:val="00020D44"/>
    <w:rsid w:val="0002189B"/>
    <w:rsid w:val="0002797D"/>
    <w:rsid w:val="00027B19"/>
    <w:rsid w:val="00027BC2"/>
    <w:rsid w:val="000344A0"/>
    <w:rsid w:val="000408F3"/>
    <w:rsid w:val="000422C4"/>
    <w:rsid w:val="00047668"/>
    <w:rsid w:val="00053553"/>
    <w:rsid w:val="00053A50"/>
    <w:rsid w:val="000563A1"/>
    <w:rsid w:val="000607CE"/>
    <w:rsid w:val="00062FA0"/>
    <w:rsid w:val="00064224"/>
    <w:rsid w:val="00066DBB"/>
    <w:rsid w:val="0007210D"/>
    <w:rsid w:val="00072E11"/>
    <w:rsid w:val="00072F14"/>
    <w:rsid w:val="00075C73"/>
    <w:rsid w:val="00077B4F"/>
    <w:rsid w:val="00083449"/>
    <w:rsid w:val="00091699"/>
    <w:rsid w:val="00095C98"/>
    <w:rsid w:val="00097BA8"/>
    <w:rsid w:val="000A027D"/>
    <w:rsid w:val="000A26FF"/>
    <w:rsid w:val="000A33F1"/>
    <w:rsid w:val="000A4023"/>
    <w:rsid w:val="000A6779"/>
    <w:rsid w:val="000B013F"/>
    <w:rsid w:val="000B0B37"/>
    <w:rsid w:val="000B680E"/>
    <w:rsid w:val="000C3380"/>
    <w:rsid w:val="000D6941"/>
    <w:rsid w:val="000E54D6"/>
    <w:rsid w:val="000E6818"/>
    <w:rsid w:val="000F380B"/>
    <w:rsid w:val="000F5293"/>
    <w:rsid w:val="000F7840"/>
    <w:rsid w:val="00104647"/>
    <w:rsid w:val="00111672"/>
    <w:rsid w:val="00122022"/>
    <w:rsid w:val="00122974"/>
    <w:rsid w:val="0012705D"/>
    <w:rsid w:val="0012734A"/>
    <w:rsid w:val="00143B17"/>
    <w:rsid w:val="0014534E"/>
    <w:rsid w:val="00145674"/>
    <w:rsid w:val="00171309"/>
    <w:rsid w:val="001716B0"/>
    <w:rsid w:val="001720FC"/>
    <w:rsid w:val="00180BAE"/>
    <w:rsid w:val="00191245"/>
    <w:rsid w:val="00192BDC"/>
    <w:rsid w:val="001A0459"/>
    <w:rsid w:val="001A2834"/>
    <w:rsid w:val="001A474C"/>
    <w:rsid w:val="001A6536"/>
    <w:rsid w:val="001C09B5"/>
    <w:rsid w:val="001C3F7E"/>
    <w:rsid w:val="001C78DE"/>
    <w:rsid w:val="001D02A8"/>
    <w:rsid w:val="001D0802"/>
    <w:rsid w:val="001D1E4F"/>
    <w:rsid w:val="001D654F"/>
    <w:rsid w:val="001E23C2"/>
    <w:rsid w:val="001E445F"/>
    <w:rsid w:val="001E5D00"/>
    <w:rsid w:val="001E7DC7"/>
    <w:rsid w:val="001F147E"/>
    <w:rsid w:val="001F5DBF"/>
    <w:rsid w:val="001F66F5"/>
    <w:rsid w:val="00201A48"/>
    <w:rsid w:val="00204DB0"/>
    <w:rsid w:val="00204E59"/>
    <w:rsid w:val="00207235"/>
    <w:rsid w:val="0020736E"/>
    <w:rsid w:val="00220D8C"/>
    <w:rsid w:val="002213D9"/>
    <w:rsid w:val="00243759"/>
    <w:rsid w:val="002532CF"/>
    <w:rsid w:val="0025520A"/>
    <w:rsid w:val="00270FDB"/>
    <w:rsid w:val="0027249A"/>
    <w:rsid w:val="00274FFB"/>
    <w:rsid w:val="002778E9"/>
    <w:rsid w:val="002850D8"/>
    <w:rsid w:val="00291D27"/>
    <w:rsid w:val="002A1398"/>
    <w:rsid w:val="002A21A7"/>
    <w:rsid w:val="002A70A7"/>
    <w:rsid w:val="002B3A8A"/>
    <w:rsid w:val="002B433F"/>
    <w:rsid w:val="002B7AB3"/>
    <w:rsid w:val="002C20F8"/>
    <w:rsid w:val="002C3F4E"/>
    <w:rsid w:val="002C785C"/>
    <w:rsid w:val="002D1065"/>
    <w:rsid w:val="002E3B80"/>
    <w:rsid w:val="002F0D0A"/>
    <w:rsid w:val="002F1935"/>
    <w:rsid w:val="003001D8"/>
    <w:rsid w:val="00301681"/>
    <w:rsid w:val="00301FD6"/>
    <w:rsid w:val="00304EBB"/>
    <w:rsid w:val="003057AD"/>
    <w:rsid w:val="00307F3B"/>
    <w:rsid w:val="003100BB"/>
    <w:rsid w:val="00315088"/>
    <w:rsid w:val="00327383"/>
    <w:rsid w:val="003276B8"/>
    <w:rsid w:val="0032783E"/>
    <w:rsid w:val="00335A27"/>
    <w:rsid w:val="00335DF3"/>
    <w:rsid w:val="003378A8"/>
    <w:rsid w:val="003433A4"/>
    <w:rsid w:val="00344AA7"/>
    <w:rsid w:val="00351492"/>
    <w:rsid w:val="00353920"/>
    <w:rsid w:val="00355893"/>
    <w:rsid w:val="00356CFE"/>
    <w:rsid w:val="00361D61"/>
    <w:rsid w:val="003629DC"/>
    <w:rsid w:val="00365084"/>
    <w:rsid w:val="00373A25"/>
    <w:rsid w:val="00377DAF"/>
    <w:rsid w:val="00392452"/>
    <w:rsid w:val="00397099"/>
    <w:rsid w:val="003A187E"/>
    <w:rsid w:val="003C18EB"/>
    <w:rsid w:val="003C41F7"/>
    <w:rsid w:val="003D0147"/>
    <w:rsid w:val="003D49FB"/>
    <w:rsid w:val="003D4D68"/>
    <w:rsid w:val="003D74CB"/>
    <w:rsid w:val="003F7039"/>
    <w:rsid w:val="00406536"/>
    <w:rsid w:val="004069DA"/>
    <w:rsid w:val="00407E54"/>
    <w:rsid w:val="0041440F"/>
    <w:rsid w:val="00417BF8"/>
    <w:rsid w:val="004270C1"/>
    <w:rsid w:val="0043160A"/>
    <w:rsid w:val="004328D2"/>
    <w:rsid w:val="0043437A"/>
    <w:rsid w:val="00450C5D"/>
    <w:rsid w:val="00451D4D"/>
    <w:rsid w:val="00456A43"/>
    <w:rsid w:val="00461ED3"/>
    <w:rsid w:val="0046261E"/>
    <w:rsid w:val="00463B32"/>
    <w:rsid w:val="0047419D"/>
    <w:rsid w:val="00474825"/>
    <w:rsid w:val="00482D83"/>
    <w:rsid w:val="004926D0"/>
    <w:rsid w:val="00496EC3"/>
    <w:rsid w:val="004A033C"/>
    <w:rsid w:val="004A141C"/>
    <w:rsid w:val="004A36AE"/>
    <w:rsid w:val="004A4B67"/>
    <w:rsid w:val="004A6BDE"/>
    <w:rsid w:val="004B538A"/>
    <w:rsid w:val="004B5677"/>
    <w:rsid w:val="004C1FE4"/>
    <w:rsid w:val="004C2EED"/>
    <w:rsid w:val="004C4435"/>
    <w:rsid w:val="004D5E35"/>
    <w:rsid w:val="004E2413"/>
    <w:rsid w:val="004E3749"/>
    <w:rsid w:val="004E46FF"/>
    <w:rsid w:val="004E700F"/>
    <w:rsid w:val="004F0AB8"/>
    <w:rsid w:val="004F3D7C"/>
    <w:rsid w:val="004F415A"/>
    <w:rsid w:val="0050277F"/>
    <w:rsid w:val="005204DA"/>
    <w:rsid w:val="005233AC"/>
    <w:rsid w:val="00525220"/>
    <w:rsid w:val="0054042D"/>
    <w:rsid w:val="00541205"/>
    <w:rsid w:val="00546201"/>
    <w:rsid w:val="0055282B"/>
    <w:rsid w:val="00554DFC"/>
    <w:rsid w:val="005642B3"/>
    <w:rsid w:val="00566553"/>
    <w:rsid w:val="00566C4D"/>
    <w:rsid w:val="0056735A"/>
    <w:rsid w:val="005808C9"/>
    <w:rsid w:val="0058644F"/>
    <w:rsid w:val="0058775C"/>
    <w:rsid w:val="0059353E"/>
    <w:rsid w:val="00597516"/>
    <w:rsid w:val="005A1417"/>
    <w:rsid w:val="005B13D2"/>
    <w:rsid w:val="005B2B13"/>
    <w:rsid w:val="005B3C8F"/>
    <w:rsid w:val="005C13A2"/>
    <w:rsid w:val="005C1451"/>
    <w:rsid w:val="005C32D7"/>
    <w:rsid w:val="005C57D7"/>
    <w:rsid w:val="005D4559"/>
    <w:rsid w:val="005D4F4E"/>
    <w:rsid w:val="005D6F75"/>
    <w:rsid w:val="005D7D52"/>
    <w:rsid w:val="005E1C1E"/>
    <w:rsid w:val="005E1FB6"/>
    <w:rsid w:val="005E29E8"/>
    <w:rsid w:val="005E400F"/>
    <w:rsid w:val="005F0E73"/>
    <w:rsid w:val="0060465A"/>
    <w:rsid w:val="006118DC"/>
    <w:rsid w:val="00611C51"/>
    <w:rsid w:val="00612EF5"/>
    <w:rsid w:val="00614455"/>
    <w:rsid w:val="0061677D"/>
    <w:rsid w:val="00622AD6"/>
    <w:rsid w:val="00623961"/>
    <w:rsid w:val="00623F70"/>
    <w:rsid w:val="00635159"/>
    <w:rsid w:val="00640C28"/>
    <w:rsid w:val="00640EE9"/>
    <w:rsid w:val="00641654"/>
    <w:rsid w:val="00641BA2"/>
    <w:rsid w:val="006470C6"/>
    <w:rsid w:val="006476ED"/>
    <w:rsid w:val="00655077"/>
    <w:rsid w:val="00656C6C"/>
    <w:rsid w:val="00665355"/>
    <w:rsid w:val="00666875"/>
    <w:rsid w:val="00666DEA"/>
    <w:rsid w:val="006679FA"/>
    <w:rsid w:val="006728F7"/>
    <w:rsid w:val="0068285B"/>
    <w:rsid w:val="00684F31"/>
    <w:rsid w:val="0069051B"/>
    <w:rsid w:val="0069651B"/>
    <w:rsid w:val="006A11E7"/>
    <w:rsid w:val="006A1EE1"/>
    <w:rsid w:val="006B684C"/>
    <w:rsid w:val="006C1E69"/>
    <w:rsid w:val="006C68E4"/>
    <w:rsid w:val="006C70B7"/>
    <w:rsid w:val="006D11EA"/>
    <w:rsid w:val="006D2955"/>
    <w:rsid w:val="006E3C23"/>
    <w:rsid w:val="006E484E"/>
    <w:rsid w:val="006F0275"/>
    <w:rsid w:val="006F1D1B"/>
    <w:rsid w:val="006F3551"/>
    <w:rsid w:val="007025AA"/>
    <w:rsid w:val="00703AAF"/>
    <w:rsid w:val="00715197"/>
    <w:rsid w:val="00715A0A"/>
    <w:rsid w:val="0071630D"/>
    <w:rsid w:val="007202DF"/>
    <w:rsid w:val="0072049A"/>
    <w:rsid w:val="007218A0"/>
    <w:rsid w:val="007245F9"/>
    <w:rsid w:val="00744D9D"/>
    <w:rsid w:val="00747ED9"/>
    <w:rsid w:val="007538C3"/>
    <w:rsid w:val="007678F2"/>
    <w:rsid w:val="00774E90"/>
    <w:rsid w:val="00777A09"/>
    <w:rsid w:val="00780666"/>
    <w:rsid w:val="0078251E"/>
    <w:rsid w:val="007864AC"/>
    <w:rsid w:val="00787CAD"/>
    <w:rsid w:val="007906C7"/>
    <w:rsid w:val="00792A39"/>
    <w:rsid w:val="00792BAF"/>
    <w:rsid w:val="007930F6"/>
    <w:rsid w:val="00793CC7"/>
    <w:rsid w:val="007947B2"/>
    <w:rsid w:val="007A6F60"/>
    <w:rsid w:val="007B1211"/>
    <w:rsid w:val="007B2D23"/>
    <w:rsid w:val="007D1B6B"/>
    <w:rsid w:val="007F499B"/>
    <w:rsid w:val="007F5215"/>
    <w:rsid w:val="008005BB"/>
    <w:rsid w:val="00803C36"/>
    <w:rsid w:val="00804066"/>
    <w:rsid w:val="00804A3C"/>
    <w:rsid w:val="008067AB"/>
    <w:rsid w:val="0081744C"/>
    <w:rsid w:val="00822FD6"/>
    <w:rsid w:val="00823B10"/>
    <w:rsid w:val="00825DB7"/>
    <w:rsid w:val="00827624"/>
    <w:rsid w:val="00827BDE"/>
    <w:rsid w:val="00831A18"/>
    <w:rsid w:val="0083405A"/>
    <w:rsid w:val="008350E6"/>
    <w:rsid w:val="0084107D"/>
    <w:rsid w:val="00855A06"/>
    <w:rsid w:val="00855C32"/>
    <w:rsid w:val="0086008B"/>
    <w:rsid w:val="00863401"/>
    <w:rsid w:val="00863554"/>
    <w:rsid w:val="00880B55"/>
    <w:rsid w:val="008961E6"/>
    <w:rsid w:val="008A16EB"/>
    <w:rsid w:val="008B13D4"/>
    <w:rsid w:val="008B4969"/>
    <w:rsid w:val="008B70B2"/>
    <w:rsid w:val="008C1192"/>
    <w:rsid w:val="008C2F83"/>
    <w:rsid w:val="008C4ACB"/>
    <w:rsid w:val="008C4C79"/>
    <w:rsid w:val="008C5156"/>
    <w:rsid w:val="008C6640"/>
    <w:rsid w:val="008D2D67"/>
    <w:rsid w:val="008D4882"/>
    <w:rsid w:val="008D58ED"/>
    <w:rsid w:val="008E067C"/>
    <w:rsid w:val="008E1F2C"/>
    <w:rsid w:val="008E237F"/>
    <w:rsid w:val="008F7DE0"/>
    <w:rsid w:val="00900EC1"/>
    <w:rsid w:val="00901C75"/>
    <w:rsid w:val="0091775A"/>
    <w:rsid w:val="009208FD"/>
    <w:rsid w:val="00925BDD"/>
    <w:rsid w:val="009320F4"/>
    <w:rsid w:val="00936EE4"/>
    <w:rsid w:val="00941289"/>
    <w:rsid w:val="00943627"/>
    <w:rsid w:val="009469FB"/>
    <w:rsid w:val="009558D2"/>
    <w:rsid w:val="009559EB"/>
    <w:rsid w:val="00960E7B"/>
    <w:rsid w:val="00966032"/>
    <w:rsid w:val="00967B43"/>
    <w:rsid w:val="009706B3"/>
    <w:rsid w:val="009738DF"/>
    <w:rsid w:val="009778DC"/>
    <w:rsid w:val="00985490"/>
    <w:rsid w:val="0098782D"/>
    <w:rsid w:val="00987F27"/>
    <w:rsid w:val="009917A8"/>
    <w:rsid w:val="00993C9F"/>
    <w:rsid w:val="00997F4A"/>
    <w:rsid w:val="009A01E4"/>
    <w:rsid w:val="009A2832"/>
    <w:rsid w:val="009A58DF"/>
    <w:rsid w:val="009A5A84"/>
    <w:rsid w:val="009B3285"/>
    <w:rsid w:val="009B53EB"/>
    <w:rsid w:val="009D125C"/>
    <w:rsid w:val="009D2490"/>
    <w:rsid w:val="009D3F06"/>
    <w:rsid w:val="009D538C"/>
    <w:rsid w:val="009E3FF9"/>
    <w:rsid w:val="009E45D9"/>
    <w:rsid w:val="009E53C3"/>
    <w:rsid w:val="009F0A09"/>
    <w:rsid w:val="009F3842"/>
    <w:rsid w:val="00A009B8"/>
    <w:rsid w:val="00A04754"/>
    <w:rsid w:val="00A0514A"/>
    <w:rsid w:val="00A0579A"/>
    <w:rsid w:val="00A105E4"/>
    <w:rsid w:val="00A2133A"/>
    <w:rsid w:val="00A22850"/>
    <w:rsid w:val="00A27C9B"/>
    <w:rsid w:val="00A27C9C"/>
    <w:rsid w:val="00A3747C"/>
    <w:rsid w:val="00A429BB"/>
    <w:rsid w:val="00A44912"/>
    <w:rsid w:val="00A45612"/>
    <w:rsid w:val="00A4569B"/>
    <w:rsid w:val="00A45A04"/>
    <w:rsid w:val="00A50496"/>
    <w:rsid w:val="00A52C75"/>
    <w:rsid w:val="00A545F4"/>
    <w:rsid w:val="00A558AF"/>
    <w:rsid w:val="00A66B2B"/>
    <w:rsid w:val="00A71F97"/>
    <w:rsid w:val="00A74FAA"/>
    <w:rsid w:val="00A85A5C"/>
    <w:rsid w:val="00A93A0B"/>
    <w:rsid w:val="00AA1B7E"/>
    <w:rsid w:val="00AA2F62"/>
    <w:rsid w:val="00AA41E1"/>
    <w:rsid w:val="00AB10FD"/>
    <w:rsid w:val="00AB344B"/>
    <w:rsid w:val="00AB6F26"/>
    <w:rsid w:val="00AC1CD8"/>
    <w:rsid w:val="00AC3750"/>
    <w:rsid w:val="00AC3ACE"/>
    <w:rsid w:val="00AC3ECF"/>
    <w:rsid w:val="00AC6207"/>
    <w:rsid w:val="00AD3383"/>
    <w:rsid w:val="00AD5505"/>
    <w:rsid w:val="00AD5BEE"/>
    <w:rsid w:val="00AD69BB"/>
    <w:rsid w:val="00AE08D9"/>
    <w:rsid w:val="00AE4BED"/>
    <w:rsid w:val="00AE60A1"/>
    <w:rsid w:val="00AF062B"/>
    <w:rsid w:val="00AF06EA"/>
    <w:rsid w:val="00B06703"/>
    <w:rsid w:val="00B10BD4"/>
    <w:rsid w:val="00B1213F"/>
    <w:rsid w:val="00B1559D"/>
    <w:rsid w:val="00B20CDA"/>
    <w:rsid w:val="00B21C90"/>
    <w:rsid w:val="00B2303E"/>
    <w:rsid w:val="00B33812"/>
    <w:rsid w:val="00B343DC"/>
    <w:rsid w:val="00B43BBD"/>
    <w:rsid w:val="00B4586A"/>
    <w:rsid w:val="00B4758F"/>
    <w:rsid w:val="00B4795F"/>
    <w:rsid w:val="00B526AF"/>
    <w:rsid w:val="00B53141"/>
    <w:rsid w:val="00B6146E"/>
    <w:rsid w:val="00B63ACA"/>
    <w:rsid w:val="00B73EAB"/>
    <w:rsid w:val="00B76F2C"/>
    <w:rsid w:val="00B84EB2"/>
    <w:rsid w:val="00B876E6"/>
    <w:rsid w:val="00B9434F"/>
    <w:rsid w:val="00BA0B1E"/>
    <w:rsid w:val="00BA5B06"/>
    <w:rsid w:val="00BB2B14"/>
    <w:rsid w:val="00BC2CC8"/>
    <w:rsid w:val="00BC2DC2"/>
    <w:rsid w:val="00BC301C"/>
    <w:rsid w:val="00BC3C5F"/>
    <w:rsid w:val="00BC40D0"/>
    <w:rsid w:val="00BD05FF"/>
    <w:rsid w:val="00BD6105"/>
    <w:rsid w:val="00BE12DF"/>
    <w:rsid w:val="00BE1344"/>
    <w:rsid w:val="00BE376E"/>
    <w:rsid w:val="00BE6A8F"/>
    <w:rsid w:val="00BE7A1A"/>
    <w:rsid w:val="00BF0F29"/>
    <w:rsid w:val="00BF2B21"/>
    <w:rsid w:val="00C0023E"/>
    <w:rsid w:val="00C0137F"/>
    <w:rsid w:val="00C02F48"/>
    <w:rsid w:val="00C1537F"/>
    <w:rsid w:val="00C1717C"/>
    <w:rsid w:val="00C17AE9"/>
    <w:rsid w:val="00C20387"/>
    <w:rsid w:val="00C26FA4"/>
    <w:rsid w:val="00C27FB4"/>
    <w:rsid w:val="00C432AA"/>
    <w:rsid w:val="00C43AE1"/>
    <w:rsid w:val="00C44FFE"/>
    <w:rsid w:val="00C6089C"/>
    <w:rsid w:val="00C65316"/>
    <w:rsid w:val="00C70122"/>
    <w:rsid w:val="00C74EE0"/>
    <w:rsid w:val="00C775C3"/>
    <w:rsid w:val="00C80CDE"/>
    <w:rsid w:val="00C92387"/>
    <w:rsid w:val="00CA11A4"/>
    <w:rsid w:val="00CA7A46"/>
    <w:rsid w:val="00CB4B9E"/>
    <w:rsid w:val="00CB7F16"/>
    <w:rsid w:val="00CD357C"/>
    <w:rsid w:val="00CD38E3"/>
    <w:rsid w:val="00CD787B"/>
    <w:rsid w:val="00CE09B1"/>
    <w:rsid w:val="00CE14F1"/>
    <w:rsid w:val="00CE184E"/>
    <w:rsid w:val="00CE3E9A"/>
    <w:rsid w:val="00CE417D"/>
    <w:rsid w:val="00CE500F"/>
    <w:rsid w:val="00CE5F10"/>
    <w:rsid w:val="00CF3181"/>
    <w:rsid w:val="00CF3802"/>
    <w:rsid w:val="00CF4B01"/>
    <w:rsid w:val="00CF7AA8"/>
    <w:rsid w:val="00D023CC"/>
    <w:rsid w:val="00D1166F"/>
    <w:rsid w:val="00D13A48"/>
    <w:rsid w:val="00D143A2"/>
    <w:rsid w:val="00D21107"/>
    <w:rsid w:val="00D2397C"/>
    <w:rsid w:val="00D25C3F"/>
    <w:rsid w:val="00D30808"/>
    <w:rsid w:val="00D31909"/>
    <w:rsid w:val="00D339CB"/>
    <w:rsid w:val="00D3491E"/>
    <w:rsid w:val="00D3552F"/>
    <w:rsid w:val="00D414C4"/>
    <w:rsid w:val="00D4200C"/>
    <w:rsid w:val="00D44CA8"/>
    <w:rsid w:val="00D45AD7"/>
    <w:rsid w:val="00D51476"/>
    <w:rsid w:val="00D53F23"/>
    <w:rsid w:val="00D613FE"/>
    <w:rsid w:val="00D61721"/>
    <w:rsid w:val="00D670DA"/>
    <w:rsid w:val="00D75EE2"/>
    <w:rsid w:val="00D86E3D"/>
    <w:rsid w:val="00D91009"/>
    <w:rsid w:val="00D9171A"/>
    <w:rsid w:val="00D937E2"/>
    <w:rsid w:val="00D94C54"/>
    <w:rsid w:val="00D95DDD"/>
    <w:rsid w:val="00DA0B92"/>
    <w:rsid w:val="00DA1449"/>
    <w:rsid w:val="00DA6508"/>
    <w:rsid w:val="00DB4ADE"/>
    <w:rsid w:val="00DC1B9F"/>
    <w:rsid w:val="00DC4DEC"/>
    <w:rsid w:val="00DD6656"/>
    <w:rsid w:val="00DE5F99"/>
    <w:rsid w:val="00DE7C76"/>
    <w:rsid w:val="00DF0873"/>
    <w:rsid w:val="00E00037"/>
    <w:rsid w:val="00E000A0"/>
    <w:rsid w:val="00E008C5"/>
    <w:rsid w:val="00E079F0"/>
    <w:rsid w:val="00E07B63"/>
    <w:rsid w:val="00E15D07"/>
    <w:rsid w:val="00E24869"/>
    <w:rsid w:val="00E24E50"/>
    <w:rsid w:val="00E24F23"/>
    <w:rsid w:val="00E30D41"/>
    <w:rsid w:val="00E3161B"/>
    <w:rsid w:val="00E335CD"/>
    <w:rsid w:val="00E41DBA"/>
    <w:rsid w:val="00E424D0"/>
    <w:rsid w:val="00E433BF"/>
    <w:rsid w:val="00E43BA5"/>
    <w:rsid w:val="00E43F69"/>
    <w:rsid w:val="00E469A3"/>
    <w:rsid w:val="00E50C5F"/>
    <w:rsid w:val="00E52036"/>
    <w:rsid w:val="00E6339E"/>
    <w:rsid w:val="00E646A4"/>
    <w:rsid w:val="00E6489A"/>
    <w:rsid w:val="00E70A4A"/>
    <w:rsid w:val="00E72F5E"/>
    <w:rsid w:val="00E733D8"/>
    <w:rsid w:val="00E74718"/>
    <w:rsid w:val="00E803E4"/>
    <w:rsid w:val="00E80992"/>
    <w:rsid w:val="00E84086"/>
    <w:rsid w:val="00E86B7A"/>
    <w:rsid w:val="00E91028"/>
    <w:rsid w:val="00E916B3"/>
    <w:rsid w:val="00E91814"/>
    <w:rsid w:val="00E92866"/>
    <w:rsid w:val="00E93B87"/>
    <w:rsid w:val="00E94AE9"/>
    <w:rsid w:val="00EA2D15"/>
    <w:rsid w:val="00EA38B0"/>
    <w:rsid w:val="00EA3963"/>
    <w:rsid w:val="00EB13FE"/>
    <w:rsid w:val="00EB3287"/>
    <w:rsid w:val="00EB5028"/>
    <w:rsid w:val="00EC2F56"/>
    <w:rsid w:val="00ED1367"/>
    <w:rsid w:val="00ED75A0"/>
    <w:rsid w:val="00EE5409"/>
    <w:rsid w:val="00EE6FFD"/>
    <w:rsid w:val="00EE7B17"/>
    <w:rsid w:val="00EF0455"/>
    <w:rsid w:val="00EF7E2B"/>
    <w:rsid w:val="00F13C36"/>
    <w:rsid w:val="00F274F0"/>
    <w:rsid w:val="00F35005"/>
    <w:rsid w:val="00F35342"/>
    <w:rsid w:val="00F37A64"/>
    <w:rsid w:val="00F433DE"/>
    <w:rsid w:val="00F45B8B"/>
    <w:rsid w:val="00F46357"/>
    <w:rsid w:val="00F46DAA"/>
    <w:rsid w:val="00F500F6"/>
    <w:rsid w:val="00F51A75"/>
    <w:rsid w:val="00F524C9"/>
    <w:rsid w:val="00F60ACB"/>
    <w:rsid w:val="00F6207C"/>
    <w:rsid w:val="00F71061"/>
    <w:rsid w:val="00F71828"/>
    <w:rsid w:val="00F75BE9"/>
    <w:rsid w:val="00F7612E"/>
    <w:rsid w:val="00F80117"/>
    <w:rsid w:val="00F80767"/>
    <w:rsid w:val="00F85D5B"/>
    <w:rsid w:val="00F872C6"/>
    <w:rsid w:val="00F87A36"/>
    <w:rsid w:val="00F90780"/>
    <w:rsid w:val="00F92254"/>
    <w:rsid w:val="00F9251C"/>
    <w:rsid w:val="00F932E6"/>
    <w:rsid w:val="00F932FA"/>
    <w:rsid w:val="00F93F6C"/>
    <w:rsid w:val="00FA6929"/>
    <w:rsid w:val="00FB0A29"/>
    <w:rsid w:val="00FB2006"/>
    <w:rsid w:val="00FD02F9"/>
    <w:rsid w:val="00FD12CB"/>
    <w:rsid w:val="00FD465E"/>
    <w:rsid w:val="00FD5292"/>
    <w:rsid w:val="00FD5307"/>
    <w:rsid w:val="00FE53D1"/>
    <w:rsid w:val="00FE6F6B"/>
    <w:rsid w:val="00FF2663"/>
    <w:rsid w:val="00FF2882"/>
    <w:rsid w:val="00FF3DFD"/>
    <w:rsid w:val="00FF7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8F85"/>
  <w15:chartTrackingRefBased/>
  <w15:docId w15:val="{BDC2F70E-4419-4DB1-AF53-5CAC47F09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677"/>
  </w:style>
  <w:style w:type="paragraph" w:styleId="Heading1">
    <w:name w:val="heading 1"/>
    <w:basedOn w:val="Normal"/>
    <w:next w:val="Normal"/>
    <w:link w:val="Heading1Char"/>
    <w:uiPriority w:val="9"/>
    <w:qFormat/>
    <w:rsid w:val="004B56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6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6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6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6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6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6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6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6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6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6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6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6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6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6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6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677"/>
    <w:rPr>
      <w:rFonts w:eastAsiaTheme="majorEastAsia" w:cstheme="majorBidi"/>
      <w:color w:val="272727" w:themeColor="text1" w:themeTint="D8"/>
    </w:rPr>
  </w:style>
  <w:style w:type="paragraph" w:styleId="Title">
    <w:name w:val="Title"/>
    <w:basedOn w:val="Normal"/>
    <w:next w:val="Normal"/>
    <w:link w:val="TitleChar"/>
    <w:uiPriority w:val="10"/>
    <w:qFormat/>
    <w:rsid w:val="004B56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677"/>
    <w:pPr>
      <w:spacing w:before="160"/>
      <w:jc w:val="center"/>
    </w:pPr>
    <w:rPr>
      <w:i/>
      <w:iCs/>
      <w:color w:val="404040" w:themeColor="text1" w:themeTint="BF"/>
    </w:rPr>
  </w:style>
  <w:style w:type="character" w:customStyle="1" w:styleId="QuoteChar">
    <w:name w:val="Quote Char"/>
    <w:basedOn w:val="DefaultParagraphFont"/>
    <w:link w:val="Quote"/>
    <w:uiPriority w:val="29"/>
    <w:rsid w:val="004B5677"/>
    <w:rPr>
      <w:i/>
      <w:iCs/>
      <w:color w:val="404040" w:themeColor="text1" w:themeTint="BF"/>
    </w:rPr>
  </w:style>
  <w:style w:type="paragraph" w:styleId="ListParagraph">
    <w:name w:val="List Paragraph"/>
    <w:basedOn w:val="Normal"/>
    <w:uiPriority w:val="34"/>
    <w:qFormat/>
    <w:rsid w:val="004B5677"/>
    <w:pPr>
      <w:ind w:left="720"/>
      <w:contextualSpacing/>
    </w:pPr>
  </w:style>
  <w:style w:type="character" w:styleId="IntenseEmphasis">
    <w:name w:val="Intense Emphasis"/>
    <w:basedOn w:val="DefaultParagraphFont"/>
    <w:uiPriority w:val="21"/>
    <w:qFormat/>
    <w:rsid w:val="004B5677"/>
    <w:rPr>
      <w:i/>
      <w:iCs/>
      <w:color w:val="0F4761" w:themeColor="accent1" w:themeShade="BF"/>
    </w:rPr>
  </w:style>
  <w:style w:type="paragraph" w:styleId="IntenseQuote">
    <w:name w:val="Intense Quote"/>
    <w:basedOn w:val="Normal"/>
    <w:next w:val="Normal"/>
    <w:link w:val="IntenseQuoteChar"/>
    <w:uiPriority w:val="30"/>
    <w:qFormat/>
    <w:rsid w:val="004B56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677"/>
    <w:rPr>
      <w:i/>
      <w:iCs/>
      <w:color w:val="0F4761" w:themeColor="accent1" w:themeShade="BF"/>
    </w:rPr>
  </w:style>
  <w:style w:type="character" w:styleId="IntenseReference">
    <w:name w:val="Intense Reference"/>
    <w:basedOn w:val="DefaultParagraphFont"/>
    <w:uiPriority w:val="32"/>
    <w:qFormat/>
    <w:rsid w:val="004B5677"/>
    <w:rPr>
      <w:b/>
      <w:bCs/>
      <w:smallCaps/>
      <w:color w:val="0F4761" w:themeColor="accent1" w:themeShade="BF"/>
      <w:spacing w:val="5"/>
    </w:rPr>
  </w:style>
  <w:style w:type="character" w:styleId="Hyperlink">
    <w:name w:val="Hyperlink"/>
    <w:basedOn w:val="DefaultParagraphFont"/>
    <w:uiPriority w:val="99"/>
    <w:unhideWhenUsed/>
    <w:rsid w:val="00DC1B9F"/>
    <w:rPr>
      <w:color w:val="467886" w:themeColor="hyperlink"/>
      <w:u w:val="single"/>
    </w:rPr>
  </w:style>
  <w:style w:type="character" w:styleId="UnresolvedMention">
    <w:name w:val="Unresolved Mention"/>
    <w:basedOn w:val="DefaultParagraphFont"/>
    <w:uiPriority w:val="99"/>
    <w:semiHidden/>
    <w:unhideWhenUsed/>
    <w:rsid w:val="00DC1B9F"/>
    <w:rPr>
      <w:color w:val="605E5C"/>
      <w:shd w:val="clear" w:color="auto" w:fill="E1DFDD"/>
    </w:rPr>
  </w:style>
  <w:style w:type="character" w:styleId="FollowedHyperlink">
    <w:name w:val="FollowedHyperlink"/>
    <w:basedOn w:val="DefaultParagraphFont"/>
    <w:uiPriority w:val="99"/>
    <w:semiHidden/>
    <w:unhideWhenUsed/>
    <w:rsid w:val="00CD357C"/>
    <w:rPr>
      <w:color w:val="96607D" w:themeColor="followedHyperlink"/>
      <w:u w:val="single"/>
    </w:rPr>
  </w:style>
  <w:style w:type="paragraph" w:styleId="Header">
    <w:name w:val="header"/>
    <w:basedOn w:val="Normal"/>
    <w:link w:val="HeaderChar"/>
    <w:uiPriority w:val="99"/>
    <w:unhideWhenUsed/>
    <w:rsid w:val="00A10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5E4"/>
  </w:style>
  <w:style w:type="paragraph" w:styleId="Footer">
    <w:name w:val="footer"/>
    <w:basedOn w:val="Normal"/>
    <w:link w:val="FooterChar"/>
    <w:uiPriority w:val="99"/>
    <w:unhideWhenUsed/>
    <w:rsid w:val="00A10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academic/product/principles-of-biomedical-ethics-9780190640873"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doi.org/10.1037/h0054346" TargetMode="External"/><Relationship Id="rId26" Type="http://schemas.openxmlformats.org/officeDocument/2006/relationships/hyperlink" Target="https://www.skillsforcare.org.uk" TargetMode="External"/><Relationship Id="rId3" Type="http://schemas.openxmlformats.org/officeDocument/2006/relationships/styles" Target="styles.xml"/><Relationship Id="rId21" Type="http://schemas.openxmlformats.org/officeDocument/2006/relationships/hyperlink" Target="https://www.england.nhs.uk/wp-content/uploads/2021/06/B0642-ics-design-framework-june-2021.pdf" TargetMode="External"/><Relationship Id="rId7" Type="http://schemas.openxmlformats.org/officeDocument/2006/relationships/endnotes" Target="endnotes.xml"/><Relationship Id="rId12" Type="http://schemas.openxmlformats.org/officeDocument/2006/relationships/hyperlink" Target="https://www.gov.uk/government/publications/care-act-statutory-guidance"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search.worldcat.org/title/on-becoming-a-person-a-therapists-view-of-psychotherapy/oclc/246147" TargetMode="External"/><Relationship Id="rId2" Type="http://schemas.openxmlformats.org/officeDocument/2006/relationships/numbering" Target="numbering.xml"/><Relationship Id="rId16" Type="http://schemas.openxmlformats.org/officeDocument/2006/relationships/hyperlink" Target="https://www.legislation.gov.uk/ukpga/2012/7/contents" TargetMode="External"/><Relationship Id="rId20" Type="http://schemas.openxmlformats.org/officeDocument/2006/relationships/hyperlink" Target="https://www.nice.org.uk/guidance/ng86" TargetMode="External"/><Relationship Id="rId29" Type="http://schemas.openxmlformats.org/officeDocument/2006/relationships/hyperlink" Target="https://www.kingsfund.org.uk/insight-and-analysis/long-reads/integrated-care-systems-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about-us/our-partnerships" TargetMode="External"/><Relationship Id="rId24" Type="http://schemas.openxmlformats.org/officeDocument/2006/relationships/hyperlink" Target="https://doi.org/10.1111/hsc.1205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pga/2022/31/contents" TargetMode="External"/><Relationship Id="rId23" Type="http://schemas.openxmlformats.org/officeDocument/2006/relationships/hyperlink" Target="https://www.nmc.org.uk/globalassets/sitedocuments/nmc-publications/nmc-code.pdf" TargetMode="External"/><Relationship Id="rId28" Type="http://schemas.openxmlformats.org/officeDocument/2006/relationships/hyperlink" Target="https://www.cqc.org.uk/guidance-regulation/providers/regulations-service-providers-and-managers/health-social-care-act/regulation-9" TargetMode="External"/><Relationship Id="rId10" Type="http://schemas.openxmlformats.org/officeDocument/2006/relationships/hyperlink" Target="https://www.cqc.org.uk" TargetMode="External"/><Relationship Id="rId19" Type="http://schemas.openxmlformats.org/officeDocument/2006/relationships/hyperlink" Target="https://www.legislation.gov.uk/ukpga/2005/9/content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policy.bristoluniversitypress.co.uk/partnership-working-in-health-and-social-care-2" TargetMode="External"/><Relationship Id="rId22" Type="http://schemas.openxmlformats.org/officeDocument/2006/relationships/hyperlink" Target="https://www.england.nhs.uk/digitaltechnology/connecting-health-and-social-care/interoperability/" TargetMode="External"/><Relationship Id="rId27" Type="http://schemas.openxmlformats.org/officeDocument/2006/relationships/hyperlink" Target="https://www.socialworkengland.org.uk/standards/professional-standards-guidanc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08189-E02B-40F8-A019-E994B347D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3281</Words>
  <Characters>18703</Characters>
  <Application>Microsoft Office Word</Application>
  <DocSecurity>0</DocSecurity>
  <Lines>155</Lines>
  <Paragraphs>43</Paragraphs>
  <ScaleCrop>false</ScaleCrop>
  <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Akang (2439326)</dc:creator>
  <cp:keywords/>
  <dc:description/>
  <cp:lastModifiedBy>Jennifer Akang (2439326)</cp:lastModifiedBy>
  <cp:revision>2</cp:revision>
  <dcterms:created xsi:type="dcterms:W3CDTF">2026-07-24T09:40:00Z</dcterms:created>
  <dcterms:modified xsi:type="dcterms:W3CDTF">2026-07-24T09:40:00Z</dcterms:modified>
</cp:coreProperties>
</file>