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04C9EA76" w:rsidR="006419C3" w:rsidRDefault="009A0ECE" w:rsidP="00E611D9">
      <w:pPr>
        <w:pStyle w:val="AssignHeader"/>
      </w:pPr>
      <w:r>
        <w:t xml:space="preserve">ECAD7003 – Part A 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5D01CCC8" w:rsidR="00E611D9" w:rsidRPr="007033DA" w:rsidRDefault="009B47AE" w:rsidP="007033DA">
      <w:pPr>
        <w:pStyle w:val="AssignBody"/>
        <w:jc w:val="center"/>
        <w:rPr>
          <w:b/>
          <w:u w:val="single"/>
        </w:rPr>
      </w:pPr>
      <w:r w:rsidRPr="007033DA">
        <w:rPr>
          <w:b/>
          <w:u w:val="single"/>
        </w:rPr>
        <w:t>Reference list:</w:t>
      </w:r>
    </w:p>
    <w:p w14:paraId="5DC0C5BF" w14:textId="78D7879C" w:rsidR="009B47AE" w:rsidRDefault="009B47AE" w:rsidP="00E611D9">
      <w:pPr>
        <w:pStyle w:val="AssignBody"/>
      </w:pPr>
    </w:p>
    <w:p w14:paraId="1F5E9674" w14:textId="77777777" w:rsidR="007033DA" w:rsidRPr="000E5633" w:rsidRDefault="007033DA" w:rsidP="007033DA">
      <w:pPr>
        <w:spacing w:after="0" w:line="480" w:lineRule="auto"/>
        <w:ind w:left="720" w:hanging="720"/>
        <w:rPr>
          <w:rFonts w:cstheme="minorHAnsi"/>
          <w:sz w:val="24"/>
          <w:szCs w:val="24"/>
        </w:rPr>
      </w:pPr>
      <w:r w:rsidRPr="00C21BC6">
        <w:rPr>
          <w:rFonts w:cstheme="minorHAnsi"/>
          <w:sz w:val="24"/>
          <w:szCs w:val="24"/>
        </w:rPr>
        <w:t xml:space="preserve">Bronfenbrenner, U. (1979). </w:t>
      </w:r>
      <w:r w:rsidRPr="00C21BC6">
        <w:rPr>
          <w:rFonts w:cstheme="minorHAnsi"/>
          <w:i/>
          <w:iCs/>
          <w:sz w:val="24"/>
          <w:szCs w:val="24"/>
        </w:rPr>
        <w:t>The ecology of human development: Experiments by nature and design</w:t>
      </w:r>
      <w:r w:rsidRPr="00C21BC6">
        <w:rPr>
          <w:rFonts w:cstheme="minorHAnsi"/>
          <w:sz w:val="24"/>
          <w:szCs w:val="24"/>
        </w:rPr>
        <w:t>. Harvard University Press.</w:t>
      </w:r>
    </w:p>
    <w:p w14:paraId="0ABE9040" w14:textId="77777777" w:rsidR="007033DA" w:rsidRPr="000E5633" w:rsidRDefault="007033DA" w:rsidP="007033DA">
      <w:pPr>
        <w:spacing w:after="0" w:line="480" w:lineRule="auto"/>
        <w:ind w:left="720" w:hanging="720"/>
        <w:rPr>
          <w:rFonts w:cstheme="minorHAnsi"/>
          <w:sz w:val="24"/>
          <w:szCs w:val="24"/>
        </w:rPr>
      </w:pPr>
      <w:r w:rsidRPr="00C21BC6">
        <w:rPr>
          <w:rFonts w:cstheme="minorHAnsi"/>
          <w:sz w:val="24"/>
          <w:szCs w:val="24"/>
        </w:rPr>
        <w:t>Crawford, M. (2020). Ecological Systems theory: Exploring the development of the theoretical framework as conceived by Bronfenbrenner</w:t>
      </w:r>
      <w:r w:rsidRPr="000E5633">
        <w:rPr>
          <w:rFonts w:cstheme="minorHAnsi"/>
          <w:sz w:val="24"/>
          <w:szCs w:val="24"/>
        </w:rPr>
        <w:t xml:space="preserve"> Journal of Public Health Issues and Practices, </w:t>
      </w:r>
      <w:r w:rsidRPr="00C21BC6">
        <w:rPr>
          <w:rFonts w:cstheme="minorHAnsi"/>
          <w:sz w:val="24"/>
          <w:szCs w:val="24"/>
        </w:rPr>
        <w:t xml:space="preserve">4(2):170. </w:t>
      </w:r>
      <w:hyperlink r:id="rId9" w:history="1">
        <w:r w:rsidRPr="00C21BC6">
          <w:rPr>
            <w:rStyle w:val="Hyperlink"/>
            <w:rFonts w:cstheme="minorHAnsi"/>
            <w:sz w:val="24"/>
            <w:szCs w:val="24"/>
          </w:rPr>
          <w:t>https://doi.org/10.33790/jphip</w:t>
        </w:r>
        <w:r w:rsidRPr="00C21BC6">
          <w:rPr>
            <w:rStyle w:val="Hyperlink"/>
            <w:rFonts w:cstheme="minorHAnsi"/>
            <w:sz w:val="24"/>
            <w:szCs w:val="24"/>
          </w:rPr>
          <w:t>1</w:t>
        </w:r>
        <w:r w:rsidRPr="00C21BC6">
          <w:rPr>
            <w:rStyle w:val="Hyperlink"/>
            <w:rFonts w:cstheme="minorHAnsi"/>
            <w:sz w:val="24"/>
            <w:szCs w:val="24"/>
          </w:rPr>
          <w:t>100170</w:t>
        </w:r>
      </w:hyperlink>
      <w:r w:rsidRPr="00C21BC6">
        <w:rPr>
          <w:rFonts w:cstheme="minorHAnsi"/>
          <w:sz w:val="24"/>
          <w:szCs w:val="24"/>
        </w:rPr>
        <w:t>.</w:t>
      </w:r>
    </w:p>
    <w:p w14:paraId="4BB08BE4" w14:textId="77777777" w:rsidR="007033DA" w:rsidRPr="000E5633" w:rsidRDefault="007033DA" w:rsidP="007033DA">
      <w:pPr>
        <w:spacing w:after="0" w:line="480" w:lineRule="auto"/>
        <w:ind w:left="720" w:hanging="720"/>
        <w:rPr>
          <w:rFonts w:cstheme="minorHAnsi"/>
          <w:sz w:val="24"/>
          <w:szCs w:val="24"/>
        </w:rPr>
      </w:pPr>
      <w:r w:rsidRPr="000E5633">
        <w:rPr>
          <w:rFonts w:cstheme="minorHAnsi"/>
          <w:sz w:val="24"/>
          <w:szCs w:val="24"/>
        </w:rPr>
        <w:t xml:space="preserve">Davidson, K. (2011) “Sociological perspectives on ageing,” in Stuart-Hamilton, I. (ed.) An Introduction to Gerontology. Cambridge: Cambridge University Press, pp. 226–250. </w:t>
      </w:r>
      <w:hyperlink r:id="rId10" w:history="1">
        <w:r w:rsidRPr="000E5633">
          <w:rPr>
            <w:rStyle w:val="Hyperlink"/>
            <w:rFonts w:cstheme="minorHAnsi"/>
            <w:sz w:val="24"/>
            <w:szCs w:val="24"/>
          </w:rPr>
          <w:t>https://doi.org/10.1017/CBO9780511973697.008</w:t>
        </w:r>
      </w:hyperlink>
      <w:r w:rsidRPr="000E5633">
        <w:rPr>
          <w:rFonts w:cstheme="minorHAnsi"/>
          <w:sz w:val="24"/>
          <w:szCs w:val="24"/>
        </w:rPr>
        <w:t xml:space="preserve"> </w:t>
      </w:r>
    </w:p>
    <w:p w14:paraId="4EF37CD9" w14:textId="77777777" w:rsidR="007033DA" w:rsidRPr="000E5633" w:rsidRDefault="007033DA" w:rsidP="007033DA">
      <w:pPr>
        <w:spacing w:after="0" w:line="480" w:lineRule="auto"/>
        <w:ind w:left="720" w:hanging="720"/>
        <w:rPr>
          <w:rFonts w:cstheme="minorHAnsi"/>
          <w:sz w:val="24"/>
          <w:szCs w:val="24"/>
        </w:rPr>
      </w:pPr>
      <w:r w:rsidRPr="000E5633">
        <w:rPr>
          <w:rFonts w:cstheme="minorHAnsi"/>
          <w:sz w:val="24"/>
          <w:szCs w:val="24"/>
        </w:rPr>
        <w:t xml:space="preserve">Donaldson, G. (2015). Successful Futures. Available from </w:t>
      </w:r>
      <w:hyperlink r:id="rId11" w:history="1">
        <w:r w:rsidRPr="000E5633">
          <w:rPr>
            <w:rStyle w:val="Hyperlink"/>
            <w:rFonts w:cstheme="minorHAnsi"/>
            <w:sz w:val="24"/>
            <w:szCs w:val="24"/>
          </w:rPr>
          <w:t>https://www.gov.wales/sites/default/files/publications/2018-03/successful-futures.pdf</w:t>
        </w:r>
      </w:hyperlink>
    </w:p>
    <w:p w14:paraId="6E09748F" w14:textId="77777777" w:rsidR="007033DA" w:rsidRPr="000E5633" w:rsidRDefault="007033DA" w:rsidP="007033DA">
      <w:pPr>
        <w:shd w:val="clear" w:color="auto" w:fill="FFFFFF"/>
        <w:spacing w:after="0" w:line="480" w:lineRule="auto"/>
        <w:ind w:left="720" w:hanging="720"/>
        <w:rPr>
          <w:rFonts w:eastAsia="Times New Roman" w:cstheme="minorHAnsi"/>
          <w:color w:val="212121"/>
          <w:sz w:val="24"/>
          <w:szCs w:val="24"/>
          <w:lang w:eastAsia="en-GB"/>
        </w:rPr>
      </w:pPr>
      <w:r w:rsidRPr="000E5633">
        <w:rPr>
          <w:rFonts w:eastAsia="Times New Roman" w:cstheme="minorHAnsi"/>
          <w:color w:val="212121"/>
          <w:sz w:val="24"/>
          <w:szCs w:val="24"/>
          <w:lang w:eastAsia="en-GB"/>
        </w:rPr>
        <w:t>Drury, L., Abrams, D., &amp; Swift, H. J. (2022). Intergenerational contact during and beyond COVID-19. </w:t>
      </w:r>
      <w:r w:rsidRPr="000E5633">
        <w:rPr>
          <w:rFonts w:eastAsia="Times New Roman" w:cstheme="minorHAnsi"/>
          <w:i/>
          <w:iCs/>
          <w:color w:val="212121"/>
          <w:sz w:val="24"/>
          <w:szCs w:val="24"/>
          <w:lang w:eastAsia="en-GB"/>
        </w:rPr>
        <w:t>The Journal of social issues</w:t>
      </w:r>
      <w:r w:rsidRPr="000E5633">
        <w:rPr>
          <w:rFonts w:eastAsia="Times New Roman" w:cstheme="minorHAnsi"/>
          <w:color w:val="212121"/>
          <w:sz w:val="24"/>
          <w:szCs w:val="24"/>
          <w:lang w:eastAsia="en-GB"/>
        </w:rPr>
        <w:t>, </w:t>
      </w:r>
      <w:r w:rsidRPr="000E5633">
        <w:rPr>
          <w:rFonts w:eastAsia="Times New Roman" w:cstheme="minorHAnsi"/>
          <w:i/>
          <w:iCs/>
          <w:color w:val="212121"/>
          <w:sz w:val="24"/>
          <w:szCs w:val="24"/>
          <w:lang w:eastAsia="en-GB"/>
        </w:rPr>
        <w:t>78</w:t>
      </w:r>
      <w:r w:rsidRPr="000E5633">
        <w:rPr>
          <w:rFonts w:eastAsia="Times New Roman" w:cstheme="minorHAnsi"/>
          <w:color w:val="212121"/>
          <w:sz w:val="24"/>
          <w:szCs w:val="24"/>
          <w:lang w:eastAsia="en-GB"/>
        </w:rPr>
        <w:t xml:space="preserve">(4), pp. 860–882. </w:t>
      </w:r>
      <w:hyperlink r:id="rId12" w:history="1">
        <w:r w:rsidRPr="000E5633">
          <w:rPr>
            <w:rStyle w:val="Hyperlink"/>
            <w:rFonts w:eastAsia="Times New Roman" w:cstheme="minorHAnsi"/>
            <w:lang w:eastAsia="en-GB"/>
          </w:rPr>
          <w:t>https://d</w:t>
        </w:r>
        <w:r w:rsidRPr="000220A3">
          <w:rPr>
            <w:rStyle w:val="Hyperlink"/>
            <w:rFonts w:eastAsia="Times New Roman" w:cstheme="minorHAnsi"/>
            <w:lang w:eastAsia="en-GB"/>
          </w:rPr>
          <w:t>o</w:t>
        </w:r>
        <w:r w:rsidRPr="000E5633">
          <w:rPr>
            <w:rStyle w:val="Hyperlink"/>
            <w:rFonts w:eastAsia="Times New Roman" w:cstheme="minorHAnsi"/>
            <w:lang w:eastAsia="en-GB"/>
          </w:rPr>
          <w:t>i.org/10.1111/josi.12551</w:t>
        </w:r>
      </w:hyperlink>
      <w:r w:rsidRPr="000E5633">
        <w:rPr>
          <w:rFonts w:eastAsia="Times New Roman" w:cstheme="minorHAnsi"/>
          <w:color w:val="212121"/>
          <w:sz w:val="24"/>
          <w:szCs w:val="24"/>
          <w:lang w:eastAsia="en-GB"/>
        </w:rPr>
        <w:t xml:space="preserve"> </w:t>
      </w:r>
    </w:p>
    <w:p w14:paraId="7BC98915" w14:textId="77777777" w:rsidR="007033DA" w:rsidRPr="000E5633" w:rsidRDefault="007033DA" w:rsidP="007033DA">
      <w:pPr>
        <w:spacing w:after="0" w:line="480" w:lineRule="auto"/>
        <w:ind w:left="720" w:hanging="720"/>
        <w:rPr>
          <w:rFonts w:cstheme="minorHAnsi"/>
          <w:sz w:val="24"/>
          <w:szCs w:val="24"/>
        </w:rPr>
      </w:pPr>
      <w:r w:rsidRPr="000E5633">
        <w:rPr>
          <w:rFonts w:cstheme="minorHAnsi"/>
          <w:sz w:val="24"/>
          <w:szCs w:val="24"/>
        </w:rPr>
        <w:t xml:space="preserve">Epstein, J. L. (2010). School/family/community partnerships: Caring for the children we share. </w:t>
      </w:r>
      <w:r w:rsidRPr="000E5633">
        <w:rPr>
          <w:rFonts w:cstheme="minorHAnsi"/>
          <w:i/>
          <w:iCs/>
          <w:sz w:val="24"/>
          <w:szCs w:val="24"/>
        </w:rPr>
        <w:t xml:space="preserve">Phi delta </w:t>
      </w:r>
      <w:proofErr w:type="spellStart"/>
      <w:r w:rsidRPr="000E5633">
        <w:rPr>
          <w:rFonts w:cstheme="minorHAnsi"/>
          <w:i/>
          <w:iCs/>
          <w:sz w:val="24"/>
          <w:szCs w:val="24"/>
        </w:rPr>
        <w:t>kappan</w:t>
      </w:r>
      <w:proofErr w:type="spellEnd"/>
      <w:r w:rsidRPr="000E5633">
        <w:rPr>
          <w:rFonts w:cstheme="minorHAnsi"/>
          <w:i/>
          <w:iCs/>
          <w:sz w:val="24"/>
          <w:szCs w:val="24"/>
        </w:rPr>
        <w:t>, 92</w:t>
      </w:r>
      <w:r w:rsidRPr="000E5633">
        <w:rPr>
          <w:rFonts w:cstheme="minorHAnsi"/>
          <w:sz w:val="24"/>
          <w:szCs w:val="24"/>
        </w:rPr>
        <w:t xml:space="preserve">(3), pp. 81-96. </w:t>
      </w:r>
      <w:hyperlink r:id="rId13" w:history="1">
        <w:r w:rsidRPr="000E5633">
          <w:rPr>
            <w:rStyle w:val="Hyperlink"/>
            <w:rFonts w:cstheme="minorHAnsi"/>
            <w:sz w:val="24"/>
            <w:szCs w:val="24"/>
          </w:rPr>
          <w:t>https://doi.org/10.1177/003172171009200326</w:t>
        </w:r>
      </w:hyperlink>
      <w:r w:rsidRPr="000E5633">
        <w:rPr>
          <w:rFonts w:cstheme="minorHAnsi"/>
          <w:sz w:val="24"/>
          <w:szCs w:val="24"/>
        </w:rPr>
        <w:t xml:space="preserve"> </w:t>
      </w:r>
    </w:p>
    <w:p w14:paraId="7D9CE3A2" w14:textId="77777777" w:rsidR="007033DA" w:rsidRPr="000E5633" w:rsidRDefault="007033DA" w:rsidP="007033DA">
      <w:pPr>
        <w:spacing w:after="0" w:line="480" w:lineRule="auto"/>
        <w:ind w:left="720" w:hanging="720"/>
        <w:rPr>
          <w:rFonts w:cstheme="minorHAnsi"/>
          <w:sz w:val="24"/>
          <w:szCs w:val="24"/>
        </w:rPr>
      </w:pPr>
      <w:r w:rsidRPr="000E5633">
        <w:rPr>
          <w:rFonts w:cstheme="minorHAnsi"/>
          <w:sz w:val="24"/>
          <w:szCs w:val="24"/>
        </w:rPr>
        <w:t xml:space="preserve">Estyn (2007). </w:t>
      </w:r>
      <w:r w:rsidRPr="000E5633">
        <w:rPr>
          <w:rFonts w:cstheme="minorHAnsi"/>
          <w:i/>
          <w:iCs/>
          <w:sz w:val="24"/>
          <w:szCs w:val="24"/>
        </w:rPr>
        <w:t>Transforming schools: a discussion paper</w:t>
      </w:r>
      <w:r w:rsidRPr="000E5633">
        <w:rPr>
          <w:rFonts w:cstheme="minorHAnsi"/>
          <w:sz w:val="24"/>
          <w:szCs w:val="24"/>
        </w:rPr>
        <w:t xml:space="preserve">. Available from </w:t>
      </w:r>
      <w:hyperlink r:id="rId14" w:history="1">
        <w:r w:rsidRPr="000E5633">
          <w:rPr>
            <w:rStyle w:val="Hyperlink"/>
            <w:rFonts w:cstheme="minorHAnsi"/>
            <w:sz w:val="24"/>
            <w:szCs w:val="24"/>
          </w:rPr>
          <w:t>https://www.estyn.gov.wales/node/14503</w:t>
        </w:r>
      </w:hyperlink>
      <w:r w:rsidRPr="000E5633">
        <w:rPr>
          <w:rFonts w:cstheme="minorHAnsi"/>
          <w:sz w:val="24"/>
          <w:szCs w:val="24"/>
        </w:rPr>
        <w:t xml:space="preserve"> </w:t>
      </w:r>
    </w:p>
    <w:p w14:paraId="06D5CB8B" w14:textId="77777777" w:rsidR="007033DA" w:rsidRPr="000E5633" w:rsidRDefault="007033DA" w:rsidP="007033DA">
      <w:pPr>
        <w:spacing w:after="0" w:line="480" w:lineRule="auto"/>
        <w:ind w:left="720" w:hanging="720"/>
        <w:rPr>
          <w:rFonts w:cstheme="minorHAnsi"/>
          <w:sz w:val="24"/>
          <w:szCs w:val="24"/>
        </w:rPr>
      </w:pPr>
      <w:r w:rsidRPr="000E5633">
        <w:rPr>
          <w:rFonts w:cstheme="minorHAnsi"/>
          <w:sz w:val="24"/>
          <w:szCs w:val="24"/>
        </w:rPr>
        <w:lastRenderedPageBreak/>
        <w:t xml:space="preserve">Estyn (2020) </w:t>
      </w:r>
      <w:r w:rsidRPr="000E5633">
        <w:rPr>
          <w:rFonts w:cstheme="minorHAnsi"/>
          <w:i/>
          <w:iCs/>
          <w:sz w:val="24"/>
          <w:szCs w:val="24"/>
        </w:rPr>
        <w:t xml:space="preserve">Community schools: families and communities at the heart of school life. </w:t>
      </w:r>
      <w:r w:rsidRPr="000E5633">
        <w:rPr>
          <w:rFonts w:cstheme="minorHAnsi"/>
          <w:sz w:val="24"/>
          <w:szCs w:val="24"/>
        </w:rPr>
        <w:t xml:space="preserve">Available from </w:t>
      </w:r>
      <w:hyperlink r:id="rId15" w:history="1">
        <w:r w:rsidRPr="000E5633">
          <w:rPr>
            <w:rStyle w:val="Hyperlink"/>
            <w:rFonts w:cstheme="minorHAnsi"/>
            <w:sz w:val="24"/>
            <w:szCs w:val="24"/>
          </w:rPr>
          <w:t>https://www.estyn.gov.wales/thematic-report/community-schools-families-and-communities-heart-school-life</w:t>
        </w:r>
      </w:hyperlink>
      <w:r w:rsidRPr="000E5633">
        <w:rPr>
          <w:rFonts w:cstheme="minorHAnsi"/>
          <w:sz w:val="24"/>
          <w:szCs w:val="24"/>
        </w:rPr>
        <w:t xml:space="preserve"> </w:t>
      </w:r>
    </w:p>
    <w:p w14:paraId="52EE598E" w14:textId="77777777" w:rsidR="007033DA" w:rsidRDefault="007033DA" w:rsidP="007033DA">
      <w:pPr>
        <w:spacing w:line="480" w:lineRule="auto"/>
        <w:ind w:left="720" w:hanging="720"/>
        <w:rPr>
          <w:rFonts w:eastAsia="Times New Roman" w:cstheme="minorHAnsi"/>
          <w:color w:val="1F1F1F"/>
          <w:lang w:eastAsia="en-GB"/>
        </w:rPr>
      </w:pPr>
      <w:r w:rsidRPr="000E5633">
        <w:rPr>
          <w:rFonts w:eastAsia="Times New Roman" w:cstheme="minorHAnsi"/>
          <w:color w:val="1F1F1F"/>
          <w:sz w:val="24"/>
          <w:szCs w:val="24"/>
          <w:lang w:eastAsia="en-GB"/>
        </w:rPr>
        <w:t>Future Generations 2020 (</w:t>
      </w:r>
      <w:proofErr w:type="spellStart"/>
      <w:r w:rsidRPr="000E5633">
        <w:rPr>
          <w:rFonts w:eastAsia="Times New Roman" w:cstheme="minorHAnsi"/>
          <w:color w:val="1F1F1F"/>
          <w:sz w:val="24"/>
          <w:szCs w:val="24"/>
          <w:lang w:eastAsia="en-GB"/>
        </w:rPr>
        <w:t>n.d</w:t>
      </w:r>
      <w:proofErr w:type="spellEnd"/>
      <w:r w:rsidRPr="000E5633">
        <w:rPr>
          <w:rFonts w:eastAsia="Times New Roman" w:cstheme="minorHAnsi"/>
          <w:color w:val="1F1F1F"/>
          <w:sz w:val="24"/>
          <w:szCs w:val="24"/>
          <w:lang w:eastAsia="en-GB"/>
        </w:rPr>
        <w:t>). A Globally Responsible Wales. Available from</w:t>
      </w:r>
      <w:r>
        <w:rPr>
          <w:rFonts w:eastAsia="Times New Roman" w:cstheme="minorHAnsi"/>
          <w:color w:val="1F1F1F"/>
          <w:lang w:eastAsia="en-GB"/>
        </w:rPr>
        <w:t xml:space="preserve"> </w:t>
      </w:r>
      <w:hyperlink r:id="rId16" w:history="1">
        <w:r w:rsidRPr="000220A3">
          <w:rPr>
            <w:rStyle w:val="Hyperlink"/>
            <w:rFonts w:eastAsia="Times New Roman" w:cstheme="minorHAnsi"/>
            <w:lang w:eastAsia="en-GB"/>
          </w:rPr>
          <w:t>https://futuregenerations2020.wales/english?category=global</w:t>
        </w:r>
      </w:hyperlink>
      <w:r>
        <w:rPr>
          <w:rFonts w:eastAsia="Times New Roman" w:cstheme="minorHAnsi"/>
          <w:color w:val="1F1F1F"/>
          <w:lang w:eastAsia="en-GB"/>
        </w:rPr>
        <w:t xml:space="preserve"> </w:t>
      </w:r>
      <w:r w:rsidRPr="000E5633">
        <w:rPr>
          <w:rFonts w:eastAsia="Times New Roman" w:cstheme="minorHAnsi"/>
          <w:color w:val="1F1F1F"/>
          <w:sz w:val="24"/>
          <w:szCs w:val="24"/>
          <w:lang w:eastAsia="en-GB"/>
        </w:rPr>
        <w:t>(Accessed 14 April 2023)</w:t>
      </w:r>
    </w:p>
    <w:p w14:paraId="1CEE700F" w14:textId="77777777" w:rsidR="007033DA" w:rsidRPr="000E5633" w:rsidRDefault="007033DA" w:rsidP="007033DA">
      <w:pPr>
        <w:spacing w:after="0" w:line="480" w:lineRule="auto"/>
        <w:ind w:left="720" w:hanging="720"/>
        <w:rPr>
          <w:rFonts w:eastAsia="Times New Roman" w:cstheme="minorHAnsi"/>
          <w:color w:val="1F1F1F"/>
          <w:sz w:val="24"/>
          <w:szCs w:val="24"/>
          <w:lang w:eastAsia="en-GB"/>
        </w:rPr>
      </w:pPr>
      <w:r w:rsidRPr="000E5633">
        <w:rPr>
          <w:rFonts w:eastAsia="Times New Roman" w:cstheme="minorHAnsi"/>
          <w:color w:val="1F1F1F"/>
          <w:sz w:val="24"/>
          <w:szCs w:val="24"/>
          <w:lang w:eastAsia="en-GB"/>
        </w:rPr>
        <w:t xml:space="preserve">Future Generations Commissioner for Wales (2020) </w:t>
      </w:r>
      <w:r w:rsidRPr="000E5633">
        <w:rPr>
          <w:rFonts w:cstheme="minorHAnsi"/>
          <w:i/>
          <w:iCs/>
          <w:sz w:val="24"/>
          <w:szCs w:val="24"/>
        </w:rPr>
        <w:t xml:space="preserve">The Future Generations Report 2020: </w:t>
      </w:r>
      <w:proofErr w:type="gramStart"/>
      <w:r w:rsidRPr="000E5633">
        <w:rPr>
          <w:rFonts w:cstheme="minorHAnsi"/>
          <w:i/>
          <w:iCs/>
          <w:sz w:val="24"/>
          <w:szCs w:val="24"/>
        </w:rPr>
        <w:t>At A Glance</w:t>
      </w:r>
      <w:proofErr w:type="gramEnd"/>
      <w:r w:rsidRPr="000E5633">
        <w:rPr>
          <w:rFonts w:eastAsia="Times New Roman" w:cstheme="minorHAnsi"/>
          <w:i/>
          <w:iCs/>
          <w:color w:val="1F1F1F"/>
          <w:sz w:val="24"/>
          <w:szCs w:val="24"/>
          <w:lang w:eastAsia="en-GB"/>
        </w:rPr>
        <w:t xml:space="preserve">. </w:t>
      </w:r>
      <w:r w:rsidRPr="000E5633">
        <w:rPr>
          <w:rFonts w:eastAsia="Times New Roman" w:cstheme="minorHAnsi"/>
          <w:color w:val="1F1F1F"/>
          <w:sz w:val="24"/>
          <w:szCs w:val="24"/>
          <w:lang w:eastAsia="en-GB"/>
        </w:rPr>
        <w:t xml:space="preserve">Available from </w:t>
      </w:r>
      <w:hyperlink r:id="rId17" w:history="1">
        <w:r w:rsidRPr="000E5633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https://www.futuregenerations.wales/wp-content/uploads/2020/07/At-A-Glance-FG-Report.pdf</w:t>
        </w:r>
      </w:hyperlink>
      <w:r w:rsidRPr="000E5633">
        <w:rPr>
          <w:rFonts w:eastAsia="Times New Roman" w:cstheme="minorHAnsi"/>
          <w:color w:val="1F1F1F"/>
          <w:sz w:val="24"/>
          <w:szCs w:val="24"/>
          <w:lang w:eastAsia="en-GB"/>
        </w:rPr>
        <w:t xml:space="preserve"> </w:t>
      </w:r>
    </w:p>
    <w:p w14:paraId="024DB044" w14:textId="77777777" w:rsidR="007033DA" w:rsidRPr="000E5633" w:rsidRDefault="007033DA" w:rsidP="007033DA">
      <w:pPr>
        <w:spacing w:after="0" w:line="480" w:lineRule="auto"/>
        <w:ind w:left="720" w:hanging="720"/>
        <w:rPr>
          <w:rFonts w:cstheme="minorHAnsi"/>
          <w:sz w:val="24"/>
          <w:szCs w:val="24"/>
        </w:rPr>
      </w:pPr>
      <w:proofErr w:type="spellStart"/>
      <w:r w:rsidRPr="000E5633">
        <w:rPr>
          <w:rFonts w:cstheme="minorHAnsi"/>
          <w:sz w:val="24"/>
          <w:szCs w:val="24"/>
        </w:rPr>
        <w:t>Giraudeau</w:t>
      </w:r>
      <w:proofErr w:type="spellEnd"/>
      <w:r w:rsidRPr="000E5633">
        <w:rPr>
          <w:rFonts w:cstheme="minorHAnsi"/>
          <w:sz w:val="24"/>
          <w:szCs w:val="24"/>
        </w:rPr>
        <w:t xml:space="preserve">, C., Bailly, N. (2019) Intergenerational </w:t>
      </w:r>
      <w:proofErr w:type="spellStart"/>
      <w:proofErr w:type="gramStart"/>
      <w:r w:rsidRPr="000E5633">
        <w:rPr>
          <w:rFonts w:cstheme="minorHAnsi"/>
          <w:sz w:val="24"/>
          <w:szCs w:val="24"/>
        </w:rPr>
        <w:t>programs:What</w:t>
      </w:r>
      <w:proofErr w:type="spellEnd"/>
      <w:proofErr w:type="gramEnd"/>
      <w:r w:rsidRPr="000E5633">
        <w:rPr>
          <w:rFonts w:cstheme="minorHAnsi"/>
          <w:sz w:val="24"/>
          <w:szCs w:val="24"/>
        </w:rPr>
        <w:t xml:space="preserve"> can school-age children and older people expect from them? A systematic review. </w:t>
      </w:r>
      <w:r w:rsidRPr="000E5633">
        <w:rPr>
          <w:rFonts w:cstheme="minorHAnsi"/>
          <w:i/>
          <w:iCs/>
          <w:sz w:val="24"/>
          <w:szCs w:val="24"/>
        </w:rPr>
        <w:t>European Journal of Ageing, 16</w:t>
      </w:r>
      <w:r w:rsidRPr="000E5633">
        <w:rPr>
          <w:rFonts w:cstheme="minorHAnsi"/>
          <w:sz w:val="24"/>
          <w:szCs w:val="24"/>
        </w:rPr>
        <w:t xml:space="preserve">, pp. 363–376. </w:t>
      </w:r>
      <w:hyperlink r:id="rId18" w:history="1">
        <w:r w:rsidRPr="000E5633">
          <w:rPr>
            <w:rStyle w:val="Hyperlink"/>
            <w:rFonts w:cstheme="minorHAnsi"/>
            <w:sz w:val="24"/>
            <w:szCs w:val="24"/>
          </w:rPr>
          <w:t>https://doi.org/10.1007/s10433-018-00497-4</w:t>
        </w:r>
      </w:hyperlink>
    </w:p>
    <w:p w14:paraId="796FD8BF" w14:textId="77777777" w:rsidR="007033DA" w:rsidRPr="000E5633" w:rsidRDefault="007033DA" w:rsidP="007033DA">
      <w:pPr>
        <w:spacing w:line="480" w:lineRule="auto"/>
        <w:ind w:left="720" w:hanging="720"/>
        <w:rPr>
          <w:rFonts w:cstheme="minorHAnsi"/>
          <w:lang w:val="en-US"/>
        </w:rPr>
      </w:pPr>
      <w:proofErr w:type="spellStart"/>
      <w:r w:rsidRPr="000E5633">
        <w:rPr>
          <w:rFonts w:cstheme="minorHAnsi"/>
          <w:sz w:val="24"/>
          <w:szCs w:val="24"/>
        </w:rPr>
        <w:t>Gülcan</w:t>
      </w:r>
      <w:proofErr w:type="spellEnd"/>
      <w:r w:rsidRPr="000E5633">
        <w:rPr>
          <w:rFonts w:cstheme="minorHAnsi"/>
          <w:sz w:val="24"/>
          <w:szCs w:val="24"/>
        </w:rPr>
        <w:t xml:space="preserve">, N. (2015). Discussing the Importance of Teaching Ethics in Education. </w:t>
      </w:r>
      <w:r w:rsidRPr="000E5633">
        <w:rPr>
          <w:rFonts w:cstheme="minorHAnsi"/>
          <w:i/>
          <w:iCs/>
          <w:sz w:val="24"/>
          <w:szCs w:val="24"/>
        </w:rPr>
        <w:t xml:space="preserve">Procedia - Social and </w:t>
      </w:r>
      <w:proofErr w:type="spellStart"/>
      <w:r w:rsidRPr="000E5633">
        <w:rPr>
          <w:rFonts w:cstheme="minorHAnsi"/>
          <w:i/>
          <w:iCs/>
          <w:sz w:val="24"/>
          <w:szCs w:val="24"/>
        </w:rPr>
        <w:t>Behavioral</w:t>
      </w:r>
      <w:proofErr w:type="spellEnd"/>
      <w:r w:rsidRPr="000E5633">
        <w:rPr>
          <w:rFonts w:cstheme="minorHAnsi"/>
          <w:i/>
          <w:iCs/>
          <w:sz w:val="24"/>
          <w:szCs w:val="24"/>
        </w:rPr>
        <w:t xml:space="preserve"> Sciences, </w:t>
      </w:r>
      <w:proofErr w:type="gramStart"/>
      <w:r w:rsidRPr="000E5633">
        <w:rPr>
          <w:rFonts w:cstheme="minorHAnsi"/>
          <w:i/>
          <w:iCs/>
          <w:sz w:val="24"/>
          <w:szCs w:val="24"/>
        </w:rPr>
        <w:t>174</w:t>
      </w:r>
      <w:r w:rsidRPr="000E5633">
        <w:rPr>
          <w:rFonts w:cstheme="minorHAnsi"/>
          <w:sz w:val="24"/>
          <w:szCs w:val="24"/>
        </w:rPr>
        <w:t xml:space="preserve"> .</w:t>
      </w:r>
      <w:proofErr w:type="gramEnd"/>
      <w:r w:rsidRPr="000E5633">
        <w:rPr>
          <w:rFonts w:cstheme="minorHAnsi"/>
          <w:color w:val="2E2E2E"/>
          <w:sz w:val="24"/>
          <w:szCs w:val="24"/>
        </w:rPr>
        <w:t xml:space="preserve"> pp 2622-2625. </w:t>
      </w:r>
      <w:hyperlink r:id="rId19" w:history="1">
        <w:r w:rsidRPr="000E5633">
          <w:rPr>
            <w:rStyle w:val="Hyperlink"/>
            <w:rFonts w:cstheme="minorHAnsi"/>
            <w:sz w:val="24"/>
            <w:szCs w:val="24"/>
            <w:lang w:val="en-US"/>
          </w:rPr>
          <w:t>https://doi.org/10.1016/j.sbspro</w:t>
        </w:r>
        <w:r w:rsidRPr="000E5633">
          <w:rPr>
            <w:rStyle w:val="Hyperlink"/>
            <w:rFonts w:cstheme="minorHAnsi"/>
            <w:sz w:val="24"/>
            <w:szCs w:val="24"/>
            <w:lang w:val="en-US"/>
          </w:rPr>
          <w:t>.</w:t>
        </w:r>
        <w:r w:rsidRPr="000E5633">
          <w:rPr>
            <w:rStyle w:val="Hyperlink"/>
            <w:rFonts w:cstheme="minorHAnsi"/>
            <w:sz w:val="24"/>
            <w:szCs w:val="24"/>
            <w:lang w:val="en-US"/>
          </w:rPr>
          <w:t>2015.01.942</w:t>
        </w:r>
      </w:hyperlink>
      <w:r w:rsidRPr="000E5633">
        <w:rPr>
          <w:rFonts w:cstheme="minorHAnsi"/>
          <w:sz w:val="24"/>
          <w:szCs w:val="24"/>
          <w:lang w:val="en-US"/>
        </w:rPr>
        <w:t xml:space="preserve"> </w:t>
      </w:r>
    </w:p>
    <w:p w14:paraId="52DB127F" w14:textId="77777777" w:rsidR="007033DA" w:rsidRPr="00E87CEF" w:rsidRDefault="007033DA" w:rsidP="007033DA">
      <w:pPr>
        <w:spacing w:after="0" w:line="480" w:lineRule="auto"/>
        <w:ind w:left="720" w:hanging="720"/>
        <w:rPr>
          <w:rFonts w:cstheme="minorHAnsi"/>
          <w:sz w:val="24"/>
          <w:szCs w:val="24"/>
        </w:rPr>
      </w:pPr>
      <w:r w:rsidRPr="00E87CEF">
        <w:rPr>
          <w:rFonts w:cstheme="minorHAnsi"/>
          <w:sz w:val="24"/>
          <w:szCs w:val="24"/>
        </w:rPr>
        <w:t xml:space="preserve">Holmes, C.L. </w:t>
      </w:r>
      <w:r w:rsidRPr="000E5633">
        <w:rPr>
          <w:rFonts w:cstheme="minorHAnsi"/>
          <w:sz w:val="24"/>
          <w:szCs w:val="24"/>
        </w:rPr>
        <w:t xml:space="preserve">(2009). </w:t>
      </w:r>
      <w:r w:rsidRPr="00E87CEF">
        <w:rPr>
          <w:rFonts w:cstheme="minorHAnsi"/>
          <w:sz w:val="24"/>
          <w:szCs w:val="24"/>
        </w:rPr>
        <w:t>An Intergenerational Program with Benefits. </w:t>
      </w:r>
      <w:r w:rsidRPr="00E87CEF">
        <w:rPr>
          <w:rFonts w:cstheme="minorHAnsi"/>
          <w:i/>
          <w:iCs/>
          <w:sz w:val="24"/>
          <w:szCs w:val="24"/>
        </w:rPr>
        <w:t>Early Childhood Educ</w:t>
      </w:r>
      <w:r w:rsidRPr="000E5633">
        <w:rPr>
          <w:rFonts w:cstheme="minorHAnsi"/>
          <w:i/>
          <w:iCs/>
          <w:sz w:val="24"/>
          <w:szCs w:val="24"/>
        </w:rPr>
        <w:t>ation</w:t>
      </w:r>
      <w:r w:rsidRPr="00E87CEF">
        <w:rPr>
          <w:rFonts w:cstheme="minorHAnsi"/>
          <w:i/>
          <w:iCs/>
          <w:sz w:val="24"/>
          <w:szCs w:val="24"/>
        </w:rPr>
        <w:t xml:space="preserve"> </w:t>
      </w:r>
      <w:proofErr w:type="gramStart"/>
      <w:r w:rsidRPr="00E87CEF">
        <w:rPr>
          <w:rFonts w:cstheme="minorHAnsi"/>
          <w:i/>
          <w:iCs/>
          <w:sz w:val="24"/>
          <w:szCs w:val="24"/>
        </w:rPr>
        <w:t>J</w:t>
      </w:r>
      <w:r w:rsidRPr="000E5633">
        <w:rPr>
          <w:rFonts w:cstheme="minorHAnsi"/>
          <w:i/>
          <w:iCs/>
          <w:sz w:val="24"/>
          <w:szCs w:val="24"/>
        </w:rPr>
        <w:t xml:space="preserve">ournal, </w:t>
      </w:r>
      <w:r w:rsidRPr="00E87CEF">
        <w:rPr>
          <w:rFonts w:cstheme="minorHAnsi"/>
          <w:sz w:val="24"/>
          <w:szCs w:val="24"/>
        </w:rPr>
        <w:t> </w:t>
      </w:r>
      <w:r w:rsidRPr="00E87CEF">
        <w:rPr>
          <w:rFonts w:cstheme="minorHAnsi"/>
          <w:b/>
          <w:bCs/>
          <w:sz w:val="24"/>
          <w:szCs w:val="24"/>
        </w:rPr>
        <w:t>37</w:t>
      </w:r>
      <w:proofErr w:type="gramEnd"/>
      <w:r w:rsidRPr="00E87CEF">
        <w:rPr>
          <w:rFonts w:cstheme="minorHAnsi"/>
          <w:sz w:val="24"/>
          <w:szCs w:val="24"/>
        </w:rPr>
        <w:t xml:space="preserve">, </w:t>
      </w:r>
      <w:r w:rsidRPr="000E5633">
        <w:rPr>
          <w:rFonts w:cstheme="minorHAnsi"/>
          <w:sz w:val="24"/>
          <w:szCs w:val="24"/>
        </w:rPr>
        <w:t xml:space="preserve">pp. </w:t>
      </w:r>
      <w:r w:rsidRPr="00E87CEF">
        <w:rPr>
          <w:rFonts w:cstheme="minorHAnsi"/>
          <w:sz w:val="24"/>
          <w:szCs w:val="24"/>
        </w:rPr>
        <w:t>113–119</w:t>
      </w:r>
      <w:r w:rsidRPr="000E5633">
        <w:rPr>
          <w:rFonts w:cstheme="minorHAnsi"/>
          <w:sz w:val="24"/>
          <w:szCs w:val="24"/>
        </w:rPr>
        <w:t xml:space="preserve">. </w:t>
      </w:r>
      <w:r w:rsidRPr="00E87CEF">
        <w:rPr>
          <w:rFonts w:cstheme="minorHAnsi"/>
          <w:sz w:val="24"/>
          <w:szCs w:val="24"/>
        </w:rPr>
        <w:t xml:space="preserve"> </w:t>
      </w:r>
      <w:hyperlink r:id="rId20" w:history="1">
        <w:r w:rsidRPr="00E87CEF">
          <w:rPr>
            <w:rStyle w:val="Hyperlink"/>
            <w:rFonts w:cstheme="minorHAnsi"/>
            <w:sz w:val="24"/>
            <w:szCs w:val="24"/>
          </w:rPr>
          <w:t>https://doi.org/10.1007/s10643-009-0329-9</w:t>
        </w:r>
      </w:hyperlink>
      <w:r w:rsidRPr="000E5633">
        <w:rPr>
          <w:rFonts w:cstheme="minorHAnsi"/>
          <w:sz w:val="24"/>
          <w:szCs w:val="24"/>
        </w:rPr>
        <w:t xml:space="preserve"> </w:t>
      </w:r>
    </w:p>
    <w:p w14:paraId="39616D53" w14:textId="77777777" w:rsidR="007033DA" w:rsidRPr="000E5633" w:rsidRDefault="007033DA" w:rsidP="007033DA">
      <w:pPr>
        <w:spacing w:after="0" w:line="480" w:lineRule="auto"/>
        <w:ind w:left="720" w:hanging="720"/>
        <w:rPr>
          <w:rFonts w:cstheme="minorHAnsi"/>
          <w:sz w:val="24"/>
          <w:szCs w:val="24"/>
          <w:lang w:val="en-US"/>
        </w:rPr>
      </w:pPr>
      <w:r w:rsidRPr="000E5633">
        <w:rPr>
          <w:rFonts w:cstheme="minorHAnsi"/>
          <w:sz w:val="24"/>
          <w:szCs w:val="24"/>
          <w:lang w:val="en-US"/>
        </w:rPr>
        <w:t>Impact Wales, (2020).</w:t>
      </w:r>
      <w:r w:rsidRPr="000E5633">
        <w:rPr>
          <w:rFonts w:cstheme="minorHAnsi"/>
          <w:sz w:val="24"/>
          <w:szCs w:val="24"/>
        </w:rPr>
        <w:t xml:space="preserve"> </w:t>
      </w:r>
      <w:r w:rsidRPr="000E5633">
        <w:rPr>
          <w:rFonts w:cstheme="minorHAnsi"/>
          <w:i/>
          <w:iCs/>
          <w:sz w:val="24"/>
          <w:szCs w:val="24"/>
          <w:lang w:val="en-US"/>
        </w:rPr>
        <w:t>Q. Why do we need 4 Purposes? A. To help teachers choose what &amp; how to teach. The 4 Purposes</w:t>
      </w:r>
      <w:r w:rsidRPr="000E5633">
        <w:rPr>
          <w:rFonts w:cstheme="minorHAnsi"/>
          <w:sz w:val="24"/>
          <w:szCs w:val="24"/>
          <w:lang w:val="en-US"/>
        </w:rPr>
        <w:t xml:space="preserve"> </w:t>
      </w:r>
      <w:r w:rsidRPr="000E5633">
        <w:rPr>
          <w:rStyle w:val="Emphasis"/>
          <w:rFonts w:cstheme="minorHAnsi"/>
          <w:color w:val="4A4A4A"/>
          <w:sz w:val="24"/>
          <w:szCs w:val="24"/>
          <w:shd w:val="clear" w:color="auto" w:fill="FFFFFF"/>
        </w:rPr>
        <w:t xml:space="preserve">[…]. </w:t>
      </w:r>
      <w:r w:rsidRPr="000E5633">
        <w:rPr>
          <w:rStyle w:val="Emphasis"/>
          <w:rFonts w:cstheme="minorHAnsi"/>
          <w:i w:val="0"/>
          <w:iCs w:val="0"/>
          <w:color w:val="4A4A4A"/>
          <w:sz w:val="24"/>
          <w:szCs w:val="24"/>
          <w:shd w:val="clear" w:color="auto" w:fill="FFFFFF"/>
        </w:rPr>
        <w:t>14 September</w:t>
      </w:r>
      <w:r w:rsidRPr="000E5633">
        <w:rPr>
          <w:rStyle w:val="Emphasis"/>
          <w:rFonts w:cstheme="minorHAnsi"/>
          <w:color w:val="4A4A4A"/>
          <w:sz w:val="24"/>
          <w:szCs w:val="24"/>
          <w:shd w:val="clear" w:color="auto" w:fill="FFFFFF"/>
        </w:rPr>
        <w:t xml:space="preserve">. </w:t>
      </w:r>
      <w:r w:rsidRPr="000E5633">
        <w:rPr>
          <w:rStyle w:val="Emphasis"/>
          <w:rFonts w:cstheme="minorHAnsi"/>
          <w:i w:val="0"/>
          <w:iCs w:val="0"/>
          <w:color w:val="4A4A4A"/>
          <w:sz w:val="24"/>
          <w:szCs w:val="24"/>
          <w:shd w:val="clear" w:color="auto" w:fill="FFFFFF"/>
        </w:rPr>
        <w:t xml:space="preserve">Available </w:t>
      </w:r>
      <w:proofErr w:type="gramStart"/>
      <w:r w:rsidRPr="000E5633">
        <w:rPr>
          <w:rStyle w:val="Emphasis"/>
          <w:rFonts w:cstheme="minorHAnsi"/>
          <w:i w:val="0"/>
          <w:iCs w:val="0"/>
          <w:color w:val="4A4A4A"/>
          <w:sz w:val="24"/>
          <w:szCs w:val="24"/>
          <w:shd w:val="clear" w:color="auto" w:fill="FFFFFF"/>
        </w:rPr>
        <w:t>from</w:t>
      </w:r>
      <w:r w:rsidRPr="000E5633">
        <w:rPr>
          <w:rStyle w:val="Emphasis"/>
          <w:rFonts w:cstheme="minorHAnsi"/>
          <w:color w:val="4A4A4A"/>
          <w:sz w:val="24"/>
          <w:szCs w:val="24"/>
          <w:shd w:val="clear" w:color="auto" w:fill="FFFFFF"/>
        </w:rPr>
        <w:t xml:space="preserve"> </w:t>
      </w:r>
      <w:r w:rsidRPr="000E5633">
        <w:rPr>
          <w:rFonts w:cstheme="minorHAnsi"/>
          <w:color w:val="4A4A4A"/>
          <w:sz w:val="24"/>
          <w:szCs w:val="24"/>
          <w:shd w:val="clear" w:color="auto" w:fill="FFFFFF"/>
        </w:rPr>
        <w:t>.</w:t>
      </w:r>
      <w:proofErr w:type="gramEnd"/>
      <w:r w:rsidRPr="000E5633">
        <w:rPr>
          <w:rFonts w:cstheme="minorHAnsi"/>
          <w:sz w:val="24"/>
          <w:szCs w:val="24"/>
          <w:lang w:val="en-US"/>
        </w:rPr>
        <w:fldChar w:fldCharType="begin"/>
      </w:r>
      <w:r w:rsidRPr="000E5633">
        <w:rPr>
          <w:rFonts w:cstheme="minorHAnsi"/>
          <w:sz w:val="24"/>
          <w:szCs w:val="24"/>
          <w:lang w:val="en-US"/>
        </w:rPr>
        <w:instrText xml:space="preserve"> HYPERLINK "</w:instrText>
      </w:r>
      <w:r w:rsidRPr="004C41F2">
        <w:rPr>
          <w:rFonts w:cstheme="minorHAnsi"/>
          <w:sz w:val="24"/>
          <w:szCs w:val="24"/>
          <w:lang w:val="en-US"/>
        </w:rPr>
        <w:instrText>https://twitter.com/ImpactWales/status/1305379811381178368</w:instrText>
      </w:r>
      <w:r w:rsidRPr="000E5633">
        <w:rPr>
          <w:rFonts w:cstheme="minorHAnsi"/>
          <w:sz w:val="24"/>
          <w:szCs w:val="24"/>
          <w:lang w:val="en-US"/>
        </w:rPr>
        <w:instrText xml:space="preserve">" </w:instrText>
      </w:r>
      <w:r w:rsidRPr="000E5633">
        <w:rPr>
          <w:rFonts w:cstheme="minorHAnsi"/>
          <w:sz w:val="24"/>
          <w:szCs w:val="24"/>
          <w:lang w:val="en-US"/>
        </w:rPr>
        <w:fldChar w:fldCharType="separate"/>
      </w:r>
      <w:r w:rsidRPr="004C41F2">
        <w:rPr>
          <w:rStyle w:val="Hyperlink"/>
          <w:rFonts w:cstheme="minorHAnsi"/>
          <w:sz w:val="24"/>
          <w:szCs w:val="24"/>
          <w:lang w:val="en-US"/>
        </w:rPr>
        <w:t>htt</w:t>
      </w:r>
      <w:r w:rsidRPr="004C41F2">
        <w:rPr>
          <w:rStyle w:val="Hyperlink"/>
          <w:rFonts w:cstheme="minorHAnsi"/>
          <w:sz w:val="24"/>
          <w:szCs w:val="24"/>
          <w:lang w:val="en-US"/>
        </w:rPr>
        <w:t>p</w:t>
      </w:r>
      <w:r w:rsidRPr="004C41F2">
        <w:rPr>
          <w:rStyle w:val="Hyperlink"/>
          <w:rFonts w:cstheme="minorHAnsi"/>
          <w:sz w:val="24"/>
          <w:szCs w:val="24"/>
          <w:lang w:val="en-US"/>
        </w:rPr>
        <w:t>s://twitter.com/ImpactWales/status/1305379811381178368</w:t>
      </w:r>
      <w:r w:rsidRPr="000E5633">
        <w:rPr>
          <w:rFonts w:cstheme="minorHAnsi"/>
          <w:sz w:val="24"/>
          <w:szCs w:val="24"/>
          <w:lang w:val="en-US"/>
        </w:rPr>
        <w:fldChar w:fldCharType="end"/>
      </w:r>
      <w:r w:rsidRPr="004C41F2">
        <w:rPr>
          <w:rFonts w:cstheme="minorHAnsi"/>
          <w:sz w:val="24"/>
          <w:szCs w:val="24"/>
          <w:lang w:val="en-US"/>
        </w:rPr>
        <w:t xml:space="preserve"> </w:t>
      </w:r>
    </w:p>
    <w:p w14:paraId="69ABE529" w14:textId="77777777" w:rsidR="007033DA" w:rsidRPr="00E87CEF" w:rsidRDefault="007033DA" w:rsidP="007033DA">
      <w:pPr>
        <w:spacing w:after="0" w:line="480" w:lineRule="auto"/>
        <w:ind w:left="720" w:hanging="720"/>
        <w:rPr>
          <w:rFonts w:cstheme="minorHAnsi"/>
          <w:sz w:val="24"/>
          <w:szCs w:val="24"/>
        </w:rPr>
      </w:pPr>
      <w:r w:rsidRPr="00E87CEF">
        <w:rPr>
          <w:rFonts w:cstheme="minorHAnsi"/>
          <w:sz w:val="24"/>
          <w:szCs w:val="24"/>
        </w:rPr>
        <w:t xml:space="preserve">Kamei, T., </w:t>
      </w:r>
      <w:proofErr w:type="spellStart"/>
      <w:r w:rsidRPr="00E87CEF">
        <w:rPr>
          <w:rFonts w:cstheme="minorHAnsi"/>
          <w:sz w:val="24"/>
          <w:szCs w:val="24"/>
        </w:rPr>
        <w:t>Itoi</w:t>
      </w:r>
      <w:proofErr w:type="spellEnd"/>
      <w:r w:rsidRPr="00E87CEF">
        <w:rPr>
          <w:rFonts w:cstheme="minorHAnsi"/>
          <w:sz w:val="24"/>
          <w:szCs w:val="24"/>
        </w:rPr>
        <w:t xml:space="preserve">, W., </w:t>
      </w:r>
      <w:proofErr w:type="spellStart"/>
      <w:r w:rsidRPr="00E87CEF">
        <w:rPr>
          <w:rFonts w:cstheme="minorHAnsi"/>
          <w:sz w:val="24"/>
          <w:szCs w:val="24"/>
        </w:rPr>
        <w:t>Kajii</w:t>
      </w:r>
      <w:proofErr w:type="spellEnd"/>
      <w:r w:rsidRPr="00E87CEF">
        <w:rPr>
          <w:rFonts w:cstheme="minorHAnsi"/>
          <w:sz w:val="24"/>
          <w:szCs w:val="24"/>
        </w:rPr>
        <w:t xml:space="preserve">, F., Kawakami, C., Hasegawa, M. and Sugimoto, T. (2011), </w:t>
      </w:r>
      <w:proofErr w:type="gramStart"/>
      <w:r w:rsidRPr="00E87CEF">
        <w:rPr>
          <w:rFonts w:cstheme="minorHAnsi"/>
          <w:sz w:val="24"/>
          <w:szCs w:val="24"/>
        </w:rPr>
        <w:t>Six month</w:t>
      </w:r>
      <w:proofErr w:type="gramEnd"/>
      <w:r w:rsidRPr="00E87CEF">
        <w:rPr>
          <w:rFonts w:cstheme="minorHAnsi"/>
          <w:sz w:val="24"/>
          <w:szCs w:val="24"/>
        </w:rPr>
        <w:t xml:space="preserve"> outcomes of an innovative weekly intergenerational day program with older adults and school-aged children in a Japanese urban community. </w:t>
      </w:r>
      <w:r w:rsidRPr="00E87CEF">
        <w:rPr>
          <w:rFonts w:cstheme="minorHAnsi"/>
          <w:i/>
          <w:iCs/>
          <w:sz w:val="24"/>
          <w:szCs w:val="24"/>
        </w:rPr>
        <w:t>Japan Journal of Nursing Science, 8</w:t>
      </w:r>
      <w:r w:rsidRPr="000E5633">
        <w:rPr>
          <w:rFonts w:cstheme="minorHAnsi"/>
          <w:i/>
          <w:iCs/>
          <w:sz w:val="24"/>
          <w:szCs w:val="24"/>
        </w:rPr>
        <w:t xml:space="preserve">, </w:t>
      </w:r>
      <w:r w:rsidRPr="000E5633">
        <w:rPr>
          <w:rFonts w:cstheme="minorHAnsi"/>
          <w:sz w:val="24"/>
          <w:szCs w:val="24"/>
        </w:rPr>
        <w:t xml:space="preserve">pp. </w:t>
      </w:r>
      <w:r w:rsidRPr="00E87CEF">
        <w:rPr>
          <w:rFonts w:cstheme="minorHAnsi"/>
          <w:sz w:val="24"/>
          <w:szCs w:val="24"/>
        </w:rPr>
        <w:t>95-107. </w:t>
      </w:r>
      <w:hyperlink r:id="rId21" w:history="1">
        <w:r w:rsidRPr="00E87CEF">
          <w:rPr>
            <w:rStyle w:val="Hyperlink"/>
            <w:rFonts w:cstheme="minorHAnsi"/>
            <w:sz w:val="24"/>
            <w:szCs w:val="24"/>
          </w:rPr>
          <w:t>https://doi.org/10.1111/j.1742-7924.2010.00164.x</w:t>
        </w:r>
      </w:hyperlink>
    </w:p>
    <w:p w14:paraId="02835833" w14:textId="77777777" w:rsidR="007033DA" w:rsidRPr="000E5633" w:rsidRDefault="007033DA" w:rsidP="007033DA">
      <w:pPr>
        <w:spacing w:after="0" w:line="480" w:lineRule="auto"/>
        <w:ind w:left="720" w:hanging="720"/>
        <w:rPr>
          <w:rFonts w:cstheme="minorHAnsi"/>
          <w:sz w:val="24"/>
          <w:szCs w:val="24"/>
        </w:rPr>
      </w:pPr>
      <w:r w:rsidRPr="000E5633">
        <w:rPr>
          <w:rFonts w:cstheme="minorHAnsi"/>
          <w:sz w:val="24"/>
          <w:szCs w:val="24"/>
        </w:rPr>
        <w:lastRenderedPageBreak/>
        <w:t xml:space="preserve">Mannion, G. (2016). Intergenerational Education and Learning: We Are in a New Place. In: Punch, S., </w:t>
      </w:r>
      <w:proofErr w:type="spellStart"/>
      <w:r w:rsidRPr="000E5633">
        <w:rPr>
          <w:rFonts w:cstheme="minorHAnsi"/>
          <w:sz w:val="24"/>
          <w:szCs w:val="24"/>
        </w:rPr>
        <w:t>Vanderbeck</w:t>
      </w:r>
      <w:proofErr w:type="spellEnd"/>
      <w:r w:rsidRPr="000E5633">
        <w:rPr>
          <w:rFonts w:cstheme="minorHAnsi"/>
          <w:sz w:val="24"/>
          <w:szCs w:val="24"/>
        </w:rPr>
        <w:t xml:space="preserve">, R., Skelton, T. (eds) </w:t>
      </w:r>
      <w:r w:rsidRPr="000E5633">
        <w:rPr>
          <w:rFonts w:cstheme="minorHAnsi"/>
          <w:i/>
          <w:iCs/>
          <w:sz w:val="24"/>
          <w:szCs w:val="24"/>
        </w:rPr>
        <w:t xml:space="preserve">Families, </w:t>
      </w:r>
      <w:proofErr w:type="spellStart"/>
      <w:r w:rsidRPr="000E5633">
        <w:rPr>
          <w:rFonts w:cstheme="minorHAnsi"/>
          <w:i/>
          <w:iCs/>
          <w:sz w:val="24"/>
          <w:szCs w:val="24"/>
        </w:rPr>
        <w:t>Intergenerationality</w:t>
      </w:r>
      <w:proofErr w:type="spellEnd"/>
      <w:r w:rsidRPr="000E5633">
        <w:rPr>
          <w:rFonts w:cstheme="minorHAnsi"/>
          <w:i/>
          <w:iCs/>
          <w:sz w:val="24"/>
          <w:szCs w:val="24"/>
        </w:rPr>
        <w:t>, and Peer Group Relations. Geographies of Children and Young People</w:t>
      </w:r>
      <w:r w:rsidRPr="000E5633">
        <w:rPr>
          <w:rFonts w:cstheme="minorHAnsi"/>
          <w:sz w:val="24"/>
          <w:szCs w:val="24"/>
        </w:rPr>
        <w:t xml:space="preserve">, vol 5. Springer, Singapore. </w:t>
      </w:r>
      <w:hyperlink r:id="rId22" w:history="1">
        <w:r w:rsidRPr="000E5633">
          <w:rPr>
            <w:rStyle w:val="Hyperlink"/>
            <w:rFonts w:cstheme="minorHAnsi"/>
            <w:sz w:val="24"/>
            <w:szCs w:val="24"/>
          </w:rPr>
          <w:t>https://doi.org/10.1007/978-981-4585-92-7_5-1</w:t>
        </w:r>
      </w:hyperlink>
      <w:r w:rsidRPr="000E5633">
        <w:rPr>
          <w:rFonts w:cstheme="minorHAnsi"/>
          <w:sz w:val="24"/>
          <w:szCs w:val="24"/>
        </w:rPr>
        <w:t xml:space="preserve"> </w:t>
      </w:r>
    </w:p>
    <w:p w14:paraId="03DB4B23" w14:textId="77777777" w:rsidR="007033DA" w:rsidRPr="000E5633" w:rsidRDefault="007033DA" w:rsidP="007033DA">
      <w:pPr>
        <w:spacing w:after="0" w:line="480" w:lineRule="auto"/>
        <w:ind w:left="720" w:hanging="720"/>
        <w:rPr>
          <w:rFonts w:cstheme="minorHAnsi"/>
          <w:sz w:val="24"/>
          <w:szCs w:val="24"/>
        </w:rPr>
      </w:pPr>
      <w:r w:rsidRPr="000E5633">
        <w:rPr>
          <w:rFonts w:cstheme="minorHAnsi"/>
          <w:sz w:val="24"/>
          <w:szCs w:val="24"/>
        </w:rPr>
        <w:t xml:space="preserve">Murayama, Y., </w:t>
      </w:r>
      <w:proofErr w:type="spellStart"/>
      <w:r w:rsidRPr="000E5633">
        <w:rPr>
          <w:rFonts w:cstheme="minorHAnsi"/>
          <w:sz w:val="24"/>
          <w:szCs w:val="24"/>
        </w:rPr>
        <w:t>Ohba</w:t>
      </w:r>
      <w:proofErr w:type="spellEnd"/>
      <w:r w:rsidRPr="000E5633">
        <w:rPr>
          <w:rFonts w:cstheme="minorHAnsi"/>
          <w:sz w:val="24"/>
          <w:szCs w:val="24"/>
        </w:rPr>
        <w:t xml:space="preserve">, H., </w:t>
      </w:r>
      <w:proofErr w:type="spellStart"/>
      <w:r w:rsidRPr="000E5633">
        <w:rPr>
          <w:rFonts w:cstheme="minorHAnsi"/>
          <w:sz w:val="24"/>
          <w:szCs w:val="24"/>
        </w:rPr>
        <w:t>Yasunaga</w:t>
      </w:r>
      <w:proofErr w:type="spellEnd"/>
      <w:r w:rsidRPr="000E5633">
        <w:rPr>
          <w:rFonts w:cstheme="minorHAnsi"/>
          <w:sz w:val="24"/>
          <w:szCs w:val="24"/>
        </w:rPr>
        <w:t xml:space="preserve">, M., Nonaka, K., Takeuchi, R., Nishi, M., Sakuma, N., Uchida, H., </w:t>
      </w:r>
      <w:proofErr w:type="spellStart"/>
      <w:r w:rsidRPr="000E5633">
        <w:rPr>
          <w:rFonts w:cstheme="minorHAnsi"/>
          <w:sz w:val="24"/>
          <w:szCs w:val="24"/>
        </w:rPr>
        <w:t>Shinkai</w:t>
      </w:r>
      <w:proofErr w:type="spellEnd"/>
      <w:r w:rsidRPr="000E5633">
        <w:rPr>
          <w:rFonts w:cstheme="minorHAnsi"/>
          <w:sz w:val="24"/>
          <w:szCs w:val="24"/>
        </w:rPr>
        <w:t xml:space="preserve">, S., &amp; Fujiwara, Y. (2015). The effect of intergenerational programs on the mental health of elderly adults. </w:t>
      </w:r>
      <w:r w:rsidRPr="000E5633">
        <w:rPr>
          <w:rFonts w:cstheme="minorHAnsi"/>
          <w:i/>
          <w:iCs/>
          <w:sz w:val="24"/>
          <w:szCs w:val="24"/>
        </w:rPr>
        <w:t>Aging &amp; mental health, 19</w:t>
      </w:r>
      <w:r w:rsidRPr="000E5633">
        <w:rPr>
          <w:rFonts w:cstheme="minorHAnsi"/>
          <w:sz w:val="24"/>
          <w:szCs w:val="24"/>
        </w:rPr>
        <w:t xml:space="preserve">(4), pp. 306–314. </w:t>
      </w:r>
      <w:hyperlink r:id="rId23" w:history="1">
        <w:r w:rsidRPr="000E5633">
          <w:rPr>
            <w:rStyle w:val="Hyperlink"/>
            <w:rFonts w:cstheme="minorHAnsi"/>
            <w:sz w:val="24"/>
            <w:szCs w:val="24"/>
          </w:rPr>
          <w:t>https://doi.org/10.1080/13607863.2014.933309</w:t>
        </w:r>
      </w:hyperlink>
      <w:r w:rsidRPr="000E5633">
        <w:rPr>
          <w:rFonts w:cstheme="minorHAnsi"/>
          <w:sz w:val="24"/>
          <w:szCs w:val="24"/>
        </w:rPr>
        <w:t xml:space="preserve"> </w:t>
      </w:r>
    </w:p>
    <w:p w14:paraId="0EDE3072" w14:textId="77777777" w:rsidR="007033DA" w:rsidRPr="004C41F2" w:rsidRDefault="007033DA" w:rsidP="007033DA">
      <w:pPr>
        <w:spacing w:after="0" w:line="480" w:lineRule="auto"/>
        <w:ind w:left="720" w:hanging="720"/>
        <w:rPr>
          <w:rFonts w:cstheme="minorHAnsi"/>
          <w:sz w:val="24"/>
          <w:szCs w:val="24"/>
        </w:rPr>
      </w:pPr>
      <w:r w:rsidRPr="000E5633">
        <w:rPr>
          <w:rFonts w:cstheme="minorHAnsi"/>
          <w:sz w:val="24"/>
          <w:szCs w:val="24"/>
        </w:rPr>
        <w:t xml:space="preserve">Pala, A. (2011). The Need For Character </w:t>
      </w:r>
      <w:proofErr w:type="gramStart"/>
      <w:r w:rsidRPr="000E5633">
        <w:rPr>
          <w:rFonts w:cstheme="minorHAnsi"/>
          <w:sz w:val="24"/>
          <w:szCs w:val="24"/>
        </w:rPr>
        <w:t>Education .</w:t>
      </w:r>
      <w:proofErr w:type="gramEnd"/>
      <w:r w:rsidRPr="000E5633">
        <w:rPr>
          <w:rFonts w:cstheme="minorHAnsi"/>
          <w:sz w:val="24"/>
          <w:szCs w:val="24"/>
        </w:rPr>
        <w:t xml:space="preserve"> </w:t>
      </w:r>
      <w:r w:rsidRPr="000E5633">
        <w:rPr>
          <w:rFonts w:cstheme="minorHAnsi"/>
          <w:i/>
          <w:iCs/>
          <w:sz w:val="24"/>
          <w:szCs w:val="24"/>
        </w:rPr>
        <w:t xml:space="preserve">International Journal of Social Sciences and Humanity </w:t>
      </w:r>
      <w:proofErr w:type="gramStart"/>
      <w:r w:rsidRPr="000E5633">
        <w:rPr>
          <w:rFonts w:cstheme="minorHAnsi"/>
          <w:i/>
          <w:iCs/>
          <w:sz w:val="24"/>
          <w:szCs w:val="24"/>
        </w:rPr>
        <w:t>Studies ,</w:t>
      </w:r>
      <w:proofErr w:type="gramEnd"/>
      <w:r w:rsidRPr="000E5633">
        <w:rPr>
          <w:rFonts w:cstheme="minorHAnsi"/>
          <w:i/>
          <w:iCs/>
          <w:sz w:val="24"/>
          <w:szCs w:val="24"/>
        </w:rPr>
        <w:t xml:space="preserve"> 3</w:t>
      </w:r>
      <w:r w:rsidRPr="000E5633">
        <w:rPr>
          <w:rFonts w:cstheme="minorHAnsi"/>
          <w:sz w:val="24"/>
          <w:szCs w:val="24"/>
        </w:rPr>
        <w:t xml:space="preserve"> (2) , pp. 23-32. Available from https://dergipark.org.tr/en/pub/ijsshs/issue/26222/276136</w:t>
      </w:r>
    </w:p>
    <w:p w14:paraId="7CF54EC2" w14:textId="77777777" w:rsidR="007033DA" w:rsidRPr="00C21BC6" w:rsidRDefault="007033DA" w:rsidP="007033DA">
      <w:pPr>
        <w:spacing w:after="0" w:line="480" w:lineRule="auto"/>
        <w:ind w:left="720" w:hanging="720"/>
        <w:rPr>
          <w:rFonts w:cstheme="minorHAnsi"/>
          <w:sz w:val="24"/>
          <w:szCs w:val="24"/>
          <w:u w:val="single"/>
          <w:lang w:val="en-US"/>
        </w:rPr>
      </w:pPr>
      <w:r w:rsidRPr="000E5633">
        <w:rPr>
          <w:rFonts w:cstheme="minorHAnsi"/>
          <w:sz w:val="24"/>
          <w:szCs w:val="24"/>
        </w:rPr>
        <w:t xml:space="preserve">Welsh Government (2015). </w:t>
      </w:r>
      <w:r w:rsidRPr="000E5633">
        <w:rPr>
          <w:rFonts w:cstheme="minorHAnsi"/>
          <w:i/>
          <w:iCs/>
          <w:sz w:val="24"/>
          <w:szCs w:val="24"/>
        </w:rPr>
        <w:t>Family and community engagement toolkit: developing community partnerships and multi-agency working</w:t>
      </w:r>
      <w:r w:rsidRPr="000E5633">
        <w:rPr>
          <w:rFonts w:cstheme="minorHAnsi"/>
          <w:sz w:val="24"/>
          <w:szCs w:val="24"/>
        </w:rPr>
        <w:t>. Available from</w:t>
      </w:r>
      <w:r>
        <w:rPr>
          <w:rFonts w:cstheme="minorHAnsi"/>
        </w:rPr>
        <w:t xml:space="preserve"> </w:t>
      </w:r>
      <w:hyperlink r:id="rId24" w:history="1">
        <w:r w:rsidR="00000000" w:rsidRPr="00C21BC6">
          <w:rPr>
            <w:rStyle w:val="Hyperlink"/>
            <w:rFonts w:cstheme="minorHAnsi"/>
            <w:sz w:val="24"/>
            <w:szCs w:val="24"/>
            <w:lang w:val="en-US"/>
          </w:rPr>
          <w:t>https://</w:t>
        </w:r>
        <w:r w:rsidR="00000000" w:rsidRPr="00C21BC6">
          <w:rPr>
            <w:rStyle w:val="Hyperlink"/>
            <w:rFonts w:cstheme="minorHAnsi"/>
            <w:sz w:val="24"/>
            <w:szCs w:val="24"/>
            <w:lang w:val="en-US"/>
          </w:rPr>
          <w:t>www.gov.wales/family-and-community-engagement-toolkit-developing-community-partnerships-and-m</w:t>
        </w:r>
        <w:r w:rsidR="00000000" w:rsidRPr="00C21BC6">
          <w:rPr>
            <w:rStyle w:val="Hyperlink"/>
            <w:rFonts w:cstheme="minorHAnsi"/>
            <w:sz w:val="24"/>
            <w:szCs w:val="24"/>
            <w:lang w:val="en-US"/>
          </w:rPr>
          <w:t>u</w:t>
        </w:r>
        <w:r w:rsidR="00000000" w:rsidRPr="00C21BC6">
          <w:rPr>
            <w:rStyle w:val="Hyperlink"/>
            <w:rFonts w:cstheme="minorHAnsi"/>
            <w:sz w:val="24"/>
            <w:szCs w:val="24"/>
            <w:lang w:val="en-US"/>
          </w:rPr>
          <w:t>lti-agency-working</w:t>
        </w:r>
      </w:hyperlink>
    </w:p>
    <w:p w14:paraId="69DB52C3" w14:textId="77777777" w:rsidR="007033DA" w:rsidRPr="000E5633" w:rsidRDefault="007033DA" w:rsidP="007033DA">
      <w:pPr>
        <w:spacing w:after="0" w:line="480" w:lineRule="auto"/>
        <w:ind w:left="720" w:hanging="720"/>
        <w:rPr>
          <w:rFonts w:cstheme="minorHAnsi"/>
          <w:sz w:val="24"/>
          <w:szCs w:val="24"/>
        </w:rPr>
      </w:pPr>
      <w:r w:rsidRPr="000E5633">
        <w:rPr>
          <w:rFonts w:cstheme="minorHAnsi"/>
          <w:sz w:val="24"/>
          <w:szCs w:val="24"/>
        </w:rPr>
        <w:t xml:space="preserve">Welsh Government (2020). Welsh Government Integrated Impact Assessment - Curriculum </w:t>
      </w:r>
      <w:proofErr w:type="gramStart"/>
      <w:r w:rsidRPr="000E5633">
        <w:rPr>
          <w:rFonts w:cstheme="minorHAnsi"/>
          <w:sz w:val="24"/>
          <w:szCs w:val="24"/>
        </w:rPr>
        <w:t>For</w:t>
      </w:r>
      <w:proofErr w:type="gramEnd"/>
      <w:r w:rsidRPr="000E5633">
        <w:rPr>
          <w:rFonts w:cstheme="minorHAnsi"/>
          <w:sz w:val="24"/>
          <w:szCs w:val="24"/>
        </w:rPr>
        <w:t xml:space="preserve"> Wales Guidance. Available from </w:t>
      </w:r>
      <w:hyperlink r:id="rId25" w:history="1">
        <w:r w:rsidRPr="004C41F2">
          <w:rPr>
            <w:rStyle w:val="Hyperlink"/>
            <w:rFonts w:cstheme="minorHAnsi"/>
            <w:sz w:val="24"/>
            <w:szCs w:val="24"/>
          </w:rPr>
          <w:t>https://www.gov.wales/sites/default/files/consultations/2020-01/welsh-government-integrat</w:t>
        </w:r>
        <w:r w:rsidRPr="004C41F2">
          <w:rPr>
            <w:rStyle w:val="Hyperlink"/>
            <w:rFonts w:cstheme="minorHAnsi"/>
            <w:sz w:val="24"/>
            <w:szCs w:val="24"/>
          </w:rPr>
          <w:t>e</w:t>
        </w:r>
        <w:r w:rsidRPr="004C41F2">
          <w:rPr>
            <w:rStyle w:val="Hyperlink"/>
            <w:rFonts w:cstheme="minorHAnsi"/>
            <w:sz w:val="24"/>
            <w:szCs w:val="24"/>
          </w:rPr>
          <w:t>d-impact-assessment.pdf</w:t>
        </w:r>
      </w:hyperlink>
    </w:p>
    <w:p w14:paraId="1E02E2D3" w14:textId="77777777" w:rsidR="007033DA" w:rsidRPr="004C41F2" w:rsidRDefault="007033DA" w:rsidP="007033DA">
      <w:pPr>
        <w:spacing w:after="0" w:line="480" w:lineRule="auto"/>
        <w:ind w:left="720" w:hanging="720"/>
        <w:rPr>
          <w:rFonts w:cstheme="minorHAnsi"/>
          <w:color w:val="000000" w:themeColor="text1"/>
          <w:sz w:val="24"/>
          <w:szCs w:val="24"/>
        </w:rPr>
      </w:pPr>
      <w:r w:rsidRPr="000E5633">
        <w:rPr>
          <w:rFonts w:cstheme="minorHAnsi"/>
          <w:sz w:val="24"/>
          <w:szCs w:val="24"/>
        </w:rPr>
        <w:t>Welsh Government (2022)</w:t>
      </w:r>
      <w:r w:rsidRPr="000E5633">
        <w:rPr>
          <w:rFonts w:cstheme="minorHAnsi"/>
          <w:color w:val="000000" w:themeColor="text1"/>
          <w:sz w:val="24"/>
          <w:szCs w:val="24"/>
        </w:rPr>
        <w:t xml:space="preserve">. Curriculum for Wales Guidance. Available from </w:t>
      </w:r>
      <w:hyperlink r:id="rId26" w:history="1">
        <w:r w:rsidRPr="000E5633">
          <w:rPr>
            <w:rStyle w:val="Hyperlink"/>
            <w:rFonts w:cstheme="minorHAnsi"/>
            <w:color w:val="000000" w:themeColor="text1"/>
            <w:sz w:val="24"/>
            <w:szCs w:val="24"/>
          </w:rPr>
          <w:t>https://hwb.gov.wales/curriculum-for-wales/</w:t>
        </w:r>
      </w:hyperlink>
      <w:r w:rsidRPr="000E5633">
        <w:rPr>
          <w:rFonts w:cstheme="minorHAnsi"/>
          <w:color w:val="000000" w:themeColor="text1"/>
          <w:sz w:val="24"/>
          <w:szCs w:val="24"/>
        </w:rPr>
        <w:t xml:space="preserve"> </w:t>
      </w: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5696C1" w14:textId="77777777" w:rsidR="003E34CC" w:rsidRDefault="003E34CC" w:rsidP="00E611D9">
      <w:pPr>
        <w:spacing w:after="0" w:line="240" w:lineRule="auto"/>
      </w:pPr>
      <w:r>
        <w:separator/>
      </w:r>
    </w:p>
  </w:endnote>
  <w:endnote w:type="continuationSeparator" w:id="0">
    <w:p w14:paraId="2D5EDB75" w14:textId="77777777" w:rsidR="003E34CC" w:rsidRDefault="003E34CC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5AA831" w14:textId="77777777" w:rsidR="003E34CC" w:rsidRDefault="003E34CC" w:rsidP="00E611D9">
      <w:pPr>
        <w:spacing w:after="0" w:line="240" w:lineRule="auto"/>
      </w:pPr>
      <w:r>
        <w:separator/>
      </w:r>
    </w:p>
  </w:footnote>
  <w:footnote w:type="continuationSeparator" w:id="0">
    <w:p w14:paraId="1708DC02" w14:textId="77777777" w:rsidR="003E34CC" w:rsidRDefault="003E34CC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01912B0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7033DA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1E44F3CA" w:rsidR="00E611D9" w:rsidRPr="00E611D9" w:rsidRDefault="00E611D9" w:rsidP="007033DA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7033DA">
            <w:rPr>
              <w:rFonts w:ascii="Arial" w:hAnsi="Arial" w:cs="Arial"/>
            </w:rPr>
            <w:t xml:space="preserve">Student </w:t>
          </w:r>
          <w:r>
            <w:rPr>
              <w:rFonts w:ascii="Arial" w:hAnsi="Arial" w:cs="Arial"/>
            </w:rPr>
            <w:t>Number:</w:t>
          </w:r>
          <w:r w:rsidR="007033DA">
            <w:rPr>
              <w:rFonts w:ascii="Arial" w:hAnsi="Arial" w:cs="Arial"/>
            </w:rPr>
            <w:t xml:space="preserve"> 2203181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B567F"/>
    <w:rsid w:val="003E34CC"/>
    <w:rsid w:val="003E55AE"/>
    <w:rsid w:val="00433F17"/>
    <w:rsid w:val="005956FB"/>
    <w:rsid w:val="006419C3"/>
    <w:rsid w:val="006477C8"/>
    <w:rsid w:val="00691A46"/>
    <w:rsid w:val="006B5861"/>
    <w:rsid w:val="007033DA"/>
    <w:rsid w:val="00817F7A"/>
    <w:rsid w:val="00877A8E"/>
    <w:rsid w:val="009A0ECE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033DA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7033DA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7033D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doi.org/10.1177/003172171009200326" TargetMode="External"/><Relationship Id="rId18" Type="http://schemas.openxmlformats.org/officeDocument/2006/relationships/hyperlink" Target="https://doi.org/10.1007/s10433-018-00497-4" TargetMode="External"/><Relationship Id="rId26" Type="http://schemas.openxmlformats.org/officeDocument/2006/relationships/hyperlink" Target="https://hwb.gov.wales/curriculum-for-wales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111/j.1742-7924.2010.00164.x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doi.org/10.1111/josi.12551" TargetMode="External"/><Relationship Id="rId17" Type="http://schemas.openxmlformats.org/officeDocument/2006/relationships/hyperlink" Target="https://www.futuregenerations.wales/wp-content/uploads/2020/07/At-A-Glance-FG-Report.pdf" TargetMode="External"/><Relationship Id="rId25" Type="http://schemas.openxmlformats.org/officeDocument/2006/relationships/hyperlink" Target="https://www.gov.wales/sites/default/files/consultations/2020-01/welsh-government-integrated-impact-assessment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futuregenerations2020.wales/english?category=global" TargetMode="External"/><Relationship Id="rId20" Type="http://schemas.openxmlformats.org/officeDocument/2006/relationships/hyperlink" Target="https://doi.org/10.1007/s10643-009-0329-9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gov.wales/sites/default/files/publications/2018-03/successful-futures.pdf" TargetMode="External"/><Relationship Id="rId24" Type="http://schemas.openxmlformats.org/officeDocument/2006/relationships/hyperlink" Target="https://www.gov.wales/family-and-community-engagement-toolkit-developing-community-partnerships-and-multi-agency-working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estyn.gov.wales/thematic-report/community-schools-families-and-communities-heart-school-life" TargetMode="External"/><Relationship Id="rId23" Type="http://schemas.openxmlformats.org/officeDocument/2006/relationships/hyperlink" Target="https://doi.org/10.1080/13607863.2014.933309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doi.org/10.1017/CBO9780511973697.008" TargetMode="External"/><Relationship Id="rId19" Type="http://schemas.openxmlformats.org/officeDocument/2006/relationships/hyperlink" Target="https://doi.org/10.1016/j.sbspro.2015.01.942" TargetMode="External"/><Relationship Id="rId4" Type="http://schemas.openxmlformats.org/officeDocument/2006/relationships/styles" Target="styles.xml"/><Relationship Id="rId9" Type="http://schemas.openxmlformats.org/officeDocument/2006/relationships/hyperlink" Target="https://doi.org/10.33790/jphip1100170" TargetMode="External"/><Relationship Id="rId14" Type="http://schemas.openxmlformats.org/officeDocument/2006/relationships/hyperlink" Target="https://www.estyn.gov.wales/node/14503" TargetMode="External"/><Relationship Id="rId22" Type="http://schemas.openxmlformats.org/officeDocument/2006/relationships/hyperlink" Target="https://doi.org/10.1007/978-981-4585-92-7_5-1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865</Words>
  <Characters>4933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Emma Morris (2203181)</cp:lastModifiedBy>
  <cp:revision>2</cp:revision>
  <dcterms:created xsi:type="dcterms:W3CDTF">2023-04-17T20:16:00Z</dcterms:created>
  <dcterms:modified xsi:type="dcterms:W3CDTF">2023-04-17T20:16:00Z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