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5EB83" w14:textId="77777777" w:rsidR="00221CAD" w:rsidRDefault="00000000">
      <w:pPr>
        <w:spacing w:before="100" w:beforeAutospacing="1" w:after="100" w:afterAutospacing="1" w:line="240" w:lineRule="auto"/>
        <w:jc w:val="center"/>
        <w:outlineLvl w:val="1"/>
        <w:rPr>
          <w:rFonts w:eastAsia="Times New Roman" w:cstheme="minorHAnsi"/>
          <w:b/>
          <w:bCs/>
          <w:sz w:val="56"/>
          <w:szCs w:val="56"/>
        </w:rPr>
      </w:pPr>
      <w:bookmarkStart w:id="0" w:name="_Toc215715571"/>
      <w:bookmarkStart w:id="1" w:name="_Toc215715764"/>
      <w:r>
        <w:rPr>
          <w:rFonts w:eastAsia="Times New Roman" w:cstheme="minorHAnsi"/>
          <w:b/>
          <w:bCs/>
          <w:sz w:val="56"/>
          <w:szCs w:val="56"/>
        </w:rPr>
        <w:t>REPORT: NETWORK SECURITY MODERNIZATION FOR VTAM</w:t>
      </w:r>
      <w:bookmarkEnd w:id="0"/>
      <w:bookmarkEnd w:id="1"/>
    </w:p>
    <w:p w14:paraId="2DB8D7F5" w14:textId="77777777" w:rsidR="00221CAD" w:rsidRDefault="00870F0E">
      <w:pPr>
        <w:spacing w:after="0" w:line="240" w:lineRule="auto"/>
        <w:rPr>
          <w:rFonts w:eastAsia="Times New Roman" w:cstheme="minorHAnsi"/>
          <w:sz w:val="24"/>
          <w:szCs w:val="24"/>
        </w:rPr>
      </w:pPr>
      <w:r w:rsidRPr="00870F0E">
        <w:rPr>
          <w:rFonts w:eastAsia="Times New Roman" w:cstheme="minorHAnsi"/>
          <w:noProof/>
          <w:sz w:val="24"/>
          <w:szCs w:val="24"/>
        </w:rPr>
        <w:pict w14:anchorId="06F192E5">
          <v:rect id="_x0000_i1026" alt="" style="width:451.3pt;height:.05pt;mso-width-percent:0;mso-height-percent:0;mso-width-percent:0;mso-height-percent:0" o:hralign="center" o:hrstd="t" o:hr="t" fillcolor="#a0a0a0" stroked="f"/>
        </w:pict>
      </w:r>
    </w:p>
    <w:p w14:paraId="2741A3E7" w14:textId="77777777" w:rsidR="00221CAD" w:rsidRDefault="00000000">
      <w:pPr>
        <w:spacing w:before="100" w:beforeAutospacing="1" w:after="100" w:afterAutospacing="1" w:line="240" w:lineRule="auto"/>
        <w:jc w:val="center"/>
        <w:rPr>
          <w:rFonts w:eastAsia="Times New Roman" w:cstheme="minorHAnsi"/>
          <w:sz w:val="24"/>
          <w:szCs w:val="24"/>
        </w:rPr>
      </w:pPr>
      <w:r>
        <w:rPr>
          <w:rFonts w:eastAsia="Times New Roman" w:cstheme="minorHAnsi"/>
          <w:b/>
          <w:bCs/>
          <w:sz w:val="34"/>
          <w:szCs w:val="34"/>
        </w:rPr>
        <w:t>LEVEL 4 ASSESSMENT REPORT</w:t>
      </w:r>
      <w:r>
        <w:rPr>
          <w:rFonts w:eastAsia="Times New Roman" w:cstheme="minorHAnsi"/>
          <w:sz w:val="34"/>
          <w:szCs w:val="34"/>
        </w:rPr>
        <w:br/>
      </w:r>
      <w:r>
        <w:rPr>
          <w:rFonts w:eastAsia="Times New Roman" w:cstheme="minorHAnsi"/>
          <w:b/>
          <w:bCs/>
          <w:sz w:val="34"/>
          <w:szCs w:val="34"/>
        </w:rPr>
        <w:t>Module:</w:t>
      </w:r>
      <w:r>
        <w:rPr>
          <w:rFonts w:eastAsia="Times New Roman" w:cstheme="minorHAnsi"/>
          <w:sz w:val="34"/>
          <w:szCs w:val="34"/>
        </w:rPr>
        <w:t xml:space="preserve"> Networks and Cyber Security Essentials (ACCA4024)</w:t>
      </w:r>
      <w:r>
        <w:rPr>
          <w:rFonts w:eastAsia="Times New Roman" w:cstheme="minorHAnsi"/>
          <w:sz w:val="24"/>
          <w:szCs w:val="24"/>
        </w:rPr>
        <w:br/>
      </w:r>
      <w:r>
        <w:rPr>
          <w:rFonts w:eastAsia="Times New Roman" w:cstheme="minorHAnsi"/>
          <w:b/>
          <w:bCs/>
          <w:sz w:val="24"/>
          <w:szCs w:val="24"/>
        </w:rPr>
        <w:t>Assignment:</w:t>
      </w:r>
      <w:r>
        <w:rPr>
          <w:rFonts w:eastAsia="Times New Roman" w:cstheme="minorHAnsi"/>
          <w:sz w:val="24"/>
          <w:szCs w:val="24"/>
        </w:rPr>
        <w:t xml:space="preserve"> Synthesize a Solution to a Potential Real-Life Scenario</w:t>
      </w:r>
    </w:p>
    <w:p w14:paraId="1C399CDA" w14:textId="77777777" w:rsidR="00221CAD" w:rsidRDefault="00221CAD">
      <w:pPr>
        <w:spacing w:before="100" w:beforeAutospacing="1" w:after="100" w:afterAutospacing="1" w:line="480" w:lineRule="auto"/>
        <w:rPr>
          <w:rFonts w:eastAsia="Times New Roman" w:cstheme="minorHAnsi"/>
          <w:sz w:val="24"/>
          <w:szCs w:val="24"/>
        </w:rPr>
      </w:pPr>
    </w:p>
    <w:p w14:paraId="6943190E" w14:textId="0C9D8336" w:rsidR="00221CAD" w:rsidRDefault="00000000">
      <w:pPr>
        <w:spacing w:before="100" w:beforeAutospacing="1" w:after="100" w:afterAutospacing="1" w:line="480" w:lineRule="auto"/>
        <w:rPr>
          <w:rFonts w:eastAsia="Times New Roman" w:cstheme="minorHAnsi"/>
          <w:b/>
          <w:bCs/>
          <w:sz w:val="32"/>
          <w:szCs w:val="32"/>
        </w:rPr>
      </w:pPr>
      <w:r>
        <w:rPr>
          <w:rFonts w:eastAsia="Times New Roman" w:cstheme="minorHAnsi"/>
          <w:sz w:val="24"/>
          <w:szCs w:val="24"/>
        </w:rPr>
        <w:br/>
      </w:r>
      <w:r>
        <w:rPr>
          <w:rFonts w:eastAsia="Times New Roman" w:cstheme="minorHAnsi"/>
          <w:b/>
          <w:bCs/>
          <w:sz w:val="32"/>
          <w:szCs w:val="32"/>
        </w:rPr>
        <w:t>Student Name:</w:t>
      </w:r>
      <w:r>
        <w:rPr>
          <w:rFonts w:eastAsia="Times New Roman" w:cstheme="minorHAnsi"/>
          <w:sz w:val="32"/>
          <w:szCs w:val="32"/>
        </w:rPr>
        <w:t xml:space="preserve"> </w:t>
      </w:r>
      <w:r w:rsidR="0083708F">
        <w:rPr>
          <w:rFonts w:eastAsia="Times New Roman" w:cstheme="minorHAnsi"/>
          <w:sz w:val="32"/>
          <w:szCs w:val="32"/>
        </w:rPr>
        <w:t>Zeeshan Ahmad Paracha</w:t>
      </w:r>
      <w:r>
        <w:rPr>
          <w:rFonts w:eastAsia="Times New Roman" w:cstheme="minorHAnsi"/>
          <w:sz w:val="32"/>
          <w:szCs w:val="32"/>
        </w:rPr>
        <w:br/>
      </w:r>
      <w:r>
        <w:rPr>
          <w:rFonts w:eastAsia="Times New Roman" w:cstheme="minorHAnsi"/>
          <w:b/>
          <w:bCs/>
          <w:sz w:val="32"/>
          <w:szCs w:val="32"/>
        </w:rPr>
        <w:t>Student ID:</w:t>
      </w:r>
      <w:r>
        <w:rPr>
          <w:rFonts w:eastAsia="Times New Roman" w:cstheme="minorHAnsi"/>
          <w:sz w:val="32"/>
          <w:szCs w:val="32"/>
        </w:rPr>
        <w:t xml:space="preserve"> </w:t>
      </w:r>
      <w:r w:rsidR="0083708F">
        <w:rPr>
          <w:rFonts w:eastAsia="Times New Roman" w:cstheme="minorHAnsi"/>
          <w:sz w:val="32"/>
          <w:szCs w:val="32"/>
        </w:rPr>
        <w:t>2429949</w:t>
      </w:r>
      <w:r>
        <w:rPr>
          <w:rFonts w:eastAsia="Times New Roman" w:cstheme="minorHAnsi"/>
          <w:sz w:val="32"/>
          <w:szCs w:val="32"/>
        </w:rPr>
        <w:br/>
      </w:r>
      <w:r>
        <w:rPr>
          <w:rFonts w:eastAsia="Times New Roman" w:cstheme="minorHAnsi"/>
          <w:b/>
          <w:bCs/>
          <w:sz w:val="32"/>
          <w:szCs w:val="32"/>
        </w:rPr>
        <w:t>Lecturer:</w:t>
      </w:r>
      <w:r>
        <w:rPr>
          <w:rFonts w:eastAsia="Times New Roman" w:cstheme="minorHAnsi"/>
          <w:sz w:val="32"/>
          <w:szCs w:val="32"/>
        </w:rPr>
        <w:t xml:space="preserve"> Amit Naik, Kwame</w:t>
      </w:r>
      <w:r>
        <w:rPr>
          <w:rFonts w:eastAsia="Times New Roman" w:cstheme="minorHAnsi"/>
          <w:sz w:val="32"/>
          <w:szCs w:val="32"/>
        </w:rPr>
        <w:br/>
      </w:r>
      <w:r>
        <w:rPr>
          <w:rFonts w:eastAsia="Times New Roman" w:cstheme="minorHAnsi"/>
          <w:b/>
          <w:bCs/>
          <w:sz w:val="32"/>
          <w:szCs w:val="32"/>
        </w:rPr>
        <w:t>Submission Date:</w:t>
      </w:r>
      <w:r>
        <w:rPr>
          <w:rFonts w:eastAsia="Times New Roman" w:cstheme="minorHAnsi"/>
          <w:sz w:val="32"/>
          <w:szCs w:val="32"/>
        </w:rPr>
        <w:t xml:space="preserve"> 18/12/2025</w:t>
      </w:r>
    </w:p>
    <w:p w14:paraId="4E252153" w14:textId="77777777" w:rsidR="00221CAD" w:rsidRDefault="00221CAD">
      <w:pPr>
        <w:spacing w:after="0" w:line="240" w:lineRule="auto"/>
        <w:rPr>
          <w:rFonts w:eastAsia="Times New Roman" w:cstheme="minorHAnsi"/>
          <w:sz w:val="24"/>
          <w:szCs w:val="24"/>
        </w:rPr>
      </w:pPr>
    </w:p>
    <w:p w14:paraId="017C54EF" w14:textId="77777777" w:rsidR="00221CAD" w:rsidRDefault="00221CAD">
      <w:pPr>
        <w:spacing w:after="0" w:line="240" w:lineRule="auto"/>
        <w:rPr>
          <w:rFonts w:eastAsia="Times New Roman" w:cstheme="minorHAnsi"/>
          <w:sz w:val="24"/>
          <w:szCs w:val="24"/>
        </w:rPr>
      </w:pPr>
    </w:p>
    <w:p w14:paraId="19D2F7E5" w14:textId="77777777" w:rsidR="00221CAD" w:rsidRDefault="00221CAD">
      <w:pPr>
        <w:spacing w:after="0" w:line="240" w:lineRule="auto"/>
        <w:rPr>
          <w:rFonts w:eastAsia="Times New Roman" w:cstheme="minorHAnsi"/>
          <w:sz w:val="24"/>
          <w:szCs w:val="24"/>
        </w:rPr>
      </w:pPr>
    </w:p>
    <w:p w14:paraId="4D7CBFF8" w14:textId="77777777" w:rsidR="00221CAD" w:rsidRDefault="00221CAD">
      <w:pPr>
        <w:spacing w:after="0" w:line="240" w:lineRule="auto"/>
        <w:rPr>
          <w:rFonts w:eastAsia="Times New Roman" w:cstheme="minorHAnsi"/>
          <w:sz w:val="24"/>
          <w:szCs w:val="24"/>
        </w:rPr>
      </w:pPr>
    </w:p>
    <w:p w14:paraId="45DD5FC7" w14:textId="77777777" w:rsidR="00221CAD" w:rsidRDefault="00221CAD">
      <w:pPr>
        <w:spacing w:after="0" w:line="240" w:lineRule="auto"/>
        <w:rPr>
          <w:rFonts w:eastAsia="Times New Roman" w:cstheme="minorHAnsi"/>
          <w:sz w:val="24"/>
          <w:szCs w:val="24"/>
        </w:rPr>
      </w:pPr>
    </w:p>
    <w:p w14:paraId="58B02CE2" w14:textId="77777777" w:rsidR="00221CAD" w:rsidRDefault="00221CAD">
      <w:pPr>
        <w:spacing w:after="0" w:line="240" w:lineRule="auto"/>
        <w:rPr>
          <w:rFonts w:eastAsia="Times New Roman" w:cstheme="minorHAnsi"/>
          <w:sz w:val="24"/>
          <w:szCs w:val="24"/>
        </w:rPr>
      </w:pPr>
    </w:p>
    <w:p w14:paraId="79B6C0E6" w14:textId="77777777" w:rsidR="00221CAD" w:rsidRDefault="00221CAD">
      <w:pPr>
        <w:spacing w:after="0" w:line="240" w:lineRule="auto"/>
        <w:rPr>
          <w:rFonts w:eastAsia="Times New Roman" w:cstheme="minorHAnsi"/>
          <w:sz w:val="24"/>
          <w:szCs w:val="24"/>
        </w:rPr>
      </w:pPr>
    </w:p>
    <w:p w14:paraId="73133FD9" w14:textId="77777777" w:rsidR="00221CAD" w:rsidRDefault="00221CAD">
      <w:pPr>
        <w:spacing w:after="0" w:line="240" w:lineRule="auto"/>
        <w:rPr>
          <w:rFonts w:eastAsia="Times New Roman" w:cstheme="minorHAnsi"/>
          <w:sz w:val="24"/>
          <w:szCs w:val="24"/>
        </w:rPr>
      </w:pPr>
    </w:p>
    <w:p w14:paraId="44855142" w14:textId="77777777" w:rsidR="00221CAD" w:rsidRDefault="00221CAD">
      <w:pPr>
        <w:spacing w:after="0" w:line="240" w:lineRule="auto"/>
        <w:rPr>
          <w:rFonts w:eastAsia="Times New Roman" w:cstheme="minorHAnsi"/>
          <w:sz w:val="24"/>
          <w:szCs w:val="24"/>
        </w:rPr>
      </w:pPr>
    </w:p>
    <w:p w14:paraId="498B1A55" w14:textId="77777777" w:rsidR="00221CAD" w:rsidRDefault="00221CAD">
      <w:pPr>
        <w:spacing w:after="0" w:line="240" w:lineRule="auto"/>
        <w:rPr>
          <w:rFonts w:eastAsia="Times New Roman" w:cstheme="minorHAnsi"/>
          <w:sz w:val="24"/>
          <w:szCs w:val="24"/>
        </w:rPr>
      </w:pPr>
    </w:p>
    <w:p w14:paraId="787E020C" w14:textId="77777777" w:rsidR="00221CAD" w:rsidRDefault="00221CAD">
      <w:pPr>
        <w:spacing w:after="0" w:line="240" w:lineRule="auto"/>
        <w:rPr>
          <w:rFonts w:eastAsia="Times New Roman" w:cstheme="minorHAnsi"/>
          <w:sz w:val="24"/>
          <w:szCs w:val="24"/>
        </w:rPr>
      </w:pPr>
    </w:p>
    <w:p w14:paraId="15217807" w14:textId="77777777" w:rsidR="00221CAD" w:rsidRDefault="00221CAD">
      <w:pPr>
        <w:spacing w:after="0" w:line="240" w:lineRule="auto"/>
        <w:rPr>
          <w:rFonts w:eastAsia="Times New Roman" w:cstheme="minorHAnsi"/>
          <w:sz w:val="24"/>
          <w:szCs w:val="24"/>
        </w:rPr>
      </w:pPr>
    </w:p>
    <w:p w14:paraId="40066D26" w14:textId="77777777" w:rsidR="00221CAD" w:rsidRDefault="00221CAD">
      <w:pPr>
        <w:spacing w:after="0" w:line="240" w:lineRule="auto"/>
        <w:rPr>
          <w:rFonts w:eastAsia="Times New Roman" w:cstheme="minorHAnsi"/>
          <w:sz w:val="24"/>
          <w:szCs w:val="24"/>
        </w:rPr>
      </w:pPr>
    </w:p>
    <w:p w14:paraId="51962505" w14:textId="77777777" w:rsidR="00221CAD" w:rsidRDefault="00221CAD">
      <w:pPr>
        <w:spacing w:after="0" w:line="240" w:lineRule="auto"/>
        <w:rPr>
          <w:rFonts w:eastAsia="Times New Roman" w:cstheme="minorHAnsi"/>
          <w:sz w:val="24"/>
          <w:szCs w:val="24"/>
        </w:rPr>
      </w:pPr>
    </w:p>
    <w:p w14:paraId="0816FEF8" w14:textId="77777777" w:rsidR="00221CAD" w:rsidRDefault="00870F0E">
      <w:pPr>
        <w:spacing w:after="0" w:line="360" w:lineRule="auto"/>
        <w:rPr>
          <w:rFonts w:eastAsia="Times New Roman" w:cstheme="minorHAnsi"/>
          <w:sz w:val="24"/>
          <w:szCs w:val="24"/>
        </w:rPr>
      </w:pPr>
      <w:r w:rsidRPr="00870F0E">
        <w:rPr>
          <w:rFonts w:eastAsia="Times New Roman" w:cstheme="minorHAnsi"/>
          <w:noProof/>
          <w:sz w:val="24"/>
          <w:szCs w:val="24"/>
        </w:rPr>
        <w:pict w14:anchorId="4A3E52D3">
          <v:rect id="_x0000_i1025" alt="" style="width:451.3pt;height:.05pt;mso-width-percent:0;mso-height-percent:0;mso-width-percent:0;mso-height-percent:0" o:hralign="center" o:hrstd="t" o:hr="t" fillcolor="#a0a0a0" stroked="f"/>
        </w:pict>
      </w:r>
    </w:p>
    <w:p w14:paraId="754034E0"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2" w:name="_Toc215715765"/>
      <w:r>
        <w:rPr>
          <w:rFonts w:eastAsia="Times New Roman" w:cstheme="minorHAnsi"/>
          <w:b/>
          <w:bCs/>
          <w:sz w:val="27"/>
          <w:szCs w:val="27"/>
        </w:rPr>
        <w:lastRenderedPageBreak/>
        <w:t>ABSTRACT</w:t>
      </w:r>
      <w:bookmarkEnd w:id="2"/>
    </w:p>
    <w:p w14:paraId="3B396BD6"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This report presents a modernization plan of cybersecurity in Vigilant Trust and Asset Management (VTAM) due to the occurrence of security attacks. With the background of the Zero Trust security model and consistent with the existing models, such as the NIST Cybersecurity Framework and the ISO 27001, the proposed plan will cover all the threats, including Ransomware-as-a-Service (RaaS), AI-enabled social exploitation, and supply chain breaching. It offers applicable policy recommendations, technical mitigation guidelines, proactive/incident response plan that includes proactive monitoring, and a perpetual security awareness program. This is aimed at improving the security posture of VTAM and safeguards sensitive financial data and inculcating a culture of resilience within a moving threat environment.</w:t>
      </w:r>
    </w:p>
    <w:p w14:paraId="24EAD154"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5F6D3C29"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7CA9D705"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1AAACAC3"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25315C8E"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71B87286"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4C0E6EB2"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60B991C8"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4A1A8DCE"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77BF041B" w14:textId="77777777" w:rsidR="00221CAD" w:rsidRDefault="00221CAD">
      <w:pPr>
        <w:spacing w:before="100" w:beforeAutospacing="1" w:after="100" w:afterAutospacing="1" w:line="360" w:lineRule="auto"/>
        <w:outlineLvl w:val="2"/>
        <w:rPr>
          <w:rFonts w:eastAsia="Times New Roman" w:cstheme="minorHAnsi"/>
          <w:b/>
          <w:bCs/>
          <w:sz w:val="27"/>
          <w:szCs w:val="27"/>
        </w:rPr>
      </w:pPr>
    </w:p>
    <w:sdt>
      <w:sdtPr>
        <w:rPr>
          <w:rFonts w:asciiTheme="minorHAnsi" w:eastAsiaTheme="minorHAnsi" w:hAnsiTheme="minorHAnsi" w:cstheme="minorHAnsi"/>
          <w:b w:val="0"/>
          <w:bCs w:val="0"/>
          <w:color w:val="auto"/>
          <w:sz w:val="22"/>
          <w:szCs w:val="22"/>
          <w:lang w:eastAsia="en-US"/>
        </w:rPr>
        <w:id w:val="1375355574"/>
        <w:docPartObj>
          <w:docPartGallery w:val="Table of Contents"/>
          <w:docPartUnique/>
        </w:docPartObj>
      </w:sdtPr>
      <w:sdtEndPr>
        <w:rPr>
          <w:sz w:val="26"/>
          <w:szCs w:val="26"/>
        </w:rPr>
      </w:sdtEndPr>
      <w:sdtContent>
        <w:p w14:paraId="760D6BB4" w14:textId="77777777" w:rsidR="00221CAD" w:rsidRDefault="00000000">
          <w:pPr>
            <w:pStyle w:val="TOCHeading1"/>
            <w:jc w:val="center"/>
            <w:rPr>
              <w:rFonts w:asciiTheme="minorHAnsi" w:hAnsiTheme="minorHAnsi" w:cstheme="minorHAnsi"/>
            </w:rPr>
          </w:pPr>
          <w:r>
            <w:rPr>
              <w:rFonts w:asciiTheme="minorHAnsi" w:hAnsiTheme="minorHAnsi" w:cstheme="minorHAnsi"/>
            </w:rPr>
            <w:t>Table of Contents</w:t>
          </w:r>
        </w:p>
        <w:p w14:paraId="7BE9C7CE" w14:textId="77777777" w:rsidR="00221CAD" w:rsidRDefault="00000000">
          <w:pPr>
            <w:pStyle w:val="TOC2"/>
            <w:tabs>
              <w:tab w:val="right" w:leader="dot" w:pos="9350"/>
            </w:tabs>
            <w:spacing w:line="360" w:lineRule="auto"/>
            <w:rPr>
              <w:rFonts w:eastAsiaTheme="minorEastAsia"/>
            </w:rPr>
          </w:pPr>
          <w:r>
            <w:rPr>
              <w:rFonts w:cstheme="minorHAnsi"/>
              <w:sz w:val="26"/>
              <w:szCs w:val="26"/>
            </w:rPr>
            <w:fldChar w:fldCharType="begin"/>
          </w:r>
          <w:r>
            <w:rPr>
              <w:rFonts w:cstheme="minorHAnsi"/>
              <w:sz w:val="26"/>
              <w:szCs w:val="26"/>
            </w:rPr>
            <w:instrText xml:space="preserve"> TOC \o "1-3" \h \z \u </w:instrText>
          </w:r>
          <w:r>
            <w:rPr>
              <w:rFonts w:cstheme="minorHAnsi"/>
              <w:sz w:val="26"/>
              <w:szCs w:val="26"/>
            </w:rPr>
            <w:fldChar w:fldCharType="separate"/>
          </w:r>
        </w:p>
        <w:p w14:paraId="52A32DEF" w14:textId="77777777" w:rsidR="00221CAD" w:rsidRDefault="00000000">
          <w:pPr>
            <w:pStyle w:val="TOC3"/>
            <w:spacing w:line="360" w:lineRule="auto"/>
            <w:rPr>
              <w:rFonts w:eastAsiaTheme="minorEastAsia"/>
            </w:rPr>
          </w:pPr>
          <w:hyperlink w:anchor="_Toc215715765" w:history="1">
            <w:r>
              <w:rPr>
                <w:rStyle w:val="Hyperlink"/>
                <w:rFonts w:eastAsia="Times New Roman" w:cstheme="minorHAnsi"/>
                <w:bCs/>
              </w:rPr>
              <w:t>ABSTRACT</w:t>
            </w:r>
            <w:r>
              <w:tab/>
            </w:r>
            <w:r>
              <w:fldChar w:fldCharType="begin"/>
            </w:r>
            <w:r>
              <w:instrText xml:space="preserve"> PAGEREF _Toc215715765 \h </w:instrText>
            </w:r>
            <w:r>
              <w:fldChar w:fldCharType="separate"/>
            </w:r>
            <w:r>
              <w:t>2</w:t>
            </w:r>
            <w:r>
              <w:fldChar w:fldCharType="end"/>
            </w:r>
          </w:hyperlink>
        </w:p>
        <w:p w14:paraId="59260CA7" w14:textId="77777777" w:rsidR="00221CAD" w:rsidRDefault="00000000">
          <w:pPr>
            <w:pStyle w:val="TOC3"/>
            <w:spacing w:line="360" w:lineRule="auto"/>
            <w:rPr>
              <w:rFonts w:eastAsiaTheme="minorEastAsia"/>
            </w:rPr>
          </w:pPr>
          <w:hyperlink w:anchor="_Toc215715766" w:history="1">
            <w:r>
              <w:rPr>
                <w:rStyle w:val="Hyperlink"/>
                <w:rFonts w:eastAsia="Times New Roman" w:cstheme="minorHAnsi"/>
                <w:bCs/>
              </w:rPr>
              <w:t>1. INTRODUCTION</w:t>
            </w:r>
            <w:r>
              <w:tab/>
            </w:r>
            <w:r>
              <w:fldChar w:fldCharType="begin"/>
            </w:r>
            <w:r>
              <w:instrText xml:space="preserve"> PAGEREF _Toc215715766 \h </w:instrText>
            </w:r>
            <w:r>
              <w:fldChar w:fldCharType="separate"/>
            </w:r>
            <w:r>
              <w:t>4</w:t>
            </w:r>
            <w:r>
              <w:fldChar w:fldCharType="end"/>
            </w:r>
          </w:hyperlink>
        </w:p>
        <w:p w14:paraId="23C052EA" w14:textId="77777777" w:rsidR="00221CAD" w:rsidRDefault="00000000">
          <w:pPr>
            <w:pStyle w:val="TOC3"/>
            <w:spacing w:line="360" w:lineRule="auto"/>
            <w:rPr>
              <w:rFonts w:eastAsiaTheme="minorEastAsia"/>
            </w:rPr>
          </w:pPr>
          <w:hyperlink w:anchor="_Toc215715767" w:history="1">
            <w:r>
              <w:rPr>
                <w:rStyle w:val="Hyperlink"/>
                <w:rFonts w:eastAsia="Times New Roman" w:cstheme="minorHAnsi"/>
                <w:bCs/>
              </w:rPr>
              <w:t>2. IDENTIFICATION OF MODERN THREATS</w:t>
            </w:r>
            <w:r>
              <w:tab/>
            </w:r>
            <w:r>
              <w:fldChar w:fldCharType="begin"/>
            </w:r>
            <w:r>
              <w:instrText xml:space="preserve"> PAGEREF _Toc215715767 \h </w:instrText>
            </w:r>
            <w:r>
              <w:fldChar w:fldCharType="separate"/>
            </w:r>
            <w:r>
              <w:t>4</w:t>
            </w:r>
            <w:r>
              <w:fldChar w:fldCharType="end"/>
            </w:r>
          </w:hyperlink>
        </w:p>
        <w:p w14:paraId="2439923B" w14:textId="77777777" w:rsidR="00221CAD" w:rsidRDefault="00000000">
          <w:pPr>
            <w:pStyle w:val="TOC2"/>
            <w:tabs>
              <w:tab w:val="right" w:leader="dot" w:pos="9350"/>
            </w:tabs>
            <w:spacing w:line="360" w:lineRule="auto"/>
            <w:rPr>
              <w:rFonts w:eastAsiaTheme="minorEastAsia"/>
            </w:rPr>
          </w:pPr>
          <w:hyperlink w:anchor="_Toc215715768" w:history="1">
            <w:r>
              <w:rPr>
                <w:rStyle w:val="Hyperlink"/>
                <w:rFonts w:cstheme="minorHAnsi"/>
              </w:rPr>
              <w:t>2.1 External Threats</w:t>
            </w:r>
            <w:r>
              <w:tab/>
            </w:r>
            <w:r>
              <w:fldChar w:fldCharType="begin"/>
            </w:r>
            <w:r>
              <w:instrText xml:space="preserve"> PAGEREF _Toc215715768 \h </w:instrText>
            </w:r>
            <w:r>
              <w:fldChar w:fldCharType="separate"/>
            </w:r>
            <w:r>
              <w:t>4</w:t>
            </w:r>
            <w:r>
              <w:fldChar w:fldCharType="end"/>
            </w:r>
          </w:hyperlink>
        </w:p>
        <w:p w14:paraId="4FABB640" w14:textId="77777777" w:rsidR="00221CAD" w:rsidRDefault="00000000">
          <w:pPr>
            <w:pStyle w:val="TOC2"/>
            <w:tabs>
              <w:tab w:val="right" w:leader="dot" w:pos="9350"/>
            </w:tabs>
            <w:spacing w:line="360" w:lineRule="auto"/>
            <w:rPr>
              <w:rFonts w:eastAsiaTheme="minorEastAsia"/>
            </w:rPr>
          </w:pPr>
          <w:hyperlink w:anchor="_Toc215715769" w:history="1">
            <w:r>
              <w:rPr>
                <w:rStyle w:val="Hyperlink"/>
                <w:rFonts w:cstheme="minorHAnsi"/>
              </w:rPr>
              <w:t>2.2 Internal Threats</w:t>
            </w:r>
            <w:r>
              <w:tab/>
            </w:r>
            <w:r>
              <w:fldChar w:fldCharType="begin"/>
            </w:r>
            <w:r>
              <w:instrText xml:space="preserve"> PAGEREF _Toc215715769 \h </w:instrText>
            </w:r>
            <w:r>
              <w:fldChar w:fldCharType="separate"/>
            </w:r>
            <w:r>
              <w:t>5</w:t>
            </w:r>
            <w:r>
              <w:fldChar w:fldCharType="end"/>
            </w:r>
          </w:hyperlink>
        </w:p>
        <w:p w14:paraId="097BA6C5" w14:textId="77777777" w:rsidR="00221CAD" w:rsidRDefault="00000000">
          <w:pPr>
            <w:pStyle w:val="TOC3"/>
            <w:spacing w:line="360" w:lineRule="auto"/>
            <w:rPr>
              <w:rFonts w:eastAsiaTheme="minorEastAsia"/>
            </w:rPr>
          </w:pPr>
          <w:hyperlink w:anchor="_Toc215715770" w:history="1">
            <w:r>
              <w:rPr>
                <w:rStyle w:val="Hyperlink"/>
                <w:rFonts w:eastAsia="Times New Roman" w:cstheme="minorHAnsi"/>
                <w:bCs/>
              </w:rPr>
              <w:t>3. MODERN SECURITY POLICIES (ZERO TRUST ALIGNED)</w:t>
            </w:r>
            <w:r>
              <w:tab/>
            </w:r>
            <w:r>
              <w:fldChar w:fldCharType="begin"/>
            </w:r>
            <w:r>
              <w:instrText xml:space="preserve"> PAGEREF _Toc215715770 \h </w:instrText>
            </w:r>
            <w:r>
              <w:fldChar w:fldCharType="separate"/>
            </w:r>
            <w:r>
              <w:t>6</w:t>
            </w:r>
            <w:r>
              <w:fldChar w:fldCharType="end"/>
            </w:r>
          </w:hyperlink>
        </w:p>
        <w:p w14:paraId="67B98E29" w14:textId="77777777" w:rsidR="00221CAD" w:rsidRDefault="00000000">
          <w:pPr>
            <w:pStyle w:val="TOC2"/>
            <w:tabs>
              <w:tab w:val="right" w:leader="dot" w:pos="9350"/>
            </w:tabs>
            <w:spacing w:line="360" w:lineRule="auto"/>
            <w:rPr>
              <w:rFonts w:eastAsiaTheme="minorEastAsia"/>
            </w:rPr>
          </w:pPr>
          <w:hyperlink w:anchor="_Toc215715771" w:history="1">
            <w:r>
              <w:rPr>
                <w:rStyle w:val="Hyperlink"/>
                <w:rFonts w:cstheme="minorHAnsi"/>
              </w:rPr>
              <w:t>3.1 Core Principles of Zero Trust</w:t>
            </w:r>
            <w:r>
              <w:tab/>
            </w:r>
            <w:r>
              <w:fldChar w:fldCharType="begin"/>
            </w:r>
            <w:r>
              <w:instrText xml:space="preserve"> PAGEREF _Toc215715771 \h </w:instrText>
            </w:r>
            <w:r>
              <w:fldChar w:fldCharType="separate"/>
            </w:r>
            <w:r>
              <w:t>6</w:t>
            </w:r>
            <w:r>
              <w:fldChar w:fldCharType="end"/>
            </w:r>
          </w:hyperlink>
        </w:p>
        <w:p w14:paraId="548F9662" w14:textId="77777777" w:rsidR="00221CAD" w:rsidRDefault="00000000">
          <w:pPr>
            <w:pStyle w:val="TOC2"/>
            <w:tabs>
              <w:tab w:val="right" w:leader="dot" w:pos="9350"/>
            </w:tabs>
            <w:spacing w:line="360" w:lineRule="auto"/>
            <w:rPr>
              <w:rFonts w:eastAsiaTheme="minorEastAsia"/>
            </w:rPr>
          </w:pPr>
          <w:hyperlink w:anchor="_Toc215715772" w:history="1">
            <w:r>
              <w:rPr>
                <w:rStyle w:val="Hyperlink"/>
                <w:rFonts w:cstheme="minorHAnsi"/>
              </w:rPr>
              <w:t>3.2 Policy Framework</w:t>
            </w:r>
            <w:r>
              <w:tab/>
            </w:r>
            <w:r>
              <w:fldChar w:fldCharType="begin"/>
            </w:r>
            <w:r>
              <w:instrText xml:space="preserve"> PAGEREF _Toc215715772 \h </w:instrText>
            </w:r>
            <w:r>
              <w:fldChar w:fldCharType="separate"/>
            </w:r>
            <w:r>
              <w:t>6</w:t>
            </w:r>
            <w:r>
              <w:fldChar w:fldCharType="end"/>
            </w:r>
          </w:hyperlink>
        </w:p>
        <w:p w14:paraId="2388FF20" w14:textId="77777777" w:rsidR="00221CAD" w:rsidRDefault="00000000">
          <w:pPr>
            <w:pStyle w:val="TOC3"/>
            <w:spacing w:line="360" w:lineRule="auto"/>
            <w:rPr>
              <w:rFonts w:eastAsiaTheme="minorEastAsia"/>
            </w:rPr>
          </w:pPr>
          <w:hyperlink w:anchor="_Toc215715773" w:history="1">
            <w:r>
              <w:rPr>
                <w:rStyle w:val="Hyperlink"/>
                <w:rFonts w:eastAsia="Times New Roman" w:cstheme="minorHAnsi"/>
                <w:bCs/>
              </w:rPr>
              <w:t>4. TECHNICAL MITIGATION MEASURES</w:t>
            </w:r>
            <w:r>
              <w:tab/>
            </w:r>
            <w:r>
              <w:fldChar w:fldCharType="begin"/>
            </w:r>
            <w:r>
              <w:instrText xml:space="preserve"> PAGEREF _Toc215715773 \h </w:instrText>
            </w:r>
            <w:r>
              <w:fldChar w:fldCharType="separate"/>
            </w:r>
            <w:r>
              <w:t>7</w:t>
            </w:r>
            <w:r>
              <w:fldChar w:fldCharType="end"/>
            </w:r>
          </w:hyperlink>
        </w:p>
        <w:p w14:paraId="59B03A14" w14:textId="77777777" w:rsidR="00221CAD" w:rsidRDefault="00000000">
          <w:pPr>
            <w:pStyle w:val="TOC2"/>
            <w:tabs>
              <w:tab w:val="right" w:leader="dot" w:pos="9350"/>
            </w:tabs>
            <w:spacing w:line="360" w:lineRule="auto"/>
            <w:rPr>
              <w:rFonts w:eastAsiaTheme="minorEastAsia"/>
            </w:rPr>
          </w:pPr>
          <w:hyperlink w:anchor="_Toc215715774" w:history="1">
            <w:r>
              <w:rPr>
                <w:rStyle w:val="Hyperlink"/>
                <w:rFonts w:cstheme="minorHAnsi"/>
              </w:rPr>
              <w:t>4.1 Immediate Actions</w:t>
            </w:r>
            <w:r>
              <w:tab/>
            </w:r>
            <w:r>
              <w:fldChar w:fldCharType="begin"/>
            </w:r>
            <w:r>
              <w:instrText xml:space="preserve"> PAGEREF _Toc215715774 \h </w:instrText>
            </w:r>
            <w:r>
              <w:fldChar w:fldCharType="separate"/>
            </w:r>
            <w:r>
              <w:t>7</w:t>
            </w:r>
            <w:r>
              <w:fldChar w:fldCharType="end"/>
            </w:r>
          </w:hyperlink>
        </w:p>
        <w:p w14:paraId="58B0E7BB" w14:textId="77777777" w:rsidR="00221CAD" w:rsidRDefault="00000000">
          <w:pPr>
            <w:pStyle w:val="TOC2"/>
            <w:tabs>
              <w:tab w:val="right" w:leader="dot" w:pos="9350"/>
            </w:tabs>
            <w:spacing w:line="360" w:lineRule="auto"/>
            <w:rPr>
              <w:rFonts w:eastAsiaTheme="minorEastAsia"/>
            </w:rPr>
          </w:pPr>
          <w:hyperlink w:anchor="_Toc215715775" w:history="1">
            <w:r>
              <w:rPr>
                <w:rStyle w:val="Hyperlink"/>
                <w:rFonts w:cstheme="minorHAnsi"/>
              </w:rPr>
              <w:t>4.2 Long-term Measures</w:t>
            </w:r>
            <w:r>
              <w:tab/>
            </w:r>
            <w:r>
              <w:fldChar w:fldCharType="begin"/>
            </w:r>
            <w:r>
              <w:instrText xml:space="preserve"> PAGEREF _Toc215715775 \h </w:instrText>
            </w:r>
            <w:r>
              <w:fldChar w:fldCharType="separate"/>
            </w:r>
            <w:r>
              <w:t>8</w:t>
            </w:r>
            <w:r>
              <w:fldChar w:fldCharType="end"/>
            </w:r>
          </w:hyperlink>
        </w:p>
        <w:p w14:paraId="15B6E24E" w14:textId="77777777" w:rsidR="00221CAD" w:rsidRDefault="00000000">
          <w:pPr>
            <w:pStyle w:val="TOC3"/>
            <w:spacing w:line="360" w:lineRule="auto"/>
            <w:rPr>
              <w:rFonts w:eastAsiaTheme="minorEastAsia"/>
            </w:rPr>
          </w:pPr>
          <w:hyperlink w:anchor="_Toc215715776" w:history="1">
            <w:r>
              <w:rPr>
                <w:rStyle w:val="Hyperlink"/>
                <w:rFonts w:eastAsia="Times New Roman" w:cstheme="minorHAnsi"/>
                <w:bCs/>
              </w:rPr>
              <w:t>5. PROACTIVE MONITORING &amp; INCIDENT RESPONSE</w:t>
            </w:r>
            <w:r>
              <w:tab/>
            </w:r>
            <w:r>
              <w:fldChar w:fldCharType="begin"/>
            </w:r>
            <w:r>
              <w:instrText xml:space="preserve"> PAGEREF _Toc215715776 \h </w:instrText>
            </w:r>
            <w:r>
              <w:fldChar w:fldCharType="separate"/>
            </w:r>
            <w:r>
              <w:t>9</w:t>
            </w:r>
            <w:r>
              <w:fldChar w:fldCharType="end"/>
            </w:r>
          </w:hyperlink>
        </w:p>
        <w:p w14:paraId="241476FF" w14:textId="77777777" w:rsidR="00221CAD" w:rsidRDefault="00000000">
          <w:pPr>
            <w:pStyle w:val="TOC2"/>
            <w:tabs>
              <w:tab w:val="right" w:leader="dot" w:pos="9350"/>
            </w:tabs>
            <w:spacing w:line="360" w:lineRule="auto"/>
            <w:rPr>
              <w:rFonts w:eastAsiaTheme="minorEastAsia"/>
            </w:rPr>
          </w:pPr>
          <w:hyperlink w:anchor="_Toc215715777" w:history="1">
            <w:r>
              <w:rPr>
                <w:rStyle w:val="Hyperlink"/>
                <w:rFonts w:cstheme="minorHAnsi"/>
              </w:rPr>
              <w:t>5.1 24/7 Security Operations Center (SOC)</w:t>
            </w:r>
            <w:r>
              <w:tab/>
            </w:r>
            <w:r>
              <w:fldChar w:fldCharType="begin"/>
            </w:r>
            <w:r>
              <w:instrText xml:space="preserve"> PAGEREF _Toc215715777 \h </w:instrText>
            </w:r>
            <w:r>
              <w:fldChar w:fldCharType="separate"/>
            </w:r>
            <w:r>
              <w:t>9</w:t>
            </w:r>
            <w:r>
              <w:fldChar w:fldCharType="end"/>
            </w:r>
          </w:hyperlink>
        </w:p>
        <w:p w14:paraId="4025D201" w14:textId="77777777" w:rsidR="00221CAD" w:rsidRDefault="00000000">
          <w:pPr>
            <w:pStyle w:val="TOC2"/>
            <w:tabs>
              <w:tab w:val="right" w:leader="dot" w:pos="9350"/>
            </w:tabs>
            <w:spacing w:line="360" w:lineRule="auto"/>
            <w:rPr>
              <w:rFonts w:eastAsiaTheme="minorEastAsia"/>
            </w:rPr>
          </w:pPr>
          <w:hyperlink w:anchor="_Toc215715778" w:history="1">
            <w:r>
              <w:rPr>
                <w:rStyle w:val="Hyperlink"/>
                <w:rFonts w:cstheme="minorHAnsi"/>
              </w:rPr>
              <w:t>5.2 Ransomware Response Plan</w:t>
            </w:r>
            <w:r>
              <w:tab/>
            </w:r>
            <w:r>
              <w:fldChar w:fldCharType="begin"/>
            </w:r>
            <w:r>
              <w:instrText xml:space="preserve"> PAGEREF _Toc215715778 \h </w:instrText>
            </w:r>
            <w:r>
              <w:fldChar w:fldCharType="separate"/>
            </w:r>
            <w:r>
              <w:t>11</w:t>
            </w:r>
            <w:r>
              <w:fldChar w:fldCharType="end"/>
            </w:r>
          </w:hyperlink>
        </w:p>
        <w:p w14:paraId="05F64124" w14:textId="77777777" w:rsidR="00221CAD" w:rsidRDefault="00000000">
          <w:pPr>
            <w:pStyle w:val="TOC3"/>
            <w:spacing w:line="360" w:lineRule="auto"/>
            <w:rPr>
              <w:rFonts w:eastAsiaTheme="minorEastAsia"/>
            </w:rPr>
          </w:pPr>
          <w:hyperlink w:anchor="_Toc215715779" w:history="1">
            <w:r>
              <w:rPr>
                <w:rStyle w:val="Hyperlink"/>
                <w:rFonts w:eastAsia="Times New Roman" w:cstheme="minorHAnsi"/>
                <w:bCs/>
              </w:rPr>
              <w:t>6. CONTINUOUS TRAINING &amp; AWARENESS</w:t>
            </w:r>
            <w:r>
              <w:tab/>
            </w:r>
            <w:r>
              <w:fldChar w:fldCharType="begin"/>
            </w:r>
            <w:r>
              <w:instrText xml:space="preserve"> PAGEREF _Toc215715779 \h </w:instrText>
            </w:r>
            <w:r>
              <w:fldChar w:fldCharType="separate"/>
            </w:r>
            <w:r>
              <w:t>11</w:t>
            </w:r>
            <w:r>
              <w:fldChar w:fldCharType="end"/>
            </w:r>
          </w:hyperlink>
        </w:p>
        <w:p w14:paraId="532DAE36" w14:textId="77777777" w:rsidR="00221CAD" w:rsidRDefault="00000000">
          <w:pPr>
            <w:pStyle w:val="TOC2"/>
            <w:tabs>
              <w:tab w:val="right" w:leader="dot" w:pos="9350"/>
            </w:tabs>
            <w:spacing w:line="360" w:lineRule="auto"/>
            <w:rPr>
              <w:rFonts w:eastAsiaTheme="minorEastAsia"/>
            </w:rPr>
          </w:pPr>
          <w:hyperlink w:anchor="_Toc215715780" w:history="1">
            <w:r>
              <w:rPr>
                <w:rStyle w:val="Hyperlink"/>
                <w:rFonts w:cstheme="minorHAnsi"/>
              </w:rPr>
              <w:t>6.1 Engaging Training Program</w:t>
            </w:r>
            <w:r>
              <w:tab/>
            </w:r>
            <w:r>
              <w:fldChar w:fldCharType="begin"/>
            </w:r>
            <w:r>
              <w:instrText xml:space="preserve"> PAGEREF _Toc215715780 \h </w:instrText>
            </w:r>
            <w:r>
              <w:fldChar w:fldCharType="separate"/>
            </w:r>
            <w:r>
              <w:t>11</w:t>
            </w:r>
            <w:r>
              <w:fldChar w:fldCharType="end"/>
            </w:r>
          </w:hyperlink>
        </w:p>
        <w:p w14:paraId="1A8126EF" w14:textId="77777777" w:rsidR="00221CAD" w:rsidRDefault="00000000">
          <w:pPr>
            <w:pStyle w:val="TOC2"/>
            <w:tabs>
              <w:tab w:val="right" w:leader="dot" w:pos="9350"/>
            </w:tabs>
            <w:spacing w:line="360" w:lineRule="auto"/>
            <w:rPr>
              <w:rFonts w:eastAsiaTheme="minorEastAsia"/>
            </w:rPr>
          </w:pPr>
          <w:hyperlink w:anchor="_Toc215715781" w:history="1">
            <w:r>
              <w:rPr>
                <w:rStyle w:val="Hyperlink"/>
                <w:rFonts w:cstheme="minorHAnsi"/>
              </w:rPr>
              <w:t>6.2 Security Culture Promotion</w:t>
            </w:r>
            <w:r>
              <w:tab/>
            </w:r>
            <w:r>
              <w:fldChar w:fldCharType="begin"/>
            </w:r>
            <w:r>
              <w:instrText xml:space="preserve"> PAGEREF _Toc215715781 \h </w:instrText>
            </w:r>
            <w:r>
              <w:fldChar w:fldCharType="separate"/>
            </w:r>
            <w:r>
              <w:t>12</w:t>
            </w:r>
            <w:r>
              <w:fldChar w:fldCharType="end"/>
            </w:r>
          </w:hyperlink>
        </w:p>
        <w:p w14:paraId="67BF6614" w14:textId="77777777" w:rsidR="00221CAD" w:rsidRDefault="00000000">
          <w:pPr>
            <w:pStyle w:val="TOC3"/>
            <w:spacing w:line="360" w:lineRule="auto"/>
            <w:rPr>
              <w:rFonts w:eastAsiaTheme="minorEastAsia"/>
            </w:rPr>
          </w:pPr>
          <w:hyperlink w:anchor="_Toc215715782" w:history="1">
            <w:r>
              <w:rPr>
                <w:rStyle w:val="Hyperlink"/>
                <w:rFonts w:eastAsia="Times New Roman" w:cstheme="minorHAnsi"/>
                <w:bCs/>
              </w:rPr>
              <w:t>7. CONCLUSION</w:t>
            </w:r>
            <w:r>
              <w:tab/>
            </w:r>
            <w:r>
              <w:fldChar w:fldCharType="begin"/>
            </w:r>
            <w:r>
              <w:instrText xml:space="preserve"> PAGEREF _Toc215715782 \h </w:instrText>
            </w:r>
            <w:r>
              <w:fldChar w:fldCharType="separate"/>
            </w:r>
            <w:r>
              <w:t>12</w:t>
            </w:r>
            <w:r>
              <w:fldChar w:fldCharType="end"/>
            </w:r>
          </w:hyperlink>
        </w:p>
        <w:p w14:paraId="34BC0381" w14:textId="77777777" w:rsidR="00221CAD" w:rsidRDefault="00000000">
          <w:pPr>
            <w:pStyle w:val="TOC3"/>
            <w:spacing w:line="360" w:lineRule="auto"/>
            <w:rPr>
              <w:rFonts w:eastAsiaTheme="minorEastAsia"/>
            </w:rPr>
          </w:pPr>
          <w:hyperlink w:anchor="_Toc215715783" w:history="1">
            <w:r>
              <w:rPr>
                <w:rStyle w:val="Hyperlink"/>
                <w:rFonts w:eastAsia="Times New Roman" w:cstheme="minorHAnsi"/>
                <w:bCs/>
              </w:rPr>
              <w:t>8. REFERENCES</w:t>
            </w:r>
            <w:r>
              <w:tab/>
            </w:r>
            <w:r>
              <w:fldChar w:fldCharType="begin"/>
            </w:r>
            <w:r>
              <w:instrText xml:space="preserve"> PAGEREF _Toc215715783 \h </w:instrText>
            </w:r>
            <w:r>
              <w:fldChar w:fldCharType="separate"/>
            </w:r>
            <w:r>
              <w:t>12</w:t>
            </w:r>
            <w:r>
              <w:fldChar w:fldCharType="end"/>
            </w:r>
          </w:hyperlink>
        </w:p>
        <w:p w14:paraId="2BDF3778" w14:textId="77777777" w:rsidR="00221CAD" w:rsidRDefault="00000000">
          <w:pPr>
            <w:spacing w:line="480" w:lineRule="auto"/>
            <w:rPr>
              <w:rFonts w:cstheme="minorHAnsi"/>
              <w:sz w:val="26"/>
              <w:szCs w:val="26"/>
            </w:rPr>
          </w:pPr>
          <w:r>
            <w:rPr>
              <w:rFonts w:cstheme="minorHAnsi"/>
              <w:b/>
              <w:bCs/>
              <w:sz w:val="26"/>
              <w:szCs w:val="26"/>
            </w:rPr>
            <w:fldChar w:fldCharType="end"/>
          </w:r>
        </w:p>
      </w:sdtContent>
    </w:sdt>
    <w:p w14:paraId="2D5FB4A3"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4BA193FA" w14:textId="77777777" w:rsidR="00221CAD" w:rsidRDefault="00221CAD">
      <w:pPr>
        <w:spacing w:before="100" w:beforeAutospacing="1" w:after="100" w:afterAutospacing="1" w:line="360" w:lineRule="auto"/>
        <w:outlineLvl w:val="2"/>
        <w:rPr>
          <w:rFonts w:eastAsia="Times New Roman" w:cstheme="minorHAnsi"/>
          <w:b/>
          <w:bCs/>
          <w:sz w:val="27"/>
          <w:szCs w:val="27"/>
        </w:rPr>
      </w:pPr>
    </w:p>
    <w:p w14:paraId="10B6B198"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3" w:name="_Toc215715766"/>
      <w:r>
        <w:rPr>
          <w:rFonts w:eastAsia="Times New Roman" w:cstheme="minorHAnsi"/>
          <w:b/>
          <w:bCs/>
          <w:sz w:val="27"/>
          <w:szCs w:val="27"/>
        </w:rPr>
        <w:lastRenderedPageBreak/>
        <w:t>1. INTRODUCTION</w:t>
      </w:r>
      <w:bookmarkEnd w:id="3"/>
    </w:p>
    <w:p w14:paraId="4BC7CA8B"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In the current networked online world, financial institutions such as the Vigilant Trust and Asset Management (VTAM) have a continuously increasing number of cyber security threats. The latest cases of advanced phishing attacks and attempted ransomware attacks have demonstrated the vulnerabilities in the current security system of VTAM. As the trend towards hybrid work models and cloud services usage has intensified, the classic network perimeter is becoming more porous, which does require a radical reconsideration of the use of security strategies. The report outlines a zero-trust informed, contemporary, and efficient security model that can avert not only internal but also external risks and at the same time help to reconcile with the internationally accepted guidelines on the matter, like the NIST Cybersecurity Framework (CSF) and ISO 27001. It is a workable and scalable strategy that fits the context of operation and risk exposure of VTAM.</w:t>
      </w:r>
    </w:p>
    <w:p w14:paraId="4AB2046C"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4" w:name="_Toc215715767"/>
      <w:r>
        <w:rPr>
          <w:rFonts w:eastAsia="Times New Roman" w:cstheme="minorHAnsi"/>
          <w:b/>
          <w:bCs/>
          <w:sz w:val="27"/>
          <w:szCs w:val="27"/>
        </w:rPr>
        <w:t>2. IDENTIFICATION OF MODERN THREATS</w:t>
      </w:r>
      <w:bookmarkEnd w:id="4"/>
    </w:p>
    <w:p w14:paraId="2A60797A"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To come up with an effective security control, it is important to understand the current threat landscape. Cyber threats have become smarter and bigger and they are not only focused on the technological weaknesses but also on human ones. Threat actors find financial services firms to be more appealing because of the sensitive information they possess and the chances of making financial benefit. In the analysis that follows, a grouping of the main threats to VTAM (as external and internal vectors), the process and possible effect of each are highlighted.</w:t>
      </w:r>
    </w:p>
    <w:p w14:paraId="522119C8" w14:textId="77777777" w:rsidR="00221CAD" w:rsidRDefault="00000000">
      <w:pPr>
        <w:spacing w:before="100" w:beforeAutospacing="1" w:after="100" w:afterAutospacing="1" w:line="360" w:lineRule="auto"/>
        <w:rPr>
          <w:rFonts w:eastAsia="Times New Roman" w:cstheme="minorHAnsi"/>
          <w:sz w:val="24"/>
          <w:szCs w:val="24"/>
        </w:rPr>
      </w:pPr>
      <w:bookmarkStart w:id="5" w:name="_Toc215715768"/>
      <w:r>
        <w:rPr>
          <w:rStyle w:val="Heading2Char"/>
          <w:rFonts w:asciiTheme="minorHAnsi" w:eastAsiaTheme="minorHAnsi" w:hAnsiTheme="minorHAnsi" w:cstheme="minorHAnsi"/>
          <w:sz w:val="26"/>
          <w:szCs w:val="26"/>
        </w:rPr>
        <w:t>2.1 External Threats</w:t>
      </w:r>
      <w:bookmarkEnd w:id="5"/>
      <w:r>
        <w:rPr>
          <w:rStyle w:val="Heading2Char"/>
          <w:rFonts w:asciiTheme="minorHAnsi" w:eastAsiaTheme="minorHAnsi" w:hAnsiTheme="minorHAnsi" w:cstheme="minorHAnsi"/>
          <w:sz w:val="26"/>
          <w:szCs w:val="26"/>
        </w:rPr>
        <w:br/>
      </w:r>
      <w:r>
        <w:rPr>
          <w:rFonts w:eastAsia="Times New Roman" w:cstheme="minorHAnsi"/>
          <w:sz w:val="24"/>
          <w:szCs w:val="24"/>
        </w:rPr>
        <w:t xml:space="preserve">Examples of external threats include those that are carried out by cybercriminals, hacktivists or state sponsored actors that are outside of the organization. Cyber extortion is also democratized through the Ransomware-as-a-Service (RaaS) model that allows even low-skilled attackers to perform ransomware attacks using the kits offered by more advanced criminals. AI-based vishing uses artificial intelligence and tries to simulate realistic voice to sound like senior leadership or a reputable contact to deceive workers into sharing their credentials or giving </w:t>
      </w:r>
      <w:r>
        <w:rPr>
          <w:rFonts w:eastAsia="Times New Roman" w:cstheme="minorHAnsi"/>
          <w:sz w:val="24"/>
          <w:szCs w:val="24"/>
        </w:rPr>
        <w:lastRenderedPageBreak/>
        <w:t>approval to financial fraud. Supply chain attacks like the MOVEit breach use vulnerabilities in downstream organizations used as third-party programs or services to unlawfully access and steal the data of numerous downstream organizations. Moreover, the blanket use of cloud services has established hazards of misconfigurations, weak access entitlement as well as unsafe API quality which may result in the exposure of data or susceptibility.</w:t>
      </w:r>
    </w:p>
    <w:p w14:paraId="5AE6ED0A" w14:textId="77777777" w:rsidR="00221CAD" w:rsidRDefault="00000000">
      <w:pPr>
        <w:spacing w:before="100" w:beforeAutospacing="1" w:after="100" w:afterAutospacing="1" w:line="360" w:lineRule="auto"/>
        <w:rPr>
          <w:rFonts w:eastAsia="Times New Roman" w:cstheme="minorHAnsi"/>
          <w:sz w:val="24"/>
          <w:szCs w:val="24"/>
        </w:rPr>
      </w:pPr>
      <w:r>
        <w:rPr>
          <w:rStyle w:val="Heading2Char"/>
          <w:rFonts w:asciiTheme="minorHAnsi" w:eastAsiaTheme="minorHAnsi" w:hAnsiTheme="minorHAnsi" w:cstheme="minorHAnsi"/>
          <w:noProof/>
          <w:sz w:val="26"/>
          <w:szCs w:val="26"/>
        </w:rPr>
        <w:drawing>
          <wp:anchor distT="0" distB="0" distL="114300" distR="114300" simplePos="0" relativeHeight="251659264" behindDoc="0" locked="0" layoutInCell="1" allowOverlap="1" wp14:anchorId="398DCEEB" wp14:editId="1047ECE8">
            <wp:simplePos x="0" y="0"/>
            <wp:positionH relativeFrom="column">
              <wp:posOffset>-742950</wp:posOffset>
            </wp:positionH>
            <wp:positionV relativeFrom="paragraph">
              <wp:posOffset>3258185</wp:posOffset>
            </wp:positionV>
            <wp:extent cx="7303135" cy="2112645"/>
            <wp:effectExtent l="171450" t="171450" r="354965" b="363855"/>
            <wp:wrapTopAndBottom/>
            <wp:docPr id="1" name="Picture 1" descr="C:\Users\Dell\Downloads\Untitled Diagram.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Dell\Downloads\Untitled Diagram.drawi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7303135" cy="2112645"/>
                    </a:xfrm>
                    <a:prstGeom prst="rect">
                      <a:avLst/>
                    </a:prstGeom>
                    <a:ln>
                      <a:noFill/>
                    </a:ln>
                    <a:effectLst>
                      <a:outerShdw blurRad="292100" dist="139700" dir="2700000" algn="tl" rotWithShape="0">
                        <a:srgbClr val="333333">
                          <a:alpha val="65000"/>
                        </a:srgbClr>
                      </a:outerShdw>
                    </a:effectLst>
                  </pic:spPr>
                </pic:pic>
              </a:graphicData>
            </a:graphic>
          </wp:anchor>
        </w:drawing>
      </w:r>
      <w:bookmarkStart w:id="6" w:name="_Toc215715769"/>
      <w:r>
        <w:rPr>
          <w:rStyle w:val="Heading2Char"/>
          <w:rFonts w:asciiTheme="minorHAnsi" w:eastAsiaTheme="minorHAnsi" w:hAnsiTheme="minorHAnsi" w:cstheme="minorHAnsi"/>
          <w:sz w:val="26"/>
          <w:szCs w:val="26"/>
        </w:rPr>
        <w:t>2.2 Internal Threats</w:t>
      </w:r>
      <w:bookmarkEnd w:id="6"/>
      <w:r>
        <w:rPr>
          <w:rStyle w:val="Heading2Char"/>
          <w:rFonts w:asciiTheme="minorHAnsi" w:eastAsiaTheme="minorHAnsi" w:hAnsiTheme="minorHAnsi" w:cstheme="minorHAnsi"/>
          <w:sz w:val="26"/>
          <w:szCs w:val="26"/>
        </w:rPr>
        <w:br/>
      </w:r>
      <w:r>
        <w:rPr>
          <w:rFonts w:eastAsia="Times New Roman" w:cstheme="minorHAnsi"/>
          <w:sz w:val="24"/>
          <w:szCs w:val="24"/>
        </w:rPr>
        <w:t>Internal threats are those that occur in the organization, and they are either deliberate or unintentional. Examples of insider threats can include dissatisfied and disaffected employees, contractors, or business associates using their access to harm the organization by stealing data or causing havoc. Negligent insiders, conversely, can unintentionally play a role in the security incident due to poor cyber hygiene, including the use of weak passwords, the lack of security patches, and because of a social engineering attack. These risks have been increased by the transition to hybrid work as the issue of corporate and personal devices and networks becoming intertwined is a frequent occurrence and, as a result, with a lack of uniformity in security policy enforcers.</w:t>
      </w:r>
    </w:p>
    <w:p w14:paraId="68207B3C" w14:textId="77777777" w:rsidR="00221CAD" w:rsidRDefault="00000000">
      <w:pPr>
        <w:spacing w:before="100" w:beforeAutospacing="1" w:after="100" w:afterAutospacing="1" w:line="360" w:lineRule="auto"/>
        <w:jc w:val="center"/>
        <w:rPr>
          <w:rFonts w:eastAsia="Times New Roman" w:cstheme="minorHAnsi"/>
          <w:sz w:val="24"/>
          <w:szCs w:val="24"/>
        </w:rPr>
      </w:pPr>
      <w:r>
        <w:rPr>
          <w:rFonts w:eastAsia="Times New Roman" w:cstheme="minorHAnsi"/>
          <w:b/>
          <w:bCs/>
          <w:sz w:val="24"/>
          <w:szCs w:val="24"/>
        </w:rPr>
        <w:t>Figure 1: Threat Landscape Overview for Financial Services (Source: Adapted from ENISA Threat Landscape 2023)</w:t>
      </w:r>
    </w:p>
    <w:p w14:paraId="4124AE7F"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7" w:name="_Toc215715770"/>
      <w:r>
        <w:rPr>
          <w:rFonts w:eastAsia="Times New Roman" w:cstheme="minorHAnsi"/>
          <w:b/>
          <w:bCs/>
          <w:sz w:val="27"/>
          <w:szCs w:val="27"/>
        </w:rPr>
        <w:lastRenderedPageBreak/>
        <w:t>3. MODERN SECURITY POLICIES (ZERO TRUST ALIGNED)</w:t>
      </w:r>
      <w:bookmarkEnd w:id="7"/>
    </w:p>
    <w:p w14:paraId="37472816"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An efficient cybersecurity program is based on a strong security policy framework. The policy that is developed may have its guide on the model of Zero Trust that follows the idea of never trust, always verify. Zero Trust would dispatch ongoing validation of all users, devices and transactions rather than trusting them because of their positioning in a network. The following section discusses the major policies that can be adopted to realize the principles of Zero Trust into practical principles of VTAM in such a manner that it makes more sense to industry standards and regulations.</w:t>
      </w:r>
    </w:p>
    <w:p w14:paraId="3FD9A7B0" w14:textId="77777777" w:rsidR="00221CAD" w:rsidRDefault="00000000">
      <w:pPr>
        <w:spacing w:before="100" w:beforeAutospacing="1" w:after="100" w:afterAutospacing="1" w:line="360" w:lineRule="auto"/>
        <w:rPr>
          <w:rFonts w:eastAsia="Times New Roman" w:cstheme="minorHAnsi"/>
          <w:sz w:val="24"/>
          <w:szCs w:val="24"/>
        </w:rPr>
      </w:pPr>
      <w:bookmarkStart w:id="8" w:name="_Toc215715771"/>
      <w:r>
        <w:rPr>
          <w:rStyle w:val="Heading2Char"/>
          <w:rFonts w:asciiTheme="minorHAnsi" w:eastAsiaTheme="minorHAnsi" w:hAnsiTheme="minorHAnsi" w:cstheme="minorHAnsi"/>
          <w:sz w:val="26"/>
          <w:szCs w:val="26"/>
        </w:rPr>
        <w:t>3.1 Core Principles of Zero Trust</w:t>
      </w:r>
      <w:bookmarkEnd w:id="8"/>
      <w:r>
        <w:rPr>
          <w:rStyle w:val="Heading2Char"/>
          <w:rFonts w:asciiTheme="minorHAnsi" w:eastAsiaTheme="minorHAnsi" w:hAnsiTheme="minorHAnsi" w:cstheme="minorHAnsi"/>
          <w:sz w:val="26"/>
          <w:szCs w:val="26"/>
        </w:rPr>
        <w:br/>
      </w:r>
      <w:r>
        <w:rPr>
          <w:rFonts w:eastAsia="Times New Roman" w:cstheme="minorHAnsi"/>
          <w:sz w:val="24"/>
          <w:szCs w:val="24"/>
        </w:rPr>
        <w:t>Zero Trust is the shift in the paradigm of traditional security based on the perimeter. It presupposes that threats could be external and internal as well, and thus due to this access must be determined by dynamic risk assessment, instead of fixed credentials. The major principles are the least privilege access, micro-segmentation, explicit verification and constant monitoring. With the principles implemented, VTAM will be able to minimize its attack surface, restrict its lateral movement, and enhance its capability in detecting and responding to anomalies.</w:t>
      </w:r>
    </w:p>
    <w:p w14:paraId="1C02E0A8" w14:textId="77777777" w:rsidR="00221CAD" w:rsidRDefault="00000000">
      <w:pPr>
        <w:spacing w:before="100" w:beforeAutospacing="1" w:after="100" w:afterAutospacing="1" w:line="360" w:lineRule="auto"/>
        <w:rPr>
          <w:rFonts w:eastAsia="Times New Roman" w:cstheme="minorHAnsi"/>
          <w:sz w:val="24"/>
          <w:szCs w:val="24"/>
        </w:rPr>
      </w:pPr>
      <w:bookmarkStart w:id="9" w:name="_Toc215715772"/>
      <w:r>
        <w:rPr>
          <w:rStyle w:val="Heading2Char"/>
          <w:rFonts w:asciiTheme="minorHAnsi" w:eastAsiaTheme="minorHAnsi" w:hAnsiTheme="minorHAnsi" w:cstheme="minorHAnsi"/>
          <w:sz w:val="26"/>
          <w:szCs w:val="26"/>
        </w:rPr>
        <w:t>3.2 Policy Framework</w:t>
      </w:r>
      <w:bookmarkEnd w:id="9"/>
      <w:r>
        <w:rPr>
          <w:rStyle w:val="Heading2Char"/>
          <w:rFonts w:asciiTheme="minorHAnsi" w:eastAsiaTheme="minorHAnsi" w:hAnsiTheme="minorHAnsi" w:cstheme="minorHAnsi"/>
          <w:sz w:val="26"/>
          <w:szCs w:val="26"/>
        </w:rPr>
        <w:br/>
      </w:r>
      <w:r>
        <w:rPr>
          <w:rFonts w:eastAsia="Times New Roman" w:cstheme="minorHAnsi"/>
          <w:sz w:val="24"/>
          <w:szCs w:val="24"/>
        </w:rPr>
        <w:t>The policy framework that will be proposed is a set of policies that are interrelated and jointly enforce Zero Trust in the IT environment of VTAM.</w:t>
      </w:r>
    </w:p>
    <w:p w14:paraId="35715F14" w14:textId="77777777" w:rsidR="00221CAD" w:rsidRDefault="00000000">
      <w:pPr>
        <w:numPr>
          <w:ilvl w:val="0"/>
          <w:numId w:val="1"/>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Access Control Policy:</w:t>
      </w:r>
      <w:r>
        <w:rPr>
          <w:rFonts w:eastAsia="Times New Roman" w:cstheme="minorHAnsi"/>
          <w:sz w:val="24"/>
          <w:szCs w:val="24"/>
        </w:rPr>
        <w:t xml:space="preserve"> Requires that all users are subjected to multi-factor authentication (MFA) and uses the principle of least privilege, as well as only allows people access to what they need to fulfill their tasks.</w:t>
      </w:r>
    </w:p>
    <w:p w14:paraId="59595822" w14:textId="77777777" w:rsidR="00221CAD" w:rsidRDefault="00000000">
      <w:pPr>
        <w:numPr>
          <w:ilvl w:val="0"/>
          <w:numId w:val="1"/>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Data Protection Policy:</w:t>
      </w:r>
      <w:r>
        <w:rPr>
          <w:rFonts w:eastAsia="Times New Roman" w:cstheme="minorHAnsi"/>
          <w:sz w:val="24"/>
          <w:szCs w:val="24"/>
        </w:rPr>
        <w:t xml:space="preserve"> Data must be encrypted both in the rest and in transit and the data must be classified to inform how data is handled and stored.</w:t>
      </w:r>
    </w:p>
    <w:p w14:paraId="5396F055" w14:textId="77777777" w:rsidR="00221CAD" w:rsidRDefault="00000000">
      <w:pPr>
        <w:numPr>
          <w:ilvl w:val="0"/>
          <w:numId w:val="1"/>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lastRenderedPageBreak/>
        <w:t>Endpoint Security Policy:</w:t>
      </w:r>
      <w:r>
        <w:rPr>
          <w:rFonts w:eastAsia="Times New Roman" w:cstheme="minorHAnsi"/>
          <w:sz w:val="24"/>
          <w:szCs w:val="24"/>
        </w:rPr>
        <w:t xml:space="preserve"> Teaches minimum security requirements to all the devices that have connections to corporate resources that require mandatory endpoint detection and response (EDR) software and frequent testing of compliance.</w:t>
      </w:r>
    </w:p>
    <w:p w14:paraId="608EE0DE" w14:textId="77777777" w:rsidR="00221CAD" w:rsidRDefault="00000000">
      <w:pPr>
        <w:numPr>
          <w:ilvl w:val="0"/>
          <w:numId w:val="1"/>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Cloud Security Policy:</w:t>
      </w:r>
      <w:r>
        <w:rPr>
          <w:rFonts w:eastAsia="Times New Roman" w:cstheme="minorHAnsi"/>
          <w:sz w:val="24"/>
          <w:szCs w:val="24"/>
        </w:rPr>
        <w:t xml:space="preserve"> Security obligations and controls associated with cloud services with the use of continuous configuration monitoring with Cloud Security Posture Management (CSPM) tools.</w:t>
      </w:r>
    </w:p>
    <w:p w14:paraId="64558561"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These policies are specifically aligned to the NIST CSF core functions (Identify, Protect, Detect, Respond, Recover) and ISO 27001 Annex A controls, and offer a clear difference between different internationally accepted standards that are globally recognized.</w:t>
      </w:r>
    </w:p>
    <w:p w14:paraId="3FEAC72F"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10" w:name="_Toc215715773"/>
      <w:r>
        <w:rPr>
          <w:rFonts w:eastAsia="Times New Roman" w:cstheme="minorHAnsi"/>
          <w:b/>
          <w:bCs/>
          <w:sz w:val="27"/>
          <w:szCs w:val="27"/>
        </w:rPr>
        <w:t>4. TECHNICAL MITIGATION MEASURES</w:t>
      </w:r>
      <w:bookmarkEnd w:id="10"/>
    </w:p>
    <w:p w14:paraId="2CE833F6"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Security policies and mitigation of the threats that are identified require the use of technical controls. The suggested measures that are to be implemented at VTAM can be divided into the immediate actions that can be performed in a short period and long-term actions, which demand more significant planning and investment.</w:t>
      </w:r>
    </w:p>
    <w:p w14:paraId="631E2EB2" w14:textId="77777777" w:rsidR="00221CAD" w:rsidRDefault="00000000">
      <w:pPr>
        <w:spacing w:before="100" w:beforeAutospacing="1" w:after="100" w:afterAutospacing="1" w:line="360" w:lineRule="auto"/>
        <w:rPr>
          <w:rFonts w:eastAsia="Times New Roman" w:cstheme="minorHAnsi"/>
          <w:sz w:val="24"/>
          <w:szCs w:val="24"/>
        </w:rPr>
      </w:pPr>
      <w:bookmarkStart w:id="11" w:name="_Toc215715774"/>
      <w:r>
        <w:rPr>
          <w:rStyle w:val="Heading2Char"/>
          <w:rFonts w:asciiTheme="minorHAnsi" w:eastAsiaTheme="minorHAnsi" w:hAnsiTheme="minorHAnsi" w:cstheme="minorHAnsi"/>
          <w:sz w:val="26"/>
          <w:szCs w:val="26"/>
        </w:rPr>
        <w:t>4.1 Immediate Actions</w:t>
      </w:r>
      <w:bookmarkEnd w:id="11"/>
      <w:r>
        <w:rPr>
          <w:rStyle w:val="Heading2Char"/>
          <w:rFonts w:asciiTheme="minorHAnsi" w:eastAsiaTheme="minorHAnsi" w:hAnsiTheme="minorHAnsi" w:cstheme="minorHAnsi"/>
          <w:sz w:val="26"/>
          <w:szCs w:val="26"/>
        </w:rPr>
        <w:br/>
      </w:r>
      <w:r>
        <w:rPr>
          <w:rFonts w:eastAsia="Times New Roman" w:cstheme="minorHAnsi"/>
          <w:sz w:val="24"/>
          <w:szCs w:val="24"/>
        </w:rPr>
        <w:t>Short term measures will solve urgent vulnerabilities and develop underlying security capabilities.</w:t>
      </w:r>
    </w:p>
    <w:p w14:paraId="17F243B3" w14:textId="77777777" w:rsidR="00221CAD" w:rsidRDefault="00000000">
      <w:pPr>
        <w:numPr>
          <w:ilvl w:val="0"/>
          <w:numId w:val="2"/>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Multi-Factor Authentication (MFA):</w:t>
      </w:r>
      <w:r>
        <w:rPr>
          <w:rFonts w:eastAsia="Times New Roman" w:cstheme="minorHAnsi"/>
          <w:sz w:val="24"/>
          <w:szCs w:val="24"/>
        </w:rPr>
        <w:t xml:space="preserve"> MFA should be implemented to all user accounts because it will greatly decrease the chance of stealing credentials and unauthorized entry.</w:t>
      </w:r>
    </w:p>
    <w:p w14:paraId="441BE61F" w14:textId="77777777" w:rsidR="00221CAD" w:rsidRDefault="00000000">
      <w:pPr>
        <w:numPr>
          <w:ilvl w:val="0"/>
          <w:numId w:val="2"/>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Security Information and Event Management (SIEM):</w:t>
      </w:r>
      <w:r>
        <w:rPr>
          <w:rFonts w:eastAsia="Times New Roman" w:cstheme="minorHAnsi"/>
          <w:sz w:val="24"/>
          <w:szCs w:val="24"/>
        </w:rPr>
        <w:t xml:space="preserve"> The implementation of a SIEM system allows centralizing the collection of logs, instant correlation of security events, and better threat detection.</w:t>
      </w:r>
    </w:p>
    <w:p w14:paraId="7D5800A9" w14:textId="77777777" w:rsidR="00221CAD" w:rsidRDefault="00000000">
      <w:pPr>
        <w:numPr>
          <w:ilvl w:val="0"/>
          <w:numId w:val="2"/>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Cloud Security Posture Management (CSPM):</w:t>
      </w:r>
      <w:r>
        <w:rPr>
          <w:rFonts w:eastAsia="Times New Roman" w:cstheme="minorHAnsi"/>
          <w:sz w:val="24"/>
          <w:szCs w:val="24"/>
        </w:rPr>
        <w:t xml:space="preserve"> The implementation of cloud misconfigurations could be automated through CSPM tools; it helps minimize risks of data exposure.</w:t>
      </w:r>
    </w:p>
    <w:p w14:paraId="341E4596" w14:textId="77777777" w:rsidR="00221CAD" w:rsidRDefault="00000000">
      <w:pPr>
        <w:numPr>
          <w:ilvl w:val="0"/>
          <w:numId w:val="2"/>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lastRenderedPageBreak/>
        <w:t>Immutable Backups:</w:t>
      </w:r>
      <w:r>
        <w:rPr>
          <w:rFonts w:eastAsia="Times New Roman" w:cstheme="minorHAnsi"/>
          <w:sz w:val="24"/>
          <w:szCs w:val="24"/>
        </w:rPr>
        <w:t xml:space="preserve"> To prevent Locked Data Incremental Backup Critical data can be established in immutable form, making it recoverable in the case of ransomware or corruption of the data, which is a robust recovery point.</w:t>
      </w:r>
    </w:p>
    <w:p w14:paraId="08605E71" w14:textId="77777777" w:rsidR="00221CAD" w:rsidRDefault="00000000">
      <w:pPr>
        <w:spacing w:before="100" w:beforeAutospacing="1" w:after="100" w:afterAutospacing="1" w:line="360" w:lineRule="auto"/>
        <w:rPr>
          <w:rFonts w:eastAsia="Times New Roman" w:cstheme="minorHAnsi"/>
          <w:sz w:val="24"/>
          <w:szCs w:val="24"/>
        </w:rPr>
      </w:pPr>
      <w:bookmarkStart w:id="12" w:name="_Toc215715775"/>
      <w:r>
        <w:rPr>
          <w:rStyle w:val="Heading2Char"/>
          <w:rFonts w:asciiTheme="minorHAnsi" w:eastAsiaTheme="minorHAnsi" w:hAnsiTheme="minorHAnsi" w:cstheme="minorHAnsi"/>
          <w:sz w:val="26"/>
          <w:szCs w:val="26"/>
        </w:rPr>
        <w:t>4.2 Long-term Measures</w:t>
      </w:r>
      <w:bookmarkEnd w:id="12"/>
      <w:r>
        <w:rPr>
          <w:rStyle w:val="Heading2Char"/>
          <w:rFonts w:asciiTheme="minorHAnsi" w:eastAsiaTheme="minorHAnsi" w:hAnsiTheme="minorHAnsi" w:cstheme="minorHAnsi"/>
          <w:sz w:val="26"/>
          <w:szCs w:val="26"/>
        </w:rPr>
        <w:br/>
      </w:r>
      <w:r>
        <w:rPr>
          <w:rFonts w:eastAsia="Times New Roman" w:cstheme="minorHAnsi"/>
          <w:sz w:val="24"/>
          <w:szCs w:val="24"/>
        </w:rPr>
        <w:t>The long-term actions are oriented to establish long-term security resilience and flexibility.</w:t>
      </w:r>
    </w:p>
    <w:p w14:paraId="7413CB72" w14:textId="77777777" w:rsidR="00221CAD" w:rsidRDefault="00000000">
      <w:pPr>
        <w:numPr>
          <w:ilvl w:val="0"/>
          <w:numId w:val="3"/>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Patch Management:</w:t>
      </w:r>
      <w:r>
        <w:rPr>
          <w:rFonts w:eastAsia="Times New Roman" w:cstheme="minorHAnsi"/>
          <w:sz w:val="24"/>
          <w:szCs w:val="24"/>
        </w:rPr>
        <w:t xml:space="preserve"> Patch that management must be aligned with the CISA Known Exploited Vulnerabilities (KEV) catalog so that a high priority of vulnerabilities is met as soon as possible.</w:t>
      </w:r>
    </w:p>
    <w:p w14:paraId="3670CFAC" w14:textId="77777777" w:rsidR="00221CAD" w:rsidRDefault="00000000">
      <w:pPr>
        <w:numPr>
          <w:ilvl w:val="0"/>
          <w:numId w:val="3"/>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Network Segmentation:</w:t>
      </w:r>
      <w:r>
        <w:rPr>
          <w:rFonts w:eastAsia="Times New Roman" w:cstheme="minorHAnsi"/>
          <w:sz w:val="24"/>
          <w:szCs w:val="24"/>
        </w:rPr>
        <w:t xml:space="preserve"> Network segmentation will greatly restrict movement between segments of the network and localize the potential breaches which will have a smaller impact.</w:t>
      </w:r>
    </w:p>
    <w:p w14:paraId="20DBCBAF" w14:textId="77777777" w:rsidR="00221CAD" w:rsidRDefault="00000000">
      <w:pPr>
        <w:numPr>
          <w:ilvl w:val="0"/>
          <w:numId w:val="3"/>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Endpoint Detection and Response (EDR):</w:t>
      </w:r>
      <w:r>
        <w:rPr>
          <w:rFonts w:eastAsia="Times New Roman" w:cstheme="minorHAnsi"/>
          <w:sz w:val="24"/>
          <w:szCs w:val="24"/>
        </w:rPr>
        <w:t xml:space="preserve"> EDR solutions installed on every endpoint will ensure that their services are available around the clock, have sophisticated threat watching, and automatic action means.</w:t>
      </w:r>
    </w:p>
    <w:p w14:paraId="2B21B604"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Table 1: Mapping of Mitigation Measures to NIST CSF Core Functions</w:t>
      </w:r>
    </w:p>
    <w:tbl>
      <w:tblPr>
        <w:tblW w:w="5000" w:type="pct"/>
        <w:tblBorders>
          <w:top w:val="single" w:sz="6" w:space="0" w:color="CCCCCC"/>
          <w:left w:val="single" w:sz="6" w:space="0" w:color="CCCCCC"/>
          <w:bottom w:val="single" w:sz="6" w:space="0" w:color="CCCCCC"/>
          <w:right w:val="single" w:sz="6" w:space="0" w:color="CCCCCC"/>
        </w:tblBorders>
        <w:shd w:val="clear" w:color="auto" w:fill="F9F9F9"/>
        <w:tblCellMar>
          <w:top w:w="15" w:type="dxa"/>
          <w:left w:w="15" w:type="dxa"/>
          <w:bottom w:w="15" w:type="dxa"/>
          <w:right w:w="15" w:type="dxa"/>
        </w:tblCellMar>
        <w:tblLook w:val="04A0" w:firstRow="1" w:lastRow="0" w:firstColumn="1" w:lastColumn="0" w:noHBand="0" w:noVBand="1"/>
      </w:tblPr>
      <w:tblGrid>
        <w:gridCol w:w="1714"/>
        <w:gridCol w:w="2842"/>
        <w:gridCol w:w="5164"/>
      </w:tblGrid>
      <w:tr w:rsidR="00221CAD" w14:paraId="14BAE477" w14:textId="77777777">
        <w:trPr>
          <w:tblHead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47508F32" w14:textId="77777777" w:rsidR="00221CAD" w:rsidRDefault="00000000">
            <w:pPr>
              <w:spacing w:before="300" w:after="300" w:line="360" w:lineRule="auto"/>
              <w:jc w:val="center"/>
              <w:rPr>
                <w:rFonts w:eastAsia="Times New Roman" w:cstheme="minorHAnsi"/>
                <w:b/>
                <w:bCs/>
                <w:color w:val="333333"/>
                <w:sz w:val="24"/>
                <w:szCs w:val="24"/>
              </w:rPr>
            </w:pPr>
            <w:r>
              <w:rPr>
                <w:rFonts w:eastAsia="Times New Roman" w:cstheme="minorHAnsi"/>
                <w:b/>
                <w:bCs/>
                <w:color w:val="333333"/>
                <w:sz w:val="24"/>
                <w:szCs w:val="24"/>
              </w:rPr>
              <w:t>NIST CSF Function</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78923F89" w14:textId="77777777" w:rsidR="00221CAD" w:rsidRDefault="00000000">
            <w:pPr>
              <w:spacing w:before="300" w:after="300" w:line="360" w:lineRule="auto"/>
              <w:jc w:val="center"/>
              <w:rPr>
                <w:rFonts w:eastAsia="Times New Roman" w:cstheme="minorHAnsi"/>
                <w:b/>
                <w:bCs/>
                <w:color w:val="333333"/>
                <w:sz w:val="24"/>
                <w:szCs w:val="24"/>
              </w:rPr>
            </w:pPr>
            <w:r>
              <w:rPr>
                <w:rFonts w:eastAsia="Times New Roman" w:cstheme="minorHAnsi"/>
                <w:b/>
                <w:bCs/>
                <w:color w:val="333333"/>
                <w:sz w:val="24"/>
                <w:szCs w:val="24"/>
              </w:rPr>
              <w:t>Proposed Mitigation Measure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1D9C6AD3" w14:textId="77777777" w:rsidR="00221CAD" w:rsidRDefault="00000000">
            <w:pPr>
              <w:spacing w:before="300" w:after="300" w:line="360" w:lineRule="auto"/>
              <w:jc w:val="center"/>
              <w:rPr>
                <w:rFonts w:eastAsia="Times New Roman" w:cstheme="minorHAnsi"/>
                <w:b/>
                <w:bCs/>
                <w:color w:val="333333"/>
                <w:sz w:val="24"/>
                <w:szCs w:val="24"/>
              </w:rPr>
            </w:pPr>
            <w:r>
              <w:rPr>
                <w:rFonts w:eastAsia="Times New Roman" w:cstheme="minorHAnsi"/>
                <w:b/>
                <w:bCs/>
                <w:color w:val="333333"/>
                <w:sz w:val="24"/>
                <w:szCs w:val="24"/>
              </w:rPr>
              <w:t>Description</w:t>
            </w:r>
          </w:p>
        </w:tc>
      </w:tr>
      <w:tr w:rsidR="00221CAD" w14:paraId="09CC2B15" w14:textId="77777777">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60DB6B77"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b/>
                <w:bCs/>
                <w:color w:val="333333"/>
                <w:sz w:val="24"/>
                <w:szCs w:val="24"/>
              </w:rPr>
              <w:t>Identify</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5CB6A3F2"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Asset Inventory &amp; Risk Assessment</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65BC7472"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Maintain an up-to-date inventory of assets and conduct regular risk assessments.</w:t>
            </w:r>
          </w:p>
        </w:tc>
      </w:tr>
      <w:tr w:rsidR="00221CAD" w14:paraId="181D94FA" w14:textId="77777777">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789D8D28"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b/>
                <w:bCs/>
                <w:color w:val="333333"/>
                <w:sz w:val="24"/>
                <w:szCs w:val="24"/>
              </w:rPr>
              <w:t>Protect</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4F3D3124"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 xml:space="preserve">Multi-Factor </w:t>
            </w:r>
            <w:r>
              <w:rPr>
                <w:rFonts w:eastAsia="Times New Roman" w:cstheme="minorHAnsi"/>
                <w:color w:val="333333"/>
                <w:sz w:val="24"/>
                <w:szCs w:val="24"/>
              </w:rPr>
              <w:lastRenderedPageBreak/>
              <w:t>Authentication (MFA)</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7993046C"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lastRenderedPageBreak/>
              <w:t xml:space="preserve">Enforce MFA for all users to protect against </w:t>
            </w:r>
            <w:r>
              <w:rPr>
                <w:rFonts w:eastAsia="Times New Roman" w:cstheme="minorHAnsi"/>
                <w:color w:val="333333"/>
                <w:sz w:val="24"/>
                <w:szCs w:val="24"/>
              </w:rPr>
              <w:lastRenderedPageBreak/>
              <w:t>credential-based attacks.</w:t>
            </w:r>
          </w:p>
        </w:tc>
      </w:tr>
      <w:tr w:rsidR="00221CAD" w14:paraId="64066EEB" w14:textId="77777777">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41E90A52"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b/>
                <w:bCs/>
                <w:color w:val="333333"/>
                <w:sz w:val="24"/>
                <w:szCs w:val="24"/>
              </w:rPr>
              <w:lastRenderedPageBreak/>
              <w:t>Detect</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243DBAEA"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SIEM &amp; EDR Deployment</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6F3875A7"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Implement SIEM and EDR for continuous monitoring and threat detection.</w:t>
            </w:r>
          </w:p>
        </w:tc>
      </w:tr>
      <w:tr w:rsidR="00221CAD" w14:paraId="1E7BCEF5" w14:textId="77777777">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65DA12BF"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b/>
                <w:bCs/>
                <w:color w:val="333333"/>
                <w:sz w:val="24"/>
                <w:szCs w:val="24"/>
              </w:rPr>
              <w:t>Respond</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7A0E205F"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Incident Response Plan</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0AFCC770"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Establish a formal incident response plan with defined roles and procedures.</w:t>
            </w:r>
          </w:p>
        </w:tc>
      </w:tr>
      <w:tr w:rsidR="00221CAD" w14:paraId="6C1B4C5C" w14:textId="77777777">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0EBF5A7C"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b/>
                <w:bCs/>
                <w:color w:val="333333"/>
                <w:sz w:val="24"/>
                <w:szCs w:val="24"/>
              </w:rPr>
              <w:t>Recover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5DFEF37A"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Immutable Backups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180" w:type="dxa"/>
              <w:left w:w="180" w:type="dxa"/>
              <w:bottom w:w="180" w:type="dxa"/>
              <w:right w:w="180" w:type="dxa"/>
            </w:tcMar>
            <w:vAlign w:val="center"/>
          </w:tcPr>
          <w:p w14:paraId="18CF8483" w14:textId="77777777" w:rsidR="00221CAD" w:rsidRDefault="00000000">
            <w:pPr>
              <w:spacing w:before="300" w:after="300" w:line="360" w:lineRule="auto"/>
              <w:rPr>
                <w:rFonts w:eastAsia="Times New Roman" w:cstheme="minorHAnsi"/>
                <w:color w:val="333333"/>
                <w:sz w:val="24"/>
                <w:szCs w:val="24"/>
              </w:rPr>
            </w:pPr>
            <w:r>
              <w:rPr>
                <w:rFonts w:eastAsia="Times New Roman" w:cstheme="minorHAnsi"/>
                <w:color w:val="333333"/>
                <w:sz w:val="24"/>
                <w:szCs w:val="24"/>
              </w:rPr>
              <w:t>Maintain immutable backups to enable rapid recovery from ransomware attacks.</w:t>
            </w:r>
          </w:p>
        </w:tc>
      </w:tr>
    </w:tbl>
    <w:p w14:paraId="6E4D5D28"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13" w:name="_Toc215715776"/>
      <w:r>
        <w:rPr>
          <w:rFonts w:eastAsia="Times New Roman" w:cstheme="minorHAnsi"/>
          <w:b/>
          <w:bCs/>
          <w:sz w:val="27"/>
          <w:szCs w:val="27"/>
        </w:rPr>
        <w:t>5. PROACTIVE MONITORING &amp; INCIDENT RESPONSE</w:t>
      </w:r>
      <w:bookmarkEnd w:id="13"/>
    </w:p>
    <w:p w14:paraId="28FBAB6A"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Active surveillance and clear incident response capacity are essential to eliminate the effects of security incidents. An anti-hacking approach based on modern technologies will be a Security Operations Center (SOC) capable of giving 24-7 monitoring of the IT system, in addition to allowing quick reaction to hackers.</w:t>
      </w:r>
    </w:p>
    <w:p w14:paraId="59EBB9ED" w14:textId="77777777" w:rsidR="00221CAD" w:rsidRDefault="00000000">
      <w:pPr>
        <w:spacing w:before="100" w:beforeAutospacing="1" w:after="100" w:afterAutospacing="1" w:line="360" w:lineRule="auto"/>
        <w:rPr>
          <w:rFonts w:eastAsia="Times New Roman" w:cstheme="minorHAnsi"/>
          <w:sz w:val="24"/>
          <w:szCs w:val="24"/>
        </w:rPr>
      </w:pPr>
      <w:bookmarkStart w:id="14" w:name="_Toc215715777"/>
      <w:r>
        <w:rPr>
          <w:rStyle w:val="Heading2Char"/>
          <w:rFonts w:asciiTheme="minorHAnsi" w:eastAsiaTheme="minorHAnsi" w:hAnsiTheme="minorHAnsi" w:cstheme="minorHAnsi"/>
          <w:sz w:val="26"/>
          <w:szCs w:val="26"/>
        </w:rPr>
        <w:t>5.1 24/7 Security Operations Center (SOC)</w:t>
      </w:r>
      <w:bookmarkEnd w:id="14"/>
      <w:r>
        <w:rPr>
          <w:rStyle w:val="Heading2Char"/>
          <w:rFonts w:asciiTheme="minorHAnsi" w:eastAsiaTheme="minorHAnsi" w:hAnsiTheme="minorHAnsi" w:cstheme="minorHAnsi"/>
          <w:sz w:val="26"/>
          <w:szCs w:val="26"/>
        </w:rPr>
        <w:br/>
      </w:r>
      <w:r>
        <w:rPr>
          <w:rFonts w:eastAsia="Times New Roman" w:cstheme="minorHAnsi"/>
          <w:sz w:val="24"/>
          <w:szCs w:val="24"/>
        </w:rPr>
        <w:t xml:space="preserve">A SOC acts as the cybersecurity hub where it uses tools like SIEM and Security Orchestration, Automation and Response (SOAR) to monitor, analyze and respond to the security events. </w:t>
      </w:r>
      <w:r>
        <w:rPr>
          <w:rFonts w:eastAsia="Times New Roman" w:cstheme="minorHAnsi"/>
          <w:sz w:val="24"/>
          <w:szCs w:val="24"/>
        </w:rPr>
        <w:lastRenderedPageBreak/>
        <w:t xml:space="preserve">Threat intelligence feeds integration improves the capacity of the SOC to detect emerging threats and provide a context to alerts. Auto playbooks have the potential to automatize </w:t>
      </w:r>
      <w:r>
        <w:rPr>
          <w:rFonts w:eastAsia="Times New Roman" w:cstheme="minorHAnsi"/>
          <w:b/>
          <w:bCs/>
          <w:noProof/>
          <w:sz w:val="24"/>
          <w:szCs w:val="24"/>
        </w:rPr>
        <w:drawing>
          <wp:anchor distT="0" distB="0" distL="114300" distR="114300" simplePos="0" relativeHeight="251660288" behindDoc="0" locked="0" layoutInCell="1" allowOverlap="1" wp14:anchorId="32584A76" wp14:editId="002D63F8">
            <wp:simplePos x="0" y="0"/>
            <wp:positionH relativeFrom="column">
              <wp:posOffset>-438150</wp:posOffset>
            </wp:positionH>
            <wp:positionV relativeFrom="paragraph">
              <wp:posOffset>1565275</wp:posOffset>
            </wp:positionV>
            <wp:extent cx="6928485" cy="5581015"/>
            <wp:effectExtent l="171450" t="171450" r="367665" b="362585"/>
            <wp:wrapTopAndBottom/>
            <wp:docPr id="2" name="Picture 2" descr="C:\Users\Dell\Downloads\Untitled Diagram.drawio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Dell\Downloads\Untitled Diagram.drawio (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6928485" cy="5581015"/>
                    </a:xfrm>
                    <a:prstGeom prst="rect">
                      <a:avLst/>
                    </a:prstGeom>
                    <a:ln>
                      <a:noFill/>
                    </a:ln>
                    <a:effectLst>
                      <a:outerShdw blurRad="292100" dist="139700" dir="2700000" algn="tl" rotWithShape="0">
                        <a:srgbClr val="333333">
                          <a:alpha val="65000"/>
                        </a:srgbClr>
                      </a:outerShdw>
                    </a:effectLst>
                  </pic:spPr>
                </pic:pic>
              </a:graphicData>
            </a:graphic>
          </wp:anchor>
        </w:drawing>
      </w:r>
      <w:r>
        <w:rPr>
          <w:rFonts w:eastAsia="Times New Roman" w:cstheme="minorHAnsi"/>
          <w:sz w:val="24"/>
          <w:szCs w:val="24"/>
        </w:rPr>
        <w:t>response processes to minimize mean time to detect (MTTD) and mean time to respond (MTTR).</w:t>
      </w:r>
    </w:p>
    <w:p w14:paraId="4348B0AF" w14:textId="77777777" w:rsidR="00221CAD" w:rsidRDefault="00000000">
      <w:pPr>
        <w:spacing w:before="100" w:beforeAutospacing="1" w:after="100" w:afterAutospacing="1" w:line="360" w:lineRule="auto"/>
        <w:jc w:val="center"/>
        <w:rPr>
          <w:rFonts w:eastAsia="Times New Roman" w:cstheme="minorHAnsi"/>
          <w:sz w:val="24"/>
          <w:szCs w:val="24"/>
        </w:rPr>
      </w:pPr>
      <w:r>
        <w:rPr>
          <w:rFonts w:eastAsia="Times New Roman" w:cstheme="minorHAnsi"/>
          <w:b/>
          <w:bCs/>
          <w:sz w:val="24"/>
          <w:szCs w:val="24"/>
        </w:rPr>
        <w:t>Figure 2: SIEM/SOAR Incident Response Workflow</w:t>
      </w:r>
    </w:p>
    <w:p w14:paraId="56AEFF84" w14:textId="77777777" w:rsidR="00221CAD" w:rsidRDefault="00221CAD">
      <w:pPr>
        <w:spacing w:before="100" w:beforeAutospacing="1" w:after="100" w:afterAutospacing="1" w:line="360" w:lineRule="auto"/>
        <w:rPr>
          <w:rFonts w:eastAsia="Times New Roman" w:cstheme="minorHAnsi"/>
          <w:b/>
          <w:bCs/>
          <w:sz w:val="24"/>
          <w:szCs w:val="24"/>
        </w:rPr>
      </w:pPr>
    </w:p>
    <w:p w14:paraId="128D51E8" w14:textId="77777777" w:rsidR="00221CAD" w:rsidRDefault="00000000">
      <w:pPr>
        <w:spacing w:before="100" w:beforeAutospacing="1" w:after="100" w:afterAutospacing="1" w:line="360" w:lineRule="auto"/>
        <w:rPr>
          <w:rFonts w:eastAsia="Times New Roman" w:cstheme="minorHAnsi"/>
          <w:sz w:val="24"/>
          <w:szCs w:val="24"/>
        </w:rPr>
      </w:pPr>
      <w:bookmarkStart w:id="15" w:name="_Toc215715778"/>
      <w:r>
        <w:rPr>
          <w:rStyle w:val="Heading2Char"/>
          <w:rFonts w:asciiTheme="minorHAnsi" w:eastAsiaTheme="minorHAnsi" w:hAnsiTheme="minorHAnsi" w:cstheme="minorHAnsi"/>
          <w:sz w:val="26"/>
          <w:szCs w:val="26"/>
        </w:rPr>
        <w:lastRenderedPageBreak/>
        <w:t>5.2 Ransomware Response Plan</w:t>
      </w:r>
      <w:bookmarkEnd w:id="15"/>
      <w:r>
        <w:rPr>
          <w:rStyle w:val="Heading2Char"/>
          <w:rFonts w:asciiTheme="minorHAnsi" w:eastAsiaTheme="minorHAnsi" w:hAnsiTheme="minorHAnsi" w:cstheme="minorHAnsi"/>
          <w:sz w:val="26"/>
          <w:szCs w:val="26"/>
        </w:rPr>
        <w:br/>
      </w:r>
      <w:r>
        <w:rPr>
          <w:rFonts w:eastAsia="Times New Roman" w:cstheme="minorHAnsi"/>
          <w:sz w:val="24"/>
          <w:szCs w:val="24"/>
        </w:rPr>
        <w:t>Ransomware is very widespread and may affect the situation, hence the necessity to have a certain response plan. The steps that should be included in the plan are as follows:</w:t>
      </w:r>
    </w:p>
    <w:p w14:paraId="528BFAC9" w14:textId="77777777" w:rsidR="00221CAD" w:rsidRDefault="00000000">
      <w:pPr>
        <w:numPr>
          <w:ilvl w:val="0"/>
          <w:numId w:val="4"/>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Immediate Isolation:</w:t>
      </w:r>
      <w:r>
        <w:rPr>
          <w:rFonts w:eastAsia="Times New Roman" w:cstheme="minorHAnsi"/>
          <w:sz w:val="24"/>
          <w:szCs w:val="24"/>
        </w:rPr>
        <w:t xml:space="preserve"> Do not attach affected systems to the system any more, as it will get additional encryption or spread.</w:t>
      </w:r>
    </w:p>
    <w:p w14:paraId="5F20D220" w14:textId="77777777" w:rsidR="00221CAD" w:rsidRDefault="00000000">
      <w:pPr>
        <w:numPr>
          <w:ilvl w:val="0"/>
          <w:numId w:val="4"/>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Notification and Activation:</w:t>
      </w:r>
      <w:r>
        <w:rPr>
          <w:rFonts w:eastAsia="Times New Roman" w:cstheme="minorHAnsi"/>
          <w:sz w:val="24"/>
          <w:szCs w:val="24"/>
        </w:rPr>
        <w:t xml:space="preserve"> Alert incident response team and other stake holders such as legal and communications departments.</w:t>
      </w:r>
    </w:p>
    <w:p w14:paraId="0929FF0E" w14:textId="77777777" w:rsidR="00221CAD" w:rsidRDefault="00000000">
      <w:pPr>
        <w:numPr>
          <w:ilvl w:val="0"/>
          <w:numId w:val="4"/>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Data Restoration:</w:t>
      </w:r>
      <w:r>
        <w:rPr>
          <w:rFonts w:eastAsia="Times New Roman" w:cstheme="minorHAnsi"/>
          <w:sz w:val="24"/>
          <w:szCs w:val="24"/>
        </w:rPr>
        <w:t xml:space="preserve"> Recover damaged information of immutable backups in order to save money of paying ransom to come back online.</w:t>
      </w:r>
    </w:p>
    <w:p w14:paraId="2B2A5F01" w14:textId="77777777" w:rsidR="00221CAD" w:rsidRDefault="00000000">
      <w:pPr>
        <w:numPr>
          <w:ilvl w:val="0"/>
          <w:numId w:val="4"/>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Forensic Investigation:</w:t>
      </w:r>
      <w:r>
        <w:rPr>
          <w:rFonts w:eastAsia="Times New Roman" w:cstheme="minorHAnsi"/>
          <w:sz w:val="24"/>
          <w:szCs w:val="24"/>
        </w:rPr>
        <w:t xml:space="preserve"> Investigate a proper investigation to identify the attack vectors, extent of attack, and lessons learnt.</w:t>
      </w:r>
    </w:p>
    <w:p w14:paraId="138B7592" w14:textId="77777777" w:rsidR="00221CAD" w:rsidRDefault="00000000">
      <w:pPr>
        <w:numPr>
          <w:ilvl w:val="0"/>
          <w:numId w:val="4"/>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Post-Incident Review:</w:t>
      </w:r>
      <w:r>
        <w:rPr>
          <w:rFonts w:eastAsia="Times New Roman" w:cstheme="minorHAnsi"/>
          <w:sz w:val="24"/>
          <w:szCs w:val="24"/>
        </w:rPr>
        <w:t xml:space="preserve"> Policy/Control/Training Update- Determine how findings can be used to ensure that what happened happens again.</w:t>
      </w:r>
    </w:p>
    <w:p w14:paraId="682A0B19"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16" w:name="_Toc215715779"/>
      <w:r>
        <w:rPr>
          <w:rFonts w:eastAsia="Times New Roman" w:cstheme="minorHAnsi"/>
          <w:b/>
          <w:bCs/>
          <w:sz w:val="27"/>
          <w:szCs w:val="27"/>
        </w:rPr>
        <w:t>6. CONTINUOUS TRAINING &amp; AWARENESS</w:t>
      </w:r>
      <w:bookmarkEnd w:id="16"/>
    </w:p>
    <w:p w14:paraId="2FF8AC9A"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The human factor is also a major weakness of cybersecurity. Because an organization has to create a culture of security awareness and minimize the chances of being victims of social engineering attacks, a continuous and interesting training program is relevant.</w:t>
      </w:r>
    </w:p>
    <w:p w14:paraId="720266B6" w14:textId="77777777" w:rsidR="00221CAD" w:rsidRDefault="00000000">
      <w:pPr>
        <w:spacing w:before="100" w:beforeAutospacing="1" w:after="100" w:afterAutospacing="1" w:line="360" w:lineRule="auto"/>
        <w:rPr>
          <w:rFonts w:eastAsia="Times New Roman" w:cstheme="minorHAnsi"/>
          <w:sz w:val="24"/>
          <w:szCs w:val="24"/>
        </w:rPr>
      </w:pPr>
      <w:bookmarkStart w:id="17" w:name="_Toc215715780"/>
      <w:r>
        <w:rPr>
          <w:rStyle w:val="Heading2Char"/>
          <w:rFonts w:asciiTheme="minorHAnsi" w:eastAsiaTheme="minorHAnsi" w:hAnsiTheme="minorHAnsi" w:cstheme="minorHAnsi"/>
          <w:sz w:val="26"/>
          <w:szCs w:val="26"/>
        </w:rPr>
        <w:t>6.1 Engaging Training Program</w:t>
      </w:r>
      <w:bookmarkEnd w:id="17"/>
      <w:r>
        <w:rPr>
          <w:rStyle w:val="Heading2Char"/>
          <w:rFonts w:asciiTheme="minorHAnsi" w:eastAsiaTheme="minorHAnsi" w:hAnsiTheme="minorHAnsi" w:cstheme="minorHAnsi"/>
          <w:sz w:val="26"/>
          <w:szCs w:val="26"/>
        </w:rPr>
        <w:br/>
      </w:r>
      <w:r>
        <w:rPr>
          <w:rFonts w:eastAsia="Times New Roman" w:cstheme="minorHAnsi"/>
          <w:sz w:val="24"/>
          <w:szCs w:val="24"/>
        </w:rPr>
        <w:t>A good security training does not require compliance training videos once a year. It must be wither interactive, relevant and constant. Proposed elements include:</w:t>
      </w:r>
    </w:p>
    <w:p w14:paraId="612B3AFE" w14:textId="77777777" w:rsidR="00221CAD" w:rsidRDefault="00000000">
      <w:pPr>
        <w:numPr>
          <w:ilvl w:val="0"/>
          <w:numId w:val="5"/>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Simulated Phishing and Vishing Campaigns:</w:t>
      </w:r>
      <w:r>
        <w:rPr>
          <w:rFonts w:eastAsia="Times New Roman" w:cstheme="minorHAnsi"/>
          <w:sz w:val="24"/>
          <w:szCs w:val="24"/>
        </w:rPr>
        <w:t xml:space="preserve"> Each month there is a simulation of employee vigilance and feedback is availed right away.</w:t>
      </w:r>
    </w:p>
    <w:p w14:paraId="52830B3F" w14:textId="77777777" w:rsidR="00221CAD" w:rsidRDefault="00000000">
      <w:pPr>
        <w:numPr>
          <w:ilvl w:val="0"/>
          <w:numId w:val="5"/>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Role-Specific Training:</w:t>
      </w:r>
      <w:r>
        <w:rPr>
          <w:rFonts w:eastAsia="Times New Roman" w:cstheme="minorHAnsi"/>
          <w:sz w:val="24"/>
          <w:szCs w:val="24"/>
        </w:rPr>
        <w:t xml:space="preserve"> Each department has its own risks and duties and therefore specific material is covered (e.g. finance, IT, remote workers).</w:t>
      </w:r>
    </w:p>
    <w:p w14:paraId="08535C16" w14:textId="77777777" w:rsidR="00221CAD" w:rsidRDefault="00000000">
      <w:pPr>
        <w:numPr>
          <w:ilvl w:val="0"/>
          <w:numId w:val="5"/>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Gamified Learning Modules:</w:t>
      </w:r>
      <w:r>
        <w:rPr>
          <w:rFonts w:eastAsia="Times New Roman" w:cstheme="minorHAnsi"/>
          <w:sz w:val="24"/>
          <w:szCs w:val="24"/>
        </w:rPr>
        <w:t xml:space="preserve"> To make it more engaging and knowledge retention successful, game elements like points, badges and leaderboards are essential.</w:t>
      </w:r>
    </w:p>
    <w:p w14:paraId="01007690" w14:textId="77777777" w:rsidR="00221CAD" w:rsidRDefault="00000000">
      <w:pPr>
        <w:spacing w:before="100" w:beforeAutospacing="1" w:after="100" w:afterAutospacing="1" w:line="360" w:lineRule="auto"/>
        <w:rPr>
          <w:rFonts w:eastAsia="Times New Roman" w:cstheme="minorHAnsi"/>
          <w:sz w:val="24"/>
          <w:szCs w:val="24"/>
        </w:rPr>
      </w:pPr>
      <w:bookmarkStart w:id="18" w:name="_Toc215715781"/>
      <w:r>
        <w:rPr>
          <w:rStyle w:val="Heading2Char"/>
          <w:rFonts w:asciiTheme="minorHAnsi" w:eastAsiaTheme="minorHAnsi" w:hAnsiTheme="minorHAnsi" w:cstheme="minorHAnsi"/>
          <w:sz w:val="26"/>
          <w:szCs w:val="26"/>
        </w:rPr>
        <w:lastRenderedPageBreak/>
        <w:t>6.2 Security Culture Promotion</w:t>
      </w:r>
      <w:bookmarkEnd w:id="18"/>
      <w:r>
        <w:rPr>
          <w:rStyle w:val="Heading2Char"/>
          <w:rFonts w:asciiTheme="minorHAnsi" w:eastAsiaTheme="minorHAnsi" w:hAnsiTheme="minorHAnsi" w:cstheme="minorHAnsi"/>
          <w:sz w:val="26"/>
          <w:szCs w:val="26"/>
        </w:rPr>
        <w:br/>
      </w:r>
      <w:r>
        <w:rPr>
          <w:rFonts w:eastAsia="Times New Roman" w:cstheme="minorHAnsi"/>
          <w:sz w:val="24"/>
          <w:szCs w:val="24"/>
        </w:rPr>
        <w:t>A culture of security has to be built through constant communication and promotion. Initiatives might include:</w:t>
      </w:r>
    </w:p>
    <w:p w14:paraId="09D11921" w14:textId="77777777" w:rsidR="00221CAD" w:rsidRDefault="00000000">
      <w:pPr>
        <w:numPr>
          <w:ilvl w:val="0"/>
          <w:numId w:val="6"/>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Security Newsletters:</w:t>
      </w:r>
      <w:r>
        <w:rPr>
          <w:rFonts w:eastAsia="Times New Roman" w:cstheme="minorHAnsi"/>
          <w:sz w:val="24"/>
          <w:szCs w:val="24"/>
        </w:rPr>
        <w:t xml:space="preserve"> Frequent news on the latest trend of threats, industry bests practices and internal success stories.</w:t>
      </w:r>
    </w:p>
    <w:p w14:paraId="35BDBDEA" w14:textId="77777777" w:rsidR="00221CAD" w:rsidRDefault="00000000">
      <w:pPr>
        <w:numPr>
          <w:ilvl w:val="0"/>
          <w:numId w:val="6"/>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Security Champion Program:</w:t>
      </w:r>
      <w:r>
        <w:rPr>
          <w:rFonts w:eastAsia="Times New Roman" w:cstheme="minorHAnsi"/>
          <w:sz w:val="24"/>
          <w:szCs w:val="24"/>
        </w:rPr>
        <w:t xml:space="preserve"> This is determined by identifying employees and empowering them to become the security ambassadors of their teams.</w:t>
      </w:r>
    </w:p>
    <w:p w14:paraId="4B2B7E74" w14:textId="77777777" w:rsidR="00221CAD" w:rsidRDefault="00000000">
      <w:pPr>
        <w:numPr>
          <w:ilvl w:val="0"/>
          <w:numId w:val="6"/>
        </w:numPr>
        <w:spacing w:before="100" w:beforeAutospacing="1" w:after="100" w:afterAutospacing="1" w:line="360" w:lineRule="auto"/>
        <w:rPr>
          <w:rFonts w:eastAsia="Times New Roman" w:cstheme="minorHAnsi"/>
          <w:sz w:val="24"/>
          <w:szCs w:val="24"/>
        </w:rPr>
      </w:pPr>
      <w:r>
        <w:rPr>
          <w:rFonts w:eastAsia="Times New Roman" w:cstheme="minorHAnsi"/>
          <w:b/>
          <w:bCs/>
          <w:sz w:val="24"/>
          <w:szCs w:val="24"/>
        </w:rPr>
        <w:t>Security Awareness Week:</w:t>
      </w:r>
      <w:r>
        <w:rPr>
          <w:rFonts w:eastAsia="Times New Roman" w:cstheme="minorHAnsi"/>
          <w:sz w:val="24"/>
          <w:szCs w:val="24"/>
        </w:rPr>
        <w:t xml:space="preserve"> This is an annual event that includes workshops, expert talks and interactive activities to support the important message.</w:t>
      </w:r>
    </w:p>
    <w:p w14:paraId="5E9F1276" w14:textId="77777777" w:rsidR="00221CAD" w:rsidRDefault="00000000">
      <w:pPr>
        <w:spacing w:before="100" w:beforeAutospacing="1" w:after="100" w:afterAutospacing="1" w:line="360" w:lineRule="auto"/>
        <w:outlineLvl w:val="2"/>
        <w:rPr>
          <w:rFonts w:eastAsia="Times New Roman" w:cstheme="minorHAnsi"/>
          <w:b/>
          <w:bCs/>
          <w:sz w:val="27"/>
          <w:szCs w:val="27"/>
        </w:rPr>
      </w:pPr>
      <w:bookmarkStart w:id="19" w:name="_Toc215715782"/>
      <w:r>
        <w:rPr>
          <w:rFonts w:eastAsia="Times New Roman" w:cstheme="minorHAnsi"/>
          <w:b/>
          <w:bCs/>
          <w:sz w:val="27"/>
          <w:szCs w:val="27"/>
        </w:rPr>
        <w:t>7. CONCLUSION</w:t>
      </w:r>
      <w:bookmarkEnd w:id="19"/>
    </w:p>
    <w:p w14:paraId="17942F68" w14:textId="77777777" w:rsidR="00221CAD" w:rsidRDefault="00000000">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The current report has provided an elaborate and contemporary security architecture at Vigilant Trust &amp; Asset Management based on the Zero Trust model and consistent with the recognized standards including NIST CSF and ISO 27001. VTAM can greatly increase its resilience to cyber threats by identifying the existing threats, formulating clear policies, creating sensible technical restrictions, creating positive proactive monitoring and responding facilities, and fostering the maintenance of the security awareness. The suggested solutions are practical and scalable and aimed at ensuring the safety of sensitive financial information, ensuring hybrid working conditions, and promoting an active security culture. Such a comprehensive process depressing is not an IT endeavor, but a business requirement in a dynamic cyber risk environment.</w:t>
      </w:r>
    </w:p>
    <w:p w14:paraId="2AEB69E5" w14:textId="77777777" w:rsidR="00221CAD" w:rsidRDefault="00221CAD">
      <w:pPr>
        <w:spacing w:before="100" w:beforeAutospacing="1" w:after="100" w:afterAutospacing="1" w:line="240" w:lineRule="auto"/>
        <w:outlineLvl w:val="2"/>
        <w:rPr>
          <w:rFonts w:eastAsia="Times New Roman" w:cstheme="minorHAnsi"/>
          <w:b/>
          <w:bCs/>
          <w:sz w:val="27"/>
          <w:szCs w:val="27"/>
        </w:rPr>
      </w:pPr>
      <w:bookmarkStart w:id="20" w:name="_Toc215715783"/>
    </w:p>
    <w:p w14:paraId="244A4A1D" w14:textId="77777777" w:rsidR="00221CAD" w:rsidRDefault="00221CAD">
      <w:pPr>
        <w:spacing w:before="100" w:beforeAutospacing="1" w:after="100" w:afterAutospacing="1" w:line="240" w:lineRule="auto"/>
        <w:outlineLvl w:val="2"/>
        <w:rPr>
          <w:rFonts w:eastAsia="Times New Roman" w:cstheme="minorHAnsi"/>
          <w:b/>
          <w:bCs/>
          <w:sz w:val="27"/>
          <w:szCs w:val="27"/>
        </w:rPr>
      </w:pPr>
    </w:p>
    <w:p w14:paraId="5109FECB" w14:textId="77777777" w:rsidR="00221CAD" w:rsidRDefault="00221CAD">
      <w:pPr>
        <w:spacing w:before="100" w:beforeAutospacing="1" w:after="100" w:afterAutospacing="1" w:line="240" w:lineRule="auto"/>
        <w:outlineLvl w:val="2"/>
        <w:rPr>
          <w:rFonts w:eastAsia="Times New Roman" w:cstheme="minorHAnsi"/>
          <w:b/>
          <w:bCs/>
          <w:sz w:val="27"/>
          <w:szCs w:val="27"/>
        </w:rPr>
      </w:pPr>
    </w:p>
    <w:p w14:paraId="07809DCC" w14:textId="77777777" w:rsidR="00221CAD" w:rsidRDefault="00221CAD">
      <w:pPr>
        <w:spacing w:before="100" w:beforeAutospacing="1" w:after="100" w:afterAutospacing="1" w:line="240" w:lineRule="auto"/>
        <w:outlineLvl w:val="2"/>
        <w:rPr>
          <w:rFonts w:eastAsia="Times New Roman" w:cstheme="minorHAnsi"/>
          <w:b/>
          <w:bCs/>
          <w:sz w:val="27"/>
          <w:szCs w:val="27"/>
        </w:rPr>
      </w:pPr>
    </w:p>
    <w:p w14:paraId="6C324BBC" w14:textId="77777777" w:rsidR="00221CAD" w:rsidRDefault="00221CAD">
      <w:pPr>
        <w:spacing w:before="100" w:beforeAutospacing="1" w:after="100" w:afterAutospacing="1" w:line="240" w:lineRule="auto"/>
        <w:outlineLvl w:val="2"/>
        <w:rPr>
          <w:rFonts w:eastAsia="Times New Roman" w:cstheme="minorHAnsi"/>
          <w:b/>
          <w:bCs/>
          <w:sz w:val="27"/>
          <w:szCs w:val="27"/>
        </w:rPr>
      </w:pPr>
    </w:p>
    <w:p w14:paraId="60906714" w14:textId="77777777" w:rsidR="00221CAD" w:rsidRDefault="00000000">
      <w:pPr>
        <w:spacing w:before="100" w:beforeAutospacing="1" w:after="100" w:afterAutospacing="1" w:line="240" w:lineRule="auto"/>
        <w:outlineLvl w:val="2"/>
        <w:rPr>
          <w:rFonts w:eastAsia="Times New Roman" w:cstheme="minorHAnsi"/>
          <w:b/>
          <w:bCs/>
          <w:sz w:val="27"/>
          <w:szCs w:val="27"/>
        </w:rPr>
      </w:pPr>
      <w:r>
        <w:rPr>
          <w:rFonts w:eastAsia="Times New Roman" w:cstheme="minorHAnsi"/>
          <w:b/>
          <w:bCs/>
          <w:sz w:val="27"/>
          <w:szCs w:val="27"/>
        </w:rPr>
        <w:lastRenderedPageBreak/>
        <w:t>8. REFERENCES</w:t>
      </w:r>
      <w:bookmarkEnd w:id="20"/>
    </w:p>
    <w:p w14:paraId="1ECF46CE"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National Institute of Standards and Technology (NIST), </w:t>
      </w:r>
      <w:r>
        <w:rPr>
          <w:rFonts w:eastAsia="Times New Roman" w:cstheme="minorHAnsi"/>
          <w:i/>
          <w:iCs/>
          <w:sz w:val="24"/>
          <w:szCs w:val="24"/>
        </w:rPr>
        <w:t>Zero Trust Architecture</w:t>
      </w:r>
      <w:r>
        <w:rPr>
          <w:rFonts w:eastAsia="Times New Roman" w:cstheme="minorHAnsi"/>
          <w:sz w:val="24"/>
          <w:szCs w:val="24"/>
        </w:rPr>
        <w:t xml:space="preserve">, NIST Special Publication 800-207, August 2020. </w:t>
      </w:r>
      <w:hyperlink r:id="rId10" w:history="1">
        <w:r>
          <w:rPr>
            <w:rFonts w:eastAsia="Times New Roman" w:cstheme="minorHAnsi"/>
            <w:color w:val="0000FF"/>
            <w:sz w:val="24"/>
            <w:szCs w:val="24"/>
            <w:u w:val="single"/>
          </w:rPr>
          <w:t>https://nvlpubs.nist.gov/nistpubs/SpecialPublications/NIST.SP.800-207.pdf</w:t>
        </w:r>
      </w:hyperlink>
    </w:p>
    <w:p w14:paraId="10DC0CD4"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Cybersecurity and Infrastructure Security Agency (CISA), </w:t>
      </w:r>
      <w:r>
        <w:rPr>
          <w:rFonts w:eastAsia="Times New Roman" w:cstheme="minorHAnsi"/>
          <w:i/>
          <w:iCs/>
          <w:sz w:val="24"/>
          <w:szCs w:val="24"/>
        </w:rPr>
        <w:t>Known Exploited Vulnerabilities Catalog</w:t>
      </w:r>
      <w:r>
        <w:rPr>
          <w:rFonts w:eastAsia="Times New Roman" w:cstheme="minorHAnsi"/>
          <w:sz w:val="24"/>
          <w:szCs w:val="24"/>
        </w:rPr>
        <w:t>, 2023.</w:t>
      </w:r>
    </w:p>
    <w:p w14:paraId="64E4D923"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International Organization for Standardization (ISO), </w:t>
      </w:r>
      <w:r>
        <w:rPr>
          <w:rFonts w:eastAsia="Times New Roman" w:cstheme="minorHAnsi"/>
          <w:i/>
          <w:iCs/>
          <w:sz w:val="24"/>
          <w:szCs w:val="24"/>
        </w:rPr>
        <w:t>ISO/IEC 27001:2022 – Information security, cybersecurity and privacy protection – Information security management systems – Requirements</w:t>
      </w:r>
      <w:r>
        <w:rPr>
          <w:rFonts w:eastAsia="Times New Roman" w:cstheme="minorHAnsi"/>
          <w:sz w:val="24"/>
          <w:szCs w:val="24"/>
        </w:rPr>
        <w:t>, 2022.</w:t>
      </w:r>
      <w:r>
        <w:rPr>
          <w:rFonts w:eastAsia="Times New Roman" w:cstheme="minorHAnsi"/>
          <w:sz w:val="24"/>
          <w:szCs w:val="24"/>
        </w:rPr>
        <w:br/>
      </w:r>
      <w:hyperlink r:id="rId11" w:history="1">
        <w:r>
          <w:rPr>
            <w:rFonts w:eastAsia="Times New Roman" w:cstheme="minorHAnsi"/>
            <w:color w:val="0000FF"/>
            <w:sz w:val="24"/>
            <w:szCs w:val="24"/>
            <w:u w:val="single"/>
          </w:rPr>
          <w:t>https://www.iso.org/standard/27001</w:t>
        </w:r>
      </w:hyperlink>
    </w:p>
    <w:p w14:paraId="3A6AEF6E"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European Union Agency for Cybersecurity (ENISA), </w:t>
      </w:r>
      <w:r>
        <w:rPr>
          <w:rFonts w:eastAsia="Times New Roman" w:cstheme="minorHAnsi"/>
          <w:i/>
          <w:iCs/>
          <w:sz w:val="24"/>
          <w:szCs w:val="24"/>
        </w:rPr>
        <w:t>ENISA Threat Landscape 2023</w:t>
      </w:r>
      <w:r>
        <w:rPr>
          <w:rFonts w:eastAsia="Times New Roman" w:cstheme="minorHAnsi"/>
          <w:sz w:val="24"/>
          <w:szCs w:val="24"/>
        </w:rPr>
        <w:t>, October 2023.</w:t>
      </w:r>
      <w:r>
        <w:rPr>
          <w:rFonts w:eastAsia="Times New Roman" w:cstheme="minorHAnsi"/>
          <w:sz w:val="24"/>
          <w:szCs w:val="24"/>
        </w:rPr>
        <w:br/>
      </w:r>
      <w:hyperlink r:id="rId12" w:history="1">
        <w:r>
          <w:rPr>
            <w:rFonts w:eastAsia="Times New Roman" w:cstheme="minorHAnsi"/>
            <w:color w:val="0000FF"/>
            <w:sz w:val="24"/>
            <w:szCs w:val="24"/>
            <w:u w:val="single"/>
          </w:rPr>
          <w:t>https://www.enisa.europa.eu/publications/enisa-threat-landscape-2023</w:t>
        </w:r>
      </w:hyperlink>
    </w:p>
    <w:p w14:paraId="33700F07"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Verizon, </w:t>
      </w:r>
      <w:r>
        <w:rPr>
          <w:rFonts w:eastAsia="Times New Roman" w:cstheme="minorHAnsi"/>
          <w:i/>
          <w:iCs/>
          <w:sz w:val="24"/>
          <w:szCs w:val="24"/>
        </w:rPr>
        <w:t>2023 Data Breach Investigations Report (DBIR)</w:t>
      </w:r>
      <w:r>
        <w:rPr>
          <w:rFonts w:eastAsia="Times New Roman" w:cstheme="minorHAnsi"/>
          <w:sz w:val="24"/>
          <w:szCs w:val="24"/>
        </w:rPr>
        <w:t>, 2023.</w:t>
      </w:r>
      <w:r>
        <w:rPr>
          <w:rFonts w:eastAsia="Times New Roman" w:cstheme="minorHAnsi"/>
          <w:sz w:val="24"/>
          <w:szCs w:val="24"/>
        </w:rPr>
        <w:br/>
      </w:r>
      <w:hyperlink r:id="rId13" w:history="1">
        <w:r>
          <w:rPr>
            <w:rFonts w:eastAsia="Times New Roman" w:cstheme="minorHAnsi"/>
            <w:color w:val="0000FF"/>
            <w:sz w:val="24"/>
            <w:szCs w:val="24"/>
            <w:u w:val="single"/>
          </w:rPr>
          <w:t>https://www.verizon.com/business/resources/reports/dbir/</w:t>
        </w:r>
      </w:hyperlink>
    </w:p>
    <w:p w14:paraId="6CFD3EA1"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Cloud Security Alliance (CSA), </w:t>
      </w:r>
      <w:r>
        <w:rPr>
          <w:rFonts w:eastAsia="Times New Roman" w:cstheme="minorHAnsi"/>
          <w:i/>
          <w:iCs/>
          <w:sz w:val="24"/>
          <w:szCs w:val="24"/>
        </w:rPr>
        <w:t>Top Threats to Cloud Computing: The Egregious 11</w:t>
      </w:r>
      <w:r>
        <w:rPr>
          <w:rFonts w:eastAsia="Times New Roman" w:cstheme="minorHAnsi"/>
          <w:sz w:val="24"/>
          <w:szCs w:val="24"/>
        </w:rPr>
        <w:t>, 2022.</w:t>
      </w:r>
    </w:p>
    <w:p w14:paraId="4A58A471"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SANS Institute, </w:t>
      </w:r>
      <w:r>
        <w:rPr>
          <w:rFonts w:eastAsia="Times New Roman" w:cstheme="minorHAnsi"/>
          <w:i/>
          <w:iCs/>
          <w:sz w:val="24"/>
          <w:szCs w:val="24"/>
        </w:rPr>
        <w:t>Incident Handler’s Handbook</w:t>
      </w:r>
      <w:r>
        <w:rPr>
          <w:rFonts w:eastAsia="Times New Roman" w:cstheme="minorHAnsi"/>
          <w:sz w:val="24"/>
          <w:szCs w:val="24"/>
        </w:rPr>
        <w:t>, SANS Reading Room, 2023.</w:t>
      </w:r>
      <w:r>
        <w:rPr>
          <w:rFonts w:eastAsia="Times New Roman" w:cstheme="minorHAnsi"/>
          <w:sz w:val="24"/>
          <w:szCs w:val="24"/>
        </w:rPr>
        <w:br/>
      </w:r>
      <w:hyperlink r:id="rId14" w:history="1">
        <w:r>
          <w:rPr>
            <w:rFonts w:eastAsia="Times New Roman" w:cstheme="minorHAnsi"/>
            <w:color w:val="0000FF"/>
            <w:sz w:val="24"/>
            <w:szCs w:val="24"/>
            <w:u w:val="single"/>
          </w:rPr>
          <w:t>https://www.sans.org/reading-room/whitepapers/incident/incident-handlers-handbook-33901</w:t>
        </w:r>
      </w:hyperlink>
    </w:p>
    <w:p w14:paraId="45A969ED"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National Institute of Standards and Technology (NIST), </w:t>
      </w:r>
      <w:r>
        <w:rPr>
          <w:rFonts w:eastAsia="Times New Roman" w:cstheme="minorHAnsi"/>
          <w:i/>
          <w:iCs/>
          <w:sz w:val="24"/>
          <w:szCs w:val="24"/>
        </w:rPr>
        <w:t>Framework for Improving Critical Infrastructure Cybersecurity (CSF) Version 2.0</w:t>
      </w:r>
      <w:r>
        <w:rPr>
          <w:rFonts w:eastAsia="Times New Roman" w:cstheme="minorHAnsi"/>
          <w:sz w:val="24"/>
          <w:szCs w:val="24"/>
        </w:rPr>
        <w:t>, 2024.</w:t>
      </w:r>
      <w:hyperlink r:id="rId15" w:history="1">
        <w:r>
          <w:rPr>
            <w:rFonts w:eastAsia="Times New Roman" w:cstheme="minorHAnsi"/>
            <w:color w:val="0000FF"/>
            <w:sz w:val="24"/>
            <w:szCs w:val="24"/>
            <w:u w:val="single"/>
          </w:rPr>
          <w:t>https://www.nist.gov/cyberframework</w:t>
        </w:r>
      </w:hyperlink>
    </w:p>
    <w:p w14:paraId="0F519200"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Microsoft, </w:t>
      </w:r>
      <w:r>
        <w:rPr>
          <w:rFonts w:eastAsia="Times New Roman" w:cstheme="minorHAnsi"/>
          <w:i/>
          <w:iCs/>
          <w:sz w:val="24"/>
          <w:szCs w:val="24"/>
        </w:rPr>
        <w:t>Zero Trust Security Model: Modern Security for the Hybrid Workforce</w:t>
      </w:r>
      <w:r>
        <w:rPr>
          <w:rFonts w:eastAsia="Times New Roman" w:cstheme="minorHAnsi"/>
          <w:sz w:val="24"/>
          <w:szCs w:val="24"/>
        </w:rPr>
        <w:t>, 2023.</w:t>
      </w:r>
    </w:p>
    <w:p w14:paraId="475AC8DD" w14:textId="77777777" w:rsidR="00221CAD" w:rsidRDefault="0000000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UK National Cyber Security Centre (NCSC), </w:t>
      </w:r>
      <w:r>
        <w:rPr>
          <w:rFonts w:eastAsia="Times New Roman" w:cstheme="minorHAnsi"/>
          <w:i/>
          <w:iCs/>
          <w:sz w:val="24"/>
          <w:szCs w:val="24"/>
        </w:rPr>
        <w:t>Introduction to Zero Trust Architecture</w:t>
      </w:r>
      <w:r>
        <w:rPr>
          <w:rFonts w:eastAsia="Times New Roman" w:cstheme="minorHAnsi"/>
          <w:sz w:val="24"/>
          <w:szCs w:val="24"/>
        </w:rPr>
        <w:t>, 2023.</w:t>
      </w:r>
      <w:r>
        <w:rPr>
          <w:rFonts w:eastAsia="Times New Roman" w:cstheme="minorHAnsi"/>
          <w:sz w:val="24"/>
          <w:szCs w:val="24"/>
        </w:rPr>
        <w:br/>
      </w:r>
      <w:hyperlink r:id="rId16" w:history="1">
        <w:r>
          <w:rPr>
            <w:rFonts w:eastAsia="Times New Roman" w:cstheme="minorHAnsi"/>
            <w:color w:val="0000FF"/>
            <w:sz w:val="24"/>
            <w:szCs w:val="24"/>
            <w:u w:val="single"/>
          </w:rPr>
          <w:t>https://www.ncsc.gov.uk/collection/zero-trust-architecture</w:t>
        </w:r>
      </w:hyperlink>
    </w:p>
    <w:p w14:paraId="00D8AF57" w14:textId="77777777" w:rsidR="00221CAD" w:rsidRDefault="00221CAD">
      <w:pPr>
        <w:rPr>
          <w:rFonts w:cstheme="minorHAnsi"/>
        </w:rPr>
      </w:pPr>
    </w:p>
    <w:sectPr w:rsidR="00221C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35A38" w14:textId="77777777" w:rsidR="00870F0E" w:rsidRDefault="00870F0E">
      <w:pPr>
        <w:spacing w:line="240" w:lineRule="auto"/>
      </w:pPr>
      <w:r>
        <w:separator/>
      </w:r>
    </w:p>
  </w:endnote>
  <w:endnote w:type="continuationSeparator" w:id="0">
    <w:p w14:paraId="71E57EF7" w14:textId="77777777" w:rsidR="00870F0E" w:rsidRDefault="00870F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0554B" w14:textId="77777777" w:rsidR="00870F0E" w:rsidRDefault="00870F0E">
      <w:pPr>
        <w:spacing w:after="0"/>
      </w:pPr>
      <w:r>
        <w:separator/>
      </w:r>
    </w:p>
  </w:footnote>
  <w:footnote w:type="continuationSeparator" w:id="0">
    <w:p w14:paraId="39CD7D39" w14:textId="77777777" w:rsidR="00870F0E" w:rsidRDefault="00870F0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51BB7"/>
    <w:multiLevelType w:val="multilevel"/>
    <w:tmpl w:val="15951BB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30B7270B"/>
    <w:multiLevelType w:val="multilevel"/>
    <w:tmpl w:val="30B7270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3597160E"/>
    <w:multiLevelType w:val="multilevel"/>
    <w:tmpl w:val="3597160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4FF529E9"/>
    <w:multiLevelType w:val="multilevel"/>
    <w:tmpl w:val="4FF529E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56293B1B"/>
    <w:multiLevelType w:val="multilevel"/>
    <w:tmpl w:val="56293B1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6A6B5DE3"/>
    <w:multiLevelType w:val="multilevel"/>
    <w:tmpl w:val="6A6B5DE3"/>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1207646024">
    <w:abstractNumId w:val="1"/>
  </w:num>
  <w:num w:numId="2" w16cid:durableId="1005864361">
    <w:abstractNumId w:val="4"/>
  </w:num>
  <w:num w:numId="3" w16cid:durableId="765736900">
    <w:abstractNumId w:val="3"/>
  </w:num>
  <w:num w:numId="4" w16cid:durableId="1552839019">
    <w:abstractNumId w:val="5"/>
  </w:num>
  <w:num w:numId="5" w16cid:durableId="37093696">
    <w:abstractNumId w:val="2"/>
  </w:num>
  <w:num w:numId="6" w16cid:durableId="1239826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27A94"/>
    <w:rsid w:val="0016234C"/>
    <w:rsid w:val="00221CAD"/>
    <w:rsid w:val="003636F2"/>
    <w:rsid w:val="005A7EA6"/>
    <w:rsid w:val="00727A94"/>
    <w:rsid w:val="0083708F"/>
    <w:rsid w:val="00870F0E"/>
    <w:rsid w:val="008A1A5D"/>
    <w:rsid w:val="00CC33EA"/>
    <w:rsid w:val="00D77713"/>
    <w:rsid w:val="6F7971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9EEB3AC"/>
  <w15:docId w15:val="{3A95B9DA-C65C-394B-99F2-95AA61178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tabs>
        <w:tab w:val="right" w:leader="dot" w:pos="9350"/>
      </w:tabs>
      <w:spacing w:after="100"/>
    </w:p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paragraph" w:customStyle="1" w:styleId="TOCHeading1">
    <w:name w:val="TOC Heading1"/>
    <w:basedOn w:val="Heading1"/>
    <w:next w:val="Normal"/>
    <w:uiPriority w:val="39"/>
    <w:semiHidden/>
    <w:unhideWhenUsed/>
    <w:qFormat/>
    <w:pPr>
      <w:outlineLvl w:val="9"/>
    </w:pPr>
    <w:rPr>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izon.com/business/resources/reports/dbi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isa.europa.eu/publications/enisa-threat-landscape-20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sc.gov.uk/collection/zero-trust-architec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o.org/standard/27001" TargetMode="External"/><Relationship Id="rId5" Type="http://schemas.openxmlformats.org/officeDocument/2006/relationships/webSettings" Target="webSettings.xml"/><Relationship Id="rId15" Type="http://schemas.openxmlformats.org/officeDocument/2006/relationships/hyperlink" Target="https://www.nist.gov/cyberframework" TargetMode="External"/><Relationship Id="rId10" Type="http://schemas.openxmlformats.org/officeDocument/2006/relationships/hyperlink" Target="https://nvlpubs.nist.gov/nistpubs/SpecialPublications/NIST.SP.800-207.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ns.org/reading-room/whitepapers/incident/incident-handlers-handbook-339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FAE600-FC1D-43BE-A600-03BF8E642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13</Pages>
  <Words>2510</Words>
  <Characters>15192</Characters>
  <Application>Microsoft Office Word</Application>
  <DocSecurity>0</DocSecurity>
  <Lines>330</Lines>
  <Paragraphs>134</Paragraphs>
  <ScaleCrop>false</ScaleCrop>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Zeeshan Ahmad Paracha (2429949)</cp:lastModifiedBy>
  <cp:revision>2</cp:revision>
  <dcterms:created xsi:type="dcterms:W3CDTF">2025-12-03T22:11:00Z</dcterms:created>
  <dcterms:modified xsi:type="dcterms:W3CDTF">2025-12-17T11:27:00Z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E7AA6431195748AAABFF884E6D1E7E12_12</vt:lpwstr>
  </property>
</Properties>
</file>