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25088E" w14:textId="0148A218" w:rsidR="0083344D" w:rsidRDefault="00555921" w:rsidP="00555921">
      <w:pPr>
        <w:pStyle w:val="Heading1"/>
      </w:pPr>
      <w:r>
        <w:t>Conclusion &amp; Recommendations</w:t>
      </w:r>
    </w:p>
    <w:p w14:paraId="2057FFCC" w14:textId="4BE7767E" w:rsidR="00555921" w:rsidRDefault="008121C8" w:rsidP="008121C8">
      <w:pPr>
        <w:pStyle w:val="Heading2"/>
      </w:pPr>
      <w:r>
        <w:t>5.0 Introduction</w:t>
      </w:r>
    </w:p>
    <w:p w14:paraId="026353D7" w14:textId="67E27142" w:rsidR="008121C8" w:rsidRDefault="008121C8" w:rsidP="008121C8">
      <w:r>
        <w:t>The overall aim of this research paper was to determine whether all front-line police officers in Great Britain should be routinely armed. The previous chapters of this project ha</w:t>
      </w:r>
      <w:r w:rsidR="00D27CC0">
        <w:t>ve</w:t>
      </w:r>
      <w:r>
        <w:t xml:space="preserve"> analysed existing literature on this topic, planned and then analysed my own research. </w:t>
      </w:r>
    </w:p>
    <w:p w14:paraId="25AE43D1" w14:textId="4FFC09C5" w:rsidR="008121C8" w:rsidRDefault="008121C8" w:rsidP="008121C8">
      <w:r>
        <w:t xml:space="preserve">The four primary objectives of this paper were </w:t>
      </w:r>
      <w:r w:rsidR="00EB6D9F">
        <w:t>evaluation of current crime statistics including firearms deployment guidelines, exploring the difference in opinion</w:t>
      </w:r>
      <w:r w:rsidR="008730B1">
        <w:t>, exploring the key arguments for and against arming police officers and discussing the notion of policing by consent and its alignment with</w:t>
      </w:r>
      <w:r w:rsidR="0031153E">
        <w:t xml:space="preserve"> arming all police officers. </w:t>
      </w:r>
    </w:p>
    <w:p w14:paraId="56422705" w14:textId="46BDFBB5" w:rsidR="008121C8" w:rsidRDefault="0031153E" w:rsidP="008121C8">
      <w:r>
        <w:rPr>
          <w:rFonts w:cs="Arial"/>
        </w:rPr>
        <w:t xml:space="preserve">This </w:t>
      </w:r>
      <w:r w:rsidR="009673B6">
        <w:rPr>
          <w:rFonts w:cs="Arial"/>
        </w:rPr>
        <w:t xml:space="preserve">conclusion shall </w:t>
      </w:r>
      <w:r w:rsidR="003D74B5">
        <w:rPr>
          <w:rFonts w:cs="Arial"/>
        </w:rPr>
        <w:t xml:space="preserve">summarise each of the research objectives in turn </w:t>
      </w:r>
      <w:r w:rsidR="00B453FB">
        <w:rPr>
          <w:rFonts w:cs="Arial"/>
        </w:rPr>
        <w:t xml:space="preserve">and then any limitations, </w:t>
      </w:r>
      <w:r w:rsidR="00A02358">
        <w:rPr>
          <w:rFonts w:cs="Arial"/>
        </w:rPr>
        <w:t>recommendations,</w:t>
      </w:r>
      <w:r w:rsidR="00B453FB">
        <w:rPr>
          <w:rFonts w:cs="Arial"/>
        </w:rPr>
        <w:t xml:space="preserve"> and </w:t>
      </w:r>
      <w:r w:rsidR="0088713A">
        <w:rPr>
          <w:rFonts w:cs="Arial"/>
        </w:rPr>
        <w:t xml:space="preserve">any potential further academic research. </w:t>
      </w:r>
    </w:p>
    <w:p w14:paraId="1D65B442" w14:textId="77777777" w:rsidR="008121C8" w:rsidRDefault="008121C8" w:rsidP="008121C8"/>
    <w:p w14:paraId="3E645680" w14:textId="67777492" w:rsidR="00630349" w:rsidRDefault="00FB01CE" w:rsidP="00E82E2E">
      <w:pPr>
        <w:pStyle w:val="Heading2"/>
        <w:rPr>
          <w:rFonts w:eastAsia="Times New Roman"/>
        </w:rPr>
      </w:pPr>
      <w:r>
        <w:rPr>
          <w:rFonts w:eastAsia="Times New Roman"/>
        </w:rPr>
        <w:t xml:space="preserve">5.1 </w:t>
      </w:r>
      <w:r w:rsidR="00A86089">
        <w:rPr>
          <w:rFonts w:eastAsia="Times New Roman"/>
        </w:rPr>
        <w:t xml:space="preserve">Main findings </w:t>
      </w:r>
    </w:p>
    <w:p w14:paraId="72BC9ECC" w14:textId="154F26D4" w:rsidR="00A522C8" w:rsidRDefault="00A522C8" w:rsidP="00A522C8">
      <w:r>
        <w:t>The primary and secondary data analysed in this study</w:t>
      </w:r>
      <w:r w:rsidR="002B2AE6">
        <w:t xml:space="preserve"> reveals a </w:t>
      </w:r>
      <w:r w:rsidR="005B188B">
        <w:t xml:space="preserve">stark </w:t>
      </w:r>
      <w:r w:rsidR="00BA7CE4">
        <w:t xml:space="preserve">disparity between evolving operational </w:t>
      </w:r>
      <w:r w:rsidR="00817C45">
        <w:t>realities and traditional police values.</w:t>
      </w:r>
      <w:r w:rsidR="006079F4">
        <w:t xml:space="preserve"> </w:t>
      </w:r>
      <w:r w:rsidR="00585C71">
        <w:t>Secondary data from between 2023 and 2025 highlights a changing violent crim</w:t>
      </w:r>
      <w:r w:rsidR="004D4918">
        <w:t xml:space="preserve">e landscape. </w:t>
      </w:r>
      <w:r w:rsidR="00C34CBE">
        <w:t>While firearms offences saw a 22.23% reduction</w:t>
      </w:r>
      <w:r w:rsidR="00B81EC7">
        <w:t xml:space="preserve">, offences involving a knife or other sharp instrument rose to 44,136 incidents, averaging a significant 2,869 bladed article offences per month across the recorded force areas. This </w:t>
      </w:r>
      <w:r w:rsidR="00504823">
        <w:t xml:space="preserve">shift supports academic literature about front-line vulnerability, a sentiment echoed by respondent </w:t>
      </w:r>
      <w:r w:rsidR="00A02358">
        <w:t>thirty-seven</w:t>
      </w:r>
      <w:r w:rsidR="00504823">
        <w:t xml:space="preserve">’s </w:t>
      </w:r>
      <w:r w:rsidR="002F3B22">
        <w:t>assertion that “this is not 1960 and knife and gun crime is rife.”</w:t>
      </w:r>
    </w:p>
    <w:p w14:paraId="31FEAC4E" w14:textId="264488DB" w:rsidR="002F3B22" w:rsidRDefault="002F3B22" w:rsidP="00A522C8">
      <w:r>
        <w:t xml:space="preserve">Crucially, the primary data from the </w:t>
      </w:r>
      <w:r w:rsidR="00A02358">
        <w:t>thirty-eight</w:t>
      </w:r>
      <w:r>
        <w:t xml:space="preserve"> respondents </w:t>
      </w:r>
      <w:r w:rsidR="005C10DE">
        <w:t>exposes a significant gap in the current specialist framework</w:t>
      </w:r>
      <w:r w:rsidR="00A92929">
        <w:t>, with 45% of respondents having a lack of confidence in ARV deployment speeds. Consequently, half of the</w:t>
      </w:r>
      <w:r w:rsidR="00411BB0">
        <w:t xml:space="preserve"> respondents stated that the current terror threat has shifted their opinion in favour of routine arming. </w:t>
      </w:r>
    </w:p>
    <w:p w14:paraId="668C011F" w14:textId="468DADE4" w:rsidR="00411BB0" w:rsidRPr="00A522C8" w:rsidRDefault="004944AB" w:rsidP="00A522C8">
      <w:r>
        <w:t xml:space="preserve">Academic literature </w:t>
      </w:r>
      <w:r w:rsidR="00CC28A8">
        <w:t>assumes</w:t>
      </w:r>
      <w:r>
        <w:t xml:space="preserve"> that routine arming would destroy the notion of policing by consent, primary data introduces a</w:t>
      </w:r>
      <w:r w:rsidR="006D7706">
        <w:t>n important nuance. Thirty-nine percent of respondents fundamentally supported a switch to routine arming</w:t>
      </w:r>
      <w:r w:rsidR="00CA1D5D">
        <w:t>, while 29% of respondents opposed it. Whole 63% anticipated that there would be some impact on police-public rela</w:t>
      </w:r>
      <w:r w:rsidR="005153AB">
        <w:t xml:space="preserve">tions, the data refutes a total collapse in police legitimacy, but rather points towards a state of flux in modern public and internal trust. </w:t>
      </w:r>
    </w:p>
    <w:p w14:paraId="3FA79589" w14:textId="4DCC8B71" w:rsidR="00435C2D" w:rsidRDefault="00DA567F" w:rsidP="00E82E2E">
      <w:pPr>
        <w:pStyle w:val="Heading2"/>
      </w:pPr>
      <w:r>
        <w:rPr>
          <w:rFonts w:eastAsia="Times New Roman"/>
        </w:rPr>
        <w:t xml:space="preserve">5.2 Recommendations </w:t>
      </w:r>
      <w:r w:rsidR="00435C2D">
        <w:t xml:space="preserve"> </w:t>
      </w:r>
    </w:p>
    <w:p w14:paraId="66E77306" w14:textId="4DFA6070" w:rsidR="005153AB" w:rsidRDefault="005153AB" w:rsidP="005153AB">
      <w:r>
        <w:t>Based on the findings, any future polic</w:t>
      </w:r>
      <w:r w:rsidR="00CC28A8">
        <w:t>y</w:t>
      </w:r>
      <w:r>
        <w:t xml:space="preserve"> shift must reject a </w:t>
      </w:r>
      <w:r w:rsidR="000D1055">
        <w:t xml:space="preserve">steadfast all or nothing approach to firearms deployment. Instead, police forces should explore the idea of a tiered, </w:t>
      </w:r>
      <w:r w:rsidR="00FF78E5">
        <w:t>choice-based</w:t>
      </w:r>
      <w:r w:rsidR="000D1055">
        <w:t xml:space="preserve"> framework rather than a mandated policy. </w:t>
      </w:r>
      <w:r w:rsidR="00F55C42">
        <w:t xml:space="preserve">This aligns with the primary data trend that 73.7% of respondents advocated that officers should be given the autonomy of </w:t>
      </w:r>
      <w:r w:rsidR="00FF78E5">
        <w:t xml:space="preserve">choice to decide whether to carry a firearm on duty or not. </w:t>
      </w:r>
    </w:p>
    <w:p w14:paraId="0EA5585D" w14:textId="172D6E20" w:rsidR="00FF78E5" w:rsidRDefault="00FF78E5" w:rsidP="005153AB">
      <w:r>
        <w:t xml:space="preserve">Secondly, transition to this </w:t>
      </w:r>
      <w:r w:rsidR="00990E6D">
        <w:t xml:space="preserve">model needs to be supported by an immediate expansion of the availability of advanced non-lethal alternatives. Qualitative feedback from respondents three and fifteen </w:t>
      </w:r>
      <w:r w:rsidR="00650FFE">
        <w:t xml:space="preserve">highlights that structural change is </w:t>
      </w:r>
      <w:r w:rsidR="006B392F">
        <w:t>dependent</w:t>
      </w:r>
      <w:r w:rsidR="00650FFE">
        <w:t xml:space="preserve"> on intermediate options being </w:t>
      </w:r>
      <w:r w:rsidR="00650FFE">
        <w:lastRenderedPageBreak/>
        <w:t xml:space="preserve">available, suggesting that </w:t>
      </w:r>
      <w:r w:rsidR="00F3555C">
        <w:t xml:space="preserve">taser be rolled out to all front-line officers along side or before any lethal firearm considerations. </w:t>
      </w:r>
    </w:p>
    <w:p w14:paraId="474ACE54" w14:textId="26E54A87" w:rsidR="00434C4A" w:rsidRPr="005153AB" w:rsidRDefault="00434C4A" w:rsidP="005153AB">
      <w:r>
        <w:t>Finally, the government and senior police leaders must establish a transparent</w:t>
      </w:r>
      <w:r w:rsidR="00A20B12">
        <w:t>, public facing consultation strategy</w:t>
      </w:r>
      <w:r w:rsidR="00EE36AE">
        <w:t xml:space="preserve">. </w:t>
      </w:r>
      <w:r w:rsidR="006B392F">
        <w:t>Alarmingly</w:t>
      </w:r>
      <w:r w:rsidR="00EE36AE">
        <w:t xml:space="preserve">, 100% of respondents were completely unaware that the Scottish Police Federation is </w:t>
      </w:r>
      <w:r w:rsidR="0060218B">
        <w:t xml:space="preserve">actively lobbying the Scottish government for an arming strategy </w:t>
      </w:r>
      <w:r w:rsidR="006B392F">
        <w:t>like</w:t>
      </w:r>
      <w:r w:rsidR="0060218B">
        <w:t xml:space="preserve"> that of Norway or New </w:t>
      </w:r>
      <w:r w:rsidR="004709C9">
        <w:t>Zealand</w:t>
      </w:r>
      <w:r w:rsidR="00AE05FF">
        <w:t xml:space="preserve">. It is </w:t>
      </w:r>
      <w:r w:rsidR="003109B2">
        <w:t>incumbent</w:t>
      </w:r>
      <w:r w:rsidR="00AE05FF">
        <w:t xml:space="preserve"> upon senior leaders to bridge this communication gap to ensure that any </w:t>
      </w:r>
      <w:r w:rsidR="009036E5">
        <w:t xml:space="preserve">evolution of the current policing social contract maintains democratic legitimacy and Peelian </w:t>
      </w:r>
      <w:r w:rsidR="003109B2">
        <w:t>consent and stands up to the intense scrutiny it will inevitably come under.</w:t>
      </w:r>
    </w:p>
    <w:p w14:paraId="31490E3D" w14:textId="7D6FAED6" w:rsidR="00DA567F" w:rsidRDefault="00DA567F" w:rsidP="00DA567F">
      <w:pPr>
        <w:pStyle w:val="Heading2"/>
        <w:rPr>
          <w:rFonts w:eastAsia="Times New Roman"/>
        </w:rPr>
      </w:pPr>
      <w:r>
        <w:rPr>
          <w:rFonts w:eastAsia="Times New Roman"/>
        </w:rPr>
        <w:t xml:space="preserve">5.3 Lessons </w:t>
      </w:r>
      <w:r w:rsidR="006B1AC0">
        <w:rPr>
          <w:rFonts w:eastAsia="Times New Roman"/>
        </w:rPr>
        <w:t>learned.</w:t>
      </w:r>
      <w:r>
        <w:rPr>
          <w:rFonts w:eastAsia="Times New Roman"/>
        </w:rPr>
        <w:t xml:space="preserve"> </w:t>
      </w:r>
    </w:p>
    <w:p w14:paraId="67E48558" w14:textId="675BB14A" w:rsidR="00991E3B" w:rsidRDefault="00991E3B" w:rsidP="00991E3B">
      <w:r>
        <w:t xml:space="preserve">A critical lesson derived from studying the academic literature along with the primary data is that deterrence cannot be viewed as </w:t>
      </w:r>
      <w:r w:rsidR="009B109B">
        <w:t xml:space="preserve">a straightforward operational benefit. While 74% of respondents tentatively agreed that routine </w:t>
      </w:r>
      <w:r w:rsidR="009C78F7">
        <w:t>arming could</w:t>
      </w:r>
      <w:r w:rsidR="009B109B">
        <w:t xml:space="preserve"> act as a deterrent to violent crime, </w:t>
      </w:r>
      <w:r w:rsidR="00380A52">
        <w:t xml:space="preserve">39% of people explicitly warned of an arms race type phenomenon – concerned that routine arming would trigger a </w:t>
      </w:r>
      <w:r w:rsidR="00B77CCB">
        <w:t xml:space="preserve">reciprocal escalation of weapon usage by criminals. Policy makers in government and police must learnt hat deterrence </w:t>
      </w:r>
      <w:r w:rsidR="009C78F7">
        <w:t xml:space="preserve">exists in a delicate balance with criminal adaptation. </w:t>
      </w:r>
    </w:p>
    <w:p w14:paraId="6867D0E7" w14:textId="6841E07B" w:rsidR="009C78F7" w:rsidRPr="00991E3B" w:rsidRDefault="009C78F7" w:rsidP="00991E3B">
      <w:r>
        <w:t xml:space="preserve">Furthermore, this study demonstrates that legitimacy is not </w:t>
      </w:r>
      <w:r w:rsidR="005E76F7">
        <w:t xml:space="preserve">only an external facing issue, </w:t>
      </w:r>
      <w:r w:rsidR="006B392F">
        <w:t>but it</w:t>
      </w:r>
      <w:r w:rsidR="008E4BD9">
        <w:t xml:space="preserve"> also contains a critical internal dimension. As respondent </w:t>
      </w:r>
      <w:r w:rsidR="00A02358">
        <w:t>thirty-three</w:t>
      </w:r>
      <w:r w:rsidR="008E4BD9">
        <w:t xml:space="preserve"> noted, internal trust </w:t>
      </w:r>
      <w:proofErr w:type="gramStart"/>
      <w:r w:rsidR="005C4C62">
        <w:t>is broken</w:t>
      </w:r>
      <w:proofErr w:type="gramEnd"/>
      <w:r w:rsidR="005C4C62">
        <w:t xml:space="preserve"> if weapon deployments are met with immediate institutional suspicion, arguing that if officers are armed “we should trust them and support their decisions</w:t>
      </w:r>
      <w:r w:rsidR="00A02358">
        <w:t>.”</w:t>
      </w:r>
      <w:r w:rsidR="006E7538">
        <w:t xml:space="preserve"> The message is abundantly clear: fundamental reform will fail spectacularly unless it is underpinned by a robust, supportive legal and disciplinary framework that protects officers when they make split-second decisions </w:t>
      </w:r>
      <w:r w:rsidR="009E7995">
        <w:t>underpinned by their use of the national decision model.</w:t>
      </w:r>
    </w:p>
    <w:p w14:paraId="194AFCB9" w14:textId="60CFCACB" w:rsidR="00DA567F" w:rsidRDefault="00DA567F" w:rsidP="00DA567F">
      <w:pPr>
        <w:pStyle w:val="Heading2"/>
        <w:rPr>
          <w:rFonts w:eastAsia="Times New Roman"/>
        </w:rPr>
      </w:pPr>
      <w:r>
        <w:rPr>
          <w:rFonts w:eastAsia="Times New Roman"/>
        </w:rPr>
        <w:t xml:space="preserve">5.4 Final thoughts </w:t>
      </w:r>
    </w:p>
    <w:p w14:paraId="31325014" w14:textId="638E4D2F" w:rsidR="009E7995" w:rsidRDefault="006B392F" w:rsidP="009E7995">
      <w:r>
        <w:t>This</w:t>
      </w:r>
      <w:r w:rsidR="009E7995">
        <w:t xml:space="preserve"> research demonstrates that the historical </w:t>
      </w:r>
      <w:r w:rsidR="008E5706">
        <w:t xml:space="preserve">disparity between operational safety and policing by consent is no longer </w:t>
      </w:r>
      <w:r w:rsidR="00FC2AEE">
        <w:t>sustainable. While existing literature frequently treats British policing traditions as rigid and immovable</w:t>
      </w:r>
      <w:r w:rsidR="00052B30">
        <w:t>, primary data reveals that the opinions of the public and police officers are highly adaptable</w:t>
      </w:r>
      <w:r w:rsidR="00157978">
        <w:t xml:space="preserve"> when confronted with the realities of policing in the modern world. The traditional unarmed model is increasingly viewed as tac</w:t>
      </w:r>
      <w:r w:rsidR="00C6309F">
        <w:t>tically</w:t>
      </w:r>
      <w:r w:rsidR="00157978">
        <w:t xml:space="preserve"> in</w:t>
      </w:r>
      <w:r w:rsidR="007750BE">
        <w:t>ferior, especially in low-sophistication terror attacks where the crucial first few seconds dictate survival</w:t>
      </w:r>
      <w:r w:rsidR="00C6309F">
        <w:t xml:space="preserve"> and where current ARV response times face heavy criticism.</w:t>
      </w:r>
    </w:p>
    <w:p w14:paraId="2E246ADC" w14:textId="43EE7A50" w:rsidR="00C6309F" w:rsidRDefault="00C6309F" w:rsidP="009E7995">
      <w:r>
        <w:t>However, rather than providing a definitive end to this debate, this study exposes the critical blind spots that open significant scope for further research. Firstly, future studies should investigate the institutional awareness gap identified, exploring</w:t>
      </w:r>
      <w:r w:rsidR="00574570">
        <w:t xml:space="preserve"> why there is a profound disconnect between government lobbying and public knowledge. </w:t>
      </w:r>
    </w:p>
    <w:p w14:paraId="1173BEA2" w14:textId="10A8AFDC" w:rsidR="00574570" w:rsidRDefault="00574570" w:rsidP="009E7995">
      <w:r>
        <w:t xml:space="preserve">Second, the </w:t>
      </w:r>
      <w:r w:rsidR="008D26C0">
        <w:t xml:space="preserve">tension </w:t>
      </w:r>
      <w:r w:rsidR="008D26C0" w:rsidRPr="008D26C0">
        <w:t>Between the expected deterrent effect of firearms</w:t>
      </w:r>
      <w:r w:rsidR="001F506F" w:rsidRPr="001F506F">
        <w:t xml:space="preserve"> on the fear of an arms race warrants empirical investigation to see how criminal landscapes adapt to changing policing models. Finally, additional research is desperately needed</w:t>
      </w:r>
      <w:r w:rsidR="008126F5" w:rsidRPr="008126F5">
        <w:t xml:space="preserve"> regarding internal police legitimacy specifically how disciplinary frameworks can be reformed to offer the institutional backing the frontline officers would demand before accepting the burden of routine arming</w:t>
      </w:r>
      <w:r w:rsidR="008126F5">
        <w:t xml:space="preserve">. </w:t>
      </w:r>
    </w:p>
    <w:p w14:paraId="7029E731" w14:textId="5C663D38" w:rsidR="008126F5" w:rsidRPr="009E7995" w:rsidRDefault="009F37E2" w:rsidP="009E7995">
      <w:r w:rsidRPr="009F37E2">
        <w:lastRenderedPageBreak/>
        <w:t>If GB is to successfully evolve its current policing model it cannot rely on outdated assumptions for isolated institutional debates. Future policy must be guided</w:t>
      </w:r>
      <w:r w:rsidR="00386398" w:rsidRPr="00386398">
        <w:t xml:space="preserve"> by ongoing transparent academic inquiry the empowers frontline officers with the autonomy of choice supported by 73.7% of this study sample while establishing the robust accountability frameworks required to protect a modern society safely</w:t>
      </w:r>
      <w:r w:rsidR="006B1AC0" w:rsidRPr="006B1AC0">
        <w:t xml:space="preserve"> transparently and entirely by consent that the British public highly values</w:t>
      </w:r>
      <w:r w:rsidR="006B1AC0">
        <w:t xml:space="preserve">. </w:t>
      </w:r>
    </w:p>
    <w:sectPr w:rsidR="008126F5" w:rsidRPr="009E79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4C3A54"/>
    <w:multiLevelType w:val="hybridMultilevel"/>
    <w:tmpl w:val="D32A6DA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16363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5921"/>
    <w:rsid w:val="00006C3D"/>
    <w:rsid w:val="00045772"/>
    <w:rsid w:val="00050C5B"/>
    <w:rsid w:val="00052B30"/>
    <w:rsid w:val="00071F7D"/>
    <w:rsid w:val="000D1055"/>
    <w:rsid w:val="0013538D"/>
    <w:rsid w:val="00157978"/>
    <w:rsid w:val="00172060"/>
    <w:rsid w:val="00184408"/>
    <w:rsid w:val="001F506F"/>
    <w:rsid w:val="00243A6A"/>
    <w:rsid w:val="00296E7D"/>
    <w:rsid w:val="002B2AE6"/>
    <w:rsid w:val="002B463E"/>
    <w:rsid w:val="002F3B22"/>
    <w:rsid w:val="003109B2"/>
    <w:rsid w:val="0031153E"/>
    <w:rsid w:val="003161C0"/>
    <w:rsid w:val="00380A52"/>
    <w:rsid w:val="00386398"/>
    <w:rsid w:val="003A3A27"/>
    <w:rsid w:val="003D74B5"/>
    <w:rsid w:val="00411BB0"/>
    <w:rsid w:val="0042297D"/>
    <w:rsid w:val="00434C4A"/>
    <w:rsid w:val="00435C2D"/>
    <w:rsid w:val="00451368"/>
    <w:rsid w:val="004709C9"/>
    <w:rsid w:val="004944AB"/>
    <w:rsid w:val="004D4918"/>
    <w:rsid w:val="00504823"/>
    <w:rsid w:val="005153AB"/>
    <w:rsid w:val="0052339A"/>
    <w:rsid w:val="00555921"/>
    <w:rsid w:val="00574570"/>
    <w:rsid w:val="00585C71"/>
    <w:rsid w:val="005B188B"/>
    <w:rsid w:val="005B5DB3"/>
    <w:rsid w:val="005C10DE"/>
    <w:rsid w:val="005C4C62"/>
    <w:rsid w:val="005E76F7"/>
    <w:rsid w:val="0060218B"/>
    <w:rsid w:val="006079F4"/>
    <w:rsid w:val="00610765"/>
    <w:rsid w:val="00623D3D"/>
    <w:rsid w:val="00630349"/>
    <w:rsid w:val="00650FFE"/>
    <w:rsid w:val="006928D9"/>
    <w:rsid w:val="00694FBC"/>
    <w:rsid w:val="006B1AC0"/>
    <w:rsid w:val="006B392F"/>
    <w:rsid w:val="006B7226"/>
    <w:rsid w:val="006C5149"/>
    <w:rsid w:val="006D7706"/>
    <w:rsid w:val="006E7538"/>
    <w:rsid w:val="00730FA7"/>
    <w:rsid w:val="007750BE"/>
    <w:rsid w:val="007B6A4D"/>
    <w:rsid w:val="007F51CD"/>
    <w:rsid w:val="008121C8"/>
    <w:rsid w:val="008126F5"/>
    <w:rsid w:val="00817C45"/>
    <w:rsid w:val="0083344D"/>
    <w:rsid w:val="008730B1"/>
    <w:rsid w:val="00883DFB"/>
    <w:rsid w:val="00884387"/>
    <w:rsid w:val="0088713A"/>
    <w:rsid w:val="008D26C0"/>
    <w:rsid w:val="008E4BD9"/>
    <w:rsid w:val="008E5706"/>
    <w:rsid w:val="008F02CB"/>
    <w:rsid w:val="009036E5"/>
    <w:rsid w:val="0096378A"/>
    <w:rsid w:val="009673B6"/>
    <w:rsid w:val="00990E6D"/>
    <w:rsid w:val="00991E3B"/>
    <w:rsid w:val="009B109B"/>
    <w:rsid w:val="009C78F7"/>
    <w:rsid w:val="009E7995"/>
    <w:rsid w:val="009F37E2"/>
    <w:rsid w:val="00A02358"/>
    <w:rsid w:val="00A20502"/>
    <w:rsid w:val="00A20B12"/>
    <w:rsid w:val="00A522C8"/>
    <w:rsid w:val="00A55333"/>
    <w:rsid w:val="00A61BB9"/>
    <w:rsid w:val="00A623EF"/>
    <w:rsid w:val="00A86089"/>
    <w:rsid w:val="00A92929"/>
    <w:rsid w:val="00AC7B4E"/>
    <w:rsid w:val="00AE05FF"/>
    <w:rsid w:val="00AF692C"/>
    <w:rsid w:val="00B453FB"/>
    <w:rsid w:val="00B77CCB"/>
    <w:rsid w:val="00B81EC7"/>
    <w:rsid w:val="00BA0026"/>
    <w:rsid w:val="00BA7CE4"/>
    <w:rsid w:val="00BE12FB"/>
    <w:rsid w:val="00C17553"/>
    <w:rsid w:val="00C34CBE"/>
    <w:rsid w:val="00C6309F"/>
    <w:rsid w:val="00C6626C"/>
    <w:rsid w:val="00CA1D5D"/>
    <w:rsid w:val="00CC2230"/>
    <w:rsid w:val="00CC28A8"/>
    <w:rsid w:val="00D05C66"/>
    <w:rsid w:val="00D27CC0"/>
    <w:rsid w:val="00DA567F"/>
    <w:rsid w:val="00DE33C9"/>
    <w:rsid w:val="00E55849"/>
    <w:rsid w:val="00E82E2E"/>
    <w:rsid w:val="00E942F4"/>
    <w:rsid w:val="00EA109A"/>
    <w:rsid w:val="00EB6D9F"/>
    <w:rsid w:val="00ED544F"/>
    <w:rsid w:val="00EE36AE"/>
    <w:rsid w:val="00F05E9A"/>
    <w:rsid w:val="00F17657"/>
    <w:rsid w:val="00F3555C"/>
    <w:rsid w:val="00F55C42"/>
    <w:rsid w:val="00F85D7A"/>
    <w:rsid w:val="00FB01CE"/>
    <w:rsid w:val="00FC2AEE"/>
    <w:rsid w:val="00FC5C5F"/>
    <w:rsid w:val="00FD74BA"/>
    <w:rsid w:val="00FF78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386B4"/>
  <w15:chartTrackingRefBased/>
  <w15:docId w15:val="{C1EBB69F-E895-4BD3-8576-04A10C0F26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59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59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59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59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59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59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59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59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59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59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559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59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59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59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59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59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59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59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59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59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59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59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59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5921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5559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59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59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59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5921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link w:val="ListParagraph"/>
    <w:uiPriority w:val="34"/>
    <w:locked/>
    <w:rsid w:val="00730F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A1B89FF-C89C-4A2C-A570-2B349CDB48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375</TotalTime>
  <Pages>3</Pages>
  <Words>1024</Words>
  <Characters>5841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6852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Gale, Christopher</dc:creator>
  <cp:keywords/>
  <dc:description/>
  <cp:lastModifiedBy>Gale, Christopher</cp:lastModifiedBy>
  <cp:revision>121</cp:revision>
  <dcterms:created xsi:type="dcterms:W3CDTF">2026-05-07T20:56:00Z</dcterms:created>
  <dcterms:modified xsi:type="dcterms:W3CDTF">2026-06-01T23:04:00Z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2026-05-07T21:30:45Z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4cc88ea5-5d15-4778-9853-82084b4d905b</vt:lpwstr>
  </property>
  <property fmtid="{D5CDD505-2E9C-101B-9397-08002B2CF9AE}" pid="8" name="MSIP_Label_f2acd28b-79a3-4a0f-b0ff-4b75658b1549_ContentBits">
    <vt:lpwstr>0</vt:lpwstr>
  </property>
  <property fmtid="{D5CDD505-2E9C-101B-9397-08002B2CF9AE}" pid="9" name="MSIP_Label_f2acd28b-79a3-4a0f-b0ff-4b75658b1549_Tag">
    <vt:lpwstr>10, 3, 0, 1</vt:lpwstr>
  </property>
</Properties>
</file>