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E1F11" w14:textId="77777777" w:rsidR="009D72C9" w:rsidRDefault="009D72C9" w:rsidP="009D72C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</w:pPr>
    </w:p>
    <w:p w14:paraId="1CE0D876" w14:textId="77777777" w:rsidR="009D72C9" w:rsidRDefault="009D72C9" w:rsidP="009D72C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</w:pPr>
    </w:p>
    <w:p w14:paraId="4D99DDA8" w14:textId="77777777" w:rsidR="009D72C9" w:rsidRDefault="009D72C9" w:rsidP="009D72C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</w:pPr>
    </w:p>
    <w:p w14:paraId="5E900A8D" w14:textId="77777777" w:rsidR="009D72C9" w:rsidRPr="009D72C9" w:rsidRDefault="009D72C9" w:rsidP="009D72C9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D72C9">
        <w:rPr>
          <w:rFonts w:asciiTheme="majorBidi" w:hAnsiTheme="majorBidi" w:cstheme="majorBidi"/>
          <w:b/>
          <w:bCs/>
          <w:sz w:val="28"/>
          <w:szCs w:val="28"/>
          <w:lang w:val="en-GB"/>
        </w:rPr>
        <w:t>BMMB7025</w:t>
      </w:r>
    </w:p>
    <w:p w14:paraId="044781CB" w14:textId="18D3CD92" w:rsidR="009D72C9" w:rsidRDefault="009D72C9" w:rsidP="009D72C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</w:pPr>
    </w:p>
    <w:p w14:paraId="45E32691" w14:textId="77777777" w:rsidR="009D72C9" w:rsidRDefault="009D72C9" w:rsidP="009D72C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</w:pPr>
    </w:p>
    <w:p w14:paraId="2533F8B7" w14:textId="464AFD45" w:rsidR="009D72C9" w:rsidRPr="009D72C9" w:rsidRDefault="009D72C9" w:rsidP="009D72C9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</w:pPr>
      <w:r w:rsidRPr="009D72C9">
        <w:rPr>
          <w:rFonts w:asciiTheme="majorBidi" w:eastAsia="Times New Roman" w:hAnsiTheme="majorBidi" w:cstheme="majorBidi"/>
          <w:b/>
          <w:bCs/>
          <w:color w:val="201F1E"/>
          <w:kern w:val="0"/>
          <w:sz w:val="36"/>
          <w:szCs w:val="36"/>
          <w:lang w:eastAsia="en-AE"/>
          <w14:ligatures w14:val="none"/>
        </w:rPr>
        <w:t>GOOGLE LLC. VS TIMPSON LTD.</w:t>
      </w:r>
    </w:p>
    <w:p w14:paraId="75B0A94A" w14:textId="55D93927" w:rsidR="003B3E6A" w:rsidRDefault="009D72C9" w:rsidP="009D72C9">
      <w:pPr>
        <w:jc w:val="center"/>
        <w:rPr>
          <w:rFonts w:asciiTheme="majorBidi" w:eastAsia="Times New Roman" w:hAnsiTheme="majorBidi" w:cstheme="majorBidi"/>
          <w:color w:val="201F1E"/>
          <w:kern w:val="0"/>
          <w:sz w:val="36"/>
          <w:szCs w:val="36"/>
          <w:shd w:val="clear" w:color="auto" w:fill="FFFFFF"/>
          <w:lang w:eastAsia="en-AE"/>
          <w14:ligatures w14:val="none"/>
        </w:rPr>
      </w:pPr>
      <w:r w:rsidRPr="009D72C9">
        <w:rPr>
          <w:rFonts w:asciiTheme="majorBidi" w:eastAsia="Times New Roman" w:hAnsiTheme="majorBidi" w:cstheme="majorBidi"/>
          <w:color w:val="201F1E"/>
          <w:kern w:val="0"/>
          <w:sz w:val="36"/>
          <w:szCs w:val="36"/>
          <w:shd w:val="clear" w:color="auto" w:fill="FFFFFF"/>
          <w:lang w:eastAsia="en-AE"/>
          <w14:ligatures w14:val="none"/>
        </w:rPr>
        <w:t>RECOMMENDATIONS ON IMPROVING HRM SKILLS</w:t>
      </w:r>
    </w:p>
    <w:p w14:paraId="260152E0" w14:textId="77777777" w:rsidR="009D72C9" w:rsidRDefault="009D72C9" w:rsidP="009D72C9">
      <w:pPr>
        <w:jc w:val="center"/>
        <w:rPr>
          <w:rFonts w:asciiTheme="majorBidi" w:eastAsia="Times New Roman" w:hAnsiTheme="majorBidi" w:cstheme="majorBidi"/>
          <w:color w:val="201F1E"/>
          <w:kern w:val="0"/>
          <w:sz w:val="36"/>
          <w:szCs w:val="36"/>
          <w:shd w:val="clear" w:color="auto" w:fill="FFFFFF"/>
          <w:lang w:eastAsia="en-AE"/>
          <w14:ligatures w14:val="none"/>
        </w:rPr>
      </w:pPr>
    </w:p>
    <w:p w14:paraId="583FEC03" w14:textId="77777777" w:rsidR="009D72C9" w:rsidRDefault="009D72C9" w:rsidP="009D72C9">
      <w:pPr>
        <w:jc w:val="center"/>
        <w:rPr>
          <w:rFonts w:asciiTheme="majorBidi" w:eastAsia="Times New Roman" w:hAnsiTheme="majorBidi" w:cstheme="majorBidi"/>
          <w:color w:val="201F1E"/>
          <w:kern w:val="0"/>
          <w:sz w:val="36"/>
          <w:szCs w:val="36"/>
          <w:shd w:val="clear" w:color="auto" w:fill="FFFFFF"/>
          <w:lang w:eastAsia="en-AE"/>
          <w14:ligatures w14:val="none"/>
        </w:rPr>
      </w:pPr>
    </w:p>
    <w:p w14:paraId="796B709A" w14:textId="77777777" w:rsidR="009D72C9" w:rsidRDefault="009D72C9" w:rsidP="009D72C9">
      <w:pPr>
        <w:jc w:val="center"/>
        <w:rPr>
          <w:rFonts w:asciiTheme="majorBidi" w:eastAsia="Times New Roman" w:hAnsiTheme="majorBidi" w:cstheme="majorBidi"/>
          <w:color w:val="201F1E"/>
          <w:kern w:val="0"/>
          <w:sz w:val="36"/>
          <w:szCs w:val="36"/>
          <w:shd w:val="clear" w:color="auto" w:fill="FFFFFF"/>
          <w:lang w:eastAsia="en-AE"/>
          <w14:ligatures w14:val="none"/>
        </w:rPr>
      </w:pPr>
    </w:p>
    <w:p w14:paraId="1042C4BB" w14:textId="77777777" w:rsidR="009D72C9" w:rsidRPr="009D72C9" w:rsidRDefault="009D72C9" w:rsidP="009D72C9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D72C9">
        <w:rPr>
          <w:rFonts w:asciiTheme="majorBidi" w:hAnsiTheme="majorBidi" w:cstheme="majorBidi"/>
          <w:b/>
          <w:bCs/>
          <w:sz w:val="28"/>
          <w:szCs w:val="28"/>
          <w:lang w:val="nl-NL"/>
        </w:rPr>
        <w:t>Student Name:</w:t>
      </w:r>
      <w:r w:rsidRPr="009D72C9">
        <w:rPr>
          <w:rFonts w:asciiTheme="majorBidi" w:hAnsiTheme="majorBidi" w:cstheme="majorBidi"/>
          <w:b/>
          <w:bCs/>
          <w:sz w:val="28"/>
          <w:szCs w:val="28"/>
          <w:lang w:val="en-GB"/>
        </w:rPr>
        <w:t>Mona Hussien</w:t>
      </w:r>
    </w:p>
    <w:p w14:paraId="6C81F653" w14:textId="77777777" w:rsidR="009D72C9" w:rsidRPr="009D72C9" w:rsidRDefault="009D72C9" w:rsidP="009D72C9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D72C9">
        <w:rPr>
          <w:rFonts w:asciiTheme="majorBidi" w:hAnsiTheme="majorBidi" w:cstheme="majorBidi"/>
          <w:b/>
          <w:bCs/>
          <w:sz w:val="28"/>
          <w:szCs w:val="28"/>
          <w:lang w:val="nl-NL"/>
        </w:rPr>
        <w:t>Student ID:2211516</w:t>
      </w:r>
    </w:p>
    <w:p w14:paraId="07D8138E" w14:textId="2EE5B592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07DAA6DF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433E7837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03575A52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6DE59CAC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68099EA8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48A81216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67B68E4B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32E0B78E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6775AFFA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27B4E4B7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488ACCAF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68B0B06B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33551C5C" w14:textId="3247F295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Link to the video presentation: </w:t>
      </w:r>
    </w:p>
    <w:p w14:paraId="7AF6F5D3" w14:textId="476F0539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  <w:hyperlink r:id="rId5" w:history="1">
        <w:r w:rsidRPr="009E7164">
          <w:rPr>
            <w:rStyle w:val="Hyperlink"/>
            <w:rFonts w:asciiTheme="majorBidi" w:hAnsiTheme="majorBidi" w:cstheme="majorBidi"/>
            <w:sz w:val="36"/>
            <w:szCs w:val="36"/>
          </w:rPr>
          <w:t>https://uowtsd-my.sharepoint.com/:v:/g/personal/2211516_student_uwtsd_ac_uk/EVbBbJ</w:t>
        </w:r>
        <w:r w:rsidRPr="009E7164">
          <w:rPr>
            <w:rStyle w:val="Hyperlink"/>
            <w:rFonts w:asciiTheme="majorBidi" w:hAnsiTheme="majorBidi" w:cstheme="majorBidi"/>
            <w:sz w:val="36"/>
            <w:szCs w:val="36"/>
          </w:rPr>
          <w:t>e</w:t>
        </w:r>
        <w:r w:rsidRPr="009E7164">
          <w:rPr>
            <w:rStyle w:val="Hyperlink"/>
            <w:rFonts w:asciiTheme="majorBidi" w:hAnsiTheme="majorBidi" w:cstheme="majorBidi"/>
            <w:sz w:val="36"/>
            <w:szCs w:val="36"/>
          </w:rPr>
          <w:t>bteZNnOcR-CTO69gBMZs8rYpNj6aB4O5pOlyvOw?e=EPJQ3d&amp;nav=eyJyZWZlcnJhbEluZm8iOnsicmVmZXJyYWxBcHAiOiJTdHJlYW1XZWJBcHAiLCJyZWZlcnJhbFZpZXciOiJTaGFyZURpYWxvZy1MaW5rIiwicmVmZXJyYWxBcHBQbGF0Zm9ybSI6IldlYiIsInJlZmVycmFsTW9kZSI6InZpZXcifX0%3D</w:t>
        </w:r>
      </w:hyperlink>
    </w:p>
    <w:p w14:paraId="4D9A6DF0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530E1673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7440B1C3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57083DAB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1F00E23E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56B056FA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5D9242D3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472540BC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2D2B7514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1D4440A0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0BA6C8D2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09ED83F6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3C50BDA8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13EFF0CB" w14:textId="77777777" w:rsid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p w14:paraId="25F5FC4D" w14:textId="77777777" w:rsidR="009D72C9" w:rsidRDefault="009D72C9" w:rsidP="009D72C9">
      <w:pPr>
        <w:rPr>
          <w:rFonts w:asciiTheme="majorBidi" w:hAnsiTheme="majorBidi" w:cstheme="majorBidi"/>
          <w:sz w:val="36"/>
          <w:szCs w:val="36"/>
        </w:rPr>
      </w:pPr>
    </w:p>
    <w:p w14:paraId="6556CAA0" w14:textId="2ACA178B" w:rsidR="009D72C9" w:rsidRDefault="009D72C9" w:rsidP="009D72C9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lastRenderedPageBreak/>
        <w:t xml:space="preserve">Reference list: </w:t>
      </w:r>
    </w:p>
    <w:p w14:paraId="27E43412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US"/>
        </w:rPr>
        <w:t>Armstrong, M. (2020) Armstrong's Handbook of Human Resource Management Practice. 15th Ed. London: Konan Page</w:t>
      </w:r>
    </w:p>
    <w:p w14:paraId="78AE60DD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US"/>
        </w:rPr>
        <w:t>Timpson-group, (2024). Upside Down Management. Available at: https://www.timpson-group.co.uk/about-timpson/upside-down-management/ [Accessed on: 08.03.2024]</w:t>
      </w:r>
    </w:p>
    <w:p w14:paraId="54C705AE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US"/>
        </w:rPr>
        <w:t xml:space="preserve">Beardwell, J. and Claydon, T. (2017) Human Resource Management: A Contemporary Approach. 8th Ed. Edinburgh: Financial Times Prentice Hall </w:t>
      </w:r>
    </w:p>
    <w:p w14:paraId="7231C6BD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US"/>
        </w:rPr>
        <w:t>Gold, J., Holden, R., Iles, P., Stewart, J. and Beardwell, J. (2013). Human Resource Development: Theory and practice. 5th Ed. London: Palgrave Macmillan.</w:t>
      </w:r>
    </w:p>
    <w:p w14:paraId="7AA23B64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Glassdoor. (2024). </w:t>
      </w:r>
      <w:r w:rsidRPr="009D72C9">
        <w:rPr>
          <w:rFonts w:asciiTheme="majorBidi" w:hAnsiTheme="majorBidi" w:cstheme="majorBidi"/>
          <w:i/>
          <w:iCs/>
          <w:lang w:val="en-GB"/>
        </w:rPr>
        <w:t xml:space="preserve">How is the work/life balance at Google? - Glassdoor. </w:t>
      </w:r>
      <w:r w:rsidRPr="009D72C9">
        <w:rPr>
          <w:rFonts w:asciiTheme="majorBidi" w:hAnsiTheme="majorBidi" w:cstheme="majorBidi"/>
          <w:lang w:val="en-GB"/>
        </w:rPr>
        <w:t>Available at: https://www.glassdoor.co.in/FAQ/Google-Question-FAQ200130-E9079.html [Accessed on: 08.03.2024]</w:t>
      </w:r>
    </w:p>
    <w:p w14:paraId="3CCD598C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Gov.UK. (2022). </w:t>
      </w:r>
      <w:r w:rsidRPr="009D72C9">
        <w:rPr>
          <w:rFonts w:asciiTheme="majorBidi" w:hAnsiTheme="majorBidi" w:cstheme="majorBidi"/>
          <w:i/>
          <w:iCs/>
          <w:lang w:val="en-GB"/>
        </w:rPr>
        <w:t xml:space="preserve">EMPLOYMENT TRIBUNALS. </w:t>
      </w:r>
      <w:r w:rsidRPr="009D72C9">
        <w:rPr>
          <w:rFonts w:asciiTheme="majorBidi" w:hAnsiTheme="majorBidi" w:cstheme="majorBidi"/>
          <w:lang w:val="en-GB"/>
        </w:rPr>
        <w:t>Available at: https://assets.publishing.service.gov.uk/media/633d7fa4d3bf7f5879856d84/Mr_D_Bentham_v_Timpson_Limited_-_2415517_2020_-_Reserved.pdf [Accessed on: 08.03.2024]</w:t>
      </w:r>
    </w:p>
    <w:p w14:paraId="2CF13131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Weideman, M. and Hofmeyr, K.B., (2020). The influence of flexible work arrangements on employee engagement: An exploratory study. </w:t>
      </w:r>
      <w:r w:rsidRPr="009D72C9">
        <w:rPr>
          <w:rFonts w:asciiTheme="majorBidi" w:hAnsiTheme="majorBidi" w:cstheme="majorBidi"/>
          <w:i/>
          <w:iCs/>
          <w:lang w:val="en-GB"/>
        </w:rPr>
        <w:t>SA Journal of Human Resource Management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18</w:t>
      </w:r>
      <w:r w:rsidRPr="009D72C9">
        <w:rPr>
          <w:rFonts w:asciiTheme="majorBidi" w:hAnsiTheme="majorBidi" w:cstheme="majorBidi"/>
          <w:lang w:val="en-GB"/>
        </w:rPr>
        <w:t>(1), pp.1-18.</w:t>
      </w:r>
    </w:p>
    <w:p w14:paraId="3BF8FCC4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Malik, A., </w:t>
      </w:r>
      <w:proofErr w:type="spellStart"/>
      <w:r w:rsidRPr="009D72C9">
        <w:rPr>
          <w:rFonts w:asciiTheme="majorBidi" w:hAnsiTheme="majorBidi" w:cstheme="majorBidi"/>
          <w:lang w:val="en-GB"/>
        </w:rPr>
        <w:t>Budhwar</w:t>
      </w:r>
      <w:proofErr w:type="spellEnd"/>
      <w:r w:rsidRPr="009D72C9">
        <w:rPr>
          <w:rFonts w:asciiTheme="majorBidi" w:hAnsiTheme="majorBidi" w:cstheme="majorBidi"/>
          <w:lang w:val="en-GB"/>
        </w:rPr>
        <w:t xml:space="preserve">, P., Patel, </w:t>
      </w:r>
      <w:proofErr w:type="gramStart"/>
      <w:r w:rsidRPr="009D72C9">
        <w:rPr>
          <w:rFonts w:asciiTheme="majorBidi" w:hAnsiTheme="majorBidi" w:cstheme="majorBidi"/>
          <w:lang w:val="en-GB"/>
        </w:rPr>
        <w:t>C.</w:t>
      </w:r>
      <w:proofErr w:type="gramEnd"/>
      <w:r w:rsidRPr="009D72C9">
        <w:rPr>
          <w:rFonts w:asciiTheme="majorBidi" w:hAnsiTheme="majorBidi" w:cstheme="majorBidi"/>
          <w:lang w:val="en-GB"/>
        </w:rPr>
        <w:t xml:space="preserve"> and Srikanth, N.R., (2022). May the bots be with you! Delivering HR cost-effectiveness and individualised employee experiences in an MNE. </w:t>
      </w:r>
      <w:r w:rsidRPr="009D72C9">
        <w:rPr>
          <w:rFonts w:asciiTheme="majorBidi" w:hAnsiTheme="majorBidi" w:cstheme="majorBidi"/>
          <w:i/>
          <w:iCs/>
          <w:lang w:val="en-GB"/>
        </w:rPr>
        <w:t>The International Journal of Human Resource Management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33</w:t>
      </w:r>
      <w:r w:rsidRPr="009D72C9">
        <w:rPr>
          <w:rFonts w:asciiTheme="majorBidi" w:hAnsiTheme="majorBidi" w:cstheme="majorBidi"/>
          <w:lang w:val="en-GB"/>
        </w:rPr>
        <w:t>(6), pp.1148-1178.</w:t>
      </w:r>
    </w:p>
    <w:p w14:paraId="5A05CE7B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proofErr w:type="spellStart"/>
      <w:r w:rsidRPr="009D72C9">
        <w:rPr>
          <w:rFonts w:asciiTheme="majorBidi" w:hAnsiTheme="majorBidi" w:cstheme="majorBidi"/>
          <w:lang w:val="en-GB"/>
        </w:rPr>
        <w:t>Jumady</w:t>
      </w:r>
      <w:proofErr w:type="spellEnd"/>
      <w:r w:rsidRPr="009D72C9">
        <w:rPr>
          <w:rFonts w:asciiTheme="majorBidi" w:hAnsiTheme="majorBidi" w:cstheme="majorBidi"/>
          <w:lang w:val="en-GB"/>
        </w:rPr>
        <w:t xml:space="preserve">, E. and Lilla, L., (2021). Antecedent and Consequence the Human Resources Management Factors on Civil Servant Performance. </w:t>
      </w:r>
      <w:r w:rsidRPr="009D72C9">
        <w:rPr>
          <w:rFonts w:asciiTheme="majorBidi" w:hAnsiTheme="majorBidi" w:cstheme="majorBidi"/>
          <w:i/>
          <w:iCs/>
          <w:lang w:val="en-GB"/>
        </w:rPr>
        <w:t>Golden Ratio of Human Resource Management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1</w:t>
      </w:r>
      <w:r w:rsidRPr="009D72C9">
        <w:rPr>
          <w:rFonts w:asciiTheme="majorBidi" w:hAnsiTheme="majorBidi" w:cstheme="majorBidi"/>
          <w:lang w:val="en-GB"/>
        </w:rPr>
        <w:t>(2), pp.104-116.</w:t>
      </w:r>
    </w:p>
    <w:p w14:paraId="2BCF3860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proofErr w:type="spellStart"/>
      <w:r w:rsidRPr="009D72C9">
        <w:rPr>
          <w:rFonts w:asciiTheme="majorBidi" w:hAnsiTheme="majorBidi" w:cstheme="majorBidi"/>
          <w:lang w:val="en-GB"/>
        </w:rPr>
        <w:t>Vrontis</w:t>
      </w:r>
      <w:proofErr w:type="spellEnd"/>
      <w:r w:rsidRPr="009D72C9">
        <w:rPr>
          <w:rFonts w:asciiTheme="majorBidi" w:hAnsiTheme="majorBidi" w:cstheme="majorBidi"/>
          <w:lang w:val="en-GB"/>
        </w:rPr>
        <w:t xml:space="preserve">, D., </w:t>
      </w:r>
      <w:proofErr w:type="spellStart"/>
      <w:r w:rsidRPr="009D72C9">
        <w:rPr>
          <w:rFonts w:asciiTheme="majorBidi" w:hAnsiTheme="majorBidi" w:cstheme="majorBidi"/>
          <w:lang w:val="en-GB"/>
        </w:rPr>
        <w:t>Christofi</w:t>
      </w:r>
      <w:proofErr w:type="spellEnd"/>
      <w:r w:rsidRPr="009D72C9">
        <w:rPr>
          <w:rFonts w:asciiTheme="majorBidi" w:hAnsiTheme="majorBidi" w:cstheme="majorBidi"/>
          <w:lang w:val="en-GB"/>
        </w:rPr>
        <w:t xml:space="preserve">, M., Pereira, V., </w:t>
      </w:r>
      <w:proofErr w:type="spellStart"/>
      <w:r w:rsidRPr="009D72C9">
        <w:rPr>
          <w:rFonts w:asciiTheme="majorBidi" w:hAnsiTheme="majorBidi" w:cstheme="majorBidi"/>
          <w:lang w:val="en-GB"/>
        </w:rPr>
        <w:t>Tarba</w:t>
      </w:r>
      <w:proofErr w:type="spellEnd"/>
      <w:r w:rsidRPr="009D72C9">
        <w:rPr>
          <w:rFonts w:asciiTheme="majorBidi" w:hAnsiTheme="majorBidi" w:cstheme="majorBidi"/>
          <w:lang w:val="en-GB"/>
        </w:rPr>
        <w:t xml:space="preserve">, S., Makrides, A. and Trichina, E., (2022). Artificial intelligence, robotics, advanced </w:t>
      </w:r>
      <w:proofErr w:type="gramStart"/>
      <w:r w:rsidRPr="009D72C9">
        <w:rPr>
          <w:rFonts w:asciiTheme="majorBidi" w:hAnsiTheme="majorBidi" w:cstheme="majorBidi"/>
          <w:lang w:val="en-GB"/>
        </w:rPr>
        <w:t>technologies</w:t>
      </w:r>
      <w:proofErr w:type="gramEnd"/>
      <w:r w:rsidRPr="009D72C9">
        <w:rPr>
          <w:rFonts w:asciiTheme="majorBidi" w:hAnsiTheme="majorBidi" w:cstheme="majorBidi"/>
          <w:lang w:val="en-GB"/>
        </w:rPr>
        <w:t xml:space="preserve"> and human resource management: a systematic review. </w:t>
      </w:r>
      <w:r w:rsidRPr="009D72C9">
        <w:rPr>
          <w:rFonts w:asciiTheme="majorBidi" w:hAnsiTheme="majorBidi" w:cstheme="majorBidi"/>
          <w:i/>
          <w:iCs/>
          <w:lang w:val="en-GB"/>
        </w:rPr>
        <w:t>The International Journal of Human Resource Management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33</w:t>
      </w:r>
      <w:r w:rsidRPr="009D72C9">
        <w:rPr>
          <w:rFonts w:asciiTheme="majorBidi" w:hAnsiTheme="majorBidi" w:cstheme="majorBidi"/>
          <w:lang w:val="en-GB"/>
        </w:rPr>
        <w:t>(6), pp.1237-1266.</w:t>
      </w:r>
    </w:p>
    <w:p w14:paraId="47B27FBC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Davenport, D., Natesan, S., Caldwell, M.T., Gallegos, M., Landry, A., Parsons, M. and Gottlieb, M., (2022). Faculty recruitment, retention, and representation in leadership: an evidence-based guide to best practices for diversity, equity, and inclusion from the Council of Residency Directors in Emergency Medicine. </w:t>
      </w:r>
      <w:r w:rsidRPr="009D72C9">
        <w:rPr>
          <w:rFonts w:asciiTheme="majorBidi" w:hAnsiTheme="majorBidi" w:cstheme="majorBidi"/>
          <w:i/>
          <w:iCs/>
          <w:lang w:val="en-GB"/>
        </w:rPr>
        <w:t>Western Journal of Emergency Medicine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23</w:t>
      </w:r>
      <w:r w:rsidRPr="009D72C9">
        <w:rPr>
          <w:rFonts w:asciiTheme="majorBidi" w:hAnsiTheme="majorBidi" w:cstheme="majorBidi"/>
          <w:lang w:val="en-GB"/>
        </w:rPr>
        <w:t>(1), p.62.</w:t>
      </w:r>
    </w:p>
    <w:p w14:paraId="25DB265E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Flory, J.A., Leibbrandt, A., Rott, C. and Stoddard, O., (2021). Increasing workplace diversity: Evidence from a recruiting experiment at a Fortune 500 company. </w:t>
      </w:r>
      <w:r w:rsidRPr="009D72C9">
        <w:rPr>
          <w:rFonts w:asciiTheme="majorBidi" w:hAnsiTheme="majorBidi" w:cstheme="majorBidi"/>
          <w:i/>
          <w:iCs/>
          <w:lang w:val="en-GB"/>
        </w:rPr>
        <w:t>Journal of Human Resources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56</w:t>
      </w:r>
      <w:r w:rsidRPr="009D72C9">
        <w:rPr>
          <w:rFonts w:asciiTheme="majorBidi" w:hAnsiTheme="majorBidi" w:cstheme="majorBidi"/>
          <w:lang w:val="en-GB"/>
        </w:rPr>
        <w:t>(1), pp.73-92.</w:t>
      </w:r>
    </w:p>
    <w:p w14:paraId="635B9A2B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t xml:space="preserve">Yunus, </w:t>
      </w:r>
      <w:proofErr w:type="gramStart"/>
      <w:r w:rsidRPr="009D72C9">
        <w:rPr>
          <w:rFonts w:asciiTheme="majorBidi" w:hAnsiTheme="majorBidi" w:cstheme="majorBidi"/>
          <w:lang w:val="en-GB"/>
        </w:rPr>
        <w:t>S.</w:t>
      </w:r>
      <w:proofErr w:type="gramEnd"/>
      <w:r w:rsidRPr="009D72C9">
        <w:rPr>
          <w:rFonts w:asciiTheme="majorBidi" w:hAnsiTheme="majorBidi" w:cstheme="majorBidi"/>
          <w:lang w:val="en-GB"/>
        </w:rPr>
        <w:t xml:space="preserve"> and Mostafa, A.M.S., (2022). Flexible working practices and job-related anxiety: Examining the roles of trust in management and job autonomy. </w:t>
      </w:r>
      <w:r w:rsidRPr="009D72C9">
        <w:rPr>
          <w:rFonts w:asciiTheme="majorBidi" w:hAnsiTheme="majorBidi" w:cstheme="majorBidi"/>
          <w:i/>
          <w:iCs/>
          <w:lang w:val="en-GB"/>
        </w:rPr>
        <w:t>Economic and Industrial Democracy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43</w:t>
      </w:r>
      <w:r w:rsidRPr="009D72C9">
        <w:rPr>
          <w:rFonts w:asciiTheme="majorBidi" w:hAnsiTheme="majorBidi" w:cstheme="majorBidi"/>
          <w:lang w:val="en-GB"/>
        </w:rPr>
        <w:t>(3), pp.1340-1368.</w:t>
      </w:r>
    </w:p>
    <w:p w14:paraId="4C366266" w14:textId="77777777" w:rsidR="009D72C9" w:rsidRPr="009D72C9" w:rsidRDefault="009D72C9" w:rsidP="009D72C9">
      <w:pPr>
        <w:numPr>
          <w:ilvl w:val="1"/>
          <w:numId w:val="1"/>
        </w:numPr>
        <w:rPr>
          <w:rFonts w:asciiTheme="majorBidi" w:hAnsiTheme="majorBidi" w:cstheme="majorBidi"/>
        </w:rPr>
      </w:pPr>
      <w:r w:rsidRPr="009D72C9">
        <w:rPr>
          <w:rFonts w:asciiTheme="majorBidi" w:hAnsiTheme="majorBidi" w:cstheme="majorBidi"/>
          <w:lang w:val="en-GB"/>
        </w:rPr>
        <w:lastRenderedPageBreak/>
        <w:t xml:space="preserve">Yıldırım, M., (2021). Tracing the consent, </w:t>
      </w:r>
      <w:proofErr w:type="gramStart"/>
      <w:r w:rsidRPr="009D72C9">
        <w:rPr>
          <w:rFonts w:asciiTheme="majorBidi" w:hAnsiTheme="majorBidi" w:cstheme="majorBidi"/>
          <w:lang w:val="en-GB"/>
        </w:rPr>
        <w:t>adaptation</w:t>
      </w:r>
      <w:proofErr w:type="gramEnd"/>
      <w:r w:rsidRPr="009D72C9">
        <w:rPr>
          <w:rFonts w:asciiTheme="majorBidi" w:hAnsiTheme="majorBidi" w:cstheme="majorBidi"/>
          <w:lang w:val="en-GB"/>
        </w:rPr>
        <w:t xml:space="preserve"> and resistance practices of an ‘</w:t>
      </w:r>
      <w:proofErr w:type="spellStart"/>
      <w:r w:rsidRPr="009D72C9">
        <w:rPr>
          <w:rFonts w:asciiTheme="majorBidi" w:hAnsiTheme="majorBidi" w:cstheme="majorBidi"/>
          <w:lang w:val="en-GB"/>
        </w:rPr>
        <w:t>unsustainable’workforce</w:t>
      </w:r>
      <w:proofErr w:type="spellEnd"/>
      <w:r w:rsidRPr="009D72C9">
        <w:rPr>
          <w:rFonts w:asciiTheme="majorBidi" w:hAnsiTheme="majorBidi" w:cstheme="majorBidi"/>
          <w:lang w:val="en-GB"/>
        </w:rPr>
        <w:t xml:space="preserve">: The governmentality of workplaces in tourism industry. </w:t>
      </w:r>
      <w:r w:rsidRPr="009D72C9">
        <w:rPr>
          <w:rFonts w:asciiTheme="majorBidi" w:hAnsiTheme="majorBidi" w:cstheme="majorBidi"/>
          <w:i/>
          <w:iCs/>
          <w:lang w:val="en-GB"/>
        </w:rPr>
        <w:t>Tourism Management</w:t>
      </w:r>
      <w:r w:rsidRPr="009D72C9">
        <w:rPr>
          <w:rFonts w:asciiTheme="majorBidi" w:hAnsiTheme="majorBidi" w:cstheme="majorBidi"/>
          <w:lang w:val="en-GB"/>
        </w:rPr>
        <w:t xml:space="preserve">, </w:t>
      </w:r>
      <w:r w:rsidRPr="009D72C9">
        <w:rPr>
          <w:rFonts w:asciiTheme="majorBidi" w:hAnsiTheme="majorBidi" w:cstheme="majorBidi"/>
          <w:i/>
          <w:iCs/>
          <w:lang w:val="en-GB"/>
        </w:rPr>
        <w:t>84</w:t>
      </w:r>
      <w:r w:rsidRPr="009D72C9">
        <w:rPr>
          <w:rFonts w:asciiTheme="majorBidi" w:hAnsiTheme="majorBidi" w:cstheme="majorBidi"/>
          <w:lang w:val="en-GB"/>
        </w:rPr>
        <w:t>, p.104260.</w:t>
      </w:r>
    </w:p>
    <w:p w14:paraId="7AF0EE35" w14:textId="77777777" w:rsidR="009D72C9" w:rsidRDefault="009D72C9" w:rsidP="009D72C9">
      <w:pPr>
        <w:rPr>
          <w:rFonts w:asciiTheme="majorBidi" w:hAnsiTheme="majorBidi" w:cstheme="majorBidi"/>
          <w:sz w:val="36"/>
          <w:szCs w:val="36"/>
        </w:rPr>
      </w:pPr>
    </w:p>
    <w:p w14:paraId="5F3359FE" w14:textId="77777777" w:rsidR="009D72C9" w:rsidRPr="009D72C9" w:rsidRDefault="009D72C9" w:rsidP="009D72C9">
      <w:pPr>
        <w:jc w:val="center"/>
        <w:rPr>
          <w:rFonts w:asciiTheme="majorBidi" w:hAnsiTheme="majorBidi" w:cstheme="majorBidi"/>
          <w:sz w:val="36"/>
          <w:szCs w:val="36"/>
        </w:rPr>
      </w:pPr>
    </w:p>
    <w:sectPr w:rsidR="009D72C9" w:rsidRPr="009D72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0242F"/>
    <w:multiLevelType w:val="hybridMultilevel"/>
    <w:tmpl w:val="C69270AC"/>
    <w:lvl w:ilvl="0" w:tplc="168C42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B0E3C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B814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E27B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44058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0A16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8015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84482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818F9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617027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2C9"/>
    <w:rsid w:val="003B3E6A"/>
    <w:rsid w:val="00486F00"/>
    <w:rsid w:val="006965DE"/>
    <w:rsid w:val="00872561"/>
    <w:rsid w:val="0091252E"/>
    <w:rsid w:val="009D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89CBA"/>
  <w15:chartTrackingRefBased/>
  <w15:docId w15:val="{0A79B9E3-1D51-40FC-A528-B3056394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2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2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2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2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2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2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72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2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2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2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2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2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72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72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72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72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72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2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72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7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2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72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72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72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72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72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2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72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2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72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72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72C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9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7642">
          <w:marLeft w:val="145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2004">
          <w:marLeft w:val="145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916">
          <w:marLeft w:val="145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5644">
          <w:marLeft w:val="145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290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7618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7218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3399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0795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59741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8865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0481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2853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9134">
          <w:marLeft w:val="100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211516_student_uwtsd_ac_uk/EVbBbJebteZNnOcR-CTO69gBMZs8rYpNj6aB4O5pOlyvOw?e=EPJQ3d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Saifeldin Ali</dc:creator>
  <cp:keywords/>
  <dc:description/>
  <cp:lastModifiedBy>Saifeldin Ali</cp:lastModifiedBy>
  <cp:revision>1</cp:revision>
  <dcterms:created xsi:type="dcterms:W3CDTF">2024-04-26T21:03:00Z</dcterms:created>
  <dcterms:modified xsi:type="dcterms:W3CDTF">2024-04-26T21:14:00Z</dcterms:modified>
</cp:coreProperties>
</file>