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26ECF" w14:textId="5754B093" w:rsidR="00434F16" w:rsidRPr="00434F16" w:rsidRDefault="00434F16" w:rsidP="00434F16">
      <w:pPr>
        <w:rPr>
          <w:lang w:eastAsia="en-GB"/>
        </w:rPr>
      </w:pPr>
      <w:r>
        <w:rPr>
          <w:lang w:eastAsia="en-GB"/>
        </w:rPr>
        <w:t>Draft Literature</w:t>
      </w:r>
      <w:r w:rsidRPr="00434F16">
        <w:rPr>
          <w:lang w:eastAsia="en-GB"/>
        </w:rPr>
        <w:t xml:space="preserve"> Review </w:t>
      </w:r>
    </w:p>
    <w:p w14:paraId="02B1E2D4" w14:textId="0CC0FBC0" w:rsidR="00434F16" w:rsidRPr="00434F16" w:rsidRDefault="00434F16" w:rsidP="00434F16">
      <w:pPr>
        <w:pStyle w:val="Title"/>
        <w:rPr>
          <w:rFonts w:eastAsia="Times New Roman"/>
          <w:lang w:eastAsia="en-GB"/>
        </w:rPr>
      </w:pPr>
      <w:r w:rsidRPr="00434F16">
        <w:rPr>
          <w:rFonts w:eastAsia="Times New Roman"/>
          <w:lang w:eastAsia="en-GB"/>
        </w:rPr>
        <w:t xml:space="preserve">Fishmongers’ Hall </w:t>
      </w:r>
      <w:r>
        <w:rPr>
          <w:rFonts w:eastAsia="Times New Roman"/>
          <w:lang w:eastAsia="en-GB"/>
        </w:rPr>
        <w:t>Attack</w:t>
      </w:r>
      <w:r w:rsidRPr="00434F16">
        <w:rPr>
          <w:rFonts w:eastAsia="Times New Roman"/>
          <w:lang w:eastAsia="en-GB"/>
        </w:rPr>
        <w:t xml:space="preserve"> and UK Counter-Terrorism Legislation</w:t>
      </w:r>
    </w:p>
    <w:p w14:paraId="475DEA31" w14:textId="77777777" w:rsidR="00434F16" w:rsidRDefault="00434F16" w:rsidP="001830F2"/>
    <w:p w14:paraId="677352E6" w14:textId="77777777" w:rsidR="00434F16" w:rsidRDefault="00434F16" w:rsidP="001830F2"/>
    <w:p w14:paraId="3279F2E5" w14:textId="78EE4253" w:rsidR="001830F2" w:rsidRDefault="001830F2" w:rsidP="001830F2">
      <w:r>
        <w:t>Introduction</w:t>
      </w:r>
    </w:p>
    <w:p w14:paraId="3F2A4F5F" w14:textId="2DACBC66" w:rsidR="001830F2" w:rsidRDefault="001830F2" w:rsidP="001830F2">
      <w:r>
        <w:t xml:space="preserve">Terrorism is a serious threat to the security and stability of the United Kingdom. The United Kingdom has developed a sophisticated and adaptive counter-terrorism structure, based on </w:t>
      </w:r>
      <w:r w:rsidR="00434F16">
        <w:t>several</w:t>
      </w:r>
      <w:r>
        <w:t xml:space="preserve"> basic legislative measures. </w:t>
      </w:r>
    </w:p>
    <w:p w14:paraId="5533C05C" w14:textId="3A67F6BF" w:rsidR="001830F2" w:rsidRDefault="001830F2" w:rsidP="001830F2">
      <w:r>
        <w:t xml:space="preserve"> The most significant include the Terrorism Act 2000, Terrorism Act 2006, </w:t>
      </w:r>
      <w:r w:rsidR="00434F16">
        <w:t>Counterterrorism</w:t>
      </w:r>
      <w:r>
        <w:t xml:space="preserve"> and Security Act 2015, and the </w:t>
      </w:r>
      <w:r w:rsidR="00434F16">
        <w:t>Counterterrorism</w:t>
      </w:r>
      <w:r>
        <w:t xml:space="preserve"> and Border Security Act 2019.  These statutes constitute the basis of the government's approach to prevent, identify, and address terrorism (Walker, 2022).</w:t>
      </w:r>
    </w:p>
    <w:p w14:paraId="3D6762E3" w14:textId="77777777" w:rsidR="001830F2" w:rsidRDefault="001830F2" w:rsidP="001830F2">
      <w:r>
        <w:t xml:space="preserve"> Recent incidents, such as the Fishmongers’ Hall attack in 2019, have prompted critical enquiries on the practical efficacy of this legislative framework.  The occurrence, wherein a licensed convicted terrorist murdered two individuals in London, underscored significant deficiencies in the monitoring and rehabilitation of offenders by authorities (BBC News, 2020).  </w:t>
      </w:r>
    </w:p>
    <w:p w14:paraId="457ECD5C" w14:textId="424973A9" w:rsidR="00395EFC" w:rsidRDefault="001830F2" w:rsidP="001830F2">
      <w:r>
        <w:t>The tragedy has triggered major policy debate and legislative changes, in particular the adoption of the Anti-Terrorism and Sentencing Act 2021 (Ministry of the Interior, 2021). This literature review carefully analyses the anti-terrorism legislation of the United Kingdom and assesses its application in the Fishmongers Hall case. It highlights three main areas: the anti-terrorism legal structure, the pragmatic lessons of this case and the general difficulties in reconciling security, rehabilitation and civil liberties.</w:t>
      </w:r>
    </w:p>
    <w:p w14:paraId="2097302B" w14:textId="26B465EF" w:rsidR="001830F2" w:rsidRDefault="001830F2" w:rsidP="001830F2">
      <w:pPr>
        <w:rPr>
          <w:rFonts w:ascii="-webkit-standard" w:hAnsi="-webkit-standard"/>
          <w:color w:val="000000"/>
          <w:sz w:val="27"/>
          <w:szCs w:val="27"/>
        </w:rPr>
      </w:pPr>
      <w:r>
        <w:rPr>
          <w:rFonts w:ascii="-webkit-standard" w:hAnsi="-webkit-standard"/>
          <w:color w:val="000000"/>
          <w:sz w:val="27"/>
          <w:szCs w:val="27"/>
        </w:rPr>
        <w:t>Overview of UK Counter-Terrorism Legislation</w:t>
      </w:r>
    </w:p>
    <w:p w14:paraId="1ACB4A91" w14:textId="77777777" w:rsidR="001830F2" w:rsidRDefault="001830F2" w:rsidP="001830F2">
      <w:pPr>
        <w:rPr>
          <w:rFonts w:ascii="-webkit-standard" w:hAnsi="-webkit-standard"/>
          <w:color w:val="000000"/>
          <w:sz w:val="27"/>
          <w:szCs w:val="27"/>
        </w:rPr>
      </w:pPr>
    </w:p>
    <w:p w14:paraId="1DC9EEA7" w14:textId="77777777" w:rsidR="00586D8D" w:rsidRDefault="001830F2" w:rsidP="001830F2">
      <w:r>
        <w:t xml:space="preserve">One of the biggest counter-terrorism law systems in the world is in the UK.  The Terrorism Act 2000 created a broad legal definition of terrorism and gave the government </w:t>
      </w:r>
      <w:r w:rsidR="00434F16">
        <w:t>authorities,</w:t>
      </w:r>
      <w:r>
        <w:t xml:space="preserve"> including the ability to ban groups and search people without a warrant.  The Terrorism Act 2006 gave police more power after the London bombings in 2005. It made it a crime to "encourage terrorism" or have materials related to extreme </w:t>
      </w:r>
    </w:p>
    <w:p w14:paraId="075CEF0C" w14:textId="17FE9C96" w:rsidR="001830F2" w:rsidRDefault="001830F2" w:rsidP="001830F2">
      <w:r>
        <w:t>ideas (Walker, 2022).</w:t>
      </w:r>
    </w:p>
    <w:p w14:paraId="6C9A06A0" w14:textId="61E256E6" w:rsidR="001830F2" w:rsidRDefault="001830F2" w:rsidP="001830F2">
      <w:r>
        <w:lastRenderedPageBreak/>
        <w:t xml:space="preserve">After that, the </w:t>
      </w:r>
      <w:r w:rsidR="00434F16">
        <w:t>Counterterrorism</w:t>
      </w:r>
      <w:r>
        <w:t xml:space="preserve"> and Security Act 2015 set up rules for how to deal with foreign fighters who come back from war zones. It also created the Prevent Duty, which says that public bodies must help keep people from joining terrorist groups (Home Office, </w:t>
      </w:r>
      <w:r w:rsidR="00434F16">
        <w:t>2015).</w:t>
      </w:r>
      <w:r>
        <w:t xml:space="preserve"> The Anti-Terrorism and Border Security Act 2019 has further empowered the police </w:t>
      </w:r>
      <w:r w:rsidR="00434F16">
        <w:t>in</w:t>
      </w:r>
      <w:r>
        <w:t xml:space="preserve"> </w:t>
      </w:r>
      <w:r w:rsidR="00434F16">
        <w:t>investigations,</w:t>
      </w:r>
      <w:r>
        <w:t xml:space="preserve"> particularly as regards travel restrictions and online extremism (Innes, 2020). Some experts are concerned that the greater power of the law has resulted in a reduction in people's freedom, </w:t>
      </w:r>
      <w:r w:rsidR="00434F16">
        <w:t>even though</w:t>
      </w:r>
      <w:r>
        <w:t xml:space="preserve"> these efforts have assisted the United Kingdom in better combating terrorism.  Greer (2021) believes that the UK court system often prioritises security ahead of rehabilitation, while Qureshi (2022) adds that people fear that </w:t>
      </w:r>
      <w:r w:rsidR="00434F16">
        <w:t>groups</w:t>
      </w:r>
      <w:r>
        <w:t xml:space="preserve"> are being picked out.  When it comes to scholarly arguments about anti-terrorism legislation in the United Kingdom, the issues of freedom and security continue to be major issues.</w:t>
      </w:r>
    </w:p>
    <w:p w14:paraId="004937D6" w14:textId="77777777" w:rsidR="001830F2" w:rsidRDefault="001830F2" w:rsidP="001830F2"/>
    <w:p w14:paraId="6E12E882" w14:textId="7C13C610" w:rsidR="001830F2" w:rsidRDefault="001830F2" w:rsidP="001830F2">
      <w:pPr>
        <w:rPr>
          <w:rFonts w:ascii="-webkit-standard" w:hAnsi="-webkit-standard"/>
          <w:color w:val="000000"/>
          <w:sz w:val="27"/>
          <w:szCs w:val="27"/>
        </w:rPr>
      </w:pPr>
      <w:r>
        <w:rPr>
          <w:rFonts w:ascii="-webkit-standard" w:hAnsi="-webkit-standard"/>
          <w:color w:val="000000"/>
          <w:sz w:val="27"/>
          <w:szCs w:val="27"/>
        </w:rPr>
        <w:t>Case Study: The Fishmongers’ Hall Attack (2019)</w:t>
      </w:r>
    </w:p>
    <w:p w14:paraId="60EE9384" w14:textId="77777777" w:rsidR="001830F2" w:rsidRDefault="001830F2" w:rsidP="001830F2">
      <w:r>
        <w:t>On November 29, 2019, Usman Khan, a 28-year-old convicted terrorist, violently attacked two people during a London rehabilitation event for convicts at Fishmongers' Hall.</w:t>
      </w:r>
    </w:p>
    <w:p w14:paraId="3B9E2651" w14:textId="77777777" w:rsidR="001830F2" w:rsidRDefault="001830F2" w:rsidP="001830F2">
      <w:r>
        <w:t xml:space="preserve">    Khan was granted release after serving 16 years in prison for attempting to attack the London Stock Exchange in 2006.</w:t>
      </w:r>
    </w:p>
    <w:p w14:paraId="3D30B277" w14:textId="61A469EF" w:rsidR="001830F2" w:rsidRDefault="001830F2" w:rsidP="001830F2">
      <w:r>
        <w:t xml:space="preserve"> An examination into the incident's aftermath found that Khan had participated in Learning Together, a university-sponsored </w:t>
      </w:r>
      <w:r w:rsidR="00434F16">
        <w:t>programme</w:t>
      </w:r>
      <w:r>
        <w:t xml:space="preserve"> for ex-offenders to reintegrate into society through educational opportunities. </w:t>
      </w:r>
    </w:p>
    <w:p w14:paraId="103B4C2F" w14:textId="77777777" w:rsidR="001830F2" w:rsidRDefault="001830F2" w:rsidP="001830F2">
      <w:r>
        <w:t>Testimonies from the Independent Review into the Management of Terrorist Offenders (2022) and the Fishmongers' Hall Inquest (2021) revealed significant deficiencies in risk assessment, agency communication, and release monitoring (Home Office, 2022).</w:t>
      </w:r>
    </w:p>
    <w:p w14:paraId="4DE66F74" w14:textId="109229CD" w:rsidR="001830F2" w:rsidRDefault="001830F2" w:rsidP="001830F2">
      <w:r>
        <w:t xml:space="preserve">  The case revealed deficiencies in current regulations and prompted the government to undertake a review of the management of terrorist </w:t>
      </w:r>
      <w:r w:rsidR="00395A1C">
        <w:t>offender’s</w:t>
      </w:r>
      <w:r w:rsidR="004D0D1B">
        <w:t xml:space="preserve"> post-release.</w:t>
      </w:r>
    </w:p>
    <w:p w14:paraId="1C4EA0D1" w14:textId="38C8A0B5" w:rsidR="001830F2" w:rsidRDefault="001830F2" w:rsidP="001830F2">
      <w:r>
        <w:t xml:space="preserve">In response, the </w:t>
      </w:r>
      <w:r w:rsidR="00434F16">
        <w:t>Counterterrorism</w:t>
      </w:r>
      <w:r>
        <w:t xml:space="preserve"> and Sentencing Act 2021 was enacted, which eliminated automatic early release for terrorist offenders and increased the maximum punishments for terrorism-related crimes.</w:t>
      </w:r>
    </w:p>
    <w:p w14:paraId="768F59DB" w14:textId="0F7C2614" w:rsidR="001830F2" w:rsidRDefault="001830F2" w:rsidP="001830F2">
      <w:r>
        <w:t xml:space="preserve"> Scholars such as Innes (2021) and Thomas (2022) argue that the Fishmonger's Hall example shows how legislation alone cannot prevent terrorism unless rehabilitation and supervision mechanisms are well coordinated. Police, probation, and intelligence services share information, but the intrusion revealed how institutional silos may compromise security.</w:t>
      </w:r>
    </w:p>
    <w:p w14:paraId="713DAEC2" w14:textId="6727F387" w:rsidR="001830F2" w:rsidRDefault="008143C4" w:rsidP="001830F2">
      <w:pPr>
        <w:rPr>
          <w:rFonts w:ascii="-webkit-standard" w:hAnsi="-webkit-standard"/>
          <w:color w:val="000000"/>
          <w:sz w:val="27"/>
          <w:szCs w:val="27"/>
        </w:rPr>
      </w:pPr>
      <w:r>
        <w:rPr>
          <w:rFonts w:ascii="-webkit-standard" w:hAnsi="-webkit-standard"/>
          <w:color w:val="000000"/>
          <w:sz w:val="27"/>
          <w:szCs w:val="27"/>
        </w:rPr>
        <w:t>Critical Perspectives on UK Counter-Terrorism Legislation</w:t>
      </w:r>
    </w:p>
    <w:p w14:paraId="5C23450C" w14:textId="1CA7C503" w:rsidR="008143C4" w:rsidRDefault="008143C4" w:rsidP="008143C4">
      <w:r>
        <w:lastRenderedPageBreak/>
        <w:t xml:space="preserve">Undoubtedly, the legislative framework has improved the United Kingdom's capacity to combat terrorism; however, both academic and </w:t>
      </w:r>
      <w:r w:rsidR="00434F16">
        <w:t>policy-orientated</w:t>
      </w:r>
      <w:r>
        <w:t xml:space="preserve"> analyses suggest that there are significant limitations.</w:t>
      </w:r>
    </w:p>
    <w:p w14:paraId="501CD146" w14:textId="3B6733F3" w:rsidR="008143C4" w:rsidRDefault="008143C4" w:rsidP="008143C4">
      <w:r>
        <w:t xml:space="preserve">  Avoiding an overemphasis on security over rehabilitation is important, as Walker (2022) notes that the UK counter-terrorism legislation has recently prioritised incapacitation (the removal of perpetrators from society) over genuine rehabilitation and that the Fishmongers\' Hall attack illustrated how perilous this imbalance can be. Khan was under legal supervision but not necessarily being </w:t>
      </w:r>
      <w:r w:rsidR="00434F16">
        <w:t>de-radicalised</w:t>
      </w:r>
      <w:r>
        <w:t xml:space="preserve"> during or after his incarceration (Greer, 2021), and in 2022 the Independent Review of the Management of Terrorist Offenders (Home Office) found that risk assessments were overly dependent on legal compliance rather than behavioural modification.</w:t>
      </w:r>
    </w:p>
    <w:p w14:paraId="7C954431" w14:textId="77777777" w:rsidR="008143C4" w:rsidRDefault="008143C4" w:rsidP="008143C4">
      <w:r>
        <w:t>Scholars have long examined whether longer sentences reduce terrorism. Radicalisation is often ideological and psychological (Bartlett and Miller, 2020), and so legislative punishment must be balanced by educational, mentoring and reintegration measures (Silke, 2020, based on prison-based research and the need for post-release supervision and assistance). 2. Lack of coordination and communication Between the different agencies responsible for managing offenders, for example, the police, probation and security services have different responsibilities and do not always communicate, as demonstrated by the case of Fishmongers\' Hall.</w:t>
      </w:r>
    </w:p>
    <w:p w14:paraId="0565FCDF" w14:textId="77777777" w:rsidR="008143C4" w:rsidRDefault="008143C4" w:rsidP="008143C4">
      <w:r>
        <w:t>The London Bridge Inquiry Report (2021) found that Khan's associates had not effectively communicated critical information about his continued extremist ideology (BBC News, 2021).</w:t>
      </w:r>
    </w:p>
    <w:p w14:paraId="2B23256D" w14:textId="7BFF857B" w:rsidR="008143C4" w:rsidRDefault="008143C4" w:rsidP="008143C4">
      <w:r>
        <w:t xml:space="preserve">  This, according to Innes (2021), demonstrates a pervasive issue in UK </w:t>
      </w:r>
      <w:r w:rsidR="00434F16">
        <w:t>counterterrorism</w:t>
      </w:r>
      <w:r>
        <w:t xml:space="preserve">: the legislation is stringent, but its implementation is often </w:t>
      </w:r>
      <w:r w:rsidR="00434F16">
        <w:t>disjointed.</w:t>
      </w:r>
      <w:r>
        <w:t xml:space="preserve"> The law implicitly implies that agencies will collaborate effortlessly; however, bureaucratic red tape and inadequate resources render the situation considerably more fragile.</w:t>
      </w:r>
    </w:p>
    <w:p w14:paraId="0E2E9210" w14:textId="77777777" w:rsidR="00434F16" w:rsidRDefault="00434F16" w:rsidP="00434F16">
      <w:r>
        <w:t>3. Maintaining a Balance Between Security and Civil Liberties</w:t>
      </w:r>
    </w:p>
    <w:p w14:paraId="38BAECB5" w14:textId="4D8F3BFE" w:rsidR="00434F16" w:rsidRDefault="00434F16" w:rsidP="00434F16">
      <w:r>
        <w:t xml:space="preserve"> One of the most persistent critiques of UK counter-terrorism legislation is that it has the potential to undermine civil liberties.  Human rights organisations have expressed apprehension regarding measures such as extended detention periods, control orders, and the expansive definition of terrorism under the Terrorism Act 2000 (Joint Committee on Human Rights, 2022).  The Anti-Terrorism and Sentencing Act 2021 was enacted following the incident at Fishmonger's </w:t>
      </w:r>
      <w:r>
        <w:t>Hall.</w:t>
      </w:r>
      <w:r>
        <w:t xml:space="preserve"> While many believe it enhances public safety, it has raised significant concerns regarding human rights and proportionality (Thomas, </w:t>
      </w:r>
      <w:r>
        <w:t>2022).</w:t>
      </w:r>
      <w:r>
        <w:t xml:space="preserve"> Greer (2021) argues that a firm position may exacerbate community anger and hinder efforts to combat extremism.  </w:t>
      </w:r>
    </w:p>
    <w:p w14:paraId="1E3E2F78" w14:textId="020561B9" w:rsidR="00434F16" w:rsidRPr="00434F16" w:rsidRDefault="00434F16" w:rsidP="00434F1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434F16">
        <w:rPr>
          <w:rFonts w:ascii="Times New Roman" w:eastAsia="Times New Roman" w:hAnsi="Times New Roman" w:cs="Times New Roman"/>
          <w:b/>
          <w:bCs/>
          <w:color w:val="000000"/>
          <w:kern w:val="0"/>
          <w:sz w:val="36"/>
          <w:szCs w:val="36"/>
          <w:lang w:eastAsia="en-GB"/>
          <w14:ligatures w14:val="none"/>
        </w:rPr>
        <w:lastRenderedPageBreak/>
        <w:t xml:space="preserve">References </w:t>
      </w:r>
    </w:p>
    <w:p w14:paraId="52AFC4D7" w14:textId="12BBFFC7" w:rsidR="00434F16" w:rsidRPr="00434F16" w:rsidRDefault="00434F16" w:rsidP="00434F1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34F16">
        <w:rPr>
          <w:rFonts w:ascii="Times New Roman" w:eastAsia="Times New Roman" w:hAnsi="Times New Roman" w:cs="Times New Roman"/>
          <w:color w:val="000000"/>
          <w:kern w:val="0"/>
          <w:lang w:eastAsia="en-GB"/>
          <w14:ligatures w14:val="none"/>
        </w:rPr>
        <w:t xml:space="preserve">Bartlett, J. and Miller, C. </w:t>
      </w:r>
      <w:r>
        <w:rPr>
          <w:rFonts w:ascii="Times New Roman" w:eastAsia="Times New Roman" w:hAnsi="Times New Roman" w:cs="Times New Roman"/>
          <w:color w:val="000000"/>
          <w:kern w:val="0"/>
          <w:lang w:eastAsia="en-GB"/>
          <w14:ligatures w14:val="none"/>
        </w:rPr>
        <w:t xml:space="preserve">(2020)  </w:t>
      </w:r>
      <w:r w:rsidRPr="00434F16">
        <w:rPr>
          <w:rFonts w:ascii="Times New Roman" w:eastAsia="Times New Roman" w:hAnsi="Times New Roman" w:cs="Times New Roman"/>
          <w:i/>
          <w:iCs/>
          <w:color w:val="000000"/>
          <w:kern w:val="0"/>
          <w:lang w:eastAsia="en-GB"/>
          <w14:ligatures w14:val="none"/>
        </w:rPr>
        <w:t xml:space="preserve">Online Radicalisation and the Role of Social </w:t>
      </w:r>
      <w:r>
        <w:rPr>
          <w:rFonts w:ascii="Times New Roman" w:eastAsia="Times New Roman" w:hAnsi="Times New Roman" w:cs="Times New Roman"/>
          <w:i/>
          <w:iCs/>
          <w:color w:val="000000"/>
          <w:kern w:val="0"/>
          <w:lang w:eastAsia="en-GB"/>
          <w14:ligatures w14:val="none"/>
        </w:rPr>
        <w:t xml:space="preserve">Media.  </w:t>
      </w:r>
      <w:r w:rsidRPr="00434F16">
        <w:rPr>
          <w:rFonts w:ascii="Times New Roman" w:eastAsia="Times New Roman" w:hAnsi="Times New Roman" w:cs="Times New Roman"/>
          <w:color w:val="000000"/>
          <w:kern w:val="0"/>
          <w:lang w:eastAsia="en-GB"/>
          <w14:ligatures w14:val="none"/>
        </w:rPr>
        <w:t>Institute for Strategic Dialogue.</w:t>
      </w:r>
      <w:r w:rsidRPr="00434F16">
        <w:rPr>
          <w:rFonts w:ascii="Times New Roman" w:eastAsia="Times New Roman" w:hAnsi="Times New Roman" w:cs="Times New Roman"/>
          <w:color w:val="000000"/>
          <w:kern w:val="0"/>
          <w:lang w:eastAsia="en-GB"/>
          <w14:ligatures w14:val="none"/>
        </w:rPr>
        <w:br/>
        <w:t>BBC News (2020) </w:t>
      </w:r>
      <w:r w:rsidRPr="00434F16">
        <w:rPr>
          <w:rFonts w:ascii="Times New Roman" w:eastAsia="Times New Roman" w:hAnsi="Times New Roman" w:cs="Times New Roman"/>
          <w:i/>
          <w:iCs/>
          <w:color w:val="000000"/>
          <w:kern w:val="0"/>
          <w:lang w:eastAsia="en-GB"/>
          <w14:ligatures w14:val="none"/>
        </w:rPr>
        <w:t xml:space="preserve">Fishmongers’ Hall Attack: Timeline of </w:t>
      </w:r>
      <w:r>
        <w:rPr>
          <w:rFonts w:ascii="Times New Roman" w:eastAsia="Times New Roman" w:hAnsi="Times New Roman" w:cs="Times New Roman"/>
          <w:i/>
          <w:iCs/>
          <w:color w:val="000000"/>
          <w:kern w:val="0"/>
          <w:lang w:eastAsia="en-GB"/>
          <w14:ligatures w14:val="none"/>
        </w:rPr>
        <w:t xml:space="preserve">Events.  </w:t>
      </w:r>
      <w:r w:rsidRPr="00434F16">
        <w:rPr>
          <w:rFonts w:ascii="Times New Roman" w:eastAsia="Times New Roman" w:hAnsi="Times New Roman" w:cs="Times New Roman"/>
          <w:color w:val="000000"/>
          <w:kern w:val="0"/>
          <w:lang w:eastAsia="en-GB"/>
          <w14:ligatures w14:val="none"/>
        </w:rPr>
        <w:t>[Online] Available at: [bbc.co.uk]</w:t>
      </w:r>
      <w:r w:rsidRPr="00434F16">
        <w:rPr>
          <w:rFonts w:ascii="Times New Roman" w:eastAsia="Times New Roman" w:hAnsi="Times New Roman" w:cs="Times New Roman"/>
          <w:color w:val="000000"/>
          <w:kern w:val="0"/>
          <w:lang w:eastAsia="en-GB"/>
          <w14:ligatures w14:val="none"/>
        </w:rPr>
        <w:br/>
        <w:t xml:space="preserve">BBC News </w:t>
      </w:r>
      <w:r>
        <w:rPr>
          <w:rFonts w:ascii="Times New Roman" w:eastAsia="Times New Roman" w:hAnsi="Times New Roman" w:cs="Times New Roman"/>
          <w:color w:val="000000"/>
          <w:kern w:val="0"/>
          <w:lang w:eastAsia="en-GB"/>
          <w14:ligatures w14:val="none"/>
        </w:rPr>
        <w:t xml:space="preserve">(2021).  </w:t>
      </w:r>
      <w:r w:rsidRPr="00434F16">
        <w:rPr>
          <w:rFonts w:ascii="Times New Roman" w:eastAsia="Times New Roman" w:hAnsi="Times New Roman" w:cs="Times New Roman"/>
          <w:i/>
          <w:iCs/>
          <w:color w:val="000000"/>
          <w:kern w:val="0"/>
          <w:lang w:eastAsia="en-GB"/>
          <w14:ligatures w14:val="none"/>
        </w:rPr>
        <w:t xml:space="preserve">London Bridge Inquest: Failures in Monitoring Usman </w:t>
      </w:r>
      <w:r>
        <w:rPr>
          <w:rFonts w:ascii="Times New Roman" w:eastAsia="Times New Roman" w:hAnsi="Times New Roman" w:cs="Times New Roman"/>
          <w:i/>
          <w:iCs/>
          <w:color w:val="000000"/>
          <w:kern w:val="0"/>
          <w:lang w:eastAsia="en-GB"/>
          <w14:ligatures w14:val="none"/>
        </w:rPr>
        <w:t xml:space="preserve">Khan.  </w:t>
      </w:r>
      <w:r w:rsidRPr="00434F16">
        <w:rPr>
          <w:rFonts w:ascii="Times New Roman" w:eastAsia="Times New Roman" w:hAnsi="Times New Roman" w:cs="Times New Roman"/>
          <w:color w:val="000000"/>
          <w:kern w:val="0"/>
          <w:lang w:eastAsia="en-GB"/>
          <w14:ligatures w14:val="none"/>
        </w:rPr>
        <w:t>[Online] Available at: [bbc.co.uk]</w:t>
      </w:r>
      <w:r w:rsidRPr="00434F16">
        <w:rPr>
          <w:rFonts w:ascii="Times New Roman" w:eastAsia="Times New Roman" w:hAnsi="Times New Roman" w:cs="Times New Roman"/>
          <w:color w:val="000000"/>
          <w:kern w:val="0"/>
          <w:lang w:eastAsia="en-GB"/>
          <w14:ligatures w14:val="none"/>
        </w:rPr>
        <w:br/>
        <w:t>Greer, S. (2021) ‘</w:t>
      </w:r>
      <w:r w:rsidRPr="00434F16">
        <w:rPr>
          <w:rFonts w:ascii="Times New Roman" w:eastAsia="Times New Roman" w:hAnsi="Times New Roman" w:cs="Times New Roman"/>
          <w:color w:val="000000"/>
          <w:kern w:val="0"/>
          <w:lang w:eastAsia="en-GB"/>
          <w14:ligatures w14:val="none"/>
        </w:rPr>
        <w:t>Counterterrorism</w:t>
      </w:r>
      <w:r w:rsidRPr="00434F16">
        <w:rPr>
          <w:rFonts w:ascii="Times New Roman" w:eastAsia="Times New Roman" w:hAnsi="Times New Roman" w:cs="Times New Roman"/>
          <w:color w:val="000000"/>
          <w:kern w:val="0"/>
          <w:lang w:eastAsia="en-GB"/>
          <w14:ligatures w14:val="none"/>
        </w:rPr>
        <w:t xml:space="preserve"> and human rights in the UK.’ </w:t>
      </w:r>
      <w:r w:rsidRPr="00434F16">
        <w:rPr>
          <w:rFonts w:ascii="Times New Roman" w:eastAsia="Times New Roman" w:hAnsi="Times New Roman" w:cs="Times New Roman"/>
          <w:i/>
          <w:iCs/>
          <w:color w:val="000000"/>
          <w:kern w:val="0"/>
          <w:lang w:eastAsia="en-GB"/>
          <w14:ligatures w14:val="none"/>
        </w:rPr>
        <w:t>Criminal Law Review,</w:t>
      </w:r>
      <w:r w:rsidRPr="00434F16">
        <w:rPr>
          <w:rFonts w:ascii="Times New Roman" w:eastAsia="Times New Roman" w:hAnsi="Times New Roman" w:cs="Times New Roman"/>
          <w:color w:val="000000"/>
          <w:kern w:val="0"/>
          <w:lang w:eastAsia="en-GB"/>
          <w14:ligatures w14:val="none"/>
        </w:rPr>
        <w:t> 4(2), pp. 87–104.</w:t>
      </w:r>
      <w:r w:rsidRPr="00434F16">
        <w:rPr>
          <w:rFonts w:ascii="Times New Roman" w:eastAsia="Times New Roman" w:hAnsi="Times New Roman" w:cs="Times New Roman"/>
          <w:color w:val="000000"/>
          <w:kern w:val="0"/>
          <w:lang w:eastAsia="en-GB"/>
          <w14:ligatures w14:val="none"/>
        </w:rPr>
        <w:br/>
        <w:t>Home Office (2015) </w:t>
      </w:r>
      <w:r w:rsidRPr="00434F16">
        <w:rPr>
          <w:rFonts w:ascii="Times New Roman" w:eastAsia="Times New Roman" w:hAnsi="Times New Roman" w:cs="Times New Roman"/>
          <w:i/>
          <w:iCs/>
          <w:color w:val="000000"/>
          <w:kern w:val="0"/>
          <w:lang w:eastAsia="en-GB"/>
          <w14:ligatures w14:val="none"/>
        </w:rPr>
        <w:t xml:space="preserve">Prevent Duty Guidance for England and </w:t>
      </w:r>
      <w:r>
        <w:rPr>
          <w:rFonts w:ascii="Times New Roman" w:eastAsia="Times New Roman" w:hAnsi="Times New Roman" w:cs="Times New Roman"/>
          <w:i/>
          <w:iCs/>
          <w:color w:val="000000"/>
          <w:kern w:val="0"/>
          <w:lang w:eastAsia="en-GB"/>
          <w14:ligatures w14:val="none"/>
        </w:rPr>
        <w:t xml:space="preserve">Wales.  </w:t>
      </w:r>
      <w:r w:rsidRPr="00434F16">
        <w:rPr>
          <w:rFonts w:ascii="Times New Roman" w:eastAsia="Times New Roman" w:hAnsi="Times New Roman" w:cs="Times New Roman"/>
          <w:color w:val="000000"/>
          <w:kern w:val="0"/>
          <w:lang w:eastAsia="en-GB"/>
          <w14:ligatures w14:val="none"/>
        </w:rPr>
        <w:t>London: Home Office.</w:t>
      </w:r>
      <w:r w:rsidRPr="00434F16">
        <w:rPr>
          <w:rFonts w:ascii="Times New Roman" w:eastAsia="Times New Roman" w:hAnsi="Times New Roman" w:cs="Times New Roman"/>
          <w:color w:val="000000"/>
          <w:kern w:val="0"/>
          <w:lang w:eastAsia="en-GB"/>
          <w14:ligatures w14:val="none"/>
        </w:rPr>
        <w:br/>
        <w:t xml:space="preserve">Home Office </w:t>
      </w:r>
      <w:r>
        <w:rPr>
          <w:rFonts w:ascii="Times New Roman" w:eastAsia="Times New Roman" w:hAnsi="Times New Roman" w:cs="Times New Roman"/>
          <w:color w:val="000000"/>
          <w:kern w:val="0"/>
          <w:lang w:eastAsia="en-GB"/>
          <w14:ligatures w14:val="none"/>
        </w:rPr>
        <w:t xml:space="preserve">(2021).  </w:t>
      </w:r>
      <w:r w:rsidRPr="00434F16">
        <w:rPr>
          <w:rFonts w:ascii="Times New Roman" w:eastAsia="Times New Roman" w:hAnsi="Times New Roman" w:cs="Times New Roman"/>
          <w:i/>
          <w:iCs/>
          <w:color w:val="000000"/>
          <w:kern w:val="0"/>
          <w:lang w:eastAsia="en-GB"/>
          <w14:ligatures w14:val="none"/>
        </w:rPr>
        <w:t xml:space="preserve">Counter-Terrorism and Sentencing Act 2021: Policy </w:t>
      </w:r>
      <w:r>
        <w:rPr>
          <w:rFonts w:ascii="Times New Roman" w:eastAsia="Times New Roman" w:hAnsi="Times New Roman" w:cs="Times New Roman"/>
          <w:i/>
          <w:iCs/>
          <w:color w:val="000000"/>
          <w:kern w:val="0"/>
          <w:lang w:eastAsia="en-GB"/>
          <w14:ligatures w14:val="none"/>
        </w:rPr>
        <w:t xml:space="preserve">Overview.  </w:t>
      </w:r>
      <w:r w:rsidRPr="00434F16">
        <w:rPr>
          <w:rFonts w:ascii="Times New Roman" w:eastAsia="Times New Roman" w:hAnsi="Times New Roman" w:cs="Times New Roman"/>
          <w:color w:val="000000"/>
          <w:kern w:val="0"/>
          <w:lang w:eastAsia="en-GB"/>
          <w14:ligatures w14:val="none"/>
        </w:rPr>
        <w:t>London: HMSO.</w:t>
      </w:r>
      <w:r w:rsidRPr="00434F16">
        <w:rPr>
          <w:rFonts w:ascii="Times New Roman" w:eastAsia="Times New Roman" w:hAnsi="Times New Roman" w:cs="Times New Roman"/>
          <w:color w:val="000000"/>
          <w:kern w:val="0"/>
          <w:lang w:eastAsia="en-GB"/>
          <w14:ligatures w14:val="none"/>
        </w:rPr>
        <w:br/>
        <w:t xml:space="preserve">Home Office </w:t>
      </w:r>
      <w:r>
        <w:rPr>
          <w:rFonts w:ascii="Times New Roman" w:eastAsia="Times New Roman" w:hAnsi="Times New Roman" w:cs="Times New Roman"/>
          <w:color w:val="000000"/>
          <w:kern w:val="0"/>
          <w:lang w:eastAsia="en-GB"/>
          <w14:ligatures w14:val="none"/>
        </w:rPr>
        <w:t xml:space="preserve">(2022).  </w:t>
      </w:r>
      <w:r w:rsidRPr="00434F16">
        <w:rPr>
          <w:rFonts w:ascii="Times New Roman" w:eastAsia="Times New Roman" w:hAnsi="Times New Roman" w:cs="Times New Roman"/>
          <w:i/>
          <w:iCs/>
          <w:color w:val="000000"/>
          <w:kern w:val="0"/>
          <w:lang w:eastAsia="en-GB"/>
          <w14:ligatures w14:val="none"/>
        </w:rPr>
        <w:t xml:space="preserve">Independent Review into the Management of Terrorist </w:t>
      </w:r>
      <w:r>
        <w:rPr>
          <w:rFonts w:ascii="Times New Roman" w:eastAsia="Times New Roman" w:hAnsi="Times New Roman" w:cs="Times New Roman"/>
          <w:i/>
          <w:iCs/>
          <w:color w:val="000000"/>
          <w:kern w:val="0"/>
          <w:lang w:eastAsia="en-GB"/>
          <w14:ligatures w14:val="none"/>
        </w:rPr>
        <w:t xml:space="preserve">Offenders.  </w:t>
      </w:r>
      <w:r w:rsidRPr="00434F16">
        <w:rPr>
          <w:rFonts w:ascii="Times New Roman" w:eastAsia="Times New Roman" w:hAnsi="Times New Roman" w:cs="Times New Roman"/>
          <w:color w:val="000000"/>
          <w:kern w:val="0"/>
          <w:lang w:eastAsia="en-GB"/>
          <w14:ligatures w14:val="none"/>
        </w:rPr>
        <w:t>London: Home Office.</w:t>
      </w:r>
      <w:r w:rsidRPr="00434F16">
        <w:rPr>
          <w:rFonts w:ascii="Times New Roman" w:eastAsia="Times New Roman" w:hAnsi="Times New Roman" w:cs="Times New Roman"/>
          <w:color w:val="000000"/>
          <w:kern w:val="0"/>
          <w:lang w:eastAsia="en-GB"/>
          <w14:ligatures w14:val="none"/>
        </w:rPr>
        <w:br/>
        <w:t xml:space="preserve">Innes, M. (2020) ‘Counter-Terrorism Policing and the Intelligence-Led </w:t>
      </w:r>
      <w:r>
        <w:rPr>
          <w:rFonts w:ascii="Times New Roman" w:eastAsia="Times New Roman" w:hAnsi="Times New Roman" w:cs="Times New Roman"/>
          <w:color w:val="000000"/>
          <w:kern w:val="0"/>
          <w:lang w:eastAsia="en-GB"/>
          <w14:ligatures w14:val="none"/>
        </w:rPr>
        <w:t xml:space="preserve">Approach.’  </w:t>
      </w:r>
      <w:r w:rsidRPr="00434F16">
        <w:rPr>
          <w:rFonts w:ascii="Times New Roman" w:eastAsia="Times New Roman" w:hAnsi="Times New Roman" w:cs="Times New Roman"/>
          <w:i/>
          <w:iCs/>
          <w:color w:val="000000"/>
          <w:kern w:val="0"/>
          <w:lang w:eastAsia="en-GB"/>
          <w14:ligatures w14:val="none"/>
        </w:rPr>
        <w:t>Policing and Society,</w:t>
      </w:r>
      <w:r w:rsidRPr="00434F16">
        <w:rPr>
          <w:rFonts w:ascii="Times New Roman" w:eastAsia="Times New Roman" w:hAnsi="Times New Roman" w:cs="Times New Roman"/>
          <w:color w:val="000000"/>
          <w:kern w:val="0"/>
          <w:lang w:eastAsia="en-GB"/>
          <w14:ligatures w14:val="none"/>
        </w:rPr>
        <w:t> 30(7), pp. 811–829.</w:t>
      </w:r>
      <w:r w:rsidRPr="00434F16">
        <w:rPr>
          <w:rFonts w:ascii="Times New Roman" w:eastAsia="Times New Roman" w:hAnsi="Times New Roman" w:cs="Times New Roman"/>
          <w:color w:val="000000"/>
          <w:kern w:val="0"/>
          <w:lang w:eastAsia="en-GB"/>
          <w14:ligatures w14:val="none"/>
        </w:rPr>
        <w:br/>
        <w:t>Innes, M. (2021) </w:t>
      </w:r>
      <w:r w:rsidRPr="00434F16">
        <w:rPr>
          <w:rFonts w:ascii="Times New Roman" w:eastAsia="Times New Roman" w:hAnsi="Times New Roman" w:cs="Times New Roman"/>
          <w:i/>
          <w:iCs/>
          <w:color w:val="000000"/>
          <w:kern w:val="0"/>
          <w:lang w:eastAsia="en-GB"/>
          <w14:ligatures w14:val="none"/>
        </w:rPr>
        <w:t xml:space="preserve">Policing Terrorism After Fishmongers’ </w:t>
      </w:r>
      <w:r>
        <w:rPr>
          <w:rFonts w:ascii="Times New Roman" w:eastAsia="Times New Roman" w:hAnsi="Times New Roman" w:cs="Times New Roman"/>
          <w:i/>
          <w:iCs/>
          <w:color w:val="000000"/>
          <w:kern w:val="0"/>
          <w:lang w:eastAsia="en-GB"/>
          <w14:ligatures w14:val="none"/>
        </w:rPr>
        <w:t xml:space="preserve">Hall.  </w:t>
      </w:r>
      <w:r w:rsidRPr="00434F16">
        <w:rPr>
          <w:rFonts w:ascii="Times New Roman" w:eastAsia="Times New Roman" w:hAnsi="Times New Roman" w:cs="Times New Roman"/>
          <w:color w:val="000000"/>
          <w:kern w:val="0"/>
          <w:lang w:eastAsia="en-GB"/>
          <w14:ligatures w14:val="none"/>
        </w:rPr>
        <w:t>Cardiff University Press.</w:t>
      </w:r>
      <w:r w:rsidRPr="00434F16">
        <w:rPr>
          <w:rFonts w:ascii="Times New Roman" w:eastAsia="Times New Roman" w:hAnsi="Times New Roman" w:cs="Times New Roman"/>
          <w:color w:val="000000"/>
          <w:kern w:val="0"/>
          <w:lang w:eastAsia="en-GB"/>
          <w14:ligatures w14:val="none"/>
        </w:rPr>
        <w:br/>
        <w:t xml:space="preserve">Joint Committee on Human Rights </w:t>
      </w:r>
      <w:r>
        <w:rPr>
          <w:rFonts w:ascii="Times New Roman" w:eastAsia="Times New Roman" w:hAnsi="Times New Roman" w:cs="Times New Roman"/>
          <w:color w:val="000000"/>
          <w:kern w:val="0"/>
          <w:lang w:eastAsia="en-GB"/>
          <w14:ligatures w14:val="none"/>
        </w:rPr>
        <w:t xml:space="preserve">(2022)  </w:t>
      </w:r>
      <w:r w:rsidRPr="00434F16">
        <w:rPr>
          <w:rFonts w:ascii="Times New Roman" w:eastAsia="Times New Roman" w:hAnsi="Times New Roman" w:cs="Times New Roman"/>
          <w:i/>
          <w:iCs/>
          <w:color w:val="000000"/>
          <w:kern w:val="0"/>
          <w:lang w:eastAsia="en-GB"/>
          <w14:ligatures w14:val="none"/>
        </w:rPr>
        <w:t xml:space="preserve">Legislative Scrutiny: </w:t>
      </w:r>
      <w:r w:rsidRPr="00434F16">
        <w:rPr>
          <w:rFonts w:ascii="Times New Roman" w:eastAsia="Times New Roman" w:hAnsi="Times New Roman" w:cs="Times New Roman"/>
          <w:i/>
          <w:iCs/>
          <w:color w:val="000000"/>
          <w:kern w:val="0"/>
          <w:lang w:eastAsia="en-GB"/>
          <w14:ligatures w14:val="none"/>
        </w:rPr>
        <w:t>Counterterrorism</w:t>
      </w:r>
      <w:r w:rsidRPr="00434F16">
        <w:rPr>
          <w:rFonts w:ascii="Times New Roman" w:eastAsia="Times New Roman" w:hAnsi="Times New Roman" w:cs="Times New Roman"/>
          <w:i/>
          <w:iCs/>
          <w:color w:val="000000"/>
          <w:kern w:val="0"/>
          <w:lang w:eastAsia="en-GB"/>
          <w14:ligatures w14:val="none"/>
        </w:rPr>
        <w:t xml:space="preserve"> and Human </w:t>
      </w:r>
      <w:r>
        <w:rPr>
          <w:rFonts w:ascii="Times New Roman" w:eastAsia="Times New Roman" w:hAnsi="Times New Roman" w:cs="Times New Roman"/>
          <w:i/>
          <w:iCs/>
          <w:color w:val="000000"/>
          <w:kern w:val="0"/>
          <w:lang w:eastAsia="en-GB"/>
          <w14:ligatures w14:val="none"/>
        </w:rPr>
        <w:t xml:space="preserve">Rights.  </w:t>
      </w:r>
      <w:r w:rsidRPr="00434F16">
        <w:rPr>
          <w:rFonts w:ascii="Times New Roman" w:eastAsia="Times New Roman" w:hAnsi="Times New Roman" w:cs="Times New Roman"/>
          <w:color w:val="000000"/>
          <w:kern w:val="0"/>
          <w:lang w:eastAsia="en-GB"/>
          <w14:ligatures w14:val="none"/>
        </w:rPr>
        <w:t>London: The Stationery Office.</w:t>
      </w:r>
      <w:r w:rsidRPr="00434F16">
        <w:rPr>
          <w:rFonts w:ascii="Times New Roman" w:eastAsia="Times New Roman" w:hAnsi="Times New Roman" w:cs="Times New Roman"/>
          <w:color w:val="000000"/>
          <w:kern w:val="0"/>
          <w:lang w:eastAsia="en-GB"/>
          <w14:ligatures w14:val="none"/>
        </w:rPr>
        <w:br/>
        <w:t xml:space="preserve">Qureshi, Y. (2022) ‘Ethical and legal challenges in counter-terrorism </w:t>
      </w:r>
      <w:r>
        <w:rPr>
          <w:rFonts w:ascii="Times New Roman" w:eastAsia="Times New Roman" w:hAnsi="Times New Roman" w:cs="Times New Roman"/>
          <w:color w:val="000000"/>
          <w:kern w:val="0"/>
          <w:lang w:eastAsia="en-GB"/>
          <w14:ligatures w14:val="none"/>
        </w:rPr>
        <w:t xml:space="preserve">policing.’  </w:t>
      </w:r>
      <w:r w:rsidRPr="00434F16">
        <w:rPr>
          <w:rFonts w:ascii="Times New Roman" w:eastAsia="Times New Roman" w:hAnsi="Times New Roman" w:cs="Times New Roman"/>
          <w:i/>
          <w:iCs/>
          <w:color w:val="000000"/>
          <w:kern w:val="0"/>
          <w:lang w:eastAsia="en-GB"/>
          <w14:ligatures w14:val="none"/>
        </w:rPr>
        <w:t>British Journal of Criminology,</w:t>
      </w:r>
      <w:r w:rsidRPr="00434F16">
        <w:rPr>
          <w:rFonts w:ascii="Times New Roman" w:eastAsia="Times New Roman" w:hAnsi="Times New Roman" w:cs="Times New Roman"/>
          <w:color w:val="000000"/>
          <w:kern w:val="0"/>
          <w:lang w:eastAsia="en-GB"/>
          <w14:ligatures w14:val="none"/>
        </w:rPr>
        <w:t> 62(4), pp. 980–998.</w:t>
      </w:r>
      <w:r w:rsidRPr="00434F16">
        <w:rPr>
          <w:rFonts w:ascii="Times New Roman" w:eastAsia="Times New Roman" w:hAnsi="Times New Roman" w:cs="Times New Roman"/>
          <w:color w:val="000000"/>
          <w:kern w:val="0"/>
          <w:lang w:eastAsia="en-GB"/>
          <w14:ligatures w14:val="none"/>
        </w:rPr>
        <w:br/>
        <w:t>Silke, A. (2020) </w:t>
      </w:r>
      <w:r w:rsidRPr="00434F16">
        <w:rPr>
          <w:rFonts w:ascii="Times New Roman" w:eastAsia="Times New Roman" w:hAnsi="Times New Roman" w:cs="Times New Roman"/>
          <w:i/>
          <w:iCs/>
          <w:color w:val="000000"/>
          <w:kern w:val="0"/>
          <w:lang w:eastAsia="en-GB"/>
          <w14:ligatures w14:val="none"/>
        </w:rPr>
        <w:t xml:space="preserve">Prisons, Terrorism and Extremism: Critical Issues in Management, Radicalisation and </w:t>
      </w:r>
      <w:r>
        <w:rPr>
          <w:rFonts w:ascii="Times New Roman" w:eastAsia="Times New Roman" w:hAnsi="Times New Roman" w:cs="Times New Roman"/>
          <w:i/>
          <w:iCs/>
          <w:color w:val="000000"/>
          <w:kern w:val="0"/>
          <w:lang w:eastAsia="en-GB"/>
          <w14:ligatures w14:val="none"/>
        </w:rPr>
        <w:t xml:space="preserve">Reform. </w:t>
      </w:r>
      <w:r w:rsidRPr="00434F16">
        <w:rPr>
          <w:rFonts w:ascii="Times New Roman" w:eastAsia="Times New Roman" w:hAnsi="Times New Roman" w:cs="Times New Roman"/>
          <w:color w:val="000000"/>
          <w:kern w:val="0"/>
          <w:lang w:eastAsia="en-GB"/>
          <w14:ligatures w14:val="none"/>
        </w:rPr>
        <w:t>Routledge.</w:t>
      </w:r>
      <w:r w:rsidRPr="00434F16">
        <w:rPr>
          <w:rFonts w:ascii="Times New Roman" w:eastAsia="Times New Roman" w:hAnsi="Times New Roman" w:cs="Times New Roman"/>
          <w:color w:val="000000"/>
          <w:kern w:val="0"/>
          <w:lang w:eastAsia="en-GB"/>
          <w14:ligatures w14:val="none"/>
        </w:rPr>
        <w:br/>
        <w:t>Thomas, P. (2022) </w:t>
      </w:r>
      <w:r w:rsidRPr="00434F16">
        <w:rPr>
          <w:rFonts w:ascii="Times New Roman" w:eastAsia="Times New Roman" w:hAnsi="Times New Roman" w:cs="Times New Roman"/>
          <w:i/>
          <w:iCs/>
          <w:color w:val="000000"/>
          <w:kern w:val="0"/>
          <w:lang w:eastAsia="en-GB"/>
          <w14:ligatures w14:val="none"/>
        </w:rPr>
        <w:t xml:space="preserve">Reforming Prevent and Counter-Terrorism Policy after Fishmongers’ </w:t>
      </w:r>
      <w:r>
        <w:rPr>
          <w:rFonts w:ascii="Times New Roman" w:eastAsia="Times New Roman" w:hAnsi="Times New Roman" w:cs="Times New Roman"/>
          <w:i/>
          <w:iCs/>
          <w:color w:val="000000"/>
          <w:kern w:val="0"/>
          <w:lang w:eastAsia="en-GB"/>
          <w14:ligatures w14:val="none"/>
        </w:rPr>
        <w:t xml:space="preserve">Hall.  </w:t>
      </w:r>
      <w:r w:rsidRPr="00434F16">
        <w:rPr>
          <w:rFonts w:ascii="Times New Roman" w:eastAsia="Times New Roman" w:hAnsi="Times New Roman" w:cs="Times New Roman"/>
          <w:i/>
          <w:iCs/>
          <w:color w:val="000000"/>
          <w:kern w:val="0"/>
          <w:lang w:eastAsia="en-GB"/>
          <w14:ligatures w14:val="none"/>
        </w:rPr>
        <w:t xml:space="preserve">Journal of Policing </w:t>
      </w:r>
      <w:r>
        <w:rPr>
          <w:rFonts w:ascii="Times New Roman" w:eastAsia="Times New Roman" w:hAnsi="Times New Roman" w:cs="Times New Roman"/>
          <w:i/>
          <w:iCs/>
          <w:color w:val="000000"/>
          <w:kern w:val="0"/>
          <w:lang w:eastAsia="en-GB"/>
          <w14:ligatures w14:val="none"/>
        </w:rPr>
        <w:t>Studies, 15(3),</w:t>
      </w:r>
      <w:r w:rsidRPr="00434F16">
        <w:rPr>
          <w:rFonts w:ascii="Times New Roman" w:eastAsia="Times New Roman" w:hAnsi="Times New Roman" w:cs="Times New Roman"/>
          <w:color w:val="000000"/>
          <w:kern w:val="0"/>
          <w:lang w:eastAsia="en-GB"/>
          <w14:ligatures w14:val="none"/>
        </w:rPr>
        <w:t xml:space="preserve"> pp. 215–233.</w:t>
      </w:r>
      <w:r w:rsidRPr="00434F16">
        <w:rPr>
          <w:rFonts w:ascii="Times New Roman" w:eastAsia="Times New Roman" w:hAnsi="Times New Roman" w:cs="Times New Roman"/>
          <w:color w:val="000000"/>
          <w:kern w:val="0"/>
          <w:lang w:eastAsia="en-GB"/>
          <w14:ligatures w14:val="none"/>
        </w:rPr>
        <w:br/>
        <w:t>Walker, C. (2022) </w:t>
      </w:r>
      <w:r w:rsidRPr="00434F16">
        <w:rPr>
          <w:rFonts w:ascii="Times New Roman" w:eastAsia="Times New Roman" w:hAnsi="Times New Roman" w:cs="Times New Roman"/>
          <w:i/>
          <w:iCs/>
          <w:color w:val="000000"/>
          <w:kern w:val="0"/>
          <w:lang w:eastAsia="en-GB"/>
          <w14:ligatures w14:val="none"/>
        </w:rPr>
        <w:t>Counter-Terrorism Law and Practice.</w:t>
      </w:r>
      <w:r w:rsidRPr="00434F16">
        <w:rPr>
          <w:rFonts w:ascii="Times New Roman" w:eastAsia="Times New Roman" w:hAnsi="Times New Roman" w:cs="Times New Roman"/>
          <w:color w:val="000000"/>
          <w:kern w:val="0"/>
          <w:lang w:eastAsia="en-GB"/>
          <w14:ligatures w14:val="none"/>
        </w:rPr>
        <w:t xml:space="preserve"> 2nd </w:t>
      </w:r>
      <w:r>
        <w:rPr>
          <w:rFonts w:ascii="Times New Roman" w:eastAsia="Times New Roman" w:hAnsi="Times New Roman" w:cs="Times New Roman"/>
          <w:color w:val="000000"/>
          <w:kern w:val="0"/>
          <w:lang w:eastAsia="en-GB"/>
          <w14:ligatures w14:val="none"/>
        </w:rPr>
        <w:t xml:space="preserve">ed. </w:t>
      </w:r>
      <w:r w:rsidRPr="00434F16">
        <w:rPr>
          <w:rFonts w:ascii="Times New Roman" w:eastAsia="Times New Roman" w:hAnsi="Times New Roman" w:cs="Times New Roman"/>
          <w:color w:val="000000"/>
          <w:kern w:val="0"/>
          <w:lang w:eastAsia="en-GB"/>
          <w14:ligatures w14:val="none"/>
        </w:rPr>
        <w:t>Oxford: Oxford University Press.</w:t>
      </w:r>
    </w:p>
    <w:p w14:paraId="57B9F57C" w14:textId="77777777" w:rsidR="00434F16" w:rsidRDefault="00434F16" w:rsidP="00434F16"/>
    <w:sectPr w:rsidR="00434F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0F2"/>
    <w:rsid w:val="001830F2"/>
    <w:rsid w:val="0027545B"/>
    <w:rsid w:val="00395A1C"/>
    <w:rsid w:val="00395EFC"/>
    <w:rsid w:val="00434F16"/>
    <w:rsid w:val="004B3597"/>
    <w:rsid w:val="004D0D1B"/>
    <w:rsid w:val="00586D8D"/>
    <w:rsid w:val="008143C4"/>
    <w:rsid w:val="00AF7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A6E303"/>
  <w15:chartTrackingRefBased/>
  <w15:docId w15:val="{A997CE00-8C69-E442-958A-CA0A0BC1B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3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30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0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0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0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0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0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0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0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30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30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0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0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0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0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0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0F2"/>
    <w:rPr>
      <w:rFonts w:eastAsiaTheme="majorEastAsia" w:cstheme="majorBidi"/>
      <w:color w:val="272727" w:themeColor="text1" w:themeTint="D8"/>
    </w:rPr>
  </w:style>
  <w:style w:type="paragraph" w:styleId="Title">
    <w:name w:val="Title"/>
    <w:basedOn w:val="Normal"/>
    <w:next w:val="Normal"/>
    <w:link w:val="TitleChar"/>
    <w:uiPriority w:val="10"/>
    <w:qFormat/>
    <w:rsid w:val="001830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0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0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0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0F2"/>
    <w:pPr>
      <w:spacing w:before="160"/>
      <w:jc w:val="center"/>
    </w:pPr>
    <w:rPr>
      <w:i/>
      <w:iCs/>
      <w:color w:val="404040" w:themeColor="text1" w:themeTint="BF"/>
    </w:rPr>
  </w:style>
  <w:style w:type="character" w:customStyle="1" w:styleId="QuoteChar">
    <w:name w:val="Quote Char"/>
    <w:basedOn w:val="DefaultParagraphFont"/>
    <w:link w:val="Quote"/>
    <w:uiPriority w:val="29"/>
    <w:rsid w:val="001830F2"/>
    <w:rPr>
      <w:i/>
      <w:iCs/>
      <w:color w:val="404040" w:themeColor="text1" w:themeTint="BF"/>
    </w:rPr>
  </w:style>
  <w:style w:type="paragraph" w:styleId="ListParagraph">
    <w:name w:val="List Paragraph"/>
    <w:basedOn w:val="Normal"/>
    <w:uiPriority w:val="34"/>
    <w:qFormat/>
    <w:rsid w:val="001830F2"/>
    <w:pPr>
      <w:ind w:left="720"/>
      <w:contextualSpacing/>
    </w:pPr>
  </w:style>
  <w:style w:type="character" w:styleId="IntenseEmphasis">
    <w:name w:val="Intense Emphasis"/>
    <w:basedOn w:val="DefaultParagraphFont"/>
    <w:uiPriority w:val="21"/>
    <w:qFormat/>
    <w:rsid w:val="001830F2"/>
    <w:rPr>
      <w:i/>
      <w:iCs/>
      <w:color w:val="0F4761" w:themeColor="accent1" w:themeShade="BF"/>
    </w:rPr>
  </w:style>
  <w:style w:type="paragraph" w:styleId="IntenseQuote">
    <w:name w:val="Intense Quote"/>
    <w:basedOn w:val="Normal"/>
    <w:next w:val="Normal"/>
    <w:link w:val="IntenseQuoteChar"/>
    <w:uiPriority w:val="30"/>
    <w:qFormat/>
    <w:rsid w:val="00183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0F2"/>
    <w:rPr>
      <w:i/>
      <w:iCs/>
      <w:color w:val="0F4761" w:themeColor="accent1" w:themeShade="BF"/>
    </w:rPr>
  </w:style>
  <w:style w:type="character" w:styleId="IntenseReference">
    <w:name w:val="Intense Reference"/>
    <w:basedOn w:val="DefaultParagraphFont"/>
    <w:uiPriority w:val="32"/>
    <w:qFormat/>
    <w:rsid w:val="001830F2"/>
    <w:rPr>
      <w:b/>
      <w:bCs/>
      <w:smallCaps/>
      <w:color w:val="0F4761" w:themeColor="accent1" w:themeShade="BF"/>
      <w:spacing w:val="5"/>
    </w:rPr>
  </w:style>
  <w:style w:type="character" w:styleId="Strong">
    <w:name w:val="Strong"/>
    <w:basedOn w:val="DefaultParagraphFont"/>
    <w:uiPriority w:val="22"/>
    <w:qFormat/>
    <w:rsid w:val="00434F16"/>
    <w:rPr>
      <w:b/>
      <w:bCs/>
    </w:rPr>
  </w:style>
  <w:style w:type="paragraph" w:styleId="NormalWeb">
    <w:name w:val="Normal (Web)"/>
    <w:basedOn w:val="Normal"/>
    <w:uiPriority w:val="99"/>
    <w:semiHidden/>
    <w:unhideWhenUsed/>
    <w:rsid w:val="00434F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34F16"/>
  </w:style>
  <w:style w:type="character" w:styleId="Emphasis">
    <w:name w:val="Emphasis"/>
    <w:basedOn w:val="DefaultParagraphFont"/>
    <w:uiPriority w:val="20"/>
    <w:qFormat/>
    <w:rsid w:val="00434F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410996">
      <w:bodyDiv w:val="1"/>
      <w:marLeft w:val="0"/>
      <w:marRight w:val="0"/>
      <w:marTop w:val="0"/>
      <w:marBottom w:val="0"/>
      <w:divBdr>
        <w:top w:val="none" w:sz="0" w:space="0" w:color="auto"/>
        <w:left w:val="none" w:sz="0" w:space="0" w:color="auto"/>
        <w:bottom w:val="none" w:sz="0" w:space="0" w:color="auto"/>
        <w:right w:val="none" w:sz="0" w:space="0" w:color="auto"/>
      </w:divBdr>
    </w:div>
    <w:div w:id="179879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1335</Words>
  <Characters>7614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5</cp:revision>
  <dcterms:created xsi:type="dcterms:W3CDTF">2025-10-31T23:50:00Z</dcterms:created>
  <dcterms:modified xsi:type="dcterms:W3CDTF">2025-11-05T08:55:00Z</dcterms:modified>
</cp:coreProperties>
</file>