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049ECD" w14:textId="77777777" w:rsidR="008F2DFB" w:rsidRPr="008F2DFB" w:rsidRDefault="008F2DFB" w:rsidP="008F2DFB">
      <w:pPr>
        <w:spacing w:line="259" w:lineRule="auto"/>
        <w:rPr>
          <w:rFonts w:eastAsiaTheme="minorHAnsi"/>
          <w:sz w:val="22"/>
          <w:szCs w:val="22"/>
          <w:lang w:eastAsia="en-US"/>
        </w:rPr>
      </w:pPr>
      <w:r w:rsidRPr="008F2DFB">
        <w:rPr>
          <w:rFonts w:eastAsiaTheme="minorHAnsi"/>
          <w:noProof/>
          <w:sz w:val="22"/>
          <w:szCs w:val="22"/>
          <w:lang w:eastAsia="en-US"/>
        </w:rPr>
        <w:drawing>
          <wp:anchor distT="0" distB="0" distL="114300" distR="114300" simplePos="0" relativeHeight="251659264" behindDoc="0" locked="0" layoutInCell="1" allowOverlap="1" wp14:anchorId="34002CBA" wp14:editId="05C098CA">
            <wp:simplePos x="0" y="0"/>
            <wp:positionH relativeFrom="column">
              <wp:posOffset>1111250</wp:posOffset>
            </wp:positionH>
            <wp:positionV relativeFrom="paragraph">
              <wp:posOffset>-88900</wp:posOffset>
            </wp:positionV>
            <wp:extent cx="3209925" cy="1428750"/>
            <wp:effectExtent l="0" t="0" r="9525" b="0"/>
            <wp:wrapNone/>
            <wp:docPr id="638942447" name="Picture 638942447"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Prifysgol Cymru, Y Drindod Dewi Sant, and Trinity Saint David University of Wal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354D0B58" w14:textId="77777777" w:rsidR="008F2DFB" w:rsidRPr="008F2DFB" w:rsidRDefault="008F2DFB" w:rsidP="008F2DFB">
      <w:pPr>
        <w:spacing w:line="259" w:lineRule="auto"/>
        <w:rPr>
          <w:rFonts w:eastAsiaTheme="minorHAnsi"/>
          <w:sz w:val="22"/>
          <w:szCs w:val="22"/>
          <w:lang w:eastAsia="en-US"/>
        </w:rPr>
      </w:pPr>
    </w:p>
    <w:p w14:paraId="67B905F5" w14:textId="77777777" w:rsidR="008F2DFB" w:rsidRPr="008F2DFB" w:rsidRDefault="008F2DFB" w:rsidP="008F2DFB">
      <w:pPr>
        <w:spacing w:line="259" w:lineRule="auto"/>
        <w:rPr>
          <w:rFonts w:eastAsiaTheme="minorHAnsi"/>
          <w:sz w:val="22"/>
          <w:szCs w:val="22"/>
          <w:lang w:eastAsia="en-US"/>
        </w:rPr>
      </w:pPr>
    </w:p>
    <w:p w14:paraId="402683C9" w14:textId="77777777" w:rsidR="008F2DFB" w:rsidRPr="008F2DFB" w:rsidRDefault="008F2DFB" w:rsidP="008F2DFB">
      <w:pPr>
        <w:spacing w:line="259" w:lineRule="auto"/>
        <w:rPr>
          <w:rFonts w:eastAsiaTheme="minorHAnsi"/>
          <w:sz w:val="22"/>
          <w:szCs w:val="22"/>
          <w:lang w:eastAsia="en-US"/>
        </w:rPr>
      </w:pPr>
    </w:p>
    <w:p w14:paraId="209A928F" w14:textId="77777777" w:rsidR="008F2DFB" w:rsidRPr="008F2DFB" w:rsidRDefault="008F2DFB" w:rsidP="008F2DFB">
      <w:pPr>
        <w:spacing w:line="259" w:lineRule="auto"/>
        <w:rPr>
          <w:rFonts w:eastAsiaTheme="minorHAnsi"/>
          <w:sz w:val="22"/>
          <w:szCs w:val="22"/>
          <w:lang w:eastAsia="en-US"/>
        </w:rPr>
      </w:pPr>
    </w:p>
    <w:p w14:paraId="64F537F0" w14:textId="77777777" w:rsidR="008F2DFB" w:rsidRPr="008F2DFB" w:rsidRDefault="008F2DFB" w:rsidP="008F2DFB">
      <w:pPr>
        <w:spacing w:line="259" w:lineRule="auto"/>
        <w:rPr>
          <w:rFonts w:eastAsiaTheme="minorHAnsi"/>
          <w:sz w:val="22"/>
          <w:szCs w:val="22"/>
          <w:lang w:eastAsia="en-US"/>
        </w:rPr>
      </w:pPr>
    </w:p>
    <w:p w14:paraId="2E6FD0AC" w14:textId="77777777" w:rsidR="008F2DFB" w:rsidRPr="008F2DFB" w:rsidRDefault="008F2DFB" w:rsidP="008F2DFB">
      <w:pPr>
        <w:spacing w:line="259" w:lineRule="auto"/>
        <w:jc w:val="center"/>
        <w:rPr>
          <w:rFonts w:eastAsiaTheme="minorHAnsi"/>
          <w:lang w:eastAsia="en-US"/>
        </w:rPr>
      </w:pPr>
    </w:p>
    <w:p w14:paraId="12A53233" w14:textId="77777777" w:rsidR="008F2DFB" w:rsidRPr="008F2DFB" w:rsidRDefault="008F2DFB" w:rsidP="008F2DFB">
      <w:pPr>
        <w:spacing w:line="259" w:lineRule="auto"/>
        <w:jc w:val="center"/>
        <w:rPr>
          <w:rFonts w:eastAsiaTheme="minorHAnsi"/>
          <w:lang w:eastAsia="en-US"/>
        </w:rPr>
      </w:pPr>
    </w:p>
    <w:p w14:paraId="66838E97" w14:textId="77777777"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Programme:</w:t>
      </w:r>
      <w:r w:rsidRPr="008F2DFB">
        <w:rPr>
          <w:rFonts w:ascii="Arial" w:eastAsiaTheme="minorHAnsi" w:hAnsi="Arial" w:cs="Arial"/>
          <w:sz w:val="32"/>
          <w:szCs w:val="32"/>
          <w:lang w:eastAsia="en-US"/>
        </w:rPr>
        <w:t xml:space="preserve"> BSc Health and Social Care</w:t>
      </w:r>
    </w:p>
    <w:p w14:paraId="60021C4F" w14:textId="32405BCD"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 xml:space="preserve">Module: </w:t>
      </w:r>
      <w:r w:rsidR="009910D8">
        <w:rPr>
          <w:rFonts w:ascii="Arial" w:eastAsiaTheme="minorHAnsi" w:hAnsi="Arial" w:cs="Arial"/>
          <w:sz w:val="32"/>
          <w:szCs w:val="32"/>
          <w:lang w:eastAsia="en-US"/>
        </w:rPr>
        <w:t xml:space="preserve">Digital Transformation in </w:t>
      </w:r>
      <w:r w:rsidR="00515206">
        <w:rPr>
          <w:rFonts w:ascii="Arial" w:eastAsiaTheme="minorHAnsi" w:hAnsi="Arial" w:cs="Arial"/>
          <w:sz w:val="32"/>
          <w:szCs w:val="32"/>
          <w:lang w:eastAsia="en-US"/>
        </w:rPr>
        <w:t>the Health and Care</w:t>
      </w:r>
      <w:r w:rsidR="000B4885">
        <w:rPr>
          <w:rFonts w:ascii="Arial" w:eastAsiaTheme="minorHAnsi" w:hAnsi="Arial" w:cs="Arial"/>
          <w:sz w:val="32"/>
          <w:szCs w:val="32"/>
          <w:lang w:eastAsia="en-US"/>
        </w:rPr>
        <w:t xml:space="preserve"> Professions</w:t>
      </w:r>
    </w:p>
    <w:p w14:paraId="4C04DA4A" w14:textId="6E8A1CC9"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Module Code:</w:t>
      </w:r>
      <w:r w:rsidRPr="008F2DFB">
        <w:rPr>
          <w:rFonts w:ascii="Arial" w:eastAsiaTheme="minorHAnsi" w:hAnsi="Arial" w:cs="Arial"/>
          <w:sz w:val="32"/>
          <w:szCs w:val="32"/>
          <w:lang w:eastAsia="en-US"/>
        </w:rPr>
        <w:t xml:space="preserve"> BMHP</w:t>
      </w:r>
      <w:r w:rsidR="00624EB4">
        <w:rPr>
          <w:rFonts w:ascii="Arial" w:eastAsiaTheme="minorHAnsi" w:hAnsi="Arial" w:cs="Arial"/>
          <w:sz w:val="32"/>
          <w:szCs w:val="32"/>
          <w:lang w:eastAsia="en-US"/>
        </w:rPr>
        <w:t>6026</w:t>
      </w:r>
    </w:p>
    <w:p w14:paraId="71372FAF" w14:textId="53C20232"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Lecturer:</w:t>
      </w:r>
      <w:r w:rsidRPr="008F2DFB">
        <w:rPr>
          <w:rFonts w:ascii="Arial" w:eastAsiaTheme="minorHAnsi" w:hAnsi="Arial" w:cs="Arial"/>
          <w:sz w:val="32"/>
          <w:szCs w:val="32"/>
          <w:lang w:eastAsia="en-US"/>
        </w:rPr>
        <w:t xml:space="preserve"> </w:t>
      </w:r>
      <w:r w:rsidR="000177E9">
        <w:rPr>
          <w:rFonts w:ascii="Arial" w:eastAsiaTheme="minorHAnsi" w:hAnsi="Arial" w:cs="Arial"/>
          <w:sz w:val="32"/>
          <w:szCs w:val="32"/>
          <w:lang w:eastAsia="en-US"/>
        </w:rPr>
        <w:t>Matrin Sv</w:t>
      </w:r>
      <w:r w:rsidR="00AF4196">
        <w:rPr>
          <w:rFonts w:ascii="Arial" w:eastAsiaTheme="minorHAnsi" w:hAnsi="Arial" w:cs="Arial"/>
          <w:sz w:val="32"/>
          <w:szCs w:val="32"/>
          <w:lang w:eastAsia="en-US"/>
        </w:rPr>
        <w:t xml:space="preserve">ejda, </w:t>
      </w:r>
      <w:r w:rsidR="00694946">
        <w:rPr>
          <w:rFonts w:ascii="Arial" w:eastAsiaTheme="minorHAnsi" w:hAnsi="Arial" w:cs="Arial"/>
          <w:sz w:val="32"/>
          <w:szCs w:val="32"/>
          <w:lang w:eastAsia="en-US"/>
        </w:rPr>
        <w:t xml:space="preserve">Tony Adattu </w:t>
      </w:r>
      <w:r w:rsidR="00F020DA">
        <w:rPr>
          <w:rFonts w:ascii="Arial" w:eastAsiaTheme="minorHAnsi" w:hAnsi="Arial" w:cs="Arial"/>
          <w:sz w:val="32"/>
          <w:szCs w:val="32"/>
          <w:lang w:eastAsia="en-US"/>
        </w:rPr>
        <w:t>Chacko</w:t>
      </w:r>
      <w:r w:rsidR="00111560">
        <w:rPr>
          <w:rFonts w:ascii="Arial" w:eastAsiaTheme="minorHAnsi" w:hAnsi="Arial" w:cs="Arial"/>
          <w:sz w:val="32"/>
          <w:szCs w:val="32"/>
          <w:lang w:eastAsia="en-US"/>
        </w:rPr>
        <w:t xml:space="preserve"> and </w:t>
      </w:r>
      <w:r w:rsidR="0096482E">
        <w:rPr>
          <w:rFonts w:ascii="Arial" w:eastAsiaTheme="minorHAnsi" w:hAnsi="Arial" w:cs="Arial"/>
          <w:sz w:val="32"/>
          <w:szCs w:val="32"/>
          <w:lang w:eastAsia="en-US"/>
        </w:rPr>
        <w:t>Zakiyyah Ahmed</w:t>
      </w:r>
    </w:p>
    <w:p w14:paraId="6D2D2E81" w14:textId="422F53BC"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Assignment Title:</w:t>
      </w:r>
      <w:r w:rsidRPr="008F2DFB">
        <w:rPr>
          <w:rFonts w:ascii="Arial" w:eastAsiaTheme="minorHAnsi" w:hAnsi="Arial" w:cs="Arial"/>
          <w:sz w:val="32"/>
          <w:szCs w:val="32"/>
          <w:lang w:eastAsia="en-US"/>
        </w:rPr>
        <w:t xml:space="preserve"> </w:t>
      </w:r>
      <w:bookmarkStart w:id="0" w:name="_Int_QDMBMhwE"/>
      <w:r w:rsidRPr="008F2DFB">
        <w:rPr>
          <w:rFonts w:ascii="Arial" w:eastAsiaTheme="minorHAnsi" w:hAnsi="Arial" w:cs="Arial"/>
          <w:sz w:val="32"/>
          <w:szCs w:val="32"/>
          <w:lang w:eastAsia="en-US"/>
        </w:rPr>
        <w:t>Component</w:t>
      </w:r>
      <w:bookmarkEnd w:id="0"/>
      <w:r w:rsidRPr="008F2DFB">
        <w:rPr>
          <w:rFonts w:ascii="Arial" w:eastAsiaTheme="minorHAnsi" w:hAnsi="Arial" w:cs="Arial"/>
          <w:sz w:val="32"/>
          <w:szCs w:val="32"/>
          <w:lang w:eastAsia="en-US"/>
        </w:rPr>
        <w:t xml:space="preserve"> </w:t>
      </w:r>
      <w:r w:rsidR="007423BC">
        <w:rPr>
          <w:rFonts w:ascii="Arial" w:eastAsiaTheme="minorHAnsi" w:hAnsi="Arial" w:cs="Arial"/>
          <w:sz w:val="32"/>
          <w:szCs w:val="32"/>
          <w:lang w:eastAsia="en-US"/>
        </w:rPr>
        <w:t>1</w:t>
      </w:r>
      <w:r w:rsidRPr="008F2DFB">
        <w:rPr>
          <w:rFonts w:ascii="Arial" w:eastAsiaTheme="minorHAnsi" w:hAnsi="Arial" w:cs="Arial"/>
          <w:sz w:val="32"/>
          <w:szCs w:val="32"/>
          <w:lang w:eastAsia="en-US"/>
        </w:rPr>
        <w:t xml:space="preserve">: Written </w:t>
      </w:r>
      <w:r w:rsidR="007423BC">
        <w:rPr>
          <w:rFonts w:ascii="Arial" w:eastAsiaTheme="minorHAnsi" w:hAnsi="Arial" w:cs="Arial"/>
          <w:sz w:val="32"/>
          <w:szCs w:val="32"/>
          <w:lang w:eastAsia="en-US"/>
        </w:rPr>
        <w:t>Report</w:t>
      </w:r>
      <w:r w:rsidRPr="008F2DFB">
        <w:rPr>
          <w:rFonts w:ascii="Arial" w:eastAsiaTheme="minorHAnsi" w:hAnsi="Arial" w:cs="Arial"/>
          <w:sz w:val="32"/>
          <w:szCs w:val="32"/>
          <w:lang w:eastAsia="en-US"/>
        </w:rPr>
        <w:t xml:space="preserve"> </w:t>
      </w:r>
    </w:p>
    <w:p w14:paraId="795DF449" w14:textId="1D899B68"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Submission Deadline:</w:t>
      </w:r>
      <w:r w:rsidRPr="008F2DFB">
        <w:rPr>
          <w:rFonts w:ascii="Arial" w:eastAsiaTheme="minorHAnsi" w:hAnsi="Arial" w:cs="Arial"/>
          <w:sz w:val="32"/>
          <w:szCs w:val="32"/>
          <w:lang w:eastAsia="en-US"/>
        </w:rPr>
        <w:t xml:space="preserve"> Monday </w:t>
      </w:r>
      <w:r w:rsidR="00DE69D2">
        <w:rPr>
          <w:rFonts w:ascii="Arial" w:eastAsiaTheme="minorHAnsi" w:hAnsi="Arial" w:cs="Arial"/>
          <w:sz w:val="32"/>
          <w:szCs w:val="32"/>
          <w:lang w:eastAsia="en-US"/>
        </w:rPr>
        <w:t>19</w:t>
      </w:r>
      <w:r w:rsidR="00DE69D2" w:rsidRPr="00DE69D2">
        <w:rPr>
          <w:rFonts w:ascii="Arial" w:eastAsiaTheme="minorHAnsi" w:hAnsi="Arial" w:cs="Arial"/>
          <w:sz w:val="32"/>
          <w:szCs w:val="32"/>
          <w:vertAlign w:val="superscript"/>
          <w:lang w:eastAsia="en-US"/>
        </w:rPr>
        <w:t>th</w:t>
      </w:r>
      <w:r w:rsidR="00DE69D2">
        <w:rPr>
          <w:rFonts w:ascii="Arial" w:eastAsiaTheme="minorHAnsi" w:hAnsi="Arial" w:cs="Arial"/>
          <w:sz w:val="32"/>
          <w:szCs w:val="32"/>
          <w:lang w:eastAsia="en-US"/>
        </w:rPr>
        <w:t xml:space="preserve"> October</w:t>
      </w:r>
      <w:r w:rsidRPr="008F2DFB">
        <w:rPr>
          <w:rFonts w:ascii="Arial" w:eastAsiaTheme="minorHAnsi" w:hAnsi="Arial" w:cs="Arial"/>
          <w:sz w:val="32"/>
          <w:szCs w:val="32"/>
          <w:lang w:eastAsia="en-US"/>
        </w:rPr>
        <w:t xml:space="preserve"> 2026 1</w:t>
      </w:r>
      <w:r w:rsidR="006A7D16">
        <w:rPr>
          <w:rFonts w:ascii="Arial" w:eastAsiaTheme="minorHAnsi" w:hAnsi="Arial" w:cs="Arial"/>
          <w:sz w:val="32"/>
          <w:szCs w:val="32"/>
          <w:lang w:eastAsia="en-US"/>
        </w:rPr>
        <w:t>7</w:t>
      </w:r>
      <w:r w:rsidRPr="008F2DFB">
        <w:rPr>
          <w:rFonts w:ascii="Arial" w:eastAsiaTheme="minorHAnsi" w:hAnsi="Arial" w:cs="Arial"/>
          <w:sz w:val="32"/>
          <w:szCs w:val="32"/>
          <w:lang w:eastAsia="en-US"/>
        </w:rPr>
        <w:t>:00 (</w:t>
      </w:r>
      <w:r w:rsidR="006A7D16">
        <w:rPr>
          <w:rFonts w:ascii="Arial" w:eastAsiaTheme="minorHAnsi" w:hAnsi="Arial" w:cs="Arial"/>
          <w:sz w:val="32"/>
          <w:szCs w:val="32"/>
          <w:lang w:eastAsia="en-US"/>
        </w:rPr>
        <w:t>5PM</w:t>
      </w:r>
      <w:r w:rsidRPr="008F2DFB">
        <w:rPr>
          <w:rFonts w:ascii="Arial" w:eastAsiaTheme="minorHAnsi" w:hAnsi="Arial" w:cs="Arial"/>
          <w:sz w:val="32"/>
          <w:szCs w:val="32"/>
          <w:lang w:eastAsia="en-US"/>
        </w:rPr>
        <w:t>) – (Week</w:t>
      </w:r>
      <w:r w:rsidR="008D16DD">
        <w:rPr>
          <w:rFonts w:ascii="Arial" w:eastAsiaTheme="minorHAnsi" w:hAnsi="Arial" w:cs="Arial"/>
          <w:sz w:val="32"/>
          <w:szCs w:val="32"/>
          <w:lang w:eastAsia="en-US"/>
        </w:rPr>
        <w:t xml:space="preserve"> 7</w:t>
      </w:r>
      <w:r w:rsidRPr="008F2DFB">
        <w:rPr>
          <w:rFonts w:ascii="Arial" w:eastAsiaTheme="minorHAnsi" w:hAnsi="Arial" w:cs="Arial"/>
          <w:sz w:val="32"/>
          <w:szCs w:val="32"/>
          <w:lang w:eastAsia="en-US"/>
        </w:rPr>
        <w:t>)</w:t>
      </w:r>
    </w:p>
    <w:p w14:paraId="2471843D" w14:textId="77777777"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Name:</w:t>
      </w:r>
      <w:r w:rsidRPr="008F2DFB">
        <w:rPr>
          <w:rFonts w:ascii="Arial" w:eastAsiaTheme="minorHAnsi" w:hAnsi="Arial" w:cs="Arial"/>
          <w:sz w:val="32"/>
          <w:szCs w:val="32"/>
          <w:lang w:eastAsia="en-US"/>
        </w:rPr>
        <w:t xml:space="preserve"> Princila Manu</w:t>
      </w:r>
    </w:p>
    <w:p w14:paraId="31EAEB68" w14:textId="557C58A5" w:rsid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Word Count:</w:t>
      </w:r>
      <w:r w:rsidRPr="008F2DFB">
        <w:rPr>
          <w:rFonts w:ascii="Arial" w:eastAsiaTheme="minorHAnsi" w:hAnsi="Arial" w:cs="Arial"/>
          <w:sz w:val="32"/>
          <w:szCs w:val="32"/>
          <w:lang w:eastAsia="en-US"/>
        </w:rPr>
        <w:t xml:space="preserve"> </w:t>
      </w:r>
      <w:r w:rsidR="00CF5D31">
        <w:rPr>
          <w:rFonts w:ascii="Arial" w:eastAsiaTheme="minorHAnsi" w:hAnsi="Arial" w:cs="Arial"/>
          <w:sz w:val="32"/>
          <w:szCs w:val="32"/>
          <w:lang w:eastAsia="en-US"/>
        </w:rPr>
        <w:t>211</w:t>
      </w:r>
      <w:r w:rsidR="00D83445">
        <w:rPr>
          <w:rFonts w:ascii="Arial" w:eastAsiaTheme="minorHAnsi" w:hAnsi="Arial" w:cs="Arial"/>
          <w:sz w:val="32"/>
          <w:szCs w:val="32"/>
          <w:lang w:eastAsia="en-US"/>
        </w:rPr>
        <w:t>6</w:t>
      </w:r>
    </w:p>
    <w:p w14:paraId="5EE3138E" w14:textId="77777777" w:rsidR="001311CB" w:rsidRDefault="001311CB" w:rsidP="008F2DFB">
      <w:pPr>
        <w:spacing w:line="259" w:lineRule="auto"/>
        <w:jc w:val="center"/>
        <w:rPr>
          <w:rFonts w:ascii="Arial" w:eastAsiaTheme="minorHAnsi" w:hAnsi="Arial" w:cs="Arial"/>
          <w:sz w:val="32"/>
          <w:szCs w:val="32"/>
          <w:lang w:eastAsia="en-US"/>
        </w:rPr>
      </w:pPr>
    </w:p>
    <w:p w14:paraId="5BCDD758" w14:textId="77777777" w:rsidR="001311CB" w:rsidRDefault="001311CB" w:rsidP="008F2DFB">
      <w:pPr>
        <w:spacing w:line="259" w:lineRule="auto"/>
        <w:jc w:val="center"/>
        <w:rPr>
          <w:rFonts w:ascii="Arial" w:eastAsiaTheme="minorHAnsi" w:hAnsi="Arial" w:cs="Arial"/>
          <w:sz w:val="32"/>
          <w:szCs w:val="32"/>
          <w:lang w:eastAsia="en-US"/>
        </w:rPr>
      </w:pPr>
    </w:p>
    <w:p w14:paraId="46F9833E" w14:textId="77777777" w:rsidR="001311CB" w:rsidRDefault="001311CB" w:rsidP="008F2DFB">
      <w:pPr>
        <w:spacing w:line="259" w:lineRule="auto"/>
        <w:jc w:val="center"/>
        <w:rPr>
          <w:rFonts w:ascii="Arial" w:eastAsiaTheme="minorHAnsi" w:hAnsi="Arial" w:cs="Arial"/>
          <w:sz w:val="32"/>
          <w:szCs w:val="32"/>
          <w:lang w:eastAsia="en-US"/>
        </w:rPr>
      </w:pPr>
    </w:p>
    <w:p w14:paraId="661A3E9B" w14:textId="77777777" w:rsidR="001311CB" w:rsidRDefault="001311CB" w:rsidP="008F2DFB">
      <w:pPr>
        <w:spacing w:line="259" w:lineRule="auto"/>
        <w:jc w:val="center"/>
        <w:rPr>
          <w:rFonts w:ascii="Arial" w:eastAsiaTheme="minorHAnsi" w:hAnsi="Arial" w:cs="Arial"/>
          <w:sz w:val="32"/>
          <w:szCs w:val="32"/>
          <w:lang w:eastAsia="en-US"/>
        </w:rPr>
      </w:pPr>
    </w:p>
    <w:p w14:paraId="2429748F" w14:textId="77777777" w:rsidR="001311CB" w:rsidRDefault="001311CB" w:rsidP="008F2DFB">
      <w:pPr>
        <w:spacing w:line="259" w:lineRule="auto"/>
        <w:jc w:val="center"/>
        <w:rPr>
          <w:rFonts w:ascii="Arial" w:eastAsiaTheme="minorHAnsi" w:hAnsi="Arial" w:cs="Arial"/>
          <w:sz w:val="32"/>
          <w:szCs w:val="32"/>
          <w:lang w:eastAsia="en-US"/>
        </w:rPr>
      </w:pPr>
    </w:p>
    <w:p w14:paraId="12F53422" w14:textId="77777777" w:rsidR="001311CB" w:rsidRDefault="001311CB" w:rsidP="008F2DFB">
      <w:pPr>
        <w:spacing w:line="259" w:lineRule="auto"/>
        <w:jc w:val="center"/>
        <w:rPr>
          <w:rFonts w:ascii="Arial" w:eastAsiaTheme="minorHAnsi" w:hAnsi="Arial" w:cs="Arial"/>
          <w:sz w:val="32"/>
          <w:szCs w:val="32"/>
          <w:lang w:eastAsia="en-US"/>
        </w:rPr>
      </w:pPr>
    </w:p>
    <w:p w14:paraId="4DD9C538" w14:textId="77777777" w:rsidR="001311CB" w:rsidRDefault="001311CB" w:rsidP="008F2DFB">
      <w:pPr>
        <w:spacing w:line="259" w:lineRule="auto"/>
        <w:jc w:val="center"/>
        <w:rPr>
          <w:rFonts w:ascii="Arial" w:eastAsiaTheme="minorHAnsi" w:hAnsi="Arial" w:cs="Arial"/>
          <w:sz w:val="32"/>
          <w:szCs w:val="32"/>
          <w:lang w:eastAsia="en-US"/>
        </w:rPr>
      </w:pPr>
    </w:p>
    <w:p w14:paraId="284F2472" w14:textId="77777777" w:rsidR="00B40CAD" w:rsidRDefault="00B40CAD" w:rsidP="0019713B">
      <w:pPr>
        <w:suppressAutoHyphens/>
        <w:spacing w:after="0" w:line="360" w:lineRule="auto"/>
        <w:rPr>
          <w:rFonts w:eastAsiaTheme="minorHAnsi"/>
          <w:sz w:val="22"/>
          <w:szCs w:val="22"/>
          <w:lang w:eastAsia="en-US"/>
        </w:rPr>
      </w:pPr>
    </w:p>
    <w:p w14:paraId="0AC7F2FF" w14:textId="77777777" w:rsidR="0009185E" w:rsidRPr="004C10BE" w:rsidRDefault="0009185E" w:rsidP="0019713B">
      <w:pPr>
        <w:keepNext/>
        <w:pageBreakBefore/>
        <w:suppressLineNumbers/>
        <w:suppressAutoHyphens/>
        <w:spacing w:before="240" w:after="120" w:line="360" w:lineRule="auto"/>
        <w:jc w:val="center"/>
        <w:rPr>
          <w:rFonts w:ascii="Arial" w:eastAsia="Droid Sans" w:hAnsi="Arial" w:cs="Arial"/>
          <w:b/>
          <w:bCs/>
          <w:kern w:val="0"/>
          <w:sz w:val="22"/>
          <w:szCs w:val="22"/>
          <w:lang w:eastAsia="ar-SA"/>
          <w14:ligatures w14:val="none"/>
        </w:rPr>
      </w:pPr>
      <w:r w:rsidRPr="004C10BE">
        <w:rPr>
          <w:rFonts w:ascii="Arial" w:eastAsia="Droid Sans" w:hAnsi="Arial" w:cs="Arial"/>
          <w:b/>
          <w:bCs/>
          <w:kern w:val="0"/>
          <w:sz w:val="22"/>
          <w:szCs w:val="22"/>
          <w:lang w:eastAsia="ar-SA"/>
          <w14:ligatures w14:val="none"/>
        </w:rPr>
        <w:lastRenderedPageBreak/>
        <w:t>Table of Contents</w:t>
      </w:r>
    </w:p>
    <w:p w14:paraId="33C1E74C"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kern w:val="0"/>
          <w:sz w:val="22"/>
          <w:szCs w:val="22"/>
          <w:lang w:eastAsia="ar-SA"/>
          <w14:ligatures w14:val="none"/>
        </w:rPr>
        <w:fldChar w:fldCharType="begin"/>
      </w:r>
      <w:r w:rsidRPr="004C10BE">
        <w:rPr>
          <w:rFonts w:ascii="Arial" w:eastAsia="Calibri" w:hAnsi="Arial" w:cs="Arial"/>
          <w:kern w:val="0"/>
          <w:sz w:val="22"/>
          <w:szCs w:val="22"/>
          <w:lang w:eastAsia="ar-SA"/>
          <w14:ligatures w14:val="none"/>
        </w:rPr>
        <w:instrText xml:space="preserve"> TOC \f \o "1-9" \o "1-9" </w:instrText>
      </w:r>
      <w:r w:rsidRPr="004C10BE">
        <w:rPr>
          <w:rFonts w:ascii="Arial" w:eastAsia="Calibri" w:hAnsi="Arial" w:cs="Arial"/>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1. Introduction</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_Toc242540569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3</w:t>
      </w:r>
      <w:r w:rsidRPr="004C10BE">
        <w:rPr>
          <w:rFonts w:ascii="Arial" w:eastAsia="Calibri" w:hAnsi="Arial" w:cs="Arial"/>
          <w:noProof/>
          <w:color w:val="000000"/>
          <w:kern w:val="0"/>
          <w:sz w:val="22"/>
          <w:szCs w:val="22"/>
          <w:lang w:eastAsia="ar-SA"/>
          <w14:ligatures w14:val="none"/>
        </w:rPr>
        <w:fldChar w:fldCharType="end"/>
      </w:r>
    </w:p>
    <w:p w14:paraId="30D30D1A"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2. Implementation, policy and clinical governance</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_Toc242540570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3</w:t>
      </w:r>
      <w:r w:rsidRPr="004C10BE">
        <w:rPr>
          <w:rFonts w:ascii="Arial" w:eastAsia="Calibri" w:hAnsi="Arial" w:cs="Arial"/>
          <w:noProof/>
          <w:color w:val="000000"/>
          <w:kern w:val="0"/>
          <w:sz w:val="22"/>
          <w:szCs w:val="22"/>
          <w:lang w:eastAsia="ar-SA"/>
          <w14:ligatures w14:val="none"/>
        </w:rPr>
        <w:fldChar w:fldCharType="end"/>
      </w:r>
    </w:p>
    <w:p w14:paraId="2BAA64A8"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3. Workforce implications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_Toc242540571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4</w:t>
      </w:r>
      <w:r w:rsidRPr="004C10BE">
        <w:rPr>
          <w:rFonts w:ascii="Arial" w:eastAsia="Calibri" w:hAnsi="Arial" w:cs="Arial"/>
          <w:noProof/>
          <w:color w:val="000000"/>
          <w:kern w:val="0"/>
          <w:sz w:val="22"/>
          <w:szCs w:val="22"/>
          <w:lang w:eastAsia="ar-SA"/>
          <w14:ligatures w14:val="none"/>
        </w:rPr>
        <w:fldChar w:fldCharType="end"/>
      </w:r>
    </w:p>
    <w:p w14:paraId="42E43C13"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4. Service delivery and organisational effectiveness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_Toc242540572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5</w:t>
      </w:r>
      <w:r w:rsidRPr="004C10BE">
        <w:rPr>
          <w:rFonts w:ascii="Arial" w:eastAsia="Calibri" w:hAnsi="Arial" w:cs="Arial"/>
          <w:noProof/>
          <w:color w:val="000000"/>
          <w:kern w:val="0"/>
          <w:sz w:val="22"/>
          <w:szCs w:val="22"/>
          <w:lang w:eastAsia="ar-SA"/>
          <w14:ligatures w14:val="none"/>
        </w:rPr>
        <w:fldChar w:fldCharType="end"/>
      </w:r>
    </w:p>
    <w:p w14:paraId="48E183D6"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5. Patients, experience and safety</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_Toc242540573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6</w:t>
      </w:r>
      <w:r w:rsidRPr="004C10BE">
        <w:rPr>
          <w:rFonts w:ascii="Arial" w:eastAsia="Calibri" w:hAnsi="Arial" w:cs="Arial"/>
          <w:noProof/>
          <w:color w:val="000000"/>
          <w:kern w:val="0"/>
          <w:sz w:val="22"/>
          <w:szCs w:val="22"/>
          <w:lang w:eastAsia="ar-SA"/>
          <w14:ligatures w14:val="none"/>
        </w:rPr>
        <w:fldChar w:fldCharType="end"/>
      </w:r>
    </w:p>
    <w:p w14:paraId="0E8B87E8"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6. Communities, inclusion and population health</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_Toc242540574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7</w:t>
      </w:r>
      <w:r w:rsidRPr="004C10BE">
        <w:rPr>
          <w:rFonts w:ascii="Arial" w:eastAsia="Calibri" w:hAnsi="Arial" w:cs="Arial"/>
          <w:noProof/>
          <w:color w:val="000000"/>
          <w:kern w:val="0"/>
          <w:sz w:val="22"/>
          <w:szCs w:val="22"/>
          <w:lang w:eastAsia="ar-SA"/>
          <w14:ligatures w14:val="none"/>
        </w:rPr>
        <w:fldChar w:fldCharType="end"/>
      </w:r>
    </w:p>
    <w:p w14:paraId="19E9769F"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7. Conclusion and recommendations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_Toc242540575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8</w:t>
      </w:r>
      <w:r w:rsidRPr="004C10BE">
        <w:rPr>
          <w:rFonts w:ascii="Arial" w:eastAsia="Calibri" w:hAnsi="Arial" w:cs="Arial"/>
          <w:noProof/>
          <w:color w:val="000000"/>
          <w:kern w:val="0"/>
          <w:sz w:val="22"/>
          <w:szCs w:val="22"/>
          <w:lang w:eastAsia="ar-SA"/>
          <w14:ligatures w14:val="none"/>
        </w:rPr>
        <w:fldChar w:fldCharType="end"/>
      </w:r>
    </w:p>
    <w:p w14:paraId="2C78731A"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References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_Toc242540576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9</w:t>
      </w:r>
      <w:r w:rsidRPr="004C10BE">
        <w:rPr>
          <w:rFonts w:ascii="Arial" w:eastAsia="Calibri" w:hAnsi="Arial" w:cs="Arial"/>
          <w:noProof/>
          <w:color w:val="000000"/>
          <w:kern w:val="0"/>
          <w:sz w:val="22"/>
          <w:szCs w:val="22"/>
          <w:lang w:eastAsia="ar-SA"/>
          <w14:ligatures w14:val="none"/>
        </w:rPr>
        <w:fldChar w:fldCharType="end"/>
      </w:r>
    </w:p>
    <w:p w14:paraId="23E46EE9" w14:textId="77777777" w:rsidR="0009185E" w:rsidRPr="004C10BE" w:rsidRDefault="0009185E" w:rsidP="0019713B">
      <w:pPr>
        <w:suppressLineNumbers/>
        <w:tabs>
          <w:tab w:val="right" w:leader="dot" w:pos="9360"/>
        </w:tabs>
        <w:suppressAutoHyphens/>
        <w:spacing w:after="0" w:line="360" w:lineRule="auto"/>
        <w:jc w:val="both"/>
        <w:rPr>
          <w:rFonts w:ascii="Arial" w:eastAsia="Calibri" w:hAnsi="Arial" w:cs="Arial"/>
          <w:kern w:val="0"/>
          <w:sz w:val="22"/>
          <w:szCs w:val="22"/>
          <w:lang w:eastAsia="ar-SA"/>
          <w14:ligatures w14:val="none"/>
        </w:rPr>
      </w:pPr>
      <w:r w:rsidRPr="004C10BE">
        <w:rPr>
          <w:rFonts w:ascii="Arial" w:eastAsia="Calibri" w:hAnsi="Arial" w:cs="Arial"/>
          <w:kern w:val="0"/>
          <w:sz w:val="22"/>
          <w:szCs w:val="22"/>
          <w:lang w:eastAsia="ar-SA"/>
          <w14:ligatures w14:val="none"/>
        </w:rPr>
        <w:fldChar w:fldCharType="end"/>
      </w:r>
    </w:p>
    <w:p w14:paraId="0D7F988B" w14:textId="77777777" w:rsidR="0009185E" w:rsidRPr="004C10BE" w:rsidRDefault="0009185E" w:rsidP="0019713B">
      <w:pPr>
        <w:suppressAutoHyphens/>
        <w:spacing w:after="0" w:line="360" w:lineRule="auto"/>
        <w:jc w:val="both"/>
        <w:rPr>
          <w:rFonts w:ascii="Arial" w:eastAsia="Calibri" w:hAnsi="Arial" w:cs="Arial"/>
          <w:kern w:val="0"/>
          <w:sz w:val="22"/>
          <w:szCs w:val="22"/>
          <w:lang w:eastAsia="ar-SA"/>
          <w14:ligatures w14:val="none"/>
        </w:rPr>
      </w:pPr>
    </w:p>
    <w:p w14:paraId="730BD34D" w14:textId="77777777" w:rsidR="0009185E" w:rsidRPr="004C10BE" w:rsidRDefault="0009185E" w:rsidP="0019713B">
      <w:pPr>
        <w:suppressAutoHyphens/>
        <w:spacing w:after="0" w:line="360" w:lineRule="auto"/>
        <w:jc w:val="both"/>
        <w:rPr>
          <w:rFonts w:ascii="Arial" w:eastAsia="Calibri" w:hAnsi="Arial" w:cs="Arial"/>
          <w:kern w:val="0"/>
          <w:sz w:val="22"/>
          <w:szCs w:val="22"/>
          <w:lang w:eastAsia="ar-SA"/>
          <w14:ligatures w14:val="none"/>
        </w:rPr>
      </w:pPr>
    </w:p>
    <w:p w14:paraId="27B623C4" w14:textId="77777777" w:rsidR="0009185E" w:rsidRPr="004C10BE" w:rsidRDefault="0009185E" w:rsidP="0019713B">
      <w:pPr>
        <w:suppressAutoHyphens/>
        <w:spacing w:after="0" w:line="360" w:lineRule="auto"/>
        <w:jc w:val="both"/>
        <w:rPr>
          <w:rFonts w:ascii="Arial" w:eastAsia="Calibri" w:hAnsi="Arial" w:cs="Arial"/>
          <w:kern w:val="0"/>
          <w:sz w:val="22"/>
          <w:szCs w:val="22"/>
          <w:lang w:eastAsia="ar-SA"/>
          <w14:ligatures w14:val="none"/>
        </w:rPr>
      </w:pPr>
    </w:p>
    <w:p w14:paraId="1186D42C"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r w:rsidRPr="004C10BE">
        <w:rPr>
          <w:rFonts w:ascii="Arial" w:eastAsia="Times New Roman" w:hAnsi="Arial" w:cs="Arial"/>
          <w:b/>
          <w:bCs/>
          <w:color w:val="000000"/>
          <w:kern w:val="0"/>
          <w:sz w:val="22"/>
          <w:szCs w:val="22"/>
          <w:lang w:eastAsia="ar-SA"/>
          <w14:ligatures w14:val="none"/>
        </w:rPr>
        <w:br w:type="page"/>
      </w:r>
      <w:bookmarkStart w:id="1" w:name="_Toc242540569"/>
      <w:r w:rsidRPr="004C10BE">
        <w:rPr>
          <w:rFonts w:ascii="Arial" w:eastAsia="Times New Roman" w:hAnsi="Arial" w:cs="Arial"/>
          <w:b/>
          <w:bCs/>
          <w:color w:val="000000"/>
          <w:kern w:val="0"/>
          <w:sz w:val="22"/>
          <w:szCs w:val="22"/>
          <w:lang w:eastAsia="ar-SA"/>
          <w14:ligatures w14:val="none"/>
        </w:rPr>
        <w:lastRenderedPageBreak/>
        <w:t>1. Introduction</w:t>
      </w:r>
      <w:bookmarkEnd w:id="1"/>
    </w:p>
    <w:p w14:paraId="7C8657C6" w14:textId="42348599"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The use of digital technologies in health care involves more than converting paper-based information into digital records. It transforms the duties of individuals and organisations, as well as the way that access is distributed. In January 2019, NHS App in England became accessible nationwide, making patients accessible towards managing prescriptions, appointments and certain clinical records. However, simply having the capabilities of such services does not mean that better care would result. The reason is that download, registration and actual use of a service are different behaviours. According to the figures provided by KC et al. (2023), in May 2021, there were 8,524,882 downloads and 4,449,869 registrations. The number was further increased temporarily due to the introduction of COVID-pass capability. In this, the NHS App is evaluated critically from four dimensions- workforce, service delivery, patient experience and communities.</w:t>
      </w:r>
    </w:p>
    <w:p w14:paraId="48E2452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B84F876"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2" w:name="_Toc242540570"/>
      <w:r w:rsidRPr="004C10BE">
        <w:rPr>
          <w:rFonts w:ascii="Arial" w:eastAsia="Times New Roman" w:hAnsi="Arial" w:cs="Arial"/>
          <w:b/>
          <w:bCs/>
          <w:color w:val="000000"/>
          <w:kern w:val="0"/>
          <w:sz w:val="22"/>
          <w:szCs w:val="22"/>
          <w:lang w:eastAsia="ar-SA"/>
          <w14:ligatures w14:val="none"/>
        </w:rPr>
        <w:t>2. Implementation, policy and clinical governance</w:t>
      </w:r>
      <w:bookmarkEnd w:id="2"/>
    </w:p>
    <w:p w14:paraId="273C9F49" w14:textId="73F61173"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NHS App primarily acts as an access portal linked to existing NHS and GP infrastructures rather than an alternative to the said infrastructures</w:t>
      </w:r>
      <w:r w:rsidRPr="004C10BE">
        <w:rPr>
          <w:rFonts w:ascii="Times New Roman" w:eastAsia="Calibri" w:hAnsi="Times New Roman" w:cs="Times New Roman"/>
          <w:color w:val="000000"/>
          <w:kern w:val="0"/>
          <w:szCs w:val="22"/>
          <w:lang w:eastAsia="ar-SA"/>
          <w14:ligatures w14:val="none"/>
        </w:rPr>
        <w:t xml:space="preserve"> </w:t>
      </w:r>
      <w:r w:rsidRPr="004C10BE">
        <w:rPr>
          <w:rFonts w:ascii="Arial" w:eastAsia="Calibri" w:hAnsi="Arial" w:cs="Arial"/>
          <w:color w:val="000000"/>
          <w:kern w:val="0"/>
          <w:sz w:val="22"/>
          <w:szCs w:val="22"/>
          <w:lang w:eastAsia="ar-SA"/>
          <w14:ligatures w14:val="none"/>
        </w:rPr>
        <w:t xml:space="preserve">(NHS, 2021). In one qualitative study conducted on 88 participants, 62 interviews, four focus groups and observations carried out at five practices, it </w:t>
      </w:r>
      <w:bookmarkStart w:id="3" w:name="_Int_6s7y18GE"/>
      <w:r w:rsidRPr="004C10BE">
        <w:rPr>
          <w:rFonts w:ascii="Arial" w:eastAsia="Calibri" w:hAnsi="Arial" w:cs="Arial"/>
          <w:color w:val="000000"/>
          <w:kern w:val="0"/>
          <w:sz w:val="22"/>
          <w:szCs w:val="22"/>
          <w:lang w:eastAsia="ar-SA"/>
          <w14:ligatures w14:val="none"/>
        </w:rPr>
        <w:t>was discovered</w:t>
      </w:r>
      <w:bookmarkEnd w:id="3"/>
      <w:r w:rsidRPr="004C10BE">
        <w:rPr>
          <w:rFonts w:ascii="Arial" w:eastAsia="Calibri" w:hAnsi="Arial" w:cs="Arial"/>
          <w:color w:val="000000"/>
          <w:kern w:val="0"/>
          <w:sz w:val="22"/>
          <w:szCs w:val="22"/>
          <w:lang w:eastAsia="ar-SA"/>
          <w14:ligatures w14:val="none"/>
        </w:rPr>
        <w:t xml:space="preserve"> that there was uneven availability, often technical representation and influence of local capacity for implementation. Using NASSS framework, a complex interplay between organisational readiness, functions, roles and patient expectations was identified (Reidy et al., 2025). This undermines a purely technological explanation of successful implementation although qualitative sampling does not support numerical generalisation. The digital health and care plan for the nation provides a strategic justification for accessible services and interoperable infrastructure but the gap needs to </w:t>
      </w:r>
      <w:bookmarkStart w:id="4" w:name="_Int_2ZOYlngx"/>
      <w:r w:rsidRPr="004C10BE">
        <w:rPr>
          <w:rFonts w:ascii="Arial" w:eastAsia="Calibri" w:hAnsi="Arial" w:cs="Arial"/>
          <w:color w:val="000000"/>
          <w:kern w:val="0"/>
          <w:sz w:val="22"/>
          <w:szCs w:val="22"/>
          <w:lang w:eastAsia="ar-SA"/>
          <w14:ligatures w14:val="none"/>
        </w:rPr>
        <w:t>be highlighted</w:t>
      </w:r>
      <w:bookmarkEnd w:id="4"/>
      <w:r w:rsidRPr="004C10BE">
        <w:rPr>
          <w:rFonts w:ascii="Arial" w:eastAsia="Calibri" w:hAnsi="Arial" w:cs="Arial"/>
          <w:color w:val="000000"/>
          <w:kern w:val="0"/>
          <w:sz w:val="22"/>
          <w:szCs w:val="22"/>
          <w:lang w:eastAsia="ar-SA"/>
          <w14:ligatures w14:val="none"/>
        </w:rPr>
        <w:t xml:space="preserve"> between policy ambition and realisation (Department of Health and Social Care, 2022). </w:t>
      </w:r>
    </w:p>
    <w:p w14:paraId="5BB773E2"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7E58011"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Moreover, the principle of good governance from the teaching material in Week 3 also involves lawfulness, fairness, transparency, and proportionality of dealing with patients’ records. Practically, access to records should </w:t>
      </w:r>
      <w:bookmarkStart w:id="5" w:name="_Int_Zi4jD8bj"/>
      <w:r w:rsidRPr="004C10BE">
        <w:rPr>
          <w:rFonts w:ascii="Arial" w:eastAsia="Calibri" w:hAnsi="Arial" w:cs="Arial"/>
          <w:color w:val="000000"/>
          <w:kern w:val="0"/>
          <w:sz w:val="22"/>
          <w:szCs w:val="22"/>
          <w:lang w:eastAsia="ar-SA"/>
          <w14:ligatures w14:val="none"/>
        </w:rPr>
        <w:t>be balanced</w:t>
      </w:r>
      <w:bookmarkEnd w:id="5"/>
      <w:r w:rsidRPr="004C10BE">
        <w:rPr>
          <w:rFonts w:ascii="Arial" w:eastAsia="Calibri" w:hAnsi="Arial" w:cs="Arial"/>
          <w:color w:val="000000"/>
          <w:kern w:val="0"/>
          <w:sz w:val="22"/>
          <w:szCs w:val="22"/>
          <w:lang w:eastAsia="ar-SA"/>
          <w14:ligatures w14:val="none"/>
        </w:rPr>
        <w:t xml:space="preserve"> with confidentiality, legitimacy of access, safeguarding, and security. It means that good governance is an operational condition for a successful transformation, not merely an administrative process. </w:t>
      </w:r>
    </w:p>
    <w:p w14:paraId="2A6ED349"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78AC5974"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Another problem related to governance is that control over information is decentralised: it can </w:t>
      </w:r>
      <w:bookmarkStart w:id="6" w:name="_Int_8TJH9cTz"/>
      <w:r w:rsidRPr="004C10BE">
        <w:rPr>
          <w:rFonts w:ascii="Arial" w:eastAsia="Calibri" w:hAnsi="Arial" w:cs="Arial"/>
          <w:color w:val="000000"/>
          <w:kern w:val="0"/>
          <w:sz w:val="22"/>
          <w:szCs w:val="22"/>
          <w:lang w:eastAsia="ar-SA"/>
          <w14:ligatures w14:val="none"/>
        </w:rPr>
        <w:t>be made</w:t>
      </w:r>
      <w:bookmarkEnd w:id="6"/>
      <w:r w:rsidRPr="004C10BE">
        <w:rPr>
          <w:rFonts w:ascii="Arial" w:eastAsia="Calibri" w:hAnsi="Arial" w:cs="Arial"/>
          <w:color w:val="000000"/>
          <w:kern w:val="0"/>
          <w:sz w:val="22"/>
          <w:szCs w:val="22"/>
          <w:lang w:eastAsia="ar-SA"/>
          <w14:ligatures w14:val="none"/>
        </w:rPr>
        <w:t xml:space="preserve"> by national application developers, practice record providers, and local clinical teams at </w:t>
      </w:r>
      <w:bookmarkStart w:id="7" w:name="_Int_Y3IANETA"/>
      <w:r w:rsidRPr="004C10BE">
        <w:rPr>
          <w:rFonts w:ascii="Arial" w:eastAsia="Calibri" w:hAnsi="Arial" w:cs="Arial"/>
          <w:color w:val="000000"/>
          <w:kern w:val="0"/>
          <w:sz w:val="22"/>
          <w:szCs w:val="22"/>
          <w:lang w:eastAsia="ar-SA"/>
          <w14:ligatures w14:val="none"/>
        </w:rPr>
        <w:t>different stages</w:t>
      </w:r>
      <w:bookmarkEnd w:id="7"/>
      <w:r w:rsidRPr="004C10BE">
        <w:rPr>
          <w:rFonts w:ascii="Arial" w:eastAsia="Calibri" w:hAnsi="Arial" w:cs="Arial"/>
          <w:color w:val="000000"/>
          <w:kern w:val="0"/>
          <w:sz w:val="22"/>
          <w:szCs w:val="22"/>
          <w:lang w:eastAsia="ar-SA"/>
          <w14:ligatures w14:val="none"/>
        </w:rPr>
        <w:t xml:space="preserve"> of patients’ journey. It means that it is not enough to use the concept of compliance. A justified implementation appraisal would include checking privacy statements, security procedures for identification of patients, role-based access, correction of records, and specific procedures concerning patients’ records that might involve safeguarding issues.</w:t>
      </w:r>
    </w:p>
    <w:p w14:paraId="06F0B15A"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AD0870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Finally, in the teaching material in Week 3, accountability is among seven connected data protection principles; thus, a patient would know about the accessibility of his or her information but would not be aware of who could correct mistakes or explain unknown information.</w:t>
      </w:r>
    </w:p>
    <w:p w14:paraId="0CDA4197"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C12E9FD"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8" w:name="_Toc242540571"/>
      <w:r w:rsidRPr="004C10BE">
        <w:rPr>
          <w:rFonts w:ascii="Arial" w:eastAsia="Times New Roman" w:hAnsi="Arial" w:cs="Arial"/>
          <w:b/>
          <w:bCs/>
          <w:color w:val="000000"/>
          <w:kern w:val="0"/>
          <w:sz w:val="22"/>
          <w:szCs w:val="22"/>
          <w:lang w:eastAsia="ar-SA"/>
          <w14:ligatures w14:val="none"/>
        </w:rPr>
        <w:t>3. Workforce implications</w:t>
      </w:r>
      <w:bookmarkEnd w:id="8"/>
    </w:p>
    <w:p w14:paraId="6CA76839"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The automation of repetitive queries may reduce unnecessary calls and would </w:t>
      </w:r>
      <w:r>
        <w:rPr>
          <w:rFonts w:ascii="Arial" w:eastAsia="Calibri" w:hAnsi="Arial" w:cs="Arial"/>
          <w:color w:val="000000"/>
          <w:kern w:val="0"/>
          <w:sz w:val="22"/>
          <w:szCs w:val="22"/>
          <w:lang w:val="en-US" w:eastAsia="ar-SA"/>
          <w14:ligatures w14:val="none"/>
        </w:rPr>
        <w:t>allow</w:t>
      </w:r>
      <w:r w:rsidRPr="004C10BE">
        <w:rPr>
          <w:rFonts w:ascii="Arial" w:eastAsia="Calibri" w:hAnsi="Arial" w:cs="Arial"/>
          <w:color w:val="000000"/>
          <w:kern w:val="0"/>
          <w:sz w:val="22"/>
          <w:szCs w:val="22"/>
          <w:lang w:val="en-US" w:eastAsia="ar-SA"/>
          <w14:ligatures w14:val="none"/>
        </w:rPr>
        <w:t xml:space="preserve"> receptionists and clinicians to spend time on more complex interactions. </w:t>
      </w:r>
      <w:r>
        <w:rPr>
          <w:rFonts w:ascii="Arial" w:eastAsia="Calibri" w:hAnsi="Arial" w:cs="Arial"/>
          <w:color w:val="000000"/>
          <w:kern w:val="0"/>
          <w:sz w:val="22"/>
          <w:szCs w:val="22"/>
          <w:lang w:val="en-US" w:eastAsia="ar-SA"/>
          <w14:ligatures w14:val="none"/>
        </w:rPr>
        <w:t>Also</w:t>
      </w:r>
      <w:r w:rsidRPr="004C10BE">
        <w:rPr>
          <w:rFonts w:ascii="Arial" w:eastAsia="Calibri" w:hAnsi="Arial" w:cs="Arial"/>
          <w:color w:val="000000"/>
          <w:kern w:val="0"/>
          <w:sz w:val="22"/>
          <w:szCs w:val="22"/>
          <w:lang w:val="en-US" w:eastAsia="ar-SA"/>
          <w14:ligatures w14:val="none"/>
        </w:rPr>
        <w:t xml:space="preserve">, efficiency of such type depends on system reliability and effective integration. An ethnographic study conducted among eight medical practices showed that despite growing variability of digital systems used for patients' assistance, the receptionists were often providing assistance on-the-spot without adequate training (Newbould et al., 2024). This means that labour will be redistributed rather than eliminated. It </w:t>
      </w:r>
      <w:bookmarkStart w:id="9" w:name="_Int_ywW9ohTS"/>
      <w:r w:rsidRPr="004C10BE">
        <w:rPr>
          <w:rFonts w:ascii="Arial" w:eastAsia="Calibri" w:hAnsi="Arial" w:cs="Arial"/>
          <w:color w:val="000000"/>
          <w:kern w:val="0"/>
          <w:sz w:val="22"/>
          <w:szCs w:val="22"/>
          <w:lang w:val="en-US" w:eastAsia="ar-SA"/>
          <w14:ligatures w14:val="none"/>
        </w:rPr>
        <w:t>was proven</w:t>
      </w:r>
      <w:bookmarkEnd w:id="9"/>
      <w:r w:rsidRPr="004C10BE">
        <w:rPr>
          <w:rFonts w:ascii="Arial" w:eastAsia="Calibri" w:hAnsi="Arial" w:cs="Arial"/>
          <w:color w:val="000000"/>
          <w:kern w:val="0"/>
          <w:sz w:val="22"/>
          <w:szCs w:val="22"/>
          <w:lang w:val="en-US" w:eastAsia="ar-SA"/>
          <w14:ligatures w14:val="none"/>
        </w:rPr>
        <w:t xml:space="preserve"> by another qualitative study that the receptionists are involved in more complex assistance and digital navigation which might impact the consistency, recruitment and retention of employees (Stockwell et al., 2025).</w:t>
      </w:r>
    </w:p>
    <w:p w14:paraId="6D564053"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20EEA677"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 At the clinician level, a qualitative analysis of commentaries from a 400-GP convenience survey revealed issues relating to further inquiries, changed documentation, and patient anxiety (Blease et al., 2023). The quantitative survey following the former discovered that 357 (89%) participants expected or experienced additional time spent on answering record-related queries, whereas 280 (70%) felt that access would be useful for remembering care plans (Blease et al., 2024). These contradictory outcomes imply the potential differences between staff workload and patient benefits. </w:t>
      </w:r>
    </w:p>
    <w:p w14:paraId="7E74F5DF"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680979A0"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Nevertheless, convenience sampling and mixed prospective and experienced answers do not measure changes in actual workload. Independent interviews with national and local stakeholders uncovered similar inconsistencies about the lack of digital support responsibility and staff training, which challenges any presumption of costless implementation (Treadgold et al., 2025). </w:t>
      </w:r>
    </w:p>
    <w:p w14:paraId="4E8BD481"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6564297C"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Evaluation of the workforce, on the other hand, should consider the overall time involved in both clinical and administration activities rather than focusing on individual digital transactions, while training and support are preconditions for sustainable productivity. From the point of view of staff, it is important to distinguish between their administrative and clinical activities. As such, the time saving from the number of transactions could fail to take into account the other steps or shift workload to patients. </w:t>
      </w:r>
    </w:p>
    <w:p w14:paraId="4E9864F8"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47665FA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Rejecting a tool due to the </w:t>
      </w:r>
      <w:bookmarkStart w:id="10" w:name="_Int_5VXjKq44"/>
      <w:r w:rsidRPr="004C10BE">
        <w:rPr>
          <w:rFonts w:ascii="Arial" w:eastAsia="Calibri" w:hAnsi="Arial" w:cs="Arial"/>
          <w:color w:val="000000"/>
          <w:kern w:val="0"/>
          <w:sz w:val="22"/>
          <w:szCs w:val="22"/>
          <w:lang w:val="en-US" w:eastAsia="ar-SA"/>
          <w14:ligatures w14:val="none"/>
        </w:rPr>
        <w:t>anticipated</w:t>
      </w:r>
      <w:bookmarkEnd w:id="10"/>
      <w:r w:rsidRPr="004C10BE">
        <w:rPr>
          <w:rFonts w:ascii="Arial" w:eastAsia="Calibri" w:hAnsi="Arial" w:cs="Arial"/>
          <w:color w:val="000000"/>
          <w:kern w:val="0"/>
          <w:sz w:val="22"/>
          <w:szCs w:val="22"/>
          <w:lang w:val="en-US" w:eastAsia="ar-SA"/>
          <w14:ligatures w14:val="none"/>
        </w:rPr>
        <w:t xml:space="preserve"> inconvenience from the staff's point of view might miss patient benefits that could </w:t>
      </w:r>
      <w:bookmarkStart w:id="11" w:name="_Int_xJk87sUW"/>
      <w:r w:rsidRPr="004C10BE">
        <w:rPr>
          <w:rFonts w:ascii="Arial" w:eastAsia="Calibri" w:hAnsi="Arial" w:cs="Arial"/>
          <w:color w:val="000000"/>
          <w:kern w:val="0"/>
          <w:sz w:val="22"/>
          <w:szCs w:val="22"/>
          <w:lang w:val="en-US" w:eastAsia="ar-SA"/>
          <w14:ligatures w14:val="none"/>
        </w:rPr>
        <w:t>be overlooked</w:t>
      </w:r>
      <w:bookmarkEnd w:id="11"/>
      <w:r w:rsidRPr="004C10BE">
        <w:rPr>
          <w:rFonts w:ascii="Arial" w:eastAsia="Calibri" w:hAnsi="Arial" w:cs="Arial"/>
          <w:color w:val="000000"/>
          <w:kern w:val="0"/>
          <w:sz w:val="22"/>
          <w:szCs w:val="22"/>
          <w:lang w:val="en-US" w:eastAsia="ar-SA"/>
          <w14:ligatures w14:val="none"/>
        </w:rPr>
        <w:t xml:space="preserve"> when calculating productivity. An effective evaluation will involve time-and-motion studies before and after implementation, document contacts made and compare the practices within similar patient groups and digital sophistication.</w:t>
      </w:r>
    </w:p>
    <w:p w14:paraId="3D70502D"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18C0A544"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12" w:name="_Toc242540572"/>
      <w:r w:rsidRPr="004C10BE">
        <w:rPr>
          <w:rFonts w:ascii="Arial" w:eastAsia="Times New Roman" w:hAnsi="Arial" w:cs="Arial"/>
          <w:b/>
          <w:bCs/>
          <w:color w:val="000000"/>
          <w:kern w:val="0"/>
          <w:sz w:val="22"/>
          <w:szCs w:val="22"/>
          <w:lang w:eastAsia="ar-SA"/>
          <w14:ligatures w14:val="none"/>
        </w:rPr>
        <w:t>4. Service delivery and organisational effectiveness</w:t>
      </w:r>
      <w:bookmarkEnd w:id="12"/>
    </w:p>
    <w:p w14:paraId="3190F02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Online ordering and booking of prescriptions and appointments can offer </w:t>
      </w:r>
      <w:r>
        <w:rPr>
          <w:rFonts w:ascii="Arial" w:eastAsia="Calibri" w:hAnsi="Arial" w:cs="Arial"/>
          <w:color w:val="000000"/>
          <w:kern w:val="0"/>
          <w:sz w:val="22"/>
          <w:szCs w:val="22"/>
          <w:lang w:eastAsia="ar-SA"/>
          <w14:ligatures w14:val="none"/>
        </w:rPr>
        <w:t>flexible</w:t>
      </w:r>
      <w:r w:rsidRPr="004C10BE">
        <w:rPr>
          <w:rFonts w:ascii="Arial" w:eastAsia="Calibri" w:hAnsi="Arial" w:cs="Arial"/>
          <w:color w:val="000000"/>
          <w:kern w:val="0"/>
          <w:sz w:val="22"/>
          <w:szCs w:val="22"/>
          <w:lang w:eastAsia="ar-SA"/>
          <w14:ligatures w14:val="none"/>
        </w:rPr>
        <w:t xml:space="preserve"> methods of accessing care, which could </w:t>
      </w:r>
      <w:r>
        <w:rPr>
          <w:rFonts w:ascii="Arial" w:eastAsia="Calibri" w:hAnsi="Arial" w:cs="Arial"/>
          <w:color w:val="000000"/>
          <w:kern w:val="0"/>
          <w:sz w:val="22"/>
          <w:szCs w:val="22"/>
          <w:lang w:eastAsia="ar-SA"/>
          <w14:ligatures w14:val="none"/>
        </w:rPr>
        <w:t>reduce</w:t>
      </w:r>
      <w:r w:rsidRPr="004C10BE">
        <w:rPr>
          <w:rFonts w:ascii="Arial" w:eastAsia="Calibri" w:hAnsi="Arial" w:cs="Arial"/>
          <w:color w:val="000000"/>
          <w:kern w:val="0"/>
          <w:sz w:val="22"/>
          <w:szCs w:val="22"/>
          <w:lang w:eastAsia="ar-SA"/>
          <w14:ligatures w14:val="none"/>
        </w:rPr>
        <w:t xml:space="preserve"> telephone traffic. An analysis of 287,194 General Practice Patient Survey responses revealed that there were marked differences in experiences depending on the design and usage of online consultations, as in high-volume practices where a mixed input system was used over a longer period, the odds ratio of positive experiences in appointment booking (OR 0.755) was significantly lower compared to low-volume practices, while other configurations revealed opposite trends (Ge et al., 2024). It should be stressed that it is contextual evidence about consultation systems separately, not the NHS App. </w:t>
      </w:r>
    </w:p>
    <w:p w14:paraId="2059E8D4"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445CCA1"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An English qualitative study after the pandemic combining 25 interviews and more than 21,000 patient comments showed that online contact was quick and agile but could also be frustrating due to a mismatch between practice communication and patient expectations (Moschogianis et al., 2023). Once again, generalisation for the NHS App would need qualification. A wider mixed-methods study of digital facilitation in England showed that facilitation needs not just software installation, but several parties and practical means (Sussex et al., 2024). </w:t>
      </w:r>
    </w:p>
    <w:p w14:paraId="74C81E7E"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C46B81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Overall, those studies imply that efficiency is dependent upon design, capacity, and patient navigation. Savings arguments need to </w:t>
      </w:r>
      <w:bookmarkStart w:id="13" w:name="_Int_EUSX04VO"/>
      <w:r w:rsidRPr="004C10BE">
        <w:rPr>
          <w:rFonts w:ascii="Arial" w:eastAsia="Calibri" w:hAnsi="Arial" w:cs="Arial"/>
          <w:color w:val="000000"/>
          <w:kern w:val="0"/>
          <w:sz w:val="22"/>
          <w:szCs w:val="22"/>
          <w:lang w:eastAsia="ar-SA"/>
          <w14:ligatures w14:val="none"/>
        </w:rPr>
        <w:t>be backed</w:t>
      </w:r>
      <w:bookmarkEnd w:id="13"/>
      <w:r w:rsidRPr="004C10BE">
        <w:rPr>
          <w:rFonts w:ascii="Arial" w:eastAsia="Calibri" w:hAnsi="Arial" w:cs="Arial"/>
          <w:color w:val="000000"/>
          <w:kern w:val="0"/>
          <w:sz w:val="22"/>
          <w:szCs w:val="22"/>
          <w:lang w:eastAsia="ar-SA"/>
          <w14:ligatures w14:val="none"/>
        </w:rPr>
        <w:t xml:space="preserve"> up by comparisons </w:t>
      </w:r>
      <w:bookmarkStart w:id="14" w:name="_Int_j6JRSIt4"/>
      <w:r w:rsidRPr="004C10BE">
        <w:rPr>
          <w:rFonts w:ascii="Arial" w:eastAsia="Calibri" w:hAnsi="Arial" w:cs="Arial"/>
          <w:color w:val="000000"/>
          <w:kern w:val="0"/>
          <w:sz w:val="22"/>
          <w:szCs w:val="22"/>
          <w:lang w:eastAsia="ar-SA"/>
          <w14:ligatures w14:val="none"/>
        </w:rPr>
        <w:t>regarding</w:t>
      </w:r>
      <w:bookmarkEnd w:id="14"/>
      <w:r w:rsidRPr="004C10BE">
        <w:rPr>
          <w:rFonts w:ascii="Arial" w:eastAsia="Calibri" w:hAnsi="Arial" w:cs="Arial"/>
          <w:color w:val="000000"/>
          <w:kern w:val="0"/>
          <w:sz w:val="22"/>
          <w:szCs w:val="22"/>
          <w:lang w:eastAsia="ar-SA"/>
          <w14:ligatures w14:val="none"/>
        </w:rPr>
        <w:t xml:space="preserve"> costs, appointments settled, repeat contacts and treatment outcomes, preferably controlled for practice characteristics and prior demand levels. Unexpected implementation effects are shown in yet another UK-based qualitative study of online consultations involving 19 patients and 18 healthcare professionals: communication problems and uncertainty were experienced by some users, while workload impacts and care relationship effects were noted by staff members (Turner et al., 2021). </w:t>
      </w:r>
    </w:p>
    <w:p w14:paraId="00112EFD"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E445137"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While this case study did not use the NHS App, this shows several ways in which failure can occur when electronic routes to accessing information </w:t>
      </w:r>
      <w:bookmarkStart w:id="15" w:name="_Int_ToRgna97"/>
      <w:r w:rsidRPr="004C10BE">
        <w:rPr>
          <w:rFonts w:ascii="Arial" w:eastAsia="Calibri" w:hAnsi="Arial" w:cs="Arial"/>
          <w:color w:val="000000"/>
          <w:kern w:val="0"/>
          <w:sz w:val="22"/>
          <w:szCs w:val="22"/>
          <w:lang w:eastAsia="ar-SA"/>
          <w14:ligatures w14:val="none"/>
        </w:rPr>
        <w:t>are used</w:t>
      </w:r>
      <w:bookmarkEnd w:id="15"/>
      <w:r w:rsidRPr="004C10BE">
        <w:rPr>
          <w:rFonts w:ascii="Arial" w:eastAsia="Calibri" w:hAnsi="Arial" w:cs="Arial"/>
          <w:color w:val="000000"/>
          <w:kern w:val="0"/>
          <w:sz w:val="22"/>
          <w:szCs w:val="22"/>
          <w:lang w:eastAsia="ar-SA"/>
          <w14:ligatures w14:val="none"/>
        </w:rPr>
        <w:t xml:space="preserve"> without proper communication. What </w:t>
      </w:r>
      <w:bookmarkStart w:id="16" w:name="_Int_8uhWj3Hi"/>
      <w:r w:rsidRPr="004C10BE">
        <w:rPr>
          <w:rFonts w:ascii="Arial" w:eastAsia="Calibri" w:hAnsi="Arial" w:cs="Arial"/>
          <w:color w:val="000000"/>
          <w:kern w:val="0"/>
          <w:sz w:val="22"/>
          <w:szCs w:val="22"/>
          <w:lang w:eastAsia="ar-SA"/>
          <w14:ligatures w14:val="none"/>
        </w:rPr>
        <w:t>is needed</w:t>
      </w:r>
      <w:bookmarkEnd w:id="16"/>
      <w:r w:rsidRPr="004C10BE">
        <w:rPr>
          <w:rFonts w:ascii="Arial" w:eastAsia="Calibri" w:hAnsi="Arial" w:cs="Arial"/>
          <w:color w:val="000000"/>
          <w:kern w:val="0"/>
          <w:sz w:val="22"/>
          <w:szCs w:val="22"/>
          <w:lang w:eastAsia="ar-SA"/>
          <w14:ligatures w14:val="none"/>
        </w:rPr>
        <w:t xml:space="preserve"> is a proper comparison not between a digital tool and no tool at all but rather between a digital tool with full integration and digital tool with partial integration along with traditional tools. Selection bias must also </w:t>
      </w:r>
      <w:bookmarkStart w:id="17" w:name="_Int_V39wcNCO"/>
      <w:r w:rsidRPr="004C10BE">
        <w:rPr>
          <w:rFonts w:ascii="Arial" w:eastAsia="Calibri" w:hAnsi="Arial" w:cs="Arial"/>
          <w:color w:val="000000"/>
          <w:kern w:val="0"/>
          <w:sz w:val="22"/>
          <w:szCs w:val="22"/>
          <w:lang w:eastAsia="ar-SA"/>
          <w14:ligatures w14:val="none"/>
        </w:rPr>
        <w:t>be considered</w:t>
      </w:r>
      <w:bookmarkEnd w:id="17"/>
      <w:r w:rsidRPr="004C10BE">
        <w:rPr>
          <w:rFonts w:ascii="Arial" w:eastAsia="Calibri" w:hAnsi="Arial" w:cs="Arial"/>
          <w:color w:val="000000"/>
          <w:kern w:val="0"/>
          <w:sz w:val="22"/>
          <w:szCs w:val="22"/>
          <w:lang w:eastAsia="ar-SA"/>
          <w14:ligatures w14:val="none"/>
        </w:rPr>
        <w:t>.</w:t>
      </w:r>
    </w:p>
    <w:p w14:paraId="0DEC7264"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42ED2B6A"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18" w:name="_Toc242540573"/>
      <w:r w:rsidRPr="004C10BE">
        <w:rPr>
          <w:rFonts w:ascii="Arial" w:eastAsia="Times New Roman" w:hAnsi="Arial" w:cs="Arial"/>
          <w:b/>
          <w:bCs/>
          <w:color w:val="000000"/>
          <w:kern w:val="0"/>
          <w:sz w:val="22"/>
          <w:szCs w:val="22"/>
          <w:lang w:eastAsia="ar-SA"/>
          <w14:ligatures w14:val="none"/>
        </w:rPr>
        <w:t>5. Patients, experience and safety</w:t>
      </w:r>
      <w:bookmarkEnd w:id="18"/>
    </w:p>
    <w:p w14:paraId="1FA7471E"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For individuals suffering from chronic illnesses, the process of sending an electronic prescription and accessing results is both convenient and empowering. A UK grounded theory study involving patient-portal users of a number of portals, including the NHS app, established the significance of the perceived usefulness and the context that influences their use; however, the small self-selecting sample size limits generalisability about the satisfaction of the whole population (Kuppanda and Jenkins, 2023). The online accessibility also creates a risk. Interviews conducted with patients and medical personnel in UK primary healthcare revealed unexpected upsetting information, as well as problems with understanding patient records and changes in clinicians' documentation practices (Turner et al., 2022).</w:t>
      </w:r>
    </w:p>
    <w:p w14:paraId="6F6019EB"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4CF4C46"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In a more recent qualitative study with 26 underprivileged patients and carers, simulated clinical notes </w:t>
      </w:r>
      <w:bookmarkStart w:id="19" w:name="_Int_VV1Vru0h"/>
      <w:r w:rsidRPr="004C10BE">
        <w:rPr>
          <w:rFonts w:ascii="Arial" w:eastAsia="Calibri" w:hAnsi="Arial" w:cs="Arial"/>
          <w:color w:val="000000"/>
          <w:kern w:val="0"/>
          <w:sz w:val="22"/>
          <w:szCs w:val="22"/>
          <w:lang w:eastAsia="ar-SA"/>
          <w14:ligatures w14:val="none"/>
        </w:rPr>
        <w:t>were found</w:t>
      </w:r>
      <w:bookmarkEnd w:id="19"/>
      <w:r w:rsidRPr="004C10BE">
        <w:rPr>
          <w:rFonts w:ascii="Arial" w:eastAsia="Calibri" w:hAnsi="Arial" w:cs="Arial"/>
          <w:color w:val="000000"/>
          <w:kern w:val="0"/>
          <w:sz w:val="22"/>
          <w:szCs w:val="22"/>
          <w:lang w:eastAsia="ar-SA"/>
          <w14:ligatures w14:val="none"/>
        </w:rPr>
        <w:t xml:space="preserve"> to be confusing, offensive or anxiety inducing (Davidge et al., 2025). However, neither of these studies provides evidence that the NHS App causes these difficulties: both evaluate access to information on electronic notes that might </w:t>
      </w:r>
      <w:bookmarkStart w:id="20" w:name="_Int_t3VNzsCD"/>
      <w:r w:rsidRPr="004C10BE">
        <w:rPr>
          <w:rFonts w:ascii="Arial" w:eastAsia="Calibri" w:hAnsi="Arial" w:cs="Arial"/>
          <w:color w:val="000000"/>
          <w:kern w:val="0"/>
          <w:sz w:val="22"/>
          <w:szCs w:val="22"/>
          <w:lang w:eastAsia="ar-SA"/>
          <w14:ligatures w14:val="none"/>
        </w:rPr>
        <w:t>be provided</w:t>
      </w:r>
      <w:bookmarkEnd w:id="20"/>
      <w:r w:rsidRPr="004C10BE">
        <w:rPr>
          <w:rFonts w:ascii="Arial" w:eastAsia="Calibri" w:hAnsi="Arial" w:cs="Arial"/>
          <w:color w:val="000000"/>
          <w:kern w:val="0"/>
          <w:sz w:val="22"/>
          <w:szCs w:val="22"/>
          <w:lang w:eastAsia="ar-SA"/>
          <w14:ligatures w14:val="none"/>
        </w:rPr>
        <w:t xml:space="preserve"> through it. There is only little support from international literature for that. One small qualitative study investigating the use of the patient portal among adults revealed some perceived advantages and privacy and security concerns at the same time (Son and Nahm, 2023); another one investigated older patients' experience of digital clinical messaging, which demonstrated their preference for synchronous communication.</w:t>
      </w:r>
    </w:p>
    <w:p w14:paraId="2FADF5AB"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FB66B9A" w14:textId="4F514495"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Both these investigations help to </w:t>
      </w:r>
      <w:r w:rsidR="00BE7984" w:rsidRPr="004C10BE">
        <w:rPr>
          <w:rFonts w:ascii="Arial" w:eastAsia="Calibri" w:hAnsi="Arial" w:cs="Arial"/>
          <w:color w:val="000000"/>
          <w:kern w:val="0"/>
          <w:sz w:val="22"/>
          <w:szCs w:val="22"/>
          <w:lang w:eastAsia="ar-SA"/>
          <w14:ligatures w14:val="none"/>
        </w:rPr>
        <w:t>find</w:t>
      </w:r>
      <w:r w:rsidRPr="004C10BE">
        <w:rPr>
          <w:rFonts w:ascii="Arial" w:eastAsia="Calibri" w:hAnsi="Arial" w:cs="Arial"/>
          <w:color w:val="000000"/>
          <w:kern w:val="0"/>
          <w:sz w:val="22"/>
          <w:szCs w:val="22"/>
          <w:lang w:eastAsia="ar-SA"/>
          <w14:ligatures w14:val="none"/>
        </w:rPr>
        <w:t xml:space="preserve"> some </w:t>
      </w:r>
      <w:bookmarkStart w:id="21" w:name="_Int_MFXwF2jN"/>
      <w:r w:rsidRPr="004C10BE">
        <w:rPr>
          <w:rFonts w:ascii="Arial" w:eastAsia="Calibri" w:hAnsi="Arial" w:cs="Arial"/>
          <w:color w:val="000000"/>
          <w:kern w:val="0"/>
          <w:sz w:val="22"/>
          <w:szCs w:val="22"/>
          <w:lang w:eastAsia="ar-SA"/>
          <w14:ligatures w14:val="none"/>
        </w:rPr>
        <w:t>possible mechanisms</w:t>
      </w:r>
      <w:bookmarkEnd w:id="21"/>
      <w:r w:rsidRPr="004C10BE">
        <w:rPr>
          <w:rFonts w:ascii="Arial" w:eastAsia="Calibri" w:hAnsi="Arial" w:cs="Arial"/>
          <w:color w:val="000000"/>
          <w:kern w:val="0"/>
          <w:sz w:val="22"/>
          <w:szCs w:val="22"/>
          <w:lang w:eastAsia="ar-SA"/>
          <w14:ligatures w14:val="none"/>
        </w:rPr>
        <w:t xml:space="preserve"> but have little transferability to the English system of commissioning and access. Therefore, the evaluation should distinguish considering informational access as equal to understanding and trusting. Patient safety issues depend on the clinical situation as well. One study that looked into remote consultations for anxiety and depression through qualitative research involved interviews of 20 practitioners and 21 patients and revealed the benefits of convenience and privacy as well as challenges with the assessment of risks and need for further follow-up (Archer et al., 2025). </w:t>
      </w:r>
    </w:p>
    <w:p w14:paraId="544ABB8D"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209EA6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Remote consultation </w:t>
      </w:r>
      <w:bookmarkStart w:id="22" w:name="_Int_dOoGzT3K"/>
      <w:r w:rsidRPr="004C10BE">
        <w:rPr>
          <w:rFonts w:ascii="Arial" w:eastAsia="Calibri" w:hAnsi="Arial" w:cs="Arial"/>
          <w:color w:val="000000"/>
          <w:kern w:val="0"/>
          <w:sz w:val="22"/>
          <w:szCs w:val="22"/>
          <w:lang w:eastAsia="ar-SA"/>
          <w14:ligatures w14:val="none"/>
        </w:rPr>
        <w:t>is not directly connected</w:t>
      </w:r>
      <w:bookmarkEnd w:id="22"/>
      <w:r w:rsidRPr="004C10BE">
        <w:rPr>
          <w:rFonts w:ascii="Arial" w:eastAsia="Calibri" w:hAnsi="Arial" w:cs="Arial"/>
          <w:color w:val="000000"/>
          <w:kern w:val="0"/>
          <w:sz w:val="22"/>
          <w:szCs w:val="22"/>
          <w:lang w:eastAsia="ar-SA"/>
          <w14:ligatures w14:val="none"/>
        </w:rPr>
        <w:t xml:space="preserve"> with the NHS App; its importance lies in the fact that the example shows why the interaction cannot </w:t>
      </w:r>
      <w:bookmarkStart w:id="23" w:name="_Int_mh9GHVTp"/>
      <w:r w:rsidRPr="004C10BE">
        <w:rPr>
          <w:rFonts w:ascii="Arial" w:eastAsia="Calibri" w:hAnsi="Arial" w:cs="Arial"/>
          <w:color w:val="000000"/>
          <w:kern w:val="0"/>
          <w:sz w:val="22"/>
          <w:szCs w:val="22"/>
          <w:lang w:eastAsia="ar-SA"/>
          <w14:ligatures w14:val="none"/>
        </w:rPr>
        <w:t>be assessed</w:t>
      </w:r>
      <w:bookmarkEnd w:id="23"/>
      <w:r w:rsidRPr="004C10BE">
        <w:rPr>
          <w:rFonts w:ascii="Arial" w:eastAsia="Calibri" w:hAnsi="Arial" w:cs="Arial"/>
          <w:color w:val="000000"/>
          <w:kern w:val="0"/>
          <w:sz w:val="22"/>
          <w:szCs w:val="22"/>
          <w:lang w:eastAsia="ar-SA"/>
          <w14:ligatures w14:val="none"/>
        </w:rPr>
        <w:t xml:space="preserve"> without consideration of complexity, risks, and patient's choice. The patients can appreciate the ability to have their own autonomy in the matter of repeat prescriptions while requiring the doctor's help with abnormal investigations. It is therefore unfair to demand complete replacement of patient technology with relational care.</w:t>
      </w:r>
    </w:p>
    <w:p w14:paraId="617398D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ABB34E4"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24" w:name="_Toc242540574"/>
      <w:r w:rsidRPr="004C10BE">
        <w:rPr>
          <w:rFonts w:ascii="Arial" w:eastAsia="Times New Roman" w:hAnsi="Arial" w:cs="Arial"/>
          <w:b/>
          <w:bCs/>
          <w:color w:val="000000"/>
          <w:kern w:val="0"/>
          <w:sz w:val="22"/>
          <w:szCs w:val="22"/>
          <w:lang w:eastAsia="ar-SA"/>
          <w14:ligatures w14:val="none"/>
        </w:rPr>
        <w:t>6. Communities, inclusion and population health</w:t>
      </w:r>
      <w:bookmarkEnd w:id="24"/>
    </w:p>
    <w:p w14:paraId="6AE8DEED" w14:textId="673DDB50"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 national platform would have the capacity to help those individuals who have limitations on travel or are caring for others, but the collective effect might mask those who </w:t>
      </w:r>
      <w:bookmarkStart w:id="25" w:name="_Int_s8WN59WP"/>
      <w:r w:rsidRPr="004C10BE">
        <w:rPr>
          <w:rFonts w:ascii="Arial" w:eastAsia="Calibri" w:hAnsi="Arial" w:cs="Arial"/>
          <w:color w:val="000000"/>
          <w:kern w:val="0"/>
          <w:sz w:val="22"/>
          <w:szCs w:val="22"/>
          <w:lang w:eastAsia="ar-SA"/>
          <w14:ligatures w14:val="none"/>
        </w:rPr>
        <w:t>are left</w:t>
      </w:r>
      <w:bookmarkEnd w:id="25"/>
      <w:r w:rsidRPr="004C10BE">
        <w:rPr>
          <w:rFonts w:ascii="Arial" w:eastAsia="Calibri" w:hAnsi="Arial" w:cs="Arial"/>
          <w:color w:val="000000"/>
          <w:kern w:val="0"/>
          <w:sz w:val="22"/>
          <w:szCs w:val="22"/>
          <w:lang w:eastAsia="ar-SA"/>
          <w14:ligatures w14:val="none"/>
        </w:rPr>
        <w:t xml:space="preserve"> out. A cross-sectional analysis involving 6,356 English primary-care providers found an adjusted association between deprivation and poor digital activation, reflecting a structural issue rather than just an individual one (Zhang et al., 2023). More precisely, NHS App use across 6,386 practices found that inequalities are based on the use; for instance, compared to </w:t>
      </w:r>
      <w:r w:rsidR="0085668A">
        <w:rPr>
          <w:rFonts w:ascii="Arial" w:eastAsia="Calibri" w:hAnsi="Arial" w:cs="Arial"/>
          <w:color w:val="000000"/>
          <w:kern w:val="0"/>
          <w:sz w:val="22"/>
          <w:szCs w:val="22"/>
          <w:lang w:eastAsia="ar-SA"/>
          <w14:ligatures w14:val="none"/>
        </w:rPr>
        <w:t xml:space="preserve">a much higher rate </w:t>
      </w:r>
      <w:r w:rsidR="00A23D14">
        <w:rPr>
          <w:rFonts w:ascii="Arial" w:eastAsia="Calibri" w:hAnsi="Arial" w:cs="Arial"/>
          <w:color w:val="000000"/>
          <w:kern w:val="0"/>
          <w:sz w:val="22"/>
          <w:szCs w:val="22"/>
          <w:lang w:eastAsia="ar-SA"/>
          <w14:ligatures w14:val="none"/>
        </w:rPr>
        <w:t xml:space="preserve">in the </w:t>
      </w:r>
      <w:r w:rsidR="00364B92">
        <w:rPr>
          <w:rFonts w:ascii="Arial" w:eastAsia="Calibri" w:hAnsi="Arial" w:cs="Arial"/>
          <w:color w:val="000000"/>
          <w:kern w:val="0"/>
          <w:sz w:val="22"/>
          <w:szCs w:val="22"/>
          <w:lang w:eastAsia="ar-SA"/>
          <w14:ligatures w14:val="none"/>
        </w:rPr>
        <w:t>wealthiest area</w:t>
      </w:r>
      <w:r w:rsidRPr="004C10BE">
        <w:rPr>
          <w:rFonts w:ascii="Arial" w:eastAsia="Calibri" w:hAnsi="Arial" w:cs="Arial"/>
          <w:color w:val="000000"/>
          <w:kern w:val="0"/>
          <w:sz w:val="22"/>
          <w:szCs w:val="22"/>
          <w:lang w:eastAsia="ar-SA"/>
          <w14:ligatures w14:val="none"/>
        </w:rPr>
        <w:t xml:space="preserve">s, the </w:t>
      </w:r>
      <w:r w:rsidR="008C04C2">
        <w:rPr>
          <w:rFonts w:ascii="Arial" w:eastAsia="Calibri" w:hAnsi="Arial" w:cs="Arial"/>
          <w:color w:val="000000"/>
          <w:kern w:val="0"/>
          <w:sz w:val="22"/>
          <w:szCs w:val="22"/>
          <w:lang w:eastAsia="ar-SA"/>
          <w14:ligatures w14:val="none"/>
        </w:rPr>
        <w:t>poorer areas</w:t>
      </w:r>
      <w:r w:rsidRPr="004C10BE">
        <w:rPr>
          <w:rFonts w:ascii="Arial" w:eastAsia="Calibri" w:hAnsi="Arial" w:cs="Arial"/>
          <w:color w:val="000000"/>
          <w:kern w:val="0"/>
          <w:sz w:val="22"/>
          <w:szCs w:val="22"/>
          <w:lang w:eastAsia="ar-SA"/>
          <w14:ligatures w14:val="none"/>
        </w:rPr>
        <w:t xml:space="preserve"> recorded around 39.7% fewer appointments bookings and 9.9% fewer prescription ordering. Ecological estimates do not prove the individual behaviour or the reason for inequality (KC et al., 2024).</w:t>
      </w:r>
    </w:p>
    <w:p w14:paraId="68860B0B" w14:textId="77777777" w:rsidR="00030E0C" w:rsidRDefault="00030E0C"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94CB45A" w14:textId="5E9DD876"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In addition, qualitative field research in minority communities in four UK cities found that language, trust, and material context influence access to digital technology through their interactions with ethnicity; however, the broader geographic context enhances the interpretation without producing representative effect size (Islam, Bailey and Netto, 2024). An independent English study conducted in the context of primary care found that inequitable staff-driven facilitation can worsen inequalities because patients who need </w:t>
      </w:r>
      <w:bookmarkStart w:id="26" w:name="_Int_KrHxgM3x"/>
      <w:r w:rsidRPr="004C10BE">
        <w:rPr>
          <w:rFonts w:ascii="Arial" w:eastAsia="Calibri" w:hAnsi="Arial" w:cs="Arial"/>
          <w:color w:val="000000"/>
          <w:kern w:val="0"/>
          <w:sz w:val="22"/>
          <w:szCs w:val="22"/>
          <w:lang w:eastAsia="ar-SA"/>
          <w14:ligatures w14:val="none"/>
        </w:rPr>
        <w:t>assistance</w:t>
      </w:r>
      <w:bookmarkEnd w:id="26"/>
      <w:r w:rsidRPr="004C10BE">
        <w:rPr>
          <w:rFonts w:ascii="Arial" w:eastAsia="Calibri" w:hAnsi="Arial" w:cs="Arial"/>
          <w:color w:val="000000"/>
          <w:kern w:val="0"/>
          <w:sz w:val="22"/>
          <w:szCs w:val="22"/>
          <w:lang w:eastAsia="ar-SA"/>
          <w14:ligatures w14:val="none"/>
        </w:rPr>
        <w:t xml:space="preserve"> can find it to be irregularly available. Community-level digital inclusion would include affordable connectivity, easy interfaces, translators, </w:t>
      </w:r>
      <w:bookmarkStart w:id="27" w:name="_Int_IMagsiAP"/>
      <w:r w:rsidRPr="004C10BE">
        <w:rPr>
          <w:rFonts w:ascii="Arial" w:eastAsia="Calibri" w:hAnsi="Arial" w:cs="Arial"/>
          <w:color w:val="000000"/>
          <w:kern w:val="0"/>
          <w:sz w:val="22"/>
          <w:szCs w:val="22"/>
          <w:lang w:eastAsia="ar-SA"/>
          <w14:ligatures w14:val="none"/>
        </w:rPr>
        <w:t>assisted</w:t>
      </w:r>
      <w:bookmarkEnd w:id="27"/>
      <w:r w:rsidRPr="004C10BE">
        <w:rPr>
          <w:rFonts w:ascii="Arial" w:eastAsia="Calibri" w:hAnsi="Arial" w:cs="Arial"/>
          <w:color w:val="000000"/>
          <w:kern w:val="0"/>
          <w:sz w:val="22"/>
          <w:szCs w:val="22"/>
          <w:lang w:eastAsia="ar-SA"/>
          <w14:ligatures w14:val="none"/>
        </w:rPr>
        <w:t xml:space="preserve"> access and retention of telephony or face-to-face options. </w:t>
      </w:r>
    </w:p>
    <w:p w14:paraId="7EAFA494"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349C85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The inclusion framework of the NHS can help such considerations, although it is imperative that the impact of such measures </w:t>
      </w:r>
      <w:bookmarkStart w:id="28" w:name="_Int_dvty34XA"/>
      <w:r w:rsidRPr="004C10BE">
        <w:rPr>
          <w:rFonts w:ascii="Arial" w:eastAsia="Calibri" w:hAnsi="Arial" w:cs="Arial"/>
          <w:color w:val="000000"/>
          <w:kern w:val="0"/>
          <w:sz w:val="22"/>
          <w:szCs w:val="22"/>
          <w:lang w:eastAsia="ar-SA"/>
          <w14:ligatures w14:val="none"/>
        </w:rPr>
        <w:t>be independently evaluated</w:t>
      </w:r>
      <w:bookmarkEnd w:id="28"/>
      <w:r w:rsidRPr="004C10BE">
        <w:rPr>
          <w:rFonts w:ascii="Arial" w:eastAsia="Calibri" w:hAnsi="Arial" w:cs="Arial"/>
          <w:color w:val="000000"/>
          <w:kern w:val="0"/>
          <w:sz w:val="22"/>
          <w:szCs w:val="22"/>
          <w:lang w:eastAsia="ar-SA"/>
          <w14:ligatures w14:val="none"/>
        </w:rPr>
        <w:t xml:space="preserve"> as opposed to rhetoric (NHS England, 2023). The NHS App should </w:t>
      </w:r>
      <w:bookmarkStart w:id="29" w:name="_Int_ZilR6TbU"/>
      <w:r w:rsidRPr="004C10BE">
        <w:rPr>
          <w:rFonts w:ascii="Arial" w:eastAsia="Calibri" w:hAnsi="Arial" w:cs="Arial"/>
          <w:color w:val="000000"/>
          <w:kern w:val="0"/>
          <w:sz w:val="22"/>
          <w:szCs w:val="22"/>
          <w:lang w:eastAsia="ar-SA"/>
          <w14:ligatures w14:val="none"/>
        </w:rPr>
        <w:t>be assessed</w:t>
      </w:r>
      <w:bookmarkEnd w:id="29"/>
      <w:r w:rsidRPr="004C10BE">
        <w:rPr>
          <w:rFonts w:ascii="Arial" w:eastAsia="Calibri" w:hAnsi="Arial" w:cs="Arial"/>
          <w:color w:val="000000"/>
          <w:kern w:val="0"/>
          <w:sz w:val="22"/>
          <w:szCs w:val="22"/>
          <w:lang w:eastAsia="ar-SA"/>
          <w14:ligatures w14:val="none"/>
        </w:rPr>
        <w:t xml:space="preserve"> because of its capacity to remove barriers from the lives of those underserved individuals and not on its ability to provide more ease to already digitally confident users. An interesting distributive question here would be whether public funds should target the addition of capabilities for already active users or those who have been left out so far. </w:t>
      </w:r>
    </w:p>
    <w:p w14:paraId="30976DC6"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C5B194D"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Nevertheless, there is an opportunity cost involved in targeted facilitation, which ought to </w:t>
      </w:r>
      <w:bookmarkStart w:id="30" w:name="_Int_BY6Zc5d2"/>
      <w:r w:rsidRPr="004C10BE">
        <w:rPr>
          <w:rFonts w:ascii="Arial" w:eastAsia="Calibri" w:hAnsi="Arial" w:cs="Arial"/>
          <w:color w:val="000000"/>
          <w:kern w:val="0"/>
          <w:sz w:val="22"/>
          <w:szCs w:val="22"/>
          <w:lang w:eastAsia="ar-SA"/>
          <w14:ligatures w14:val="none"/>
        </w:rPr>
        <w:t>be communicated</w:t>
      </w:r>
      <w:bookmarkEnd w:id="30"/>
      <w:r w:rsidRPr="004C10BE">
        <w:rPr>
          <w:rFonts w:ascii="Arial" w:eastAsia="Calibri" w:hAnsi="Arial" w:cs="Arial"/>
          <w:color w:val="000000"/>
          <w:kern w:val="0"/>
          <w:sz w:val="22"/>
          <w:szCs w:val="22"/>
          <w:lang w:eastAsia="ar-SA"/>
          <w14:ligatures w14:val="none"/>
        </w:rPr>
        <w:t xml:space="preserve"> rather than concealed. From the standpoint of evaluation, the adoption of technology is an intermediate goal; the final goal is access to proper health care, which is timely, safe, and understandable. Community organisations can help onboarding processes, but the health care provider must continue to hold itself accountable clinically.</w:t>
      </w:r>
    </w:p>
    <w:p w14:paraId="0DE666A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AFDF488"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31" w:name="_Toc242540575"/>
      <w:r w:rsidRPr="004C10BE">
        <w:rPr>
          <w:rFonts w:ascii="Arial" w:eastAsia="Times New Roman" w:hAnsi="Arial" w:cs="Arial"/>
          <w:b/>
          <w:bCs/>
          <w:color w:val="000000"/>
          <w:kern w:val="0"/>
          <w:sz w:val="22"/>
          <w:szCs w:val="22"/>
          <w:lang w:eastAsia="ar-SA"/>
          <w14:ligatures w14:val="none"/>
        </w:rPr>
        <w:t>7. Conclusion and recommendations</w:t>
      </w:r>
      <w:bookmarkEnd w:id="31"/>
    </w:p>
    <w:p w14:paraId="5B9ADEA5"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While the NHS App is certainly a step forward about access in digital healthcare, there is more evidence of high use of the tool than any improvement in clinical performance, efficiency, or equality. Variation between organisations and differences in patient capability make for a socio-technical challenge that is not solely technical in nature. There are four tasks that follow. Firstly, to achieve </w:t>
      </w:r>
      <w:r>
        <w:rPr>
          <w:rFonts w:ascii="Arial" w:eastAsia="Calibri" w:hAnsi="Arial" w:cs="Arial"/>
          <w:color w:val="000000"/>
          <w:kern w:val="0"/>
          <w:sz w:val="22"/>
          <w:szCs w:val="22"/>
          <w:lang w:eastAsia="ar-SA"/>
          <w14:ligatures w14:val="none"/>
        </w:rPr>
        <w:t>comparability</w:t>
      </w:r>
      <w:r w:rsidRPr="004C10BE">
        <w:rPr>
          <w:rFonts w:ascii="Arial" w:eastAsia="Calibri" w:hAnsi="Arial" w:cs="Arial"/>
          <w:color w:val="000000"/>
          <w:kern w:val="0"/>
          <w:sz w:val="22"/>
          <w:szCs w:val="22"/>
          <w:lang w:eastAsia="ar-SA"/>
          <w14:ligatures w14:val="none"/>
        </w:rPr>
        <w:t xml:space="preserve"> and clarity for patients of what services are on offer, and to audit the reality of availability within general practice settings. </w:t>
      </w:r>
    </w:p>
    <w:p w14:paraId="5F5C469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720D093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Secondly, to resource and assess the training and digital facilitation needed from staff rather than assume that administrative burdens </w:t>
      </w:r>
      <w:bookmarkStart w:id="32" w:name="_Int_RLYF4JsC"/>
      <w:r w:rsidRPr="004C10BE">
        <w:rPr>
          <w:rFonts w:ascii="Arial" w:eastAsia="Calibri" w:hAnsi="Arial" w:cs="Arial"/>
          <w:color w:val="000000"/>
          <w:kern w:val="0"/>
          <w:sz w:val="22"/>
          <w:szCs w:val="22"/>
          <w:lang w:eastAsia="ar-SA"/>
          <w14:ligatures w14:val="none"/>
        </w:rPr>
        <w:t>are eliminated</w:t>
      </w:r>
      <w:bookmarkEnd w:id="32"/>
      <w:r w:rsidRPr="004C10BE">
        <w:rPr>
          <w:rFonts w:ascii="Arial" w:eastAsia="Calibri" w:hAnsi="Arial" w:cs="Arial"/>
          <w:color w:val="000000"/>
          <w:kern w:val="0"/>
          <w:sz w:val="22"/>
          <w:szCs w:val="22"/>
          <w:lang w:eastAsia="ar-SA"/>
          <w14:ligatures w14:val="none"/>
        </w:rPr>
        <w:t xml:space="preserve">. Thirdly, in designing accessible multilingual and assistive routes while making sure that there is always </w:t>
      </w:r>
      <w:bookmarkStart w:id="33" w:name="_Int_NohrgvK4"/>
      <w:r w:rsidRPr="004C10BE">
        <w:rPr>
          <w:rFonts w:ascii="Arial" w:eastAsia="Calibri" w:hAnsi="Arial" w:cs="Arial"/>
          <w:color w:val="000000"/>
          <w:kern w:val="0"/>
          <w:sz w:val="22"/>
          <w:szCs w:val="22"/>
          <w:lang w:eastAsia="ar-SA"/>
          <w14:ligatures w14:val="none"/>
        </w:rPr>
        <w:t>an option</w:t>
      </w:r>
      <w:bookmarkEnd w:id="33"/>
      <w:r w:rsidRPr="004C10BE">
        <w:rPr>
          <w:rFonts w:ascii="Arial" w:eastAsia="Calibri" w:hAnsi="Arial" w:cs="Arial"/>
          <w:color w:val="000000"/>
          <w:kern w:val="0"/>
          <w:sz w:val="22"/>
          <w:szCs w:val="22"/>
          <w:lang w:eastAsia="ar-SA"/>
          <w14:ligatures w14:val="none"/>
        </w:rPr>
        <w:t xml:space="preserve"> for reaching out by non-digital methods. And fourthly, to </w:t>
      </w:r>
      <w:r>
        <w:rPr>
          <w:rFonts w:ascii="Arial" w:eastAsia="Calibri" w:hAnsi="Arial" w:cs="Arial"/>
          <w:color w:val="000000"/>
          <w:kern w:val="0"/>
          <w:sz w:val="22"/>
          <w:szCs w:val="22"/>
          <w:lang w:eastAsia="ar-SA"/>
          <w14:ligatures w14:val="none"/>
        </w:rPr>
        <w:t>arrange</w:t>
      </w:r>
      <w:r w:rsidRPr="004C10BE">
        <w:rPr>
          <w:rFonts w:ascii="Arial" w:eastAsia="Calibri" w:hAnsi="Arial" w:cs="Arial"/>
          <w:color w:val="000000"/>
          <w:kern w:val="0"/>
          <w:sz w:val="22"/>
          <w:szCs w:val="22"/>
          <w:lang w:eastAsia="ar-SA"/>
          <w14:ligatures w14:val="none"/>
        </w:rPr>
        <w:t xml:space="preserve"> independent assessment over time of completion rates, contact rates, staff time, safety events and distributive impact by deprivation and accessibility requirement.</w:t>
      </w:r>
    </w:p>
    <w:p w14:paraId="79274E35" w14:textId="3731376F" w:rsidR="0009185E" w:rsidRPr="004C10BE" w:rsidRDefault="0009185E" w:rsidP="0009185E">
      <w:pPr>
        <w:keepNext/>
        <w:keepLines/>
        <w:numPr>
          <w:ilvl w:val="0"/>
          <w:numId w:val="4"/>
        </w:numPr>
        <w:suppressAutoHyphens/>
        <w:spacing w:before="113" w:after="0" w:line="360" w:lineRule="auto"/>
        <w:ind w:left="0" w:firstLine="0"/>
        <w:jc w:val="both"/>
        <w:outlineLvl w:val="0"/>
        <w:rPr>
          <w:rFonts w:ascii="Arial" w:eastAsia="Times New Roman" w:hAnsi="Arial" w:cs="Arial"/>
          <w:b/>
          <w:bCs/>
          <w:color w:val="000000"/>
          <w:kern w:val="0"/>
          <w:sz w:val="22"/>
          <w:szCs w:val="22"/>
          <w:lang w:eastAsia="ar-SA"/>
          <w14:ligatures w14:val="none"/>
        </w:rPr>
      </w:pPr>
      <w:r w:rsidRPr="004C10BE">
        <w:rPr>
          <w:rFonts w:ascii="Arial" w:eastAsia="Times New Roman" w:hAnsi="Arial" w:cs="Arial"/>
          <w:b/>
          <w:bCs/>
          <w:color w:val="000000"/>
          <w:kern w:val="0"/>
          <w:sz w:val="22"/>
          <w:szCs w:val="22"/>
          <w:lang w:eastAsia="ar-SA"/>
          <w14:ligatures w14:val="none"/>
        </w:rPr>
        <w:br w:type="page"/>
      </w:r>
      <w:bookmarkStart w:id="34" w:name="_Toc242540576"/>
      <w:r w:rsidRPr="004C10BE">
        <w:rPr>
          <w:rFonts w:ascii="Arial" w:eastAsia="Times New Roman" w:hAnsi="Arial" w:cs="Arial"/>
          <w:b/>
          <w:bCs/>
          <w:color w:val="000000"/>
          <w:kern w:val="0"/>
          <w:sz w:val="22"/>
          <w:szCs w:val="22"/>
          <w:lang w:eastAsia="ar-SA"/>
          <w14:ligatures w14:val="none"/>
        </w:rPr>
        <w:t>Reference</w:t>
      </w:r>
      <w:bookmarkEnd w:id="34"/>
      <w:r w:rsidR="003C2D19">
        <w:rPr>
          <w:rFonts w:ascii="Arial" w:eastAsia="Times New Roman" w:hAnsi="Arial" w:cs="Arial"/>
          <w:b/>
          <w:bCs/>
          <w:color w:val="000000"/>
          <w:kern w:val="0"/>
          <w:sz w:val="22"/>
          <w:szCs w:val="22"/>
          <w:lang w:eastAsia="ar-SA"/>
          <w14:ligatures w14:val="none"/>
        </w:rPr>
        <w:t xml:space="preserve"> List</w:t>
      </w:r>
    </w:p>
    <w:p w14:paraId="73F02F2D"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Archer, C., Ting, L., Kessler, D., Wiles, N. and Turner, K.M. (2025). Primary care practitioners’ and patients’ views on the benefits and challenges of remote consulting for anxiety and depression in UK general practice: A qualitative interview study. </w:t>
      </w:r>
      <w:r w:rsidRPr="004C10BE">
        <w:rPr>
          <w:rFonts w:ascii="Arial" w:eastAsia="Calibri" w:hAnsi="Arial" w:cs="Arial"/>
          <w:i/>
          <w:iCs/>
          <w:color w:val="000000"/>
          <w:kern w:val="0"/>
          <w:sz w:val="22"/>
          <w:szCs w:val="22"/>
          <w:lang w:eastAsia="ar-SA"/>
          <w14:ligatures w14:val="none"/>
        </w:rPr>
        <w:t>BMJ Open</w:t>
      </w:r>
      <w:r w:rsidRPr="004C10BE">
        <w:rPr>
          <w:rFonts w:ascii="Arial" w:eastAsia="Calibri" w:hAnsi="Arial" w:cs="Arial"/>
          <w:color w:val="000000"/>
          <w:kern w:val="0"/>
          <w:sz w:val="22"/>
          <w:szCs w:val="22"/>
          <w:lang w:eastAsia="ar-SA"/>
          <w14:ligatures w14:val="none"/>
        </w:rPr>
        <w:t xml:space="preserve">, [online] 15(6), p.e093795. </w:t>
      </w:r>
      <w:hyperlink r:id="rId8" w:history="1">
        <w:r w:rsidRPr="004C10BE">
          <w:rPr>
            <w:rFonts w:ascii="Arial" w:eastAsia="Calibri" w:hAnsi="Arial" w:cs="Arial"/>
            <w:color w:val="000080"/>
            <w:kern w:val="0"/>
            <w:sz w:val="22"/>
            <w:szCs w:val="22"/>
            <w:u w:val="single"/>
            <w:lang w:eastAsia="ar-SA"/>
            <w14:ligatures w14:val="none"/>
          </w:rPr>
          <w:t>https://doi.org/10.1136/bmjopen-2024-093795</w:t>
        </w:r>
      </w:hyperlink>
      <w:r w:rsidRPr="004C10BE">
        <w:rPr>
          <w:rFonts w:ascii="Arial" w:eastAsia="Calibri" w:hAnsi="Arial" w:cs="Arial"/>
          <w:color w:val="000000"/>
          <w:kern w:val="0"/>
          <w:sz w:val="22"/>
          <w:szCs w:val="22"/>
          <w:lang w:eastAsia="ar-SA"/>
          <w14:ligatures w14:val="none"/>
        </w:rPr>
        <w:t xml:space="preserve">. </w:t>
      </w:r>
    </w:p>
    <w:p w14:paraId="604ECF27"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Blease, C., Torous, J., Dong, Z., Davidge, G., DesRoches, C., Kharko, A., Turner, A., Jones, R., Hägglund, M. and McMillan, B. (2023). Patient online record access in English primary care: Qualitative survey study of general practitioners’ views. </w:t>
      </w:r>
      <w:r w:rsidRPr="004C10BE">
        <w:rPr>
          <w:rFonts w:ascii="Arial" w:eastAsia="Calibri" w:hAnsi="Arial" w:cs="Arial"/>
          <w:i/>
          <w:iCs/>
          <w:color w:val="000000"/>
          <w:kern w:val="0"/>
          <w:sz w:val="22"/>
          <w:szCs w:val="22"/>
          <w:lang w:eastAsia="ar-SA"/>
          <w14:ligatures w14:val="none"/>
        </w:rPr>
        <w:t>Journal of Medical Internet Research</w:t>
      </w:r>
      <w:r w:rsidRPr="004C10BE">
        <w:rPr>
          <w:rFonts w:ascii="Arial" w:eastAsia="Calibri" w:hAnsi="Arial" w:cs="Arial"/>
          <w:color w:val="000000"/>
          <w:kern w:val="0"/>
          <w:sz w:val="22"/>
          <w:szCs w:val="22"/>
          <w:lang w:eastAsia="ar-SA"/>
          <w14:ligatures w14:val="none"/>
        </w:rPr>
        <w:t xml:space="preserve">, 25, p.e43496. </w:t>
      </w:r>
      <w:hyperlink r:id="rId9" w:history="1">
        <w:r w:rsidRPr="004C10BE">
          <w:rPr>
            <w:rFonts w:ascii="Arial" w:eastAsia="Calibri" w:hAnsi="Arial" w:cs="Arial"/>
            <w:color w:val="000080"/>
            <w:kern w:val="0"/>
            <w:sz w:val="22"/>
            <w:szCs w:val="22"/>
            <w:u w:val="single"/>
            <w:lang w:eastAsia="ar-SA"/>
            <w14:ligatures w14:val="none"/>
          </w:rPr>
          <w:t>https://doi.org/10.2196/43496</w:t>
        </w:r>
      </w:hyperlink>
      <w:r w:rsidRPr="004C10BE">
        <w:rPr>
          <w:rFonts w:ascii="Arial" w:eastAsia="Calibri" w:hAnsi="Arial" w:cs="Arial"/>
          <w:color w:val="000000"/>
          <w:kern w:val="0"/>
          <w:sz w:val="22"/>
          <w:szCs w:val="22"/>
          <w:lang w:eastAsia="ar-SA"/>
          <w14:ligatures w14:val="none"/>
        </w:rPr>
        <w:t xml:space="preserve">. </w:t>
      </w:r>
    </w:p>
    <w:p w14:paraId="4A6DE41C"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Blease, C.R., Kharko, A., Dong, Z., Jones, R.B., Davidge, G., Hagglund, M., Turner, A., DesRoches, C. and McMillan, B. (2024). Experiences and opinions of general practitioners with patient online record access: An online survey in England. </w:t>
      </w:r>
      <w:r w:rsidRPr="004C10BE">
        <w:rPr>
          <w:rFonts w:ascii="Arial" w:eastAsia="Calibri" w:hAnsi="Arial" w:cs="Arial"/>
          <w:i/>
          <w:iCs/>
          <w:color w:val="000000"/>
          <w:kern w:val="0"/>
          <w:sz w:val="22"/>
          <w:szCs w:val="22"/>
          <w:lang w:eastAsia="ar-SA"/>
          <w14:ligatures w14:val="none"/>
        </w:rPr>
        <w:t>BMJ Open</w:t>
      </w:r>
      <w:r w:rsidRPr="004C10BE">
        <w:rPr>
          <w:rFonts w:ascii="Arial" w:eastAsia="Calibri" w:hAnsi="Arial" w:cs="Arial"/>
          <w:color w:val="000000"/>
          <w:kern w:val="0"/>
          <w:sz w:val="22"/>
          <w:szCs w:val="22"/>
          <w:lang w:eastAsia="ar-SA"/>
          <w14:ligatures w14:val="none"/>
        </w:rPr>
        <w:t xml:space="preserve">, [online] 14(1), p.e078158. </w:t>
      </w:r>
      <w:hyperlink r:id="rId10" w:history="1">
        <w:r w:rsidRPr="004C10BE">
          <w:rPr>
            <w:rFonts w:ascii="Arial" w:eastAsia="Calibri" w:hAnsi="Arial" w:cs="Arial"/>
            <w:color w:val="000080"/>
            <w:kern w:val="0"/>
            <w:sz w:val="22"/>
            <w:szCs w:val="22"/>
            <w:u w:val="single"/>
            <w:lang w:eastAsia="ar-SA"/>
            <w14:ligatures w14:val="none"/>
          </w:rPr>
          <w:t>https://doi.org/10.1136/bmjopen-2023-078158</w:t>
        </w:r>
      </w:hyperlink>
      <w:r w:rsidRPr="004C10BE">
        <w:rPr>
          <w:rFonts w:ascii="Arial" w:eastAsia="Calibri" w:hAnsi="Arial" w:cs="Arial"/>
          <w:color w:val="000000"/>
          <w:kern w:val="0"/>
          <w:sz w:val="22"/>
          <w:szCs w:val="22"/>
          <w:lang w:eastAsia="ar-SA"/>
          <w14:ligatures w14:val="none"/>
        </w:rPr>
        <w:t xml:space="preserve">. </w:t>
      </w:r>
    </w:p>
    <w:p w14:paraId="74D4D0F3"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Davidge, G., Blease, C., Brown, L., Nenadic, G., Sanders, C. and McMillan, B. (2025). ‘Getting it write’ in an era of online electronic health records access in primary care: A qualitative study exploring the needs and requirements of underserved patients and carers. </w:t>
      </w:r>
      <w:r w:rsidRPr="004C10BE">
        <w:rPr>
          <w:rFonts w:ascii="Arial" w:eastAsia="Calibri" w:hAnsi="Arial" w:cs="Arial"/>
          <w:i/>
          <w:iCs/>
          <w:color w:val="000000"/>
          <w:kern w:val="0"/>
          <w:sz w:val="22"/>
          <w:szCs w:val="22"/>
          <w:lang w:eastAsia="ar-SA"/>
          <w14:ligatures w14:val="none"/>
        </w:rPr>
        <w:t>Patient Education and Counseling</w:t>
      </w:r>
      <w:r w:rsidRPr="004C10BE">
        <w:rPr>
          <w:rFonts w:ascii="Arial" w:eastAsia="Calibri" w:hAnsi="Arial" w:cs="Arial"/>
          <w:color w:val="000000"/>
          <w:kern w:val="0"/>
          <w:sz w:val="22"/>
          <w:szCs w:val="22"/>
          <w:lang w:eastAsia="ar-SA"/>
          <w14:ligatures w14:val="none"/>
        </w:rPr>
        <w:t xml:space="preserve">, [online] 138, p.109192. </w:t>
      </w:r>
      <w:hyperlink r:id="rId11" w:history="1">
        <w:r w:rsidRPr="004C10BE">
          <w:rPr>
            <w:rFonts w:ascii="Arial" w:eastAsia="Calibri" w:hAnsi="Arial" w:cs="Arial"/>
            <w:color w:val="000080"/>
            <w:kern w:val="0"/>
            <w:sz w:val="22"/>
            <w:szCs w:val="22"/>
            <w:u w:val="single"/>
            <w:lang w:eastAsia="ar-SA"/>
            <w14:ligatures w14:val="none"/>
          </w:rPr>
          <w:t>https://doi.org/10.1016/j.pec.2025.109192</w:t>
        </w:r>
      </w:hyperlink>
      <w:r w:rsidRPr="004C10BE">
        <w:rPr>
          <w:rFonts w:ascii="Arial" w:eastAsia="Calibri" w:hAnsi="Arial" w:cs="Arial"/>
          <w:color w:val="000000"/>
          <w:kern w:val="0"/>
          <w:sz w:val="22"/>
          <w:szCs w:val="22"/>
          <w:lang w:eastAsia="ar-SA"/>
          <w14:ligatures w14:val="none"/>
        </w:rPr>
        <w:t xml:space="preserve">. </w:t>
      </w:r>
    </w:p>
    <w:p w14:paraId="2360DEC2"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Department of Health and Social Care (2022). </w:t>
      </w:r>
      <w:r w:rsidRPr="004C10BE">
        <w:rPr>
          <w:rFonts w:ascii="Arial" w:eastAsia="Calibri" w:hAnsi="Arial" w:cs="Arial"/>
          <w:i/>
          <w:iCs/>
          <w:color w:val="000000"/>
          <w:kern w:val="0"/>
          <w:sz w:val="22"/>
          <w:szCs w:val="22"/>
          <w:lang w:eastAsia="ar-SA"/>
          <w14:ligatures w14:val="none"/>
        </w:rPr>
        <w:t>A plan for digital health and social care</w:t>
      </w:r>
      <w:r w:rsidRPr="004C10BE">
        <w:rPr>
          <w:rFonts w:ascii="Arial" w:eastAsia="Calibri" w:hAnsi="Arial" w:cs="Arial"/>
          <w:color w:val="000000"/>
          <w:kern w:val="0"/>
          <w:sz w:val="22"/>
          <w:szCs w:val="22"/>
          <w:lang w:eastAsia="ar-SA"/>
          <w14:ligatures w14:val="none"/>
        </w:rPr>
        <w:t xml:space="preserve">. [online] GOV.UK. Available at: </w:t>
      </w:r>
      <w:hyperlink r:id="rId12" w:history="1">
        <w:r w:rsidRPr="004C10BE">
          <w:rPr>
            <w:rFonts w:ascii="Arial" w:eastAsia="Calibri" w:hAnsi="Arial" w:cs="Arial"/>
            <w:color w:val="000080"/>
            <w:kern w:val="0"/>
            <w:sz w:val="22"/>
            <w:szCs w:val="22"/>
            <w:u w:val="single"/>
            <w:lang w:eastAsia="ar-SA"/>
            <w14:ligatures w14:val="none"/>
          </w:rPr>
          <w:t>https://www.gov.uk/government/publications/a-plan-for-digital-health-and-social-care</w:t>
        </w:r>
      </w:hyperlink>
      <w:r w:rsidRPr="004C10BE">
        <w:rPr>
          <w:rFonts w:ascii="Arial" w:eastAsia="Calibri" w:hAnsi="Arial" w:cs="Arial"/>
          <w:color w:val="000000"/>
          <w:kern w:val="0"/>
          <w:sz w:val="22"/>
          <w:szCs w:val="22"/>
          <w:lang w:eastAsia="ar-SA"/>
          <w14:ligatures w14:val="none"/>
        </w:rPr>
        <w:t xml:space="preserve"> </w:t>
      </w:r>
    </w:p>
    <w:p w14:paraId="564E8248"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Ge, X., Chappell, P., Ledger, J., Minal Bakhai and Clarke, G.M. (2024). The use of online consultation systems and patient experience of primary care: A cross-sectional analysis using the GP patient survey (preprint). </w:t>
      </w:r>
      <w:r w:rsidRPr="004C10BE">
        <w:rPr>
          <w:rFonts w:ascii="Arial" w:eastAsia="Calibri" w:hAnsi="Arial" w:cs="Arial"/>
          <w:i/>
          <w:iCs/>
          <w:color w:val="000000"/>
          <w:kern w:val="0"/>
          <w:sz w:val="22"/>
          <w:szCs w:val="22"/>
          <w:lang w:eastAsia="ar-SA"/>
          <w14:ligatures w14:val="none"/>
        </w:rPr>
        <w:t>Journal of Medical Internet Research</w:t>
      </w:r>
      <w:r w:rsidRPr="004C10BE">
        <w:rPr>
          <w:rFonts w:ascii="Arial" w:eastAsia="Calibri" w:hAnsi="Arial" w:cs="Arial"/>
          <w:color w:val="000000"/>
          <w:kern w:val="0"/>
          <w:sz w:val="22"/>
          <w:szCs w:val="22"/>
          <w:lang w:eastAsia="ar-SA"/>
          <w14:ligatures w14:val="none"/>
        </w:rPr>
        <w:t xml:space="preserve">, [online] 26, pp.e51272-e51272. </w:t>
      </w:r>
      <w:hyperlink r:id="rId13" w:history="1">
        <w:r w:rsidRPr="004C10BE">
          <w:rPr>
            <w:rFonts w:ascii="Arial" w:eastAsia="Calibri" w:hAnsi="Arial" w:cs="Arial"/>
            <w:color w:val="000080"/>
            <w:kern w:val="0"/>
            <w:sz w:val="22"/>
            <w:szCs w:val="22"/>
            <w:u w:val="single"/>
            <w:lang w:eastAsia="ar-SA"/>
            <w14:ligatures w14:val="none"/>
          </w:rPr>
          <w:t>https://doi.org/10.2196/51272</w:t>
        </w:r>
      </w:hyperlink>
      <w:r w:rsidRPr="004C10BE">
        <w:rPr>
          <w:rFonts w:ascii="Arial" w:eastAsia="Calibri" w:hAnsi="Arial" w:cs="Arial"/>
          <w:color w:val="000000"/>
          <w:kern w:val="0"/>
          <w:sz w:val="22"/>
          <w:szCs w:val="22"/>
          <w:lang w:eastAsia="ar-SA"/>
          <w14:ligatures w14:val="none"/>
        </w:rPr>
        <w:t xml:space="preserve">. </w:t>
      </w:r>
    </w:p>
    <w:p w14:paraId="1CE8DAC7"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Islam, F., Bailey, S. and Netto, G. (2024). Digitalised primary care in the UK: The experiences of minoritised ethnic communities.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74(749), pp.BJGP.2024.0308-BJGP.2024.0308. </w:t>
      </w:r>
      <w:hyperlink r:id="rId14" w:history="1">
        <w:r w:rsidRPr="004C10BE">
          <w:rPr>
            <w:rFonts w:ascii="Arial" w:eastAsia="Calibri" w:hAnsi="Arial" w:cs="Arial"/>
            <w:color w:val="000080"/>
            <w:kern w:val="0"/>
            <w:sz w:val="22"/>
            <w:szCs w:val="22"/>
            <w:u w:val="single"/>
            <w:lang w:eastAsia="ar-SA"/>
            <w14:ligatures w14:val="none"/>
          </w:rPr>
          <w:t>https://doi.org/10.3399/bjgp.2024.0308</w:t>
        </w:r>
      </w:hyperlink>
      <w:r w:rsidRPr="004C10BE">
        <w:rPr>
          <w:rFonts w:ascii="Arial" w:eastAsia="Calibri" w:hAnsi="Arial" w:cs="Arial"/>
          <w:color w:val="000000"/>
          <w:kern w:val="0"/>
          <w:sz w:val="22"/>
          <w:szCs w:val="22"/>
          <w:lang w:eastAsia="ar-SA"/>
          <w14:ligatures w14:val="none"/>
        </w:rPr>
        <w:t xml:space="preserve">. </w:t>
      </w:r>
    </w:p>
    <w:p w14:paraId="2C1DB6DF"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KC, S., Papoutsi, C., Reidy, C., Gudgin, B., Powell, J., Majeed, A., Greaves, F. and Laverty, A.A. (2024). Differences in use of a patient portal across sociodemographic groups: Observational study of the NHS app in England. </w:t>
      </w:r>
      <w:r w:rsidRPr="004C10BE">
        <w:rPr>
          <w:rFonts w:ascii="Arial" w:eastAsia="Calibri" w:hAnsi="Arial" w:cs="Arial"/>
          <w:i/>
          <w:iCs/>
          <w:color w:val="000000"/>
          <w:kern w:val="0"/>
          <w:sz w:val="22"/>
          <w:szCs w:val="22"/>
          <w:lang w:eastAsia="ar-SA"/>
          <w14:ligatures w14:val="none"/>
        </w:rPr>
        <w:t>Journal of Medical Internet Research</w:t>
      </w:r>
      <w:r w:rsidRPr="004C10BE">
        <w:rPr>
          <w:rFonts w:ascii="Arial" w:eastAsia="Calibri" w:hAnsi="Arial" w:cs="Arial"/>
          <w:color w:val="000000"/>
          <w:kern w:val="0"/>
          <w:sz w:val="22"/>
          <w:szCs w:val="22"/>
          <w:lang w:eastAsia="ar-SA"/>
          <w14:ligatures w14:val="none"/>
        </w:rPr>
        <w:t xml:space="preserve">, [online] 26, p.e56320. </w:t>
      </w:r>
      <w:hyperlink r:id="rId15" w:history="1">
        <w:r w:rsidRPr="004C10BE">
          <w:rPr>
            <w:rFonts w:ascii="Arial" w:eastAsia="Calibri" w:hAnsi="Arial" w:cs="Arial"/>
            <w:color w:val="000080"/>
            <w:kern w:val="0"/>
            <w:sz w:val="22"/>
            <w:szCs w:val="22"/>
            <w:u w:val="single"/>
            <w:lang w:eastAsia="ar-SA"/>
            <w14:ligatures w14:val="none"/>
          </w:rPr>
          <w:t>https://doi.org/10.2196/56320</w:t>
        </w:r>
      </w:hyperlink>
      <w:r w:rsidRPr="004C10BE">
        <w:rPr>
          <w:rFonts w:ascii="Arial" w:eastAsia="Calibri" w:hAnsi="Arial" w:cs="Arial"/>
          <w:color w:val="000000"/>
          <w:kern w:val="0"/>
          <w:sz w:val="22"/>
          <w:szCs w:val="22"/>
          <w:lang w:eastAsia="ar-SA"/>
          <w14:ligatures w14:val="none"/>
        </w:rPr>
        <w:t xml:space="preserve">. </w:t>
      </w:r>
    </w:p>
    <w:p w14:paraId="0AFD53CB"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KC, S., Tewolde, S., Laverty, A.A., Costelloe, C., Papoutsi, C., Reidy, C., Gudgin, B., Shenton, C., Majeed, A., Powell, J. and Greaves, F. (2023). Uptake and adoption of the NHS app in England: An observational study.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73(737). </w:t>
      </w:r>
      <w:hyperlink r:id="rId16" w:history="1">
        <w:r w:rsidRPr="004C10BE">
          <w:rPr>
            <w:rFonts w:ascii="Arial" w:eastAsia="Calibri" w:hAnsi="Arial" w:cs="Arial"/>
            <w:color w:val="000080"/>
            <w:kern w:val="0"/>
            <w:sz w:val="22"/>
            <w:szCs w:val="22"/>
            <w:u w:val="single"/>
            <w:lang w:eastAsia="ar-SA"/>
            <w14:ligatures w14:val="none"/>
          </w:rPr>
          <w:t>https://doi.org/10.3399/BJGP.2022.0150</w:t>
        </w:r>
      </w:hyperlink>
      <w:r w:rsidRPr="004C10BE">
        <w:rPr>
          <w:rFonts w:ascii="Arial" w:eastAsia="Calibri" w:hAnsi="Arial" w:cs="Arial"/>
          <w:color w:val="000000"/>
          <w:kern w:val="0"/>
          <w:sz w:val="22"/>
          <w:szCs w:val="22"/>
          <w:lang w:eastAsia="ar-SA"/>
          <w14:ligatures w14:val="none"/>
        </w:rPr>
        <w:t xml:space="preserve">. </w:t>
      </w:r>
    </w:p>
    <w:p w14:paraId="338450DD"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Kuppanda, P.M. and Jenkins, J. (2023). Evaluation of experiences and attitudes of patients towards patient portal–enabled access to their health information or medical records: A qualitative grounded theory study. </w:t>
      </w:r>
      <w:r w:rsidRPr="004C10BE">
        <w:rPr>
          <w:rFonts w:ascii="Arial" w:eastAsia="Calibri" w:hAnsi="Arial" w:cs="Arial"/>
          <w:i/>
          <w:iCs/>
          <w:color w:val="000000"/>
          <w:kern w:val="0"/>
          <w:sz w:val="22"/>
          <w:szCs w:val="22"/>
          <w:lang w:eastAsia="ar-SA"/>
          <w14:ligatures w14:val="none"/>
        </w:rPr>
        <w:t>Qualitative Health Research</w:t>
      </w:r>
      <w:r w:rsidRPr="004C10BE">
        <w:rPr>
          <w:rFonts w:ascii="Arial" w:eastAsia="Calibri" w:hAnsi="Arial" w:cs="Arial"/>
          <w:color w:val="000000"/>
          <w:kern w:val="0"/>
          <w:sz w:val="22"/>
          <w:szCs w:val="22"/>
          <w:lang w:eastAsia="ar-SA"/>
          <w14:ligatures w14:val="none"/>
        </w:rPr>
        <w:t xml:space="preserve">, 33(12), pp.1080–1090. </w:t>
      </w:r>
      <w:hyperlink r:id="rId17" w:history="1">
        <w:r w:rsidRPr="004C10BE">
          <w:rPr>
            <w:rFonts w:ascii="Arial" w:eastAsia="Calibri" w:hAnsi="Arial" w:cs="Arial"/>
            <w:color w:val="000080"/>
            <w:kern w:val="0"/>
            <w:sz w:val="22"/>
            <w:szCs w:val="22"/>
            <w:u w:val="single"/>
            <w:lang w:eastAsia="ar-SA"/>
            <w14:ligatures w14:val="none"/>
          </w:rPr>
          <w:t>https://doi.org/10.1177/10497323231192379</w:t>
        </w:r>
      </w:hyperlink>
      <w:r w:rsidRPr="004C10BE">
        <w:rPr>
          <w:rFonts w:ascii="Arial" w:eastAsia="Calibri" w:hAnsi="Arial" w:cs="Arial"/>
          <w:color w:val="000000"/>
          <w:kern w:val="0"/>
          <w:sz w:val="22"/>
          <w:szCs w:val="22"/>
          <w:lang w:eastAsia="ar-SA"/>
          <w14:ligatures w14:val="none"/>
        </w:rPr>
        <w:t xml:space="preserve">. </w:t>
      </w:r>
    </w:p>
    <w:p w14:paraId="761EF803"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Moschogianis, S.F., Darley, S., Coulson, T., Peek, N., Cheraghi-Sohi, S. and Brown, B. (2023). Patient experiences of an online consultation system: Qualitative study in primary care post-COVID-19.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w:t>
      </w:r>
      <w:hyperlink r:id="rId18" w:history="1">
        <w:r w:rsidRPr="004C10BE">
          <w:rPr>
            <w:rFonts w:ascii="Arial" w:eastAsia="Calibri" w:hAnsi="Arial" w:cs="Arial"/>
            <w:color w:val="000080"/>
            <w:kern w:val="0"/>
            <w:sz w:val="22"/>
            <w:szCs w:val="22"/>
            <w:u w:val="single"/>
            <w:lang w:eastAsia="ar-SA"/>
            <w14:ligatures w14:val="none"/>
          </w:rPr>
          <w:t>https://doi.org/10.3399/BJGP.2023.0076</w:t>
        </w:r>
      </w:hyperlink>
      <w:r w:rsidRPr="004C10BE">
        <w:rPr>
          <w:rFonts w:ascii="Arial" w:eastAsia="Calibri" w:hAnsi="Arial" w:cs="Arial"/>
          <w:color w:val="000000"/>
          <w:kern w:val="0"/>
          <w:sz w:val="22"/>
          <w:szCs w:val="22"/>
          <w:lang w:eastAsia="ar-SA"/>
          <w14:ligatures w14:val="none"/>
        </w:rPr>
        <w:t xml:space="preserve">. </w:t>
      </w:r>
    </w:p>
    <w:p w14:paraId="1D1D811B"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Newbould, J., Bryce, C., Stockwell, S., Treadgold, B.M., Campbell, J., Marriott, C., Pitchforth, E., Sheard, L., Winder, R. and Atherton, H. (2024). Supporting patients to use online services in general practice: Focused ethnographic case study. </w:t>
      </w:r>
      <w:r w:rsidRPr="004C10BE">
        <w:rPr>
          <w:rFonts w:ascii="Arial" w:eastAsia="Calibri" w:hAnsi="Arial" w:cs="Arial"/>
          <w:i/>
          <w:iCs/>
          <w:color w:val="000000"/>
          <w:kern w:val="0"/>
          <w:sz w:val="22"/>
          <w:szCs w:val="22"/>
          <w:lang w:eastAsia="ar-SA"/>
          <w14:ligatures w14:val="none"/>
        </w:rPr>
        <w:t>The British journal of general practice : the journal of the Royal College of General Practitioners</w:t>
      </w:r>
      <w:r w:rsidRPr="004C10BE">
        <w:rPr>
          <w:rFonts w:ascii="Arial" w:eastAsia="Calibri" w:hAnsi="Arial" w:cs="Arial"/>
          <w:color w:val="000000"/>
          <w:kern w:val="0"/>
          <w:sz w:val="22"/>
          <w:szCs w:val="22"/>
          <w:lang w:eastAsia="ar-SA"/>
          <w14:ligatures w14:val="none"/>
        </w:rPr>
        <w:t xml:space="preserve">, [online] p.BJGP.2024.0137. </w:t>
      </w:r>
      <w:hyperlink r:id="rId19" w:history="1">
        <w:r w:rsidRPr="004C10BE">
          <w:rPr>
            <w:rFonts w:ascii="Arial" w:eastAsia="Calibri" w:hAnsi="Arial" w:cs="Arial"/>
            <w:color w:val="000080"/>
            <w:kern w:val="0"/>
            <w:sz w:val="22"/>
            <w:szCs w:val="22"/>
            <w:u w:val="single"/>
            <w:lang w:eastAsia="ar-SA"/>
            <w14:ligatures w14:val="none"/>
          </w:rPr>
          <w:t>https://doi.org/10.3399/BJGP.2024.0137</w:t>
        </w:r>
      </w:hyperlink>
      <w:r w:rsidRPr="004C10BE">
        <w:rPr>
          <w:rFonts w:ascii="Arial" w:eastAsia="Calibri" w:hAnsi="Arial" w:cs="Arial"/>
          <w:color w:val="000000"/>
          <w:kern w:val="0"/>
          <w:sz w:val="22"/>
          <w:szCs w:val="22"/>
          <w:lang w:eastAsia="ar-SA"/>
          <w14:ligatures w14:val="none"/>
        </w:rPr>
        <w:t xml:space="preserve">.  </w:t>
      </w:r>
    </w:p>
    <w:p w14:paraId="0FEE9F96"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Times New Roman" w:hAnsi="Arial" w:cs="Arial"/>
          <w:kern w:val="0"/>
          <w:sz w:val="22"/>
          <w:szCs w:val="22"/>
          <w:lang w:val="en-US" w:eastAsia="en-US"/>
          <w14:ligatures w14:val="none"/>
        </w:rPr>
        <w:t xml:space="preserve">NHS (2021). </w:t>
      </w:r>
      <w:r w:rsidRPr="004C10BE">
        <w:rPr>
          <w:rFonts w:ascii="Arial" w:eastAsia="Times New Roman" w:hAnsi="Arial" w:cs="Arial"/>
          <w:i/>
          <w:iCs/>
          <w:kern w:val="0"/>
          <w:sz w:val="22"/>
          <w:szCs w:val="22"/>
          <w:lang w:val="en-US" w:eastAsia="en-US"/>
          <w14:ligatures w14:val="none"/>
        </w:rPr>
        <w:t>NHS app terms of use</w:t>
      </w:r>
      <w:r w:rsidRPr="004C10BE">
        <w:rPr>
          <w:rFonts w:ascii="Arial" w:eastAsia="Times New Roman" w:hAnsi="Arial" w:cs="Arial"/>
          <w:kern w:val="0"/>
          <w:sz w:val="22"/>
          <w:szCs w:val="22"/>
          <w:lang w:val="en-US" w:eastAsia="en-US"/>
          <w14:ligatures w14:val="none"/>
        </w:rPr>
        <w:t xml:space="preserve">. [online] nhs.uk. Available at: </w:t>
      </w:r>
      <w:hyperlink r:id="rId20" w:history="1">
        <w:r w:rsidRPr="004C10BE">
          <w:rPr>
            <w:rFonts w:ascii="Arial" w:eastAsia="Times New Roman" w:hAnsi="Arial" w:cs="Arial"/>
            <w:color w:val="000080"/>
            <w:kern w:val="0"/>
            <w:sz w:val="22"/>
            <w:szCs w:val="22"/>
            <w:u w:val="single"/>
            <w:lang w:val="en-US" w:eastAsia="en-US"/>
            <w14:ligatures w14:val="none"/>
          </w:rPr>
          <w:t>https://www.nhs.uk/nhs-app/about/privacy-legal-information/nhs-app-terms-of-use/</w:t>
        </w:r>
      </w:hyperlink>
      <w:r w:rsidRPr="004C10BE">
        <w:rPr>
          <w:rFonts w:ascii="Arial" w:eastAsia="Times New Roman" w:hAnsi="Arial" w:cs="Arial"/>
          <w:kern w:val="0"/>
          <w:sz w:val="22"/>
          <w:szCs w:val="22"/>
          <w:lang w:val="en-US" w:eastAsia="en-US"/>
          <w14:ligatures w14:val="none"/>
        </w:rPr>
        <w:t xml:space="preserve"> </w:t>
      </w:r>
    </w:p>
    <w:p w14:paraId="506CE880"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NHS England (2023). </w:t>
      </w:r>
      <w:r w:rsidRPr="004C10BE">
        <w:rPr>
          <w:rFonts w:ascii="Arial" w:eastAsia="Calibri" w:hAnsi="Arial" w:cs="Arial"/>
          <w:i/>
          <w:iCs/>
          <w:color w:val="000000"/>
          <w:kern w:val="0"/>
          <w:sz w:val="22"/>
          <w:szCs w:val="22"/>
          <w:lang w:eastAsia="ar-SA"/>
          <w14:ligatures w14:val="none"/>
        </w:rPr>
        <w:t>Inclusive Digital Healthcare: A framework for NHS action on digital inclusion</w:t>
      </w:r>
      <w:r w:rsidRPr="004C10BE">
        <w:rPr>
          <w:rFonts w:ascii="Arial" w:eastAsia="Calibri" w:hAnsi="Arial" w:cs="Arial"/>
          <w:color w:val="000000"/>
          <w:kern w:val="0"/>
          <w:sz w:val="22"/>
          <w:szCs w:val="22"/>
          <w:lang w:eastAsia="ar-SA"/>
          <w14:ligatures w14:val="none"/>
        </w:rPr>
        <w:t xml:space="preserve">. [online] NHS England. Available at: </w:t>
      </w:r>
      <w:hyperlink r:id="rId21" w:history="1">
        <w:r w:rsidRPr="004C10BE">
          <w:rPr>
            <w:rFonts w:ascii="Arial" w:eastAsia="Calibri" w:hAnsi="Arial" w:cs="Arial"/>
            <w:color w:val="000080"/>
            <w:kern w:val="0"/>
            <w:sz w:val="22"/>
            <w:szCs w:val="22"/>
            <w:u w:val="single"/>
            <w:lang w:eastAsia="ar-SA"/>
            <w14:ligatures w14:val="none"/>
          </w:rPr>
          <w:t>https://www.england.nhs.uk/long-read/inclusive-digital-healthcare-a-framework-for-nhs-action-on-digital-inclusion/</w:t>
        </w:r>
      </w:hyperlink>
      <w:r w:rsidRPr="004C10BE">
        <w:rPr>
          <w:rFonts w:ascii="Arial" w:eastAsia="Calibri" w:hAnsi="Arial" w:cs="Arial"/>
          <w:color w:val="000000"/>
          <w:kern w:val="0"/>
          <w:sz w:val="22"/>
          <w:szCs w:val="22"/>
          <w:lang w:eastAsia="ar-SA"/>
          <w14:ligatures w14:val="none"/>
        </w:rPr>
        <w:t xml:space="preserve"> </w:t>
      </w:r>
    </w:p>
    <w:p w14:paraId="7D205A60"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Reidy, C., Papoutsi, C., KC, S., Gudgin, B., Laverty, A.A., Greaves, F. and Powell, J. (2025). Qualitative evaluation of the implementation and national roll-out of the NHS App in England. </w:t>
      </w:r>
      <w:r w:rsidRPr="004C10BE">
        <w:rPr>
          <w:rFonts w:ascii="Arial" w:eastAsia="Calibri" w:hAnsi="Arial" w:cs="Arial"/>
          <w:i/>
          <w:iCs/>
          <w:color w:val="000000"/>
          <w:kern w:val="0"/>
          <w:sz w:val="22"/>
          <w:szCs w:val="22"/>
          <w:lang w:eastAsia="ar-SA"/>
          <w14:ligatures w14:val="none"/>
        </w:rPr>
        <w:t>BMC Medicine</w:t>
      </w:r>
      <w:r w:rsidRPr="004C10BE">
        <w:rPr>
          <w:rFonts w:ascii="Arial" w:eastAsia="Calibri" w:hAnsi="Arial" w:cs="Arial"/>
          <w:color w:val="000000"/>
          <w:kern w:val="0"/>
          <w:sz w:val="22"/>
          <w:szCs w:val="22"/>
          <w:lang w:eastAsia="ar-SA"/>
          <w14:ligatures w14:val="none"/>
        </w:rPr>
        <w:t xml:space="preserve">, 23(1). </w:t>
      </w:r>
      <w:hyperlink r:id="rId22" w:history="1">
        <w:r w:rsidRPr="004C10BE">
          <w:rPr>
            <w:rFonts w:ascii="Arial" w:eastAsia="Calibri" w:hAnsi="Arial" w:cs="Arial"/>
            <w:color w:val="000080"/>
            <w:kern w:val="0"/>
            <w:sz w:val="22"/>
            <w:szCs w:val="22"/>
            <w:u w:val="single"/>
            <w:lang w:eastAsia="ar-SA"/>
            <w14:ligatures w14:val="none"/>
          </w:rPr>
          <w:t>https://doi.org/10.1186/s12916-024-03842-w</w:t>
        </w:r>
      </w:hyperlink>
      <w:r w:rsidRPr="004C10BE">
        <w:rPr>
          <w:rFonts w:ascii="Arial" w:eastAsia="Calibri" w:hAnsi="Arial" w:cs="Arial"/>
          <w:color w:val="000000"/>
          <w:kern w:val="0"/>
          <w:sz w:val="22"/>
          <w:szCs w:val="22"/>
          <w:lang w:eastAsia="ar-SA"/>
          <w14:ligatures w14:val="none"/>
        </w:rPr>
        <w:t xml:space="preserve">.  </w:t>
      </w:r>
    </w:p>
    <w:p w14:paraId="5D3819F2"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Son, E.H. and Nahm, E.-S. (2023). Adult patients” experiences of using a patient portal with a focus on perceived benefits and difficulties, and perceptions on privacy and security: Qualitative descriptive study. </w:t>
      </w:r>
      <w:r w:rsidRPr="004C10BE">
        <w:rPr>
          <w:rFonts w:ascii="Arial" w:eastAsia="Calibri" w:hAnsi="Arial" w:cs="Arial"/>
          <w:i/>
          <w:iCs/>
          <w:color w:val="000000"/>
          <w:kern w:val="0"/>
          <w:sz w:val="22"/>
          <w:szCs w:val="22"/>
          <w:lang w:eastAsia="ar-SA"/>
          <w14:ligatures w14:val="none"/>
        </w:rPr>
        <w:t>JMIR human factors</w:t>
      </w:r>
      <w:r w:rsidRPr="004C10BE">
        <w:rPr>
          <w:rFonts w:ascii="Arial" w:eastAsia="Calibri" w:hAnsi="Arial" w:cs="Arial"/>
          <w:color w:val="000000"/>
          <w:kern w:val="0"/>
          <w:sz w:val="22"/>
          <w:szCs w:val="22"/>
          <w:lang w:eastAsia="ar-SA"/>
          <w14:ligatures w14:val="none"/>
        </w:rPr>
        <w:t xml:space="preserve">, [online] 10, p.e46044. </w:t>
      </w:r>
      <w:hyperlink r:id="rId23" w:history="1">
        <w:r w:rsidRPr="004C10BE">
          <w:rPr>
            <w:rFonts w:ascii="Arial" w:eastAsia="Calibri" w:hAnsi="Arial" w:cs="Arial"/>
            <w:color w:val="000080"/>
            <w:kern w:val="0"/>
            <w:sz w:val="22"/>
            <w:szCs w:val="22"/>
            <w:u w:val="single"/>
            <w:lang w:eastAsia="ar-SA"/>
            <w14:ligatures w14:val="none"/>
          </w:rPr>
          <w:t>https://doi.org/10.2196/46044</w:t>
        </w:r>
      </w:hyperlink>
      <w:r w:rsidRPr="004C10BE">
        <w:rPr>
          <w:rFonts w:ascii="Arial" w:eastAsia="Calibri" w:hAnsi="Arial" w:cs="Arial"/>
          <w:color w:val="000000"/>
          <w:kern w:val="0"/>
          <w:sz w:val="22"/>
          <w:szCs w:val="22"/>
          <w:lang w:eastAsia="ar-SA"/>
          <w14:ligatures w14:val="none"/>
        </w:rPr>
        <w:t xml:space="preserve">. </w:t>
      </w:r>
    </w:p>
    <w:p w14:paraId="4C484988"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Stockwell, S., Atherton, H., Bryce, C., Campbell, J., Marriott, C., Pitchforth, E., Treadgold, B.M., Winder, R. and Newbould, J. (2025). Evolution of the general practice receptionist role and online services: Qualitative study.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p.BJGP.2024.0677. </w:t>
      </w:r>
      <w:hyperlink r:id="rId24" w:history="1">
        <w:r w:rsidRPr="004C10BE">
          <w:rPr>
            <w:rFonts w:ascii="Arial" w:eastAsia="Calibri" w:hAnsi="Arial" w:cs="Arial"/>
            <w:color w:val="000080"/>
            <w:kern w:val="0"/>
            <w:sz w:val="22"/>
            <w:szCs w:val="22"/>
            <w:u w:val="single"/>
            <w:lang w:eastAsia="ar-SA"/>
            <w14:ligatures w14:val="none"/>
          </w:rPr>
          <w:t>https://doi.org/10.3399/bjgp.2024.0677</w:t>
        </w:r>
      </w:hyperlink>
      <w:r w:rsidRPr="004C10BE">
        <w:rPr>
          <w:rFonts w:ascii="Arial" w:eastAsia="Calibri" w:hAnsi="Arial" w:cs="Arial"/>
          <w:color w:val="000000"/>
          <w:kern w:val="0"/>
          <w:sz w:val="22"/>
          <w:szCs w:val="22"/>
          <w:lang w:eastAsia="ar-SA"/>
          <w14:ligatures w14:val="none"/>
        </w:rPr>
        <w:t xml:space="preserve">. </w:t>
      </w:r>
    </w:p>
    <w:p w14:paraId="0C39C079"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Sussex, J., Atherton, H., Abel, G., Clark, C., Cockcroft, E., Leach, B., Marriott, C., Newbould, J., Pitchforth, E., Winder, R. and Campbell, J. (2024). Supporting patients’ use of digital services in Primary Health Care in England: Synthesis of evidence from a mixed methods study of “digital facilitation.” </w:t>
      </w:r>
      <w:r w:rsidRPr="004C10BE">
        <w:rPr>
          <w:rFonts w:ascii="Arial" w:eastAsia="Calibri" w:hAnsi="Arial" w:cs="Arial"/>
          <w:i/>
          <w:iCs/>
          <w:color w:val="000000"/>
          <w:kern w:val="0"/>
          <w:sz w:val="22"/>
          <w:szCs w:val="22"/>
          <w:lang w:eastAsia="ar-SA"/>
          <w14:ligatures w14:val="none"/>
        </w:rPr>
        <w:t>JMIR Human Factors</w:t>
      </w:r>
      <w:r w:rsidRPr="004C10BE">
        <w:rPr>
          <w:rFonts w:ascii="Arial" w:eastAsia="Calibri" w:hAnsi="Arial" w:cs="Arial"/>
          <w:color w:val="000000"/>
          <w:kern w:val="0"/>
          <w:sz w:val="22"/>
          <w:szCs w:val="22"/>
          <w:lang w:eastAsia="ar-SA"/>
          <w14:ligatures w14:val="none"/>
        </w:rPr>
        <w:t xml:space="preserve">, [online] 11, pp.e52516-e52516. </w:t>
      </w:r>
      <w:hyperlink r:id="rId25" w:history="1">
        <w:r w:rsidRPr="004C10BE">
          <w:rPr>
            <w:rFonts w:ascii="Arial" w:eastAsia="Calibri" w:hAnsi="Arial" w:cs="Arial"/>
            <w:color w:val="000080"/>
            <w:kern w:val="0"/>
            <w:sz w:val="22"/>
            <w:szCs w:val="22"/>
            <w:u w:val="single"/>
            <w:lang w:eastAsia="ar-SA"/>
            <w14:ligatures w14:val="none"/>
          </w:rPr>
          <w:t>https://doi.org/10.2196/52516</w:t>
        </w:r>
      </w:hyperlink>
      <w:r w:rsidRPr="004C10BE">
        <w:rPr>
          <w:rFonts w:ascii="Arial" w:eastAsia="Calibri" w:hAnsi="Arial" w:cs="Arial"/>
          <w:color w:val="000000"/>
          <w:kern w:val="0"/>
          <w:sz w:val="22"/>
          <w:szCs w:val="22"/>
          <w:lang w:eastAsia="ar-SA"/>
          <w14:ligatures w14:val="none"/>
        </w:rPr>
        <w:t xml:space="preserve">. </w:t>
      </w:r>
    </w:p>
    <w:p w14:paraId="1E99A22C"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Treadgold, B.M., Winder, R., Atherton, H., Bryce, C., Campbell, J., Marriott, C., Newbould, J., Stockwell, S. and Pitchforth, E. (2025). Use of digital facilitation to support the use of digital services in general practice in England: An interview study with key stakeholders. </w:t>
      </w:r>
      <w:r w:rsidRPr="004C10BE">
        <w:rPr>
          <w:rFonts w:ascii="Arial" w:eastAsia="Calibri" w:hAnsi="Arial" w:cs="Arial"/>
          <w:i/>
          <w:iCs/>
          <w:color w:val="000000"/>
          <w:kern w:val="0"/>
          <w:sz w:val="22"/>
          <w:szCs w:val="22"/>
          <w:lang w:eastAsia="ar-SA"/>
          <w14:ligatures w14:val="none"/>
        </w:rPr>
        <w:t>Journal of Health Services Research &amp; Policy</w:t>
      </w:r>
      <w:r w:rsidRPr="004C10BE">
        <w:rPr>
          <w:rFonts w:ascii="Arial" w:eastAsia="Calibri" w:hAnsi="Arial" w:cs="Arial"/>
          <w:color w:val="000000"/>
          <w:kern w:val="0"/>
          <w:sz w:val="22"/>
          <w:szCs w:val="22"/>
          <w:lang w:eastAsia="ar-SA"/>
          <w14:ligatures w14:val="none"/>
        </w:rPr>
        <w:t xml:space="preserve">, 30(3), pp.161–170. </w:t>
      </w:r>
      <w:hyperlink r:id="rId26" w:history="1">
        <w:r w:rsidRPr="004C10BE">
          <w:rPr>
            <w:rFonts w:ascii="Arial" w:eastAsia="Calibri" w:hAnsi="Arial" w:cs="Arial"/>
            <w:color w:val="000080"/>
            <w:kern w:val="0"/>
            <w:sz w:val="22"/>
            <w:szCs w:val="22"/>
            <w:u w:val="single"/>
            <w:lang w:eastAsia="ar-SA"/>
            <w14:ligatures w14:val="none"/>
          </w:rPr>
          <w:t>https://doi.org/10.1177/13558196251316446</w:t>
        </w:r>
      </w:hyperlink>
      <w:r w:rsidRPr="004C10BE">
        <w:rPr>
          <w:rFonts w:ascii="Arial" w:eastAsia="Calibri" w:hAnsi="Arial" w:cs="Arial"/>
          <w:color w:val="000000"/>
          <w:kern w:val="0"/>
          <w:sz w:val="22"/>
          <w:szCs w:val="22"/>
          <w:lang w:eastAsia="ar-SA"/>
          <w14:ligatures w14:val="none"/>
        </w:rPr>
        <w:t xml:space="preserve">. </w:t>
      </w:r>
    </w:p>
    <w:p w14:paraId="06EF3F04"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Turner, A., Morris, R., McDonagh, L., Hamilton, F., Blake, S., Farr, M., Stevenson, F., Banks, J., Atherton, H., Rakhra, D., Lasseter, G., Feder, G., Ziebland, S., Hyde, E., Powell, J. and Horwood, J. (2022). Unintended consequences of patient online access to health records: A qualitative study in UK primary care.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73(726), p.BJGP.2021.0720. </w:t>
      </w:r>
      <w:hyperlink r:id="rId27" w:history="1">
        <w:r w:rsidRPr="004C10BE">
          <w:rPr>
            <w:rFonts w:ascii="Arial" w:eastAsia="Calibri" w:hAnsi="Arial" w:cs="Arial"/>
            <w:color w:val="000080"/>
            <w:kern w:val="0"/>
            <w:sz w:val="22"/>
            <w:szCs w:val="22"/>
            <w:u w:val="single"/>
            <w:lang w:eastAsia="ar-SA"/>
            <w14:ligatures w14:val="none"/>
          </w:rPr>
          <w:t>https://doi.org/10.3399/bjgp.2021.0720</w:t>
        </w:r>
      </w:hyperlink>
      <w:r w:rsidRPr="004C10BE">
        <w:rPr>
          <w:rFonts w:ascii="Arial" w:eastAsia="Calibri" w:hAnsi="Arial" w:cs="Arial"/>
          <w:color w:val="000000"/>
          <w:kern w:val="0"/>
          <w:sz w:val="22"/>
          <w:szCs w:val="22"/>
          <w:lang w:eastAsia="ar-SA"/>
          <w14:ligatures w14:val="none"/>
        </w:rPr>
        <w:t xml:space="preserve">. </w:t>
      </w:r>
    </w:p>
    <w:p w14:paraId="23512571"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Turner, A., Morris, R., Rakhra, D., Stevenson, F., McDonagh, L., Hamilton, F., Atherton, H., Farr, M., Blake, S., Banks, J., Lasseter, G., Ziebland, S., Hyde, E., Powell, J. and Horwood, J. (2021). Unintended consequences of online consultations: A qualitative study in UK primary care.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72(715), p.BJGP.2021.0426. </w:t>
      </w:r>
      <w:hyperlink r:id="rId28" w:history="1">
        <w:r w:rsidRPr="004C10BE">
          <w:rPr>
            <w:rFonts w:ascii="Arial" w:eastAsia="Calibri" w:hAnsi="Arial" w:cs="Arial"/>
            <w:color w:val="000080"/>
            <w:kern w:val="0"/>
            <w:sz w:val="22"/>
            <w:szCs w:val="22"/>
            <w:u w:val="single"/>
            <w:lang w:eastAsia="ar-SA"/>
            <w14:ligatures w14:val="none"/>
          </w:rPr>
          <w:t>https://doi.org/10.3399/bjgp.2021.0426</w:t>
        </w:r>
      </w:hyperlink>
      <w:r w:rsidRPr="004C10BE">
        <w:rPr>
          <w:rFonts w:ascii="Arial" w:eastAsia="Calibri" w:hAnsi="Arial" w:cs="Arial"/>
          <w:color w:val="000000"/>
          <w:kern w:val="0"/>
          <w:sz w:val="22"/>
          <w:szCs w:val="22"/>
          <w:lang w:eastAsia="ar-SA"/>
          <w14:ligatures w14:val="none"/>
        </w:rPr>
        <w:t xml:space="preserve">. </w:t>
      </w:r>
    </w:p>
    <w:p w14:paraId="7B16213C"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Zhang, J., Gallifant, J., Pierce, R.L., Fordham, A., Teo, J., Celi, L. and Ashrafian, H. (2023). Quantifying digital health inequality across a national healthcare system. </w:t>
      </w:r>
      <w:r w:rsidRPr="004C10BE">
        <w:rPr>
          <w:rFonts w:ascii="Arial" w:eastAsia="Calibri" w:hAnsi="Arial" w:cs="Arial"/>
          <w:i/>
          <w:iCs/>
          <w:color w:val="000000"/>
          <w:kern w:val="0"/>
          <w:sz w:val="22"/>
          <w:szCs w:val="22"/>
          <w:lang w:eastAsia="ar-SA"/>
          <w14:ligatures w14:val="none"/>
        </w:rPr>
        <w:t>BMJ Health &amp; Care Informatics</w:t>
      </w:r>
      <w:r w:rsidRPr="004C10BE">
        <w:rPr>
          <w:rFonts w:ascii="Arial" w:eastAsia="Calibri" w:hAnsi="Arial" w:cs="Arial"/>
          <w:color w:val="000000"/>
          <w:kern w:val="0"/>
          <w:sz w:val="22"/>
          <w:szCs w:val="22"/>
          <w:lang w:eastAsia="ar-SA"/>
          <w14:ligatures w14:val="none"/>
        </w:rPr>
        <w:t xml:space="preserve">, [online] 30(1), p.e100809. </w:t>
      </w:r>
      <w:hyperlink r:id="rId29" w:history="1">
        <w:r w:rsidRPr="004C10BE">
          <w:rPr>
            <w:rFonts w:ascii="Arial" w:eastAsia="Calibri" w:hAnsi="Arial" w:cs="Arial"/>
            <w:color w:val="000080"/>
            <w:kern w:val="0"/>
            <w:sz w:val="22"/>
            <w:szCs w:val="22"/>
            <w:u w:val="single"/>
            <w:lang w:eastAsia="ar-SA"/>
            <w14:ligatures w14:val="none"/>
          </w:rPr>
          <w:t>https://doi.org/10.1136/bmjhci-2023-100809</w:t>
        </w:r>
      </w:hyperlink>
      <w:r w:rsidRPr="004C10BE">
        <w:rPr>
          <w:rFonts w:ascii="Arial" w:eastAsia="Calibri" w:hAnsi="Arial" w:cs="Arial"/>
          <w:color w:val="000000"/>
          <w:kern w:val="0"/>
          <w:sz w:val="22"/>
          <w:szCs w:val="22"/>
          <w:lang w:eastAsia="ar-SA"/>
          <w14:ligatures w14:val="none"/>
        </w:rPr>
        <w:t xml:space="preserve">. </w:t>
      </w:r>
    </w:p>
    <w:p w14:paraId="1B05FC0D"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w:t>
      </w:r>
    </w:p>
    <w:p w14:paraId="4FA33EF0" w14:textId="77777777" w:rsidR="0009185E" w:rsidRDefault="0009185E" w:rsidP="0019713B"/>
    <w:p w14:paraId="6137D839" w14:textId="77777777" w:rsidR="008F2DFB" w:rsidRPr="008F2DFB" w:rsidRDefault="008F2DFB" w:rsidP="008F2DFB">
      <w:pPr>
        <w:spacing w:line="259" w:lineRule="auto"/>
        <w:rPr>
          <w:rFonts w:eastAsiaTheme="minorHAnsi"/>
          <w:sz w:val="22"/>
          <w:szCs w:val="22"/>
          <w:lang w:eastAsia="en-US"/>
        </w:rPr>
      </w:pPr>
    </w:p>
    <w:p w14:paraId="366EFF3D" w14:textId="77777777" w:rsidR="008F2DFB" w:rsidRPr="008F2DFB" w:rsidRDefault="008F2DFB" w:rsidP="008F2DFB">
      <w:pPr>
        <w:spacing w:line="259" w:lineRule="auto"/>
        <w:rPr>
          <w:rFonts w:eastAsiaTheme="minorHAnsi"/>
          <w:sz w:val="22"/>
          <w:szCs w:val="22"/>
          <w:lang w:eastAsia="en-US"/>
        </w:rPr>
      </w:pPr>
    </w:p>
    <w:p w14:paraId="5B429CA7" w14:textId="77777777" w:rsidR="008F2DFB" w:rsidRPr="008F2DFB" w:rsidRDefault="008F2DFB" w:rsidP="008F2DFB">
      <w:pPr>
        <w:spacing w:line="259" w:lineRule="auto"/>
        <w:rPr>
          <w:rFonts w:eastAsiaTheme="minorHAnsi"/>
          <w:sz w:val="22"/>
          <w:szCs w:val="22"/>
          <w:lang w:eastAsia="en-US"/>
        </w:rPr>
      </w:pPr>
    </w:p>
    <w:p w14:paraId="2580962D" w14:textId="77777777" w:rsidR="008F2DFB" w:rsidRPr="008F2DFB" w:rsidRDefault="008F2DFB" w:rsidP="008F2DFB">
      <w:pPr>
        <w:spacing w:line="259" w:lineRule="auto"/>
        <w:rPr>
          <w:rFonts w:eastAsiaTheme="minorHAnsi"/>
          <w:sz w:val="22"/>
          <w:szCs w:val="22"/>
          <w:lang w:eastAsia="en-US"/>
        </w:rPr>
      </w:pPr>
    </w:p>
    <w:p w14:paraId="510DF837" w14:textId="77777777" w:rsidR="008F2DFB" w:rsidRPr="008F2DFB" w:rsidRDefault="008F2DFB" w:rsidP="008F2DFB">
      <w:pPr>
        <w:spacing w:line="259" w:lineRule="auto"/>
        <w:rPr>
          <w:rFonts w:eastAsiaTheme="minorHAnsi"/>
          <w:sz w:val="22"/>
          <w:szCs w:val="22"/>
          <w:lang w:eastAsia="en-US"/>
        </w:rPr>
      </w:pPr>
    </w:p>
    <w:p w14:paraId="1FF834D8" w14:textId="77777777" w:rsidR="008F2DFB" w:rsidRPr="008F2DFB" w:rsidRDefault="008F2DFB" w:rsidP="008F2DFB">
      <w:pPr>
        <w:spacing w:line="259" w:lineRule="auto"/>
        <w:rPr>
          <w:rFonts w:eastAsiaTheme="minorHAnsi"/>
          <w:sz w:val="22"/>
          <w:szCs w:val="22"/>
          <w:lang w:eastAsia="en-US"/>
        </w:rPr>
      </w:pPr>
    </w:p>
    <w:p w14:paraId="100FF44D" w14:textId="77777777" w:rsidR="008F2DFB" w:rsidRPr="008F2DFB" w:rsidRDefault="008F2DFB" w:rsidP="008F2DFB">
      <w:pPr>
        <w:spacing w:line="259" w:lineRule="auto"/>
        <w:rPr>
          <w:rFonts w:eastAsiaTheme="minorHAnsi"/>
          <w:sz w:val="22"/>
          <w:szCs w:val="22"/>
          <w:lang w:eastAsia="en-US"/>
        </w:rPr>
      </w:pPr>
    </w:p>
    <w:p w14:paraId="4F1BD96E" w14:textId="77777777" w:rsidR="008F2DFB" w:rsidRPr="008F2DFB" w:rsidRDefault="008F2DFB" w:rsidP="008F2DFB">
      <w:pPr>
        <w:spacing w:line="259" w:lineRule="auto"/>
        <w:rPr>
          <w:rFonts w:eastAsiaTheme="minorHAnsi"/>
          <w:sz w:val="22"/>
          <w:szCs w:val="22"/>
          <w:lang w:eastAsia="en-US"/>
        </w:rPr>
      </w:pPr>
    </w:p>
    <w:sectPr w:rsidR="008F2DFB" w:rsidRPr="008F2DFB" w:rsidSect="008F2DFB">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F63207" w14:textId="77777777" w:rsidR="005C0473" w:rsidRDefault="005C0473">
      <w:pPr>
        <w:spacing w:after="0" w:line="240" w:lineRule="auto"/>
      </w:pPr>
      <w:r>
        <w:separator/>
      </w:r>
    </w:p>
  </w:endnote>
  <w:endnote w:type="continuationSeparator" w:id="0">
    <w:p w14:paraId="5C6F322D" w14:textId="77777777" w:rsidR="005C0473" w:rsidRDefault="005C0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403E4D" w14:textId="77777777" w:rsidR="005C0473" w:rsidRDefault="005C0473">
      <w:pPr>
        <w:spacing w:after="0" w:line="240" w:lineRule="auto"/>
      </w:pPr>
      <w:r>
        <w:separator/>
      </w:r>
    </w:p>
  </w:footnote>
  <w:footnote w:type="continuationSeparator" w:id="0">
    <w:p w14:paraId="32AACBCA" w14:textId="77777777" w:rsidR="005C0473" w:rsidRDefault="005C0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7F7F7F" w:themeColor="background1" w:themeShade="7F"/>
        <w:spacing w:val="60"/>
      </w:rPr>
      <w:id w:val="-1812018684"/>
      <w:docPartObj>
        <w:docPartGallery w:val="Page Numbers (Top of Page)"/>
        <w:docPartUnique/>
      </w:docPartObj>
    </w:sdtPr>
    <w:sdtEndPr>
      <w:rPr>
        <w:b/>
        <w:bCs/>
        <w:color w:val="auto"/>
        <w:spacing w:val="0"/>
      </w:rPr>
    </w:sdtEndPr>
    <w:sdtContent>
      <w:p w14:paraId="48B24038" w14:textId="77777777" w:rsidR="008F2DFB" w:rsidRDefault="008F2DF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79567F14" w14:textId="77777777" w:rsidR="008F2DFB" w:rsidRDefault="008F2DFB">
    <w:pPr>
      <w:pStyle w:val="Header"/>
    </w:pPr>
    <w:r>
      <w:t>2330125</w:t>
    </w:r>
  </w:p>
</w:hdr>
</file>

<file path=word/intelligence2.xml><?xml version="1.0" encoding="utf-8"?>
<int2:intelligence xmlns:int2="http://schemas.microsoft.com/office/intelligence/2020/intelligence" xmlns:oel="http://schemas.microsoft.com/office/2019/extlst">
  <int2:observations>
    <int2:bookmark int2:bookmarkName="_Int_QDMBMhwE" int2:invalidationBookmarkName="" int2:hashCode="ySxSngcxxX79dV" int2:id="nPZ3ALqO">
      <int2:state int2:value="Rejected" int2:type="style"/>
    </int2:bookmark>
    <int2:bookmark int2:bookmarkName="_Int_6s7y18GE" int2:invalidationBookmarkName="" int2:hashCode="Qv4vRDJi8jd0Nc" int2:id="Dh6FNZ4z">
      <int2:state int2:value="Rejected" int2:type="style"/>
    </int2:bookmark>
    <int2:bookmark int2:bookmarkName="_Int_2ZOYlngx" int2:invalidationBookmarkName="" int2:hashCode="vh1gtuaBST2UIT" int2:id="J4ouewbZ">
      <int2:state int2:value="Rejected" int2:type="style"/>
    </int2:bookmark>
    <int2:bookmark int2:bookmarkName="_Int_ywW9ohTS" int2:invalidationBookmarkName="" int2:hashCode="mxUYJQT+CtU5OT" int2:id="nZKb5Xbh">
      <int2:state int2:value="Rejected" int2:type="style"/>
    </int2:bookmark>
    <int2:bookmark int2:bookmarkName="_Int_V39wcNCO" int2:invalidationBookmarkName="" int2:hashCode="5sI2PUUDC3XtUc" int2:id="sIJWPxjq">
      <int2:state int2:value="Rejected" int2:type="style"/>
    </int2:bookmark>
    <int2:bookmark int2:bookmarkName="_Int_MFXwF2jN" int2:invalidationBookmarkName="" int2:hashCode="rEOVniYGwxJINP" int2:id="Y7dcWpxV">
      <int2:state int2:value="Rejected" int2:type="style"/>
    </int2:bookmark>
    <int2:bookmark int2:bookmarkName="_Int_dOoGzT3K" int2:invalidationBookmarkName="" int2:hashCode="6CUAMAP/FOtOmw" int2:id="7zP6uPA7">
      <int2:state int2:value="Rejected" int2:type="style"/>
    </int2:bookmark>
    <int2:bookmark int2:bookmarkName="_Int_mh9GHVTp" int2:invalidationBookmarkName="" int2:hashCode="VM8FcnRWvSq83H" int2:id="obUoT00W">
      <int2:state int2:value="Rejected" int2:type="style"/>
    </int2:bookmark>
    <int2:bookmark int2:bookmarkName="_Int_s8WN59WP" int2:invalidationBookmarkName="" int2:hashCode="TlzaKOaAWmPrVz" int2:id="5haZohZp">
      <int2:state int2:value="Rejected" int2:type="style"/>
    </int2:bookmark>
    <int2:bookmark int2:bookmarkName="_Int_BY6Zc5d2" int2:invalidationBookmarkName="" int2:hashCode="FX4ZoX0EXWoGns" int2:id="C3s3tY4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4C108D9"/>
    <w:multiLevelType w:val="hybridMultilevel"/>
    <w:tmpl w:val="3CEE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2231F0"/>
    <w:multiLevelType w:val="hybridMultilevel"/>
    <w:tmpl w:val="DF4AC13A"/>
    <w:lvl w:ilvl="0" w:tplc="08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A85818"/>
    <w:multiLevelType w:val="hybridMultilevel"/>
    <w:tmpl w:val="FBF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7161034">
    <w:abstractNumId w:val="1"/>
  </w:num>
  <w:num w:numId="2" w16cid:durableId="1916815557">
    <w:abstractNumId w:val="3"/>
  </w:num>
  <w:num w:numId="3" w16cid:durableId="1577518242">
    <w:abstractNumId w:val="2"/>
  </w:num>
  <w:num w:numId="4" w16cid:durableId="107682834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FB"/>
    <w:rsid w:val="000177E9"/>
    <w:rsid w:val="00030E0C"/>
    <w:rsid w:val="0009185E"/>
    <w:rsid w:val="000B4885"/>
    <w:rsid w:val="00111560"/>
    <w:rsid w:val="00127A1D"/>
    <w:rsid w:val="001311CB"/>
    <w:rsid w:val="00184F58"/>
    <w:rsid w:val="00364B92"/>
    <w:rsid w:val="003C2D19"/>
    <w:rsid w:val="00515206"/>
    <w:rsid w:val="005659E2"/>
    <w:rsid w:val="005C0473"/>
    <w:rsid w:val="00624EB4"/>
    <w:rsid w:val="0063692D"/>
    <w:rsid w:val="00694946"/>
    <w:rsid w:val="006A7D16"/>
    <w:rsid w:val="006F474E"/>
    <w:rsid w:val="007423BC"/>
    <w:rsid w:val="00770865"/>
    <w:rsid w:val="007C5E4D"/>
    <w:rsid w:val="008438B0"/>
    <w:rsid w:val="0085668A"/>
    <w:rsid w:val="008C04C2"/>
    <w:rsid w:val="008D16DD"/>
    <w:rsid w:val="008F2DFB"/>
    <w:rsid w:val="0096482E"/>
    <w:rsid w:val="0099054F"/>
    <w:rsid w:val="009910D8"/>
    <w:rsid w:val="00A236CE"/>
    <w:rsid w:val="00A23D14"/>
    <w:rsid w:val="00A30383"/>
    <w:rsid w:val="00AA4168"/>
    <w:rsid w:val="00AF195D"/>
    <w:rsid w:val="00AF4196"/>
    <w:rsid w:val="00B40CAD"/>
    <w:rsid w:val="00BE604D"/>
    <w:rsid w:val="00BE7984"/>
    <w:rsid w:val="00C34B55"/>
    <w:rsid w:val="00CF5D31"/>
    <w:rsid w:val="00D003E5"/>
    <w:rsid w:val="00D83445"/>
    <w:rsid w:val="00DE69D2"/>
    <w:rsid w:val="00EE28C2"/>
    <w:rsid w:val="00F02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6049E"/>
  <w15:chartTrackingRefBased/>
  <w15:docId w15:val="{7969B277-2E28-0246-A313-4FAD2D60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DFB"/>
    <w:rPr>
      <w:rFonts w:eastAsiaTheme="majorEastAsia" w:cstheme="majorBidi"/>
      <w:color w:val="272727" w:themeColor="text1" w:themeTint="D8"/>
    </w:rPr>
  </w:style>
  <w:style w:type="paragraph" w:styleId="Title">
    <w:name w:val="Title"/>
    <w:basedOn w:val="Normal"/>
    <w:next w:val="Normal"/>
    <w:link w:val="TitleChar"/>
    <w:uiPriority w:val="10"/>
    <w:qFormat/>
    <w:rsid w:val="008F2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DFB"/>
    <w:pPr>
      <w:spacing w:before="160"/>
      <w:jc w:val="center"/>
    </w:pPr>
    <w:rPr>
      <w:i/>
      <w:iCs/>
      <w:color w:val="404040" w:themeColor="text1" w:themeTint="BF"/>
    </w:rPr>
  </w:style>
  <w:style w:type="character" w:customStyle="1" w:styleId="QuoteChar">
    <w:name w:val="Quote Char"/>
    <w:basedOn w:val="DefaultParagraphFont"/>
    <w:link w:val="Quote"/>
    <w:uiPriority w:val="29"/>
    <w:rsid w:val="008F2DFB"/>
    <w:rPr>
      <w:i/>
      <w:iCs/>
      <w:color w:val="404040" w:themeColor="text1" w:themeTint="BF"/>
    </w:rPr>
  </w:style>
  <w:style w:type="paragraph" w:styleId="ListParagraph">
    <w:name w:val="List Paragraph"/>
    <w:basedOn w:val="Normal"/>
    <w:uiPriority w:val="34"/>
    <w:qFormat/>
    <w:rsid w:val="008F2DFB"/>
    <w:pPr>
      <w:ind w:left="720"/>
      <w:contextualSpacing/>
    </w:pPr>
  </w:style>
  <w:style w:type="character" w:styleId="IntenseEmphasis">
    <w:name w:val="Intense Emphasis"/>
    <w:basedOn w:val="DefaultParagraphFont"/>
    <w:uiPriority w:val="21"/>
    <w:qFormat/>
    <w:rsid w:val="008F2DFB"/>
    <w:rPr>
      <w:i/>
      <w:iCs/>
      <w:color w:val="0F4761" w:themeColor="accent1" w:themeShade="BF"/>
    </w:rPr>
  </w:style>
  <w:style w:type="paragraph" w:styleId="IntenseQuote">
    <w:name w:val="Intense Quote"/>
    <w:basedOn w:val="Normal"/>
    <w:next w:val="Normal"/>
    <w:link w:val="IntenseQuoteChar"/>
    <w:uiPriority w:val="30"/>
    <w:qFormat/>
    <w:rsid w:val="008F2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DFB"/>
    <w:rPr>
      <w:i/>
      <w:iCs/>
      <w:color w:val="0F4761" w:themeColor="accent1" w:themeShade="BF"/>
    </w:rPr>
  </w:style>
  <w:style w:type="character" w:styleId="IntenseReference">
    <w:name w:val="Intense Reference"/>
    <w:basedOn w:val="DefaultParagraphFont"/>
    <w:uiPriority w:val="32"/>
    <w:qFormat/>
    <w:rsid w:val="008F2DFB"/>
    <w:rPr>
      <w:b/>
      <w:bCs/>
      <w:smallCaps/>
      <w:color w:val="0F4761" w:themeColor="accent1" w:themeShade="BF"/>
      <w:spacing w:val="5"/>
    </w:rPr>
  </w:style>
  <w:style w:type="table" w:styleId="TableGrid">
    <w:name w:val="Table Grid"/>
    <w:basedOn w:val="TableNormal"/>
    <w:uiPriority w:val="39"/>
    <w:rsid w:val="008F2DFB"/>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2DFB"/>
    <w:pPr>
      <w:tabs>
        <w:tab w:val="center" w:pos="4513"/>
        <w:tab w:val="right" w:pos="9026"/>
      </w:tabs>
      <w:spacing w:after="0" w:line="240" w:lineRule="auto"/>
    </w:pPr>
    <w:rPr>
      <w:rFonts w:eastAsiaTheme="minorHAnsi"/>
      <w:sz w:val="22"/>
      <w:szCs w:val="22"/>
      <w:lang w:eastAsia="en-US"/>
    </w:rPr>
  </w:style>
  <w:style w:type="character" w:customStyle="1" w:styleId="HeaderChar">
    <w:name w:val="Header Char"/>
    <w:basedOn w:val="DefaultParagraphFont"/>
    <w:link w:val="Header"/>
    <w:uiPriority w:val="99"/>
    <w:rsid w:val="008F2DFB"/>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96/51272" TargetMode="External"/><Relationship Id="rId18" Type="http://schemas.openxmlformats.org/officeDocument/2006/relationships/hyperlink" Target="https://doi.org/10.3399/BJGP.2023.0076" TargetMode="External"/><Relationship Id="rId26" Type="http://schemas.openxmlformats.org/officeDocument/2006/relationships/hyperlink" Target="https://doi.org/10.1177/13558196251316446" TargetMode="External"/><Relationship Id="rId3" Type="http://schemas.openxmlformats.org/officeDocument/2006/relationships/settings" Target="settings.xml"/><Relationship Id="rId21" Type="http://schemas.openxmlformats.org/officeDocument/2006/relationships/hyperlink" Target="https://www.england.nhs.uk/long-read/inclusive-digital-healthcare-a-framework-for-nhs-action-on-digital-inclusion/" TargetMode="External"/><Relationship Id="rId7" Type="http://schemas.openxmlformats.org/officeDocument/2006/relationships/image" Target="media/image1.png"/><Relationship Id="rId12" Type="http://schemas.openxmlformats.org/officeDocument/2006/relationships/hyperlink" Target="https://www.gov.uk/government/publications/a-plan-for-digital-health-and-social-care" TargetMode="External"/><Relationship Id="rId17" Type="http://schemas.openxmlformats.org/officeDocument/2006/relationships/hyperlink" Target="https://doi.org/10.1177/10497323231192379" TargetMode="External"/><Relationship Id="rId25" Type="http://schemas.openxmlformats.org/officeDocument/2006/relationships/hyperlink" Target="https://doi.org/10.2196/52516"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doi.org/10.3399/BJGP.2022.0150" TargetMode="External"/><Relationship Id="rId20" Type="http://schemas.openxmlformats.org/officeDocument/2006/relationships/hyperlink" Target="https://www.nhs.uk/nhs-app/about/privacy-legal-information/nhs-app-terms-of-use/" TargetMode="External"/><Relationship Id="rId29" Type="http://schemas.openxmlformats.org/officeDocument/2006/relationships/hyperlink" Target="https://doi.org/10.1136/bmjhci-2023-1008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ec.2025.109192" TargetMode="External"/><Relationship Id="rId24" Type="http://schemas.openxmlformats.org/officeDocument/2006/relationships/hyperlink" Target="https://doi.org/10.3399/bjgp.2024.067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196/56320" TargetMode="External"/><Relationship Id="rId23" Type="http://schemas.openxmlformats.org/officeDocument/2006/relationships/hyperlink" Target="https://doi.org/10.2196/46044" TargetMode="External"/><Relationship Id="rId28" Type="http://schemas.openxmlformats.org/officeDocument/2006/relationships/hyperlink" Target="https://doi.org/10.3399/bjgp.2021.0426" TargetMode="External"/><Relationship Id="rId10" Type="http://schemas.openxmlformats.org/officeDocument/2006/relationships/hyperlink" Target="https://doi.org/10.1136/bmjopen-2023-078158" TargetMode="External"/><Relationship Id="rId19" Type="http://schemas.openxmlformats.org/officeDocument/2006/relationships/hyperlink" Target="https://doi.org/10.3399/BJGP.2024.013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196/43496" TargetMode="External"/><Relationship Id="rId14" Type="http://schemas.openxmlformats.org/officeDocument/2006/relationships/hyperlink" Target="https://doi.org/10.3399/bjgp.2024.0308" TargetMode="External"/><Relationship Id="rId22" Type="http://schemas.openxmlformats.org/officeDocument/2006/relationships/hyperlink" Target="https://doi.org/10.1186/s12916-024-03842-w" TargetMode="External"/><Relationship Id="rId27" Type="http://schemas.openxmlformats.org/officeDocument/2006/relationships/hyperlink" Target="https://doi.org/10.3399/bjgp.2021.0720" TargetMode="External"/><Relationship Id="rId30" Type="http://schemas.openxmlformats.org/officeDocument/2006/relationships/header" Target="header1.xml"/><Relationship Id="rId8" Type="http://schemas.openxmlformats.org/officeDocument/2006/relationships/hyperlink" Target="https://doi.org/10.1136/bmjopen-2024-093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3603</Words>
  <Characters>20542</Characters>
  <Application>Microsoft Office Word</Application>
  <DocSecurity>0</DocSecurity>
  <Lines>171</Lines>
  <Paragraphs>48</Paragraphs>
  <ScaleCrop>false</ScaleCrop>
  <Company/>
  <LinksUpToDate>false</LinksUpToDate>
  <CharactersWithSpaces>24097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Princila Manu (2330125)</dc:creator>
  <cp:keywords/>
  <dc:description/>
  <cp:lastModifiedBy>Princila Manu (2330125)</cp:lastModifiedBy>
  <cp:revision>2</cp:revision>
  <dcterms:created xsi:type="dcterms:W3CDTF">2026-10-18T11:12:00Z</dcterms:created>
  <dcterms:modified xsi:type="dcterms:W3CDTF">2026-10-18T11:12:00Z</dcterms:modified>
</cp:coreProperties>
</file>