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C5779" w14:textId="77777777" w:rsidR="004C7BE6" w:rsidRDefault="004C7BE6" w:rsidP="004C7BE6">
      <w:pPr>
        <w:spacing w:before="0" w:beforeAutospacing="0" w:after="160" w:afterAutospacing="0"/>
        <w:jc w:val="center"/>
        <w:rPr>
          <w:b/>
          <w:bCs/>
          <w:sz w:val="36"/>
          <w:szCs w:val="36"/>
          <w:lang w:val="en-IN"/>
        </w:rPr>
      </w:pPr>
    </w:p>
    <w:p w14:paraId="3317EA44" w14:textId="77777777" w:rsidR="004C7BE6" w:rsidRDefault="004C7BE6" w:rsidP="004C7BE6">
      <w:pPr>
        <w:spacing w:before="0" w:beforeAutospacing="0" w:after="160" w:afterAutospacing="0"/>
        <w:jc w:val="center"/>
        <w:rPr>
          <w:b/>
          <w:bCs/>
          <w:sz w:val="36"/>
          <w:szCs w:val="36"/>
          <w:lang w:val="en-IN"/>
        </w:rPr>
      </w:pPr>
    </w:p>
    <w:p w14:paraId="37C1B679" w14:textId="77777777" w:rsidR="004C7BE6" w:rsidRDefault="004C7BE6" w:rsidP="004C7BE6">
      <w:pPr>
        <w:spacing w:before="0" w:beforeAutospacing="0" w:after="160" w:afterAutospacing="0"/>
        <w:jc w:val="center"/>
        <w:rPr>
          <w:b/>
          <w:bCs/>
          <w:sz w:val="36"/>
          <w:szCs w:val="36"/>
          <w:lang w:val="en-IN"/>
        </w:rPr>
      </w:pPr>
    </w:p>
    <w:p w14:paraId="224CE27C" w14:textId="77777777" w:rsidR="004C7BE6" w:rsidRDefault="004C7BE6" w:rsidP="004C7BE6">
      <w:pPr>
        <w:spacing w:before="0" w:beforeAutospacing="0" w:after="160" w:afterAutospacing="0"/>
        <w:jc w:val="center"/>
        <w:rPr>
          <w:b/>
          <w:bCs/>
          <w:sz w:val="36"/>
          <w:szCs w:val="36"/>
          <w:lang w:val="en-IN"/>
        </w:rPr>
      </w:pPr>
    </w:p>
    <w:p w14:paraId="69A79D60" w14:textId="77777777" w:rsidR="004C7BE6" w:rsidRDefault="004C7BE6" w:rsidP="004C7BE6">
      <w:pPr>
        <w:spacing w:before="0" w:beforeAutospacing="0" w:after="160" w:afterAutospacing="0"/>
        <w:jc w:val="center"/>
        <w:rPr>
          <w:b/>
          <w:bCs/>
          <w:sz w:val="36"/>
          <w:szCs w:val="36"/>
          <w:lang w:val="en-IN"/>
        </w:rPr>
      </w:pPr>
    </w:p>
    <w:p w14:paraId="1C298EDB" w14:textId="7A99643E" w:rsidR="00C02C5B" w:rsidRPr="00C02C5B" w:rsidRDefault="00C02C5B" w:rsidP="004C7BE6">
      <w:pPr>
        <w:spacing w:before="0" w:beforeAutospacing="0" w:after="160" w:afterAutospacing="0"/>
        <w:jc w:val="center"/>
        <w:rPr>
          <w:b/>
          <w:bCs/>
          <w:sz w:val="36"/>
          <w:szCs w:val="36"/>
          <w:lang w:val="en-IN"/>
        </w:rPr>
      </w:pPr>
      <w:r w:rsidRPr="00C02C5B">
        <w:rPr>
          <w:b/>
          <w:bCs/>
          <w:sz w:val="36"/>
          <w:szCs w:val="36"/>
          <w:lang w:val="en-IN"/>
        </w:rPr>
        <w:t>BMPL4009 Criminal Law</w:t>
      </w:r>
    </w:p>
    <w:p w14:paraId="6933B336" w14:textId="77777777" w:rsidR="00C02C5B" w:rsidRDefault="00C02C5B" w:rsidP="004C7BE6">
      <w:pPr>
        <w:spacing w:before="0" w:beforeAutospacing="0" w:after="160" w:afterAutospacing="0"/>
        <w:jc w:val="center"/>
        <w:rPr>
          <w:b/>
          <w:bCs/>
          <w:sz w:val="36"/>
          <w:szCs w:val="36"/>
          <w:lang w:val="en-IN"/>
        </w:rPr>
      </w:pPr>
      <w:r w:rsidRPr="00C02C5B">
        <w:rPr>
          <w:b/>
          <w:bCs/>
          <w:sz w:val="36"/>
          <w:szCs w:val="36"/>
          <w:lang w:val="en-IN"/>
        </w:rPr>
        <w:t xml:space="preserve">Consent and its role in cases involving </w:t>
      </w:r>
      <w:proofErr w:type="gramStart"/>
      <w:r w:rsidRPr="00C02C5B">
        <w:rPr>
          <w:b/>
          <w:bCs/>
          <w:sz w:val="36"/>
          <w:szCs w:val="36"/>
          <w:lang w:val="en-IN"/>
        </w:rPr>
        <w:t>Battery</w:t>
      </w:r>
      <w:proofErr w:type="gramEnd"/>
    </w:p>
    <w:p w14:paraId="7B3AB28E" w14:textId="77777777" w:rsidR="004C7BE6" w:rsidRDefault="004C7BE6" w:rsidP="004C7BE6">
      <w:pPr>
        <w:spacing w:before="0" w:beforeAutospacing="0" w:after="160" w:afterAutospacing="0"/>
        <w:jc w:val="center"/>
        <w:rPr>
          <w:b/>
          <w:bCs/>
          <w:i/>
          <w:iCs/>
          <w:sz w:val="28"/>
          <w:szCs w:val="28"/>
          <w:lang w:val="en-IN"/>
        </w:rPr>
      </w:pPr>
    </w:p>
    <w:p w14:paraId="09BD0903" w14:textId="4FE9E0EE" w:rsidR="00C02C5B" w:rsidRPr="004C7BE6" w:rsidRDefault="00C02C5B" w:rsidP="004C7BE6">
      <w:pPr>
        <w:spacing w:before="0" w:beforeAutospacing="0" w:after="160" w:afterAutospacing="0"/>
        <w:jc w:val="center"/>
        <w:rPr>
          <w:b/>
          <w:bCs/>
          <w:i/>
          <w:iCs/>
          <w:sz w:val="28"/>
          <w:szCs w:val="28"/>
          <w:lang w:val="en-IN"/>
        </w:rPr>
      </w:pPr>
      <w:r w:rsidRPr="004C7BE6">
        <w:rPr>
          <w:b/>
          <w:bCs/>
          <w:i/>
          <w:iCs/>
          <w:sz w:val="28"/>
          <w:szCs w:val="28"/>
          <w:lang w:val="en-IN"/>
        </w:rPr>
        <w:t>Student Name:</w:t>
      </w:r>
      <w:r w:rsidR="009321B3">
        <w:rPr>
          <w:b/>
          <w:bCs/>
          <w:i/>
          <w:iCs/>
          <w:sz w:val="28"/>
          <w:szCs w:val="28"/>
          <w:lang w:val="en-IN"/>
        </w:rPr>
        <w:t xml:space="preserve"> Madalina Ghiorghi</w:t>
      </w:r>
    </w:p>
    <w:p w14:paraId="4B651F1A" w14:textId="689390E0" w:rsidR="00C02C5B" w:rsidRPr="004C7BE6" w:rsidRDefault="00C02C5B" w:rsidP="004C7BE6">
      <w:pPr>
        <w:spacing w:before="0" w:beforeAutospacing="0" w:after="160" w:afterAutospacing="0"/>
        <w:jc w:val="center"/>
        <w:rPr>
          <w:b/>
          <w:bCs/>
          <w:i/>
          <w:iCs/>
          <w:sz w:val="28"/>
          <w:szCs w:val="28"/>
          <w:lang w:val="en-IN"/>
        </w:rPr>
      </w:pPr>
      <w:r w:rsidRPr="004C7BE6">
        <w:rPr>
          <w:b/>
          <w:bCs/>
          <w:i/>
          <w:iCs/>
          <w:sz w:val="28"/>
          <w:szCs w:val="28"/>
          <w:lang w:val="en-IN"/>
        </w:rPr>
        <w:t>Student ID:</w:t>
      </w:r>
      <w:r w:rsidR="009321B3">
        <w:rPr>
          <w:b/>
          <w:bCs/>
          <w:i/>
          <w:iCs/>
          <w:sz w:val="28"/>
          <w:szCs w:val="28"/>
          <w:lang w:val="en-IN"/>
        </w:rPr>
        <w:t xml:space="preserve"> 2215490</w:t>
      </w:r>
    </w:p>
    <w:p w14:paraId="2E0C5AE3" w14:textId="1F0FB87C" w:rsidR="004C7BE6" w:rsidRPr="004C7BE6" w:rsidRDefault="00C02C5B" w:rsidP="004C7BE6">
      <w:pPr>
        <w:spacing w:before="0" w:beforeAutospacing="0" w:after="160" w:afterAutospacing="0"/>
        <w:jc w:val="center"/>
        <w:rPr>
          <w:b/>
          <w:bCs/>
          <w:i/>
          <w:iCs/>
          <w:sz w:val="28"/>
          <w:szCs w:val="28"/>
          <w:lang w:val="en-IN"/>
        </w:rPr>
      </w:pPr>
      <w:r w:rsidRPr="004C7BE6">
        <w:rPr>
          <w:b/>
          <w:bCs/>
          <w:i/>
          <w:iCs/>
          <w:sz w:val="28"/>
          <w:szCs w:val="28"/>
          <w:lang w:val="en-IN"/>
        </w:rPr>
        <w:t>Name of the Lectu</w:t>
      </w:r>
      <w:r w:rsidR="004C7BE6" w:rsidRPr="004C7BE6">
        <w:rPr>
          <w:b/>
          <w:bCs/>
          <w:i/>
          <w:iCs/>
          <w:sz w:val="28"/>
          <w:szCs w:val="28"/>
          <w:lang w:val="en-IN"/>
        </w:rPr>
        <w:t>rer:</w:t>
      </w:r>
      <w:r w:rsidR="009321B3">
        <w:rPr>
          <w:b/>
          <w:bCs/>
          <w:i/>
          <w:iCs/>
          <w:sz w:val="28"/>
          <w:szCs w:val="28"/>
          <w:lang w:val="en-IN"/>
        </w:rPr>
        <w:t xml:space="preserve"> Laura Humphries</w:t>
      </w:r>
    </w:p>
    <w:p w14:paraId="1FB77D91" w14:textId="0C4D946D" w:rsidR="00C02C5B" w:rsidRDefault="004C7BE6" w:rsidP="004C7BE6">
      <w:pPr>
        <w:spacing w:before="0" w:beforeAutospacing="0" w:after="160" w:afterAutospacing="0"/>
        <w:jc w:val="center"/>
        <w:rPr>
          <w:b/>
          <w:bCs/>
          <w:lang w:val="en-IN"/>
        </w:rPr>
      </w:pPr>
      <w:r w:rsidRPr="004C7BE6">
        <w:rPr>
          <w:b/>
          <w:bCs/>
          <w:i/>
          <w:iCs/>
          <w:sz w:val="28"/>
          <w:szCs w:val="28"/>
          <w:lang w:val="en-IN"/>
        </w:rPr>
        <w:t>Date:</w:t>
      </w:r>
      <w:r w:rsidR="009321B3">
        <w:rPr>
          <w:b/>
          <w:bCs/>
          <w:i/>
          <w:iCs/>
          <w:sz w:val="28"/>
          <w:szCs w:val="28"/>
          <w:lang w:val="en-IN"/>
        </w:rPr>
        <w:t xml:space="preserve"> 10.11.2023</w:t>
      </w:r>
      <w:r w:rsidR="00C02C5B">
        <w:rPr>
          <w:b/>
          <w:bCs/>
          <w:lang w:val="en-IN"/>
        </w:rPr>
        <w:br w:type="page"/>
      </w:r>
    </w:p>
    <w:sdt>
      <w:sdtPr>
        <w:rPr>
          <w:rFonts w:ascii="Arial" w:eastAsiaTheme="minorHAnsi" w:hAnsi="Arial" w:cstheme="minorBidi"/>
          <w:color w:val="auto"/>
          <w:sz w:val="24"/>
          <w:szCs w:val="22"/>
          <w:lang w:val="en-GB"/>
        </w:rPr>
        <w:id w:val="-970422"/>
        <w:docPartObj>
          <w:docPartGallery w:val="Table of Contents"/>
          <w:docPartUnique/>
        </w:docPartObj>
      </w:sdtPr>
      <w:sdtEndPr>
        <w:rPr>
          <w:b/>
          <w:bCs/>
          <w:noProof/>
        </w:rPr>
      </w:sdtEndPr>
      <w:sdtContent>
        <w:p w14:paraId="099329A8" w14:textId="438C7F37" w:rsidR="00811796" w:rsidRPr="00811796" w:rsidRDefault="00811796" w:rsidP="00811796">
          <w:pPr>
            <w:pStyle w:val="TOCHeading"/>
            <w:jc w:val="center"/>
            <w:rPr>
              <w:rFonts w:ascii="Arial" w:hAnsi="Arial" w:cs="Arial"/>
              <w:b/>
              <w:bCs/>
              <w:color w:val="000000" w:themeColor="text1"/>
              <w:sz w:val="24"/>
              <w:szCs w:val="24"/>
            </w:rPr>
          </w:pPr>
          <w:r w:rsidRPr="00811796">
            <w:rPr>
              <w:rFonts w:ascii="Arial" w:hAnsi="Arial" w:cs="Arial"/>
              <w:b/>
              <w:bCs/>
              <w:color w:val="000000" w:themeColor="text1"/>
              <w:sz w:val="24"/>
              <w:szCs w:val="24"/>
            </w:rPr>
            <w:t>Table of Contents</w:t>
          </w:r>
        </w:p>
        <w:p w14:paraId="045C4260" w14:textId="066048C3" w:rsidR="00811796" w:rsidRDefault="00811796">
          <w:pPr>
            <w:pStyle w:val="TOC1"/>
            <w:tabs>
              <w:tab w:val="right" w:leader="dot" w:pos="9016"/>
            </w:tabs>
            <w:rPr>
              <w:noProof/>
            </w:rPr>
          </w:pPr>
          <w:r>
            <w:fldChar w:fldCharType="begin"/>
          </w:r>
          <w:r>
            <w:instrText xml:space="preserve"> TOC \o "1-3" \h \z \u </w:instrText>
          </w:r>
          <w:r>
            <w:fldChar w:fldCharType="separate"/>
          </w:r>
          <w:hyperlink w:anchor="_Toc149404889" w:history="1">
            <w:r w:rsidRPr="00501117">
              <w:rPr>
                <w:rStyle w:val="Hyperlink"/>
                <w:noProof/>
                <w:lang w:val="en-IN"/>
              </w:rPr>
              <w:t>Introduction</w:t>
            </w:r>
            <w:r>
              <w:rPr>
                <w:noProof/>
                <w:webHidden/>
              </w:rPr>
              <w:tab/>
            </w:r>
            <w:r>
              <w:rPr>
                <w:noProof/>
                <w:webHidden/>
              </w:rPr>
              <w:fldChar w:fldCharType="begin"/>
            </w:r>
            <w:r>
              <w:rPr>
                <w:noProof/>
                <w:webHidden/>
              </w:rPr>
              <w:instrText xml:space="preserve"> PAGEREF _Toc149404889 \h </w:instrText>
            </w:r>
            <w:r>
              <w:rPr>
                <w:noProof/>
                <w:webHidden/>
              </w:rPr>
            </w:r>
            <w:r>
              <w:rPr>
                <w:noProof/>
                <w:webHidden/>
              </w:rPr>
              <w:fldChar w:fldCharType="separate"/>
            </w:r>
            <w:r>
              <w:rPr>
                <w:noProof/>
                <w:webHidden/>
              </w:rPr>
              <w:t>3</w:t>
            </w:r>
            <w:r>
              <w:rPr>
                <w:noProof/>
                <w:webHidden/>
              </w:rPr>
              <w:fldChar w:fldCharType="end"/>
            </w:r>
          </w:hyperlink>
        </w:p>
        <w:p w14:paraId="626B1418" w14:textId="387BF9AA" w:rsidR="00811796" w:rsidRDefault="00000000">
          <w:pPr>
            <w:pStyle w:val="TOC1"/>
            <w:tabs>
              <w:tab w:val="right" w:leader="dot" w:pos="9016"/>
            </w:tabs>
            <w:rPr>
              <w:noProof/>
            </w:rPr>
          </w:pPr>
          <w:hyperlink w:anchor="_Toc149404890" w:history="1">
            <w:r w:rsidR="00811796" w:rsidRPr="00501117">
              <w:rPr>
                <w:rStyle w:val="Hyperlink"/>
                <w:noProof/>
                <w:lang w:val="en-IN"/>
              </w:rPr>
              <w:t>Discussion</w:t>
            </w:r>
            <w:r w:rsidR="00811796">
              <w:rPr>
                <w:noProof/>
                <w:webHidden/>
              </w:rPr>
              <w:tab/>
            </w:r>
            <w:r w:rsidR="00811796">
              <w:rPr>
                <w:noProof/>
                <w:webHidden/>
              </w:rPr>
              <w:fldChar w:fldCharType="begin"/>
            </w:r>
            <w:r w:rsidR="00811796">
              <w:rPr>
                <w:noProof/>
                <w:webHidden/>
              </w:rPr>
              <w:instrText xml:space="preserve"> PAGEREF _Toc149404890 \h </w:instrText>
            </w:r>
            <w:r w:rsidR="00811796">
              <w:rPr>
                <w:noProof/>
                <w:webHidden/>
              </w:rPr>
            </w:r>
            <w:r w:rsidR="00811796">
              <w:rPr>
                <w:noProof/>
                <w:webHidden/>
              </w:rPr>
              <w:fldChar w:fldCharType="separate"/>
            </w:r>
            <w:r w:rsidR="00811796">
              <w:rPr>
                <w:noProof/>
                <w:webHidden/>
              </w:rPr>
              <w:t>3</w:t>
            </w:r>
            <w:r w:rsidR="00811796">
              <w:rPr>
                <w:noProof/>
                <w:webHidden/>
              </w:rPr>
              <w:fldChar w:fldCharType="end"/>
            </w:r>
          </w:hyperlink>
        </w:p>
        <w:p w14:paraId="40EED7E7" w14:textId="4D42F22F" w:rsidR="00811796" w:rsidRDefault="00000000">
          <w:pPr>
            <w:pStyle w:val="TOC1"/>
            <w:tabs>
              <w:tab w:val="right" w:leader="dot" w:pos="9016"/>
            </w:tabs>
            <w:rPr>
              <w:noProof/>
            </w:rPr>
          </w:pPr>
          <w:hyperlink w:anchor="_Toc149404891" w:history="1">
            <w:r w:rsidR="00811796" w:rsidRPr="00501117">
              <w:rPr>
                <w:rStyle w:val="Hyperlink"/>
                <w:noProof/>
                <w:lang w:val="en-IN"/>
              </w:rPr>
              <w:t>Conclusion</w:t>
            </w:r>
            <w:r w:rsidR="00811796">
              <w:rPr>
                <w:noProof/>
                <w:webHidden/>
              </w:rPr>
              <w:tab/>
            </w:r>
            <w:r w:rsidR="00811796">
              <w:rPr>
                <w:noProof/>
                <w:webHidden/>
              </w:rPr>
              <w:fldChar w:fldCharType="begin"/>
            </w:r>
            <w:r w:rsidR="00811796">
              <w:rPr>
                <w:noProof/>
                <w:webHidden/>
              </w:rPr>
              <w:instrText xml:space="preserve"> PAGEREF _Toc149404891 \h </w:instrText>
            </w:r>
            <w:r w:rsidR="00811796">
              <w:rPr>
                <w:noProof/>
                <w:webHidden/>
              </w:rPr>
            </w:r>
            <w:r w:rsidR="00811796">
              <w:rPr>
                <w:noProof/>
                <w:webHidden/>
              </w:rPr>
              <w:fldChar w:fldCharType="separate"/>
            </w:r>
            <w:r w:rsidR="00811796">
              <w:rPr>
                <w:noProof/>
                <w:webHidden/>
              </w:rPr>
              <w:t>6</w:t>
            </w:r>
            <w:r w:rsidR="00811796">
              <w:rPr>
                <w:noProof/>
                <w:webHidden/>
              </w:rPr>
              <w:fldChar w:fldCharType="end"/>
            </w:r>
          </w:hyperlink>
        </w:p>
        <w:p w14:paraId="25DD8413" w14:textId="73CC1BCF" w:rsidR="00811796" w:rsidRDefault="00000000">
          <w:pPr>
            <w:pStyle w:val="TOC1"/>
            <w:tabs>
              <w:tab w:val="right" w:leader="dot" w:pos="9016"/>
            </w:tabs>
            <w:rPr>
              <w:noProof/>
            </w:rPr>
          </w:pPr>
          <w:hyperlink w:anchor="_Toc149404892" w:history="1">
            <w:r w:rsidR="00811796" w:rsidRPr="00501117">
              <w:rPr>
                <w:rStyle w:val="Hyperlink"/>
                <w:noProof/>
                <w:lang w:val="en-IN"/>
              </w:rPr>
              <w:t>References</w:t>
            </w:r>
            <w:r w:rsidR="00811796">
              <w:rPr>
                <w:noProof/>
                <w:webHidden/>
              </w:rPr>
              <w:tab/>
            </w:r>
            <w:r w:rsidR="00811796">
              <w:rPr>
                <w:noProof/>
                <w:webHidden/>
              </w:rPr>
              <w:fldChar w:fldCharType="begin"/>
            </w:r>
            <w:r w:rsidR="00811796">
              <w:rPr>
                <w:noProof/>
                <w:webHidden/>
              </w:rPr>
              <w:instrText xml:space="preserve"> PAGEREF _Toc149404892 \h </w:instrText>
            </w:r>
            <w:r w:rsidR="00811796">
              <w:rPr>
                <w:noProof/>
                <w:webHidden/>
              </w:rPr>
            </w:r>
            <w:r w:rsidR="00811796">
              <w:rPr>
                <w:noProof/>
                <w:webHidden/>
              </w:rPr>
              <w:fldChar w:fldCharType="separate"/>
            </w:r>
            <w:r w:rsidR="00811796">
              <w:rPr>
                <w:noProof/>
                <w:webHidden/>
              </w:rPr>
              <w:t>8</w:t>
            </w:r>
            <w:r w:rsidR="00811796">
              <w:rPr>
                <w:noProof/>
                <w:webHidden/>
              </w:rPr>
              <w:fldChar w:fldCharType="end"/>
            </w:r>
          </w:hyperlink>
        </w:p>
        <w:p w14:paraId="6DB1D4A4" w14:textId="7853D7D8" w:rsidR="00811796" w:rsidRDefault="00811796">
          <w:r>
            <w:rPr>
              <w:b/>
              <w:bCs/>
              <w:noProof/>
            </w:rPr>
            <w:fldChar w:fldCharType="end"/>
          </w:r>
        </w:p>
      </w:sdtContent>
    </w:sdt>
    <w:p w14:paraId="1629F4AF" w14:textId="77777777" w:rsidR="00811796" w:rsidRDefault="00811796">
      <w:pPr>
        <w:spacing w:before="0" w:beforeAutospacing="0" w:after="160" w:afterAutospacing="0" w:line="259" w:lineRule="auto"/>
        <w:jc w:val="left"/>
        <w:rPr>
          <w:b/>
          <w:bCs/>
          <w:lang w:val="en-IN"/>
        </w:rPr>
      </w:pPr>
      <w:r>
        <w:rPr>
          <w:b/>
          <w:bCs/>
          <w:lang w:val="en-IN"/>
        </w:rPr>
        <w:br w:type="page"/>
      </w:r>
    </w:p>
    <w:p w14:paraId="60CED520" w14:textId="1A0392F8" w:rsidR="00157547" w:rsidRPr="00157547" w:rsidRDefault="00157547" w:rsidP="00157547">
      <w:pPr>
        <w:rPr>
          <w:b/>
          <w:bCs/>
          <w:lang w:val="en-IN"/>
        </w:rPr>
      </w:pPr>
      <w:r w:rsidRPr="00157547">
        <w:rPr>
          <w:b/>
          <w:bCs/>
          <w:lang w:val="en-IN"/>
        </w:rPr>
        <w:lastRenderedPageBreak/>
        <w:t>Topic: The concept of consent in the UK and its role in cases involving battery</w:t>
      </w:r>
    </w:p>
    <w:p w14:paraId="6F9578A5" w14:textId="6E30CA53" w:rsidR="005D0BA7" w:rsidRDefault="007E5CB2" w:rsidP="004D7162">
      <w:pPr>
        <w:pStyle w:val="Heading1"/>
        <w:rPr>
          <w:lang w:val="en-IN"/>
        </w:rPr>
      </w:pPr>
      <w:bookmarkStart w:id="0" w:name="_Toc149404889"/>
      <w:r>
        <w:rPr>
          <w:lang w:val="en-IN"/>
        </w:rPr>
        <w:t>Introduction</w:t>
      </w:r>
      <w:bookmarkEnd w:id="0"/>
    </w:p>
    <w:p w14:paraId="7E6DEC0B" w14:textId="7B65A205" w:rsidR="008D7EDF" w:rsidRPr="00CF0252" w:rsidRDefault="007943EE" w:rsidP="00CF0252">
      <w:r w:rsidRPr="007D0A6B">
        <w:rPr>
          <w:b/>
          <w:bCs/>
          <w:i/>
          <w:iCs/>
          <w:lang w:val="en-IN"/>
        </w:rPr>
        <w:t>Consent</w:t>
      </w:r>
      <w:r w:rsidR="00811796">
        <w:rPr>
          <w:lang w:val="en-IN"/>
        </w:rPr>
        <w:t xml:space="preserve">, in the context of UK law, </w:t>
      </w:r>
      <w:r>
        <w:rPr>
          <w:lang w:val="en-IN"/>
        </w:rPr>
        <w:t>is defined as the permission for or agreement to the occurrence of an event. There are different forms of consent, each being governed by different set of laws, which makes the process of comprehending and operationalising consent complicated</w:t>
      </w:r>
      <w:r w:rsidR="00A50111">
        <w:rPr>
          <w:lang w:val="en-IN"/>
        </w:rPr>
        <w:t xml:space="preserve"> (Gray </w:t>
      </w:r>
      <w:r w:rsidR="00A50111" w:rsidRPr="00A50111">
        <w:rPr>
          <w:i/>
          <w:iCs/>
          <w:lang w:val="en-IN"/>
        </w:rPr>
        <w:t>et al.,</w:t>
      </w:r>
      <w:r w:rsidR="00A50111">
        <w:rPr>
          <w:lang w:val="en-IN"/>
        </w:rPr>
        <w:t xml:space="preserve"> 2021)</w:t>
      </w:r>
      <w:r>
        <w:rPr>
          <w:lang w:val="en-IN"/>
        </w:rPr>
        <w:t xml:space="preserve">. </w:t>
      </w:r>
      <w:r>
        <w:t xml:space="preserve">On the other hand, </w:t>
      </w:r>
      <w:r w:rsidR="00AD2950">
        <w:rPr>
          <w:lang w:val="en-IN"/>
        </w:rPr>
        <w:t>technically</w:t>
      </w:r>
      <w:r>
        <w:rPr>
          <w:lang w:val="en-IN"/>
        </w:rPr>
        <w:t>, any illegal contact</w:t>
      </w:r>
      <w:r w:rsidR="00AE38E7">
        <w:rPr>
          <w:lang w:val="en-IN"/>
        </w:rPr>
        <w:t>, vide the UK law,</w:t>
      </w:r>
      <w:r>
        <w:rPr>
          <w:lang w:val="en-IN"/>
        </w:rPr>
        <w:t xml:space="preserve"> is termed as </w:t>
      </w:r>
      <w:r w:rsidRPr="007D0A6B">
        <w:rPr>
          <w:b/>
          <w:bCs/>
          <w:i/>
          <w:iCs/>
          <w:lang w:val="en-IN"/>
        </w:rPr>
        <w:t>Battery</w:t>
      </w:r>
      <w:r>
        <w:rPr>
          <w:lang w:val="en-IN"/>
        </w:rPr>
        <w:t xml:space="preserve"> and there is no mandate to prove harm or pain by the victim; in case even a small physical touch has occurred, without consent, the same can be termed as Battery. Examples of battery includes hitting, spitting at someone, slapping, pushing or causing other serious harm. </w:t>
      </w:r>
      <w:r w:rsidR="00AD2950">
        <w:rPr>
          <w:lang w:val="en-IN"/>
        </w:rPr>
        <w:t xml:space="preserve">The essay explores the concept of consent and battery, investigating the role of consent in cases involving battery, in the context of UK, using principles </w:t>
      </w:r>
      <w:r w:rsidR="005D39B3">
        <w:rPr>
          <w:lang w:val="en-IN"/>
        </w:rPr>
        <w:t xml:space="preserve">as well as issues of consent in different aspects, in real-life. </w:t>
      </w:r>
      <w:bookmarkStart w:id="1" w:name="_Toc149404890"/>
      <w:r w:rsidR="00CC34E0">
        <w:rPr>
          <w:lang w:val="en-IN"/>
        </w:rPr>
        <w:t xml:space="preserve">Moreover, the ethical and philosophical aspect of criminal law </w:t>
      </w:r>
      <w:r w:rsidR="0054289B">
        <w:rPr>
          <w:lang w:val="en-IN"/>
        </w:rPr>
        <w:t xml:space="preserve">influencing </w:t>
      </w:r>
      <w:proofErr w:type="gramStart"/>
      <w:r w:rsidR="0054289B">
        <w:rPr>
          <w:lang w:val="en-IN"/>
        </w:rPr>
        <w:t>the  understanding</w:t>
      </w:r>
      <w:proofErr w:type="gramEnd"/>
      <w:r w:rsidR="0054289B">
        <w:rPr>
          <w:lang w:val="en-IN"/>
        </w:rPr>
        <w:t xml:space="preserve"> of consent was described </w:t>
      </w:r>
      <w:r w:rsidR="005B0CD7">
        <w:rPr>
          <w:lang w:val="en-IN"/>
        </w:rPr>
        <w:t xml:space="preserve">in this essay </w:t>
      </w:r>
      <w:r w:rsidR="00F064B1">
        <w:rPr>
          <w:lang w:val="en-IN"/>
        </w:rPr>
        <w:t xml:space="preserve">in relation with legal principle </w:t>
      </w:r>
      <w:r w:rsidR="00CF0252">
        <w:rPr>
          <w:lang w:val="en-IN"/>
        </w:rPr>
        <w:t>and relevant care law.</w:t>
      </w:r>
    </w:p>
    <w:p w14:paraId="3A4851D7" w14:textId="09EA593B" w:rsidR="007E5CB2" w:rsidRDefault="007E5CB2" w:rsidP="004D7162">
      <w:pPr>
        <w:pStyle w:val="Heading1"/>
        <w:rPr>
          <w:lang w:val="en-IN"/>
        </w:rPr>
      </w:pPr>
      <w:r>
        <w:rPr>
          <w:lang w:val="en-IN"/>
        </w:rPr>
        <w:t>Discussion</w:t>
      </w:r>
      <w:bookmarkEnd w:id="1"/>
    </w:p>
    <w:p w14:paraId="512BA1A9" w14:textId="2FDE765C" w:rsidR="008213F9" w:rsidRDefault="003061AD" w:rsidP="008213F9">
      <w:pPr>
        <w:rPr>
          <w:lang w:val="en-IN"/>
        </w:rPr>
      </w:pPr>
      <w:r>
        <w:rPr>
          <w:lang w:val="en-IN"/>
        </w:rPr>
        <w:t xml:space="preserve">The </w:t>
      </w:r>
      <w:r w:rsidRPr="003061AD">
        <w:rPr>
          <w:b/>
          <w:bCs/>
          <w:i/>
          <w:iCs/>
          <w:lang w:val="en-IN"/>
        </w:rPr>
        <w:t>Doctrine of</w:t>
      </w:r>
      <w:r>
        <w:rPr>
          <w:lang w:val="en-IN"/>
        </w:rPr>
        <w:t xml:space="preserve"> </w:t>
      </w:r>
      <w:r w:rsidR="00830123" w:rsidRPr="007D0A6B">
        <w:rPr>
          <w:b/>
          <w:bCs/>
          <w:i/>
          <w:iCs/>
          <w:lang w:val="en-IN"/>
        </w:rPr>
        <w:t>Informed consent</w:t>
      </w:r>
      <w:r w:rsidR="00830123">
        <w:rPr>
          <w:lang w:val="en-IN"/>
        </w:rPr>
        <w:t xml:space="preserve"> refers to the process of obtaining consent </w:t>
      </w:r>
      <w:r w:rsidR="00F33517">
        <w:rPr>
          <w:lang w:val="en-IN"/>
        </w:rPr>
        <w:t xml:space="preserve">from an individual after informing them regarding all possible and presumable consequences as well as outcomes of granting permission to any event or protocol; informed consent plays a critical role in medical </w:t>
      </w:r>
      <w:r w:rsidR="005A33AB">
        <w:rPr>
          <w:lang w:val="en-IN"/>
        </w:rPr>
        <w:t>field primarily, wherein all treatment protocols can be initiated only after receiving informed consent from the patient</w:t>
      </w:r>
      <w:r w:rsidR="007005EC">
        <w:rPr>
          <w:lang w:val="en-IN"/>
        </w:rPr>
        <w:t xml:space="preserve"> (Appelbaum and Grisso, 2019)</w:t>
      </w:r>
      <w:r w:rsidR="005A33AB">
        <w:rPr>
          <w:lang w:val="en-IN"/>
        </w:rPr>
        <w:t xml:space="preserve">. Informed consent can only </w:t>
      </w:r>
      <w:r w:rsidR="00141421">
        <w:rPr>
          <w:lang w:val="en-IN"/>
        </w:rPr>
        <w:t>b</w:t>
      </w:r>
      <w:r w:rsidR="005A33AB">
        <w:rPr>
          <w:lang w:val="en-IN"/>
        </w:rPr>
        <w:t xml:space="preserve">e </w:t>
      </w:r>
      <w:r w:rsidR="00141421">
        <w:rPr>
          <w:lang w:val="en-IN"/>
        </w:rPr>
        <w:t>received</w:t>
      </w:r>
      <w:r w:rsidR="005A33AB">
        <w:rPr>
          <w:lang w:val="en-IN"/>
        </w:rPr>
        <w:t xml:space="preserve"> from individuals who are </w:t>
      </w:r>
      <w:r w:rsidR="00141421">
        <w:rPr>
          <w:lang w:val="en-IN"/>
        </w:rPr>
        <w:t>competent</w:t>
      </w:r>
      <w:r w:rsidR="005A33AB">
        <w:rPr>
          <w:lang w:val="en-IN"/>
        </w:rPr>
        <w:t xml:space="preserve"> to consent and can fully understand the implications of the same, thereby mandating </w:t>
      </w:r>
      <w:r w:rsidR="00141421">
        <w:rPr>
          <w:lang w:val="en-IN"/>
        </w:rPr>
        <w:t xml:space="preserve">that in case the individuals are either minor </w:t>
      </w:r>
      <w:r w:rsidR="009A66E6">
        <w:rPr>
          <w:lang w:val="en-IN"/>
        </w:rPr>
        <w:t xml:space="preserve">or </w:t>
      </w:r>
      <w:r w:rsidR="00141421">
        <w:rPr>
          <w:lang w:val="en-IN"/>
        </w:rPr>
        <w:t xml:space="preserve">lacks sanity to render consent, </w:t>
      </w:r>
      <w:r w:rsidR="009A66E6">
        <w:rPr>
          <w:lang w:val="en-IN"/>
        </w:rPr>
        <w:t xml:space="preserve">informed consent be received from </w:t>
      </w:r>
      <w:r w:rsidR="00934BBF">
        <w:rPr>
          <w:lang w:val="en-IN"/>
        </w:rPr>
        <w:t>either their legal guardians or care givers who are competent enough to give consent, respectively</w:t>
      </w:r>
      <w:r w:rsidR="004B4BBD">
        <w:rPr>
          <w:lang w:val="en-IN"/>
        </w:rPr>
        <w:t xml:space="preserve"> (Meade </w:t>
      </w:r>
      <w:r w:rsidR="004B4BBD" w:rsidRPr="004B4BBD">
        <w:rPr>
          <w:i/>
          <w:iCs/>
          <w:lang w:val="en-IN"/>
        </w:rPr>
        <w:t>et al.,</w:t>
      </w:r>
      <w:r w:rsidR="004B4BBD">
        <w:rPr>
          <w:lang w:val="en-IN"/>
        </w:rPr>
        <w:t xml:space="preserve"> 2019)</w:t>
      </w:r>
      <w:r w:rsidR="00934BBF">
        <w:rPr>
          <w:lang w:val="en-IN"/>
        </w:rPr>
        <w:t>.</w:t>
      </w:r>
      <w:r w:rsidR="00CF251F">
        <w:rPr>
          <w:lang w:val="en-IN"/>
        </w:rPr>
        <w:t xml:space="preserve"> Without consent, it is illegal for the doctors </w:t>
      </w:r>
      <w:r w:rsidR="00AE38E7">
        <w:rPr>
          <w:lang w:val="en-IN"/>
        </w:rPr>
        <w:t xml:space="preserve">within UK </w:t>
      </w:r>
      <w:r w:rsidR="00CF251F">
        <w:rPr>
          <w:lang w:val="en-IN"/>
        </w:rPr>
        <w:t xml:space="preserve">to even touch their patients for any procedures and they may be charged of </w:t>
      </w:r>
      <w:r w:rsidR="008F21EE">
        <w:rPr>
          <w:lang w:val="en-IN"/>
        </w:rPr>
        <w:t>B</w:t>
      </w:r>
      <w:r w:rsidR="00CF251F">
        <w:rPr>
          <w:lang w:val="en-IN"/>
        </w:rPr>
        <w:t xml:space="preserve">attery; receiving informed consent protects the doctors and other medical professionals involved in rendering care, from </w:t>
      </w:r>
      <w:r w:rsidR="005155E6">
        <w:rPr>
          <w:lang w:val="en-IN"/>
        </w:rPr>
        <w:t xml:space="preserve">encountering any legal complications. </w:t>
      </w:r>
      <w:r w:rsidR="008213F9">
        <w:rPr>
          <w:lang w:val="en-IN"/>
        </w:rPr>
        <w:t xml:space="preserve">For example, in the case </w:t>
      </w:r>
      <w:r w:rsidR="008213F9">
        <w:rPr>
          <w:lang w:val="en-IN"/>
        </w:rPr>
        <w:lastRenderedPageBreak/>
        <w:t xml:space="preserve">of </w:t>
      </w:r>
      <w:r w:rsidR="008213F9" w:rsidRPr="008D511C">
        <w:rPr>
          <w:i/>
          <w:iCs/>
          <w:lang w:val="en-IN"/>
        </w:rPr>
        <w:t>Devi v West Midlands RHA [1980] C.L.Y 687</w:t>
      </w:r>
      <w:r w:rsidR="008213F9">
        <w:rPr>
          <w:lang w:val="en-IN"/>
        </w:rPr>
        <w:t xml:space="preserve">, a woman admitted to the hospital facilities had rendered permission for repairing her uterus and not </w:t>
      </w:r>
      <w:proofErr w:type="gramStart"/>
      <w:r w:rsidR="008213F9">
        <w:rPr>
          <w:lang w:val="en-IN"/>
        </w:rPr>
        <w:t>hysterectomy</w:t>
      </w:r>
      <w:proofErr w:type="gramEnd"/>
      <w:r w:rsidR="008213F9">
        <w:rPr>
          <w:lang w:val="en-IN"/>
        </w:rPr>
        <w:t xml:space="preserve"> but the surgeon performed hysterectomy on her. The woman sued the surgeon, who was found to be liable in battery by the </w:t>
      </w:r>
      <w:r w:rsidR="00AE38E7">
        <w:rPr>
          <w:lang w:val="en-IN"/>
        </w:rPr>
        <w:t xml:space="preserve">English </w:t>
      </w:r>
      <w:r w:rsidR="008213F9">
        <w:rPr>
          <w:lang w:val="en-IN"/>
        </w:rPr>
        <w:t xml:space="preserve">Court, since there was a lack of consent on the part of the patient. Therefore, it can be surmised that consent plays an important role in case involving Battery, aiding in maintenance of ethicality and morality, as observed within the occurrences in medical field. </w:t>
      </w:r>
    </w:p>
    <w:p w14:paraId="01DB2F4D" w14:textId="293F715B" w:rsidR="00CD5FB5" w:rsidRPr="00944C0D" w:rsidRDefault="00DB4D4F" w:rsidP="008213F9">
      <w:pPr>
        <w:rPr>
          <w:lang w:val="en-IN"/>
        </w:rPr>
      </w:pPr>
      <w:r>
        <w:rPr>
          <w:lang w:val="en-IN"/>
        </w:rPr>
        <w:t xml:space="preserve">Battery is almost always intentional and thus, within England and Wales, under </w:t>
      </w:r>
      <w:r w:rsidRPr="007D0A6B">
        <w:rPr>
          <w:b/>
          <w:bCs/>
          <w:i/>
          <w:iCs/>
          <w:lang w:val="en-IN"/>
        </w:rPr>
        <w:t>Section 39</w:t>
      </w:r>
      <w:r>
        <w:rPr>
          <w:lang w:val="en-IN"/>
        </w:rPr>
        <w:t xml:space="preserve"> of </w:t>
      </w:r>
      <w:r w:rsidRPr="007D0A6B">
        <w:rPr>
          <w:b/>
          <w:bCs/>
          <w:i/>
          <w:iCs/>
          <w:lang w:val="en-IN"/>
        </w:rPr>
        <w:t>Criminal Justice Act 1988</w:t>
      </w:r>
      <w:r>
        <w:rPr>
          <w:lang w:val="en-IN"/>
        </w:rPr>
        <w:t>, Battery is identified as a summary offence.</w:t>
      </w:r>
      <w:r w:rsidR="00B67CEE">
        <w:rPr>
          <w:lang w:val="en-IN"/>
        </w:rPr>
        <w:t xml:space="preserve"> The </w:t>
      </w:r>
      <w:r w:rsidR="00B67CEE" w:rsidRPr="007D0A6B">
        <w:rPr>
          <w:b/>
          <w:bCs/>
          <w:i/>
          <w:iCs/>
          <w:lang w:val="en-IN"/>
        </w:rPr>
        <w:t>Actus Reus</w:t>
      </w:r>
      <w:r w:rsidR="00B67CEE">
        <w:rPr>
          <w:lang w:val="en-IN"/>
        </w:rPr>
        <w:t xml:space="preserve"> of Battery UK Law encompasses the application of unlawful forces, implying that the defendant either touched or applied force to the victim while the </w:t>
      </w:r>
      <w:proofErr w:type="spellStart"/>
      <w:r w:rsidR="00B67CEE" w:rsidRPr="007D0A6B">
        <w:rPr>
          <w:b/>
          <w:bCs/>
          <w:i/>
          <w:iCs/>
          <w:lang w:val="en-IN"/>
        </w:rPr>
        <w:t>Mens</w:t>
      </w:r>
      <w:proofErr w:type="spellEnd"/>
      <w:r w:rsidR="00B67CEE" w:rsidRPr="007D0A6B">
        <w:rPr>
          <w:b/>
          <w:bCs/>
          <w:i/>
          <w:iCs/>
          <w:lang w:val="en-IN"/>
        </w:rPr>
        <w:t xml:space="preserve"> Rea</w:t>
      </w:r>
      <w:r w:rsidR="00B67CEE">
        <w:rPr>
          <w:lang w:val="en-IN"/>
        </w:rPr>
        <w:t xml:space="preserve"> of Battery UK Law states that the defendant either intended or exhibited recklessness when touching or applying force to the victim.</w:t>
      </w:r>
      <w:r w:rsidR="00944C0D">
        <w:rPr>
          <w:lang w:val="en-IN"/>
        </w:rPr>
        <w:t xml:space="preserve"> As could be identified from the case of </w:t>
      </w:r>
      <w:r w:rsidR="00944C0D" w:rsidRPr="00944C0D">
        <w:rPr>
          <w:i/>
          <w:iCs/>
          <w:lang w:val="en-IN"/>
        </w:rPr>
        <w:t>Collins v Wilcock [1984]</w:t>
      </w:r>
      <w:r w:rsidR="00944C0D">
        <w:rPr>
          <w:i/>
          <w:iCs/>
          <w:lang w:val="en-IN"/>
        </w:rPr>
        <w:t xml:space="preserve">, </w:t>
      </w:r>
      <w:r w:rsidR="0042386E">
        <w:rPr>
          <w:lang w:val="en-IN"/>
        </w:rPr>
        <w:t>the defendant was approached by a police officer</w:t>
      </w:r>
      <w:r w:rsidR="00A53796">
        <w:rPr>
          <w:lang w:val="en-IN"/>
        </w:rPr>
        <w:t xml:space="preserve"> and on refusing to speak to him, the officer tried to grab the defendant’s arm, getting scratched in the process. The officer charged the defendant of Battery but the court dismissed the case stating that </w:t>
      </w:r>
      <w:r w:rsidR="00D11267">
        <w:rPr>
          <w:lang w:val="en-IN"/>
        </w:rPr>
        <w:t>few physical contacts were generally acceptable and owing to the fact that the police officer had no greater rights than the normal citizens except on grounds of arrest or excising other statutory power, the behaviour exhibited to th</w:t>
      </w:r>
      <w:r w:rsidR="00642A75">
        <w:rPr>
          <w:lang w:val="en-IN"/>
        </w:rPr>
        <w:t>e</w:t>
      </w:r>
      <w:r w:rsidR="00D11267">
        <w:rPr>
          <w:lang w:val="en-IN"/>
        </w:rPr>
        <w:t xml:space="preserve"> defendant in this case was identified to be </w:t>
      </w:r>
      <w:r w:rsidR="00AF200E">
        <w:rPr>
          <w:lang w:val="en-IN"/>
        </w:rPr>
        <w:t xml:space="preserve">unnecessary as well as lacking consent on the part of the defendant as well. </w:t>
      </w:r>
    </w:p>
    <w:p w14:paraId="035791F6" w14:textId="359A1415" w:rsidR="008F21EE" w:rsidRDefault="008F21EE" w:rsidP="008F21EE">
      <w:pPr>
        <w:rPr>
          <w:lang w:val="en-IN"/>
        </w:rPr>
      </w:pPr>
      <w:r>
        <w:rPr>
          <w:lang w:val="en-IN"/>
        </w:rPr>
        <w:t xml:space="preserve">As outlined in </w:t>
      </w:r>
      <w:r w:rsidRPr="007D0A6B">
        <w:rPr>
          <w:b/>
          <w:bCs/>
          <w:i/>
          <w:iCs/>
          <w:lang w:val="en-IN"/>
        </w:rPr>
        <w:t>Mental Capacity Act 2005</w:t>
      </w:r>
      <w:r>
        <w:rPr>
          <w:lang w:val="en-IN"/>
        </w:rPr>
        <w:t xml:space="preserve"> as well as </w:t>
      </w:r>
      <w:r w:rsidRPr="007D0A6B">
        <w:rPr>
          <w:b/>
          <w:bCs/>
          <w:i/>
          <w:iCs/>
          <w:lang w:val="en-IN"/>
        </w:rPr>
        <w:t>Adults with Incapacity (Scotland) Act 2000</w:t>
      </w:r>
      <w:r>
        <w:rPr>
          <w:lang w:val="en-IN"/>
        </w:rPr>
        <w:t xml:space="preserve">, </w:t>
      </w:r>
      <w:r w:rsidR="00AE38E7">
        <w:rPr>
          <w:lang w:val="en-IN"/>
        </w:rPr>
        <w:t xml:space="preserve">in UK, </w:t>
      </w:r>
      <w:r>
        <w:rPr>
          <w:lang w:val="en-IN"/>
        </w:rPr>
        <w:t xml:space="preserve">patients who are competent enough, are given the freedom to appoint any individual, who would be able to take decisions regarding treatment to be imparted, successfully. In case the patient is unable to take decisions later into the medical treatment phases, the chosen individual would be accountable for voicing the choices of the patients by whom they have been appointed. In case the doctors fail to consider the views and decisions of the patient or the chosen family member and engage in any activities like treatment or administration of medication, without taking the consent, they may be charged of </w:t>
      </w:r>
      <w:r w:rsidRPr="00C91C71">
        <w:rPr>
          <w:b/>
          <w:bCs/>
          <w:i/>
          <w:iCs/>
          <w:lang w:val="en-IN"/>
        </w:rPr>
        <w:t>Battery</w:t>
      </w:r>
      <w:r w:rsidR="004B4BBD">
        <w:rPr>
          <w:b/>
          <w:bCs/>
          <w:i/>
          <w:iCs/>
          <w:lang w:val="en-IN"/>
        </w:rPr>
        <w:t xml:space="preserve"> </w:t>
      </w:r>
      <w:r w:rsidR="004B4BBD">
        <w:rPr>
          <w:lang w:val="en-IN"/>
        </w:rPr>
        <w:t>(Bittick and Holliman, 2023)</w:t>
      </w:r>
      <w:r>
        <w:rPr>
          <w:lang w:val="en-IN"/>
        </w:rPr>
        <w:t xml:space="preserve">. </w:t>
      </w:r>
      <w:r w:rsidR="00DB71AC">
        <w:rPr>
          <w:lang w:val="en-IN"/>
        </w:rPr>
        <w:t xml:space="preserve">Furthermore, the act also states that the patients who are capable enough to </w:t>
      </w:r>
      <w:r w:rsidR="00DB71AC">
        <w:rPr>
          <w:lang w:val="en-IN"/>
        </w:rPr>
        <w:lastRenderedPageBreak/>
        <w:t xml:space="preserve">take medical decisions, can refuse to undergo treatments and the doctors would be liable to respect their wishes, which might not be in the best interest of the patients, and thus, might come across as a situation of </w:t>
      </w:r>
      <w:r w:rsidR="00DB71AC" w:rsidRPr="00C91C71">
        <w:rPr>
          <w:b/>
          <w:bCs/>
          <w:i/>
          <w:iCs/>
          <w:lang w:val="en-IN"/>
        </w:rPr>
        <w:t>ethical dilemma</w:t>
      </w:r>
      <w:r w:rsidR="00DB71AC">
        <w:rPr>
          <w:lang w:val="en-IN"/>
        </w:rPr>
        <w:t>.</w:t>
      </w:r>
      <w:r w:rsidR="00013CBF">
        <w:rPr>
          <w:lang w:val="en-IN"/>
        </w:rPr>
        <w:t xml:space="preserve"> This clause too, explains the role of consent in cases involving Battery, exhibiting the fact that </w:t>
      </w:r>
      <w:r w:rsidR="004965E0">
        <w:rPr>
          <w:lang w:val="en-IN"/>
        </w:rPr>
        <w:t xml:space="preserve">consent is necessary even if it tends to override ethical or moral obligations of professionals who are responsible for the well-being of other individuals, like doctors. As identified in the case </w:t>
      </w:r>
      <w:r w:rsidR="004965E0" w:rsidRPr="004965E0">
        <w:rPr>
          <w:i/>
          <w:iCs/>
          <w:lang w:val="en-IN"/>
        </w:rPr>
        <w:t>Airedale NHS Trust v Bland [1993] AC 789</w:t>
      </w:r>
      <w:r w:rsidR="004965E0">
        <w:rPr>
          <w:lang w:val="en-IN"/>
        </w:rPr>
        <w:t xml:space="preserve">, </w:t>
      </w:r>
      <w:r w:rsidR="005D1690">
        <w:rPr>
          <w:lang w:val="en-IN"/>
        </w:rPr>
        <w:t xml:space="preserve">vide </w:t>
      </w:r>
      <w:r w:rsidR="005D1690" w:rsidRPr="00C91C71">
        <w:rPr>
          <w:b/>
          <w:bCs/>
          <w:i/>
          <w:iCs/>
          <w:lang w:val="en-IN"/>
        </w:rPr>
        <w:t>principle of self-determination</w:t>
      </w:r>
      <w:r w:rsidR="005D1690">
        <w:rPr>
          <w:lang w:val="en-IN"/>
        </w:rPr>
        <w:t xml:space="preserve">, the wishes of the patients need to be respected. If any adult patient, of sound mind, </w:t>
      </w:r>
      <w:r w:rsidR="00273A18">
        <w:rPr>
          <w:lang w:val="en-IN"/>
        </w:rPr>
        <w:t xml:space="preserve">unreasonably refuses treatment or care, which might be beneficial for treating their condition and might prolong their life significantly, then the doctors are required to cater to their wishes, </w:t>
      </w:r>
      <w:r w:rsidR="000235D0">
        <w:rPr>
          <w:lang w:val="en-IN"/>
        </w:rPr>
        <w:t>ev</w:t>
      </w:r>
      <w:r w:rsidR="00273A18">
        <w:rPr>
          <w:lang w:val="en-IN"/>
        </w:rPr>
        <w:t xml:space="preserve">en if it is not in the best interests of the patient, for </w:t>
      </w:r>
      <w:r w:rsidR="000235D0">
        <w:rPr>
          <w:lang w:val="en-IN"/>
        </w:rPr>
        <w:t>maintaining</w:t>
      </w:r>
      <w:r w:rsidR="00273A18">
        <w:rPr>
          <w:lang w:val="en-IN"/>
        </w:rPr>
        <w:t xml:space="preserve"> </w:t>
      </w:r>
      <w:r w:rsidR="00273A18" w:rsidRPr="00C91C71">
        <w:rPr>
          <w:b/>
          <w:bCs/>
          <w:i/>
          <w:iCs/>
          <w:lang w:val="en-IN"/>
        </w:rPr>
        <w:t>compliance with ethicality</w:t>
      </w:r>
      <w:r w:rsidR="000235D0">
        <w:rPr>
          <w:lang w:val="en-IN"/>
        </w:rPr>
        <w:t xml:space="preserve">. </w:t>
      </w:r>
    </w:p>
    <w:p w14:paraId="71F6E317" w14:textId="2029B103" w:rsidR="00A80666" w:rsidRDefault="005155E6" w:rsidP="008213F9">
      <w:pPr>
        <w:rPr>
          <w:lang w:val="en-IN"/>
        </w:rPr>
      </w:pPr>
      <w:r w:rsidRPr="007D0A6B">
        <w:rPr>
          <w:b/>
          <w:bCs/>
          <w:i/>
          <w:iCs/>
          <w:lang w:val="en-IN"/>
        </w:rPr>
        <w:t>Explicit consent</w:t>
      </w:r>
      <w:r w:rsidR="007A174C">
        <w:rPr>
          <w:lang w:val="en-IN"/>
        </w:rPr>
        <w:t xml:space="preserve"> is</w:t>
      </w:r>
      <w:r w:rsidR="004C1D49">
        <w:rPr>
          <w:lang w:val="en-IN"/>
        </w:rPr>
        <w:t xml:space="preserve"> </w:t>
      </w:r>
      <w:r w:rsidR="007D429A">
        <w:rPr>
          <w:lang w:val="en-IN"/>
        </w:rPr>
        <w:t>th</w:t>
      </w:r>
      <w:r w:rsidR="004C1D49">
        <w:rPr>
          <w:lang w:val="en-IN"/>
        </w:rPr>
        <w:t xml:space="preserve">e procedure of data collection during surveys, </w:t>
      </w:r>
      <w:r w:rsidR="00BD2874">
        <w:rPr>
          <w:lang w:val="en-IN"/>
        </w:rPr>
        <w:t xml:space="preserve">wherein the individuals </w:t>
      </w:r>
      <w:proofErr w:type="gramStart"/>
      <w:r w:rsidR="00BD2874">
        <w:rPr>
          <w:lang w:val="en-IN"/>
        </w:rPr>
        <w:t>have to</w:t>
      </w:r>
      <w:proofErr w:type="gramEnd"/>
      <w:r w:rsidR="00BD2874">
        <w:rPr>
          <w:lang w:val="en-IN"/>
        </w:rPr>
        <w:t xml:space="preserve"> authorise the process of collection and usage of data by the surveyor group or company as well as either grant them the permission of disclosing their personal information or </w:t>
      </w:r>
      <w:r w:rsidR="00B82599">
        <w:rPr>
          <w:lang w:val="en-IN"/>
        </w:rPr>
        <w:t>request for privacy</w:t>
      </w:r>
      <w:r w:rsidR="001321F8">
        <w:rPr>
          <w:lang w:val="en-IN"/>
        </w:rPr>
        <w:t xml:space="preserve"> (Monaghan, 2022)</w:t>
      </w:r>
      <w:r w:rsidR="00B82599">
        <w:rPr>
          <w:lang w:val="en-IN"/>
        </w:rPr>
        <w:t xml:space="preserve">. </w:t>
      </w:r>
      <w:r w:rsidR="00B82599" w:rsidRPr="007D0A6B">
        <w:rPr>
          <w:b/>
          <w:bCs/>
          <w:i/>
          <w:iCs/>
          <w:lang w:val="en-IN"/>
        </w:rPr>
        <w:t>Active consent</w:t>
      </w:r>
      <w:r w:rsidR="00B82599">
        <w:rPr>
          <w:lang w:val="en-IN"/>
        </w:rPr>
        <w:t xml:space="preserve"> is a</w:t>
      </w:r>
      <w:r w:rsidR="005A5B24">
        <w:rPr>
          <w:lang w:val="en-IN"/>
        </w:rPr>
        <w:t xml:space="preserve"> </w:t>
      </w:r>
      <w:r w:rsidR="00B82599">
        <w:rPr>
          <w:lang w:val="en-IN"/>
        </w:rPr>
        <w:t xml:space="preserve">form </w:t>
      </w:r>
      <w:proofErr w:type="gramStart"/>
      <w:r w:rsidR="00B82599">
        <w:rPr>
          <w:lang w:val="en-IN"/>
        </w:rPr>
        <w:t>where</w:t>
      </w:r>
      <w:r w:rsidR="00E17ADD">
        <w:rPr>
          <w:lang w:val="en-IN"/>
        </w:rPr>
        <w:t xml:space="preserve"> </w:t>
      </w:r>
      <w:r w:rsidR="00B82599">
        <w:rPr>
          <w:lang w:val="en-IN"/>
        </w:rPr>
        <w:t xml:space="preserve"> individuals</w:t>
      </w:r>
      <w:proofErr w:type="gramEnd"/>
      <w:r w:rsidR="00B82599">
        <w:rPr>
          <w:lang w:val="en-IN"/>
        </w:rPr>
        <w:t xml:space="preserve"> </w:t>
      </w:r>
      <w:r w:rsidR="005B25C2">
        <w:rPr>
          <w:lang w:val="en-IN"/>
        </w:rPr>
        <w:t>agree to a specific proposition or offer made by another individual or a group of individuals. This is applicable in almost all real-life scenarios, including relationships</w:t>
      </w:r>
      <w:r w:rsidR="0057692C">
        <w:rPr>
          <w:lang w:val="en-IN"/>
        </w:rPr>
        <w:t xml:space="preserve"> and contact sports. The individuals are offered to consent to an event or occurrence, the outcome of which is known to the individual</w:t>
      </w:r>
      <w:r w:rsidR="00CD5FB5">
        <w:rPr>
          <w:lang w:val="en-IN"/>
        </w:rPr>
        <w:t>; post rendering consent, the individuals are responsible for their own well-being and cannot accuse the perpetrator of any illegal behaviour</w:t>
      </w:r>
      <w:r w:rsidR="00906E3E">
        <w:rPr>
          <w:lang w:val="en-IN"/>
        </w:rPr>
        <w:t xml:space="preserve"> (Jowett </w:t>
      </w:r>
      <w:r w:rsidR="00906E3E" w:rsidRPr="00906E3E">
        <w:rPr>
          <w:i/>
          <w:iCs/>
          <w:lang w:val="en-IN"/>
        </w:rPr>
        <w:t>et al.,</w:t>
      </w:r>
      <w:r w:rsidR="00906E3E">
        <w:rPr>
          <w:lang w:val="en-IN"/>
        </w:rPr>
        <w:t xml:space="preserve"> 2022)</w:t>
      </w:r>
      <w:r w:rsidR="00CD5FB5">
        <w:rPr>
          <w:lang w:val="en-IN"/>
        </w:rPr>
        <w:t>.</w:t>
      </w:r>
      <w:r w:rsidR="00830123">
        <w:rPr>
          <w:lang w:val="en-IN"/>
        </w:rPr>
        <w:t xml:space="preserve"> </w:t>
      </w:r>
      <w:r w:rsidR="008C4B5C">
        <w:rPr>
          <w:lang w:val="en-IN"/>
        </w:rPr>
        <w:t>T</w:t>
      </w:r>
      <w:r w:rsidR="00F95E77">
        <w:rPr>
          <w:lang w:val="en-IN"/>
        </w:rPr>
        <w:t xml:space="preserve">he accused would not have committed any offence, under </w:t>
      </w:r>
      <w:r w:rsidR="00F95E77" w:rsidRPr="007D0A6B">
        <w:rPr>
          <w:b/>
          <w:bCs/>
          <w:i/>
          <w:iCs/>
          <w:lang w:val="en-IN"/>
        </w:rPr>
        <w:t>Section 39 of Criminal Justice Act, 1988</w:t>
      </w:r>
      <w:r w:rsidR="008C4B5C">
        <w:rPr>
          <w:lang w:val="en-IN"/>
        </w:rPr>
        <w:t>, had the victim consented to the use of force against them</w:t>
      </w:r>
      <w:r w:rsidR="00CB71EE">
        <w:rPr>
          <w:lang w:val="en-IN"/>
        </w:rPr>
        <w:t xml:space="preserve">. </w:t>
      </w:r>
      <w:r w:rsidR="004F62E7">
        <w:rPr>
          <w:lang w:val="en-IN"/>
        </w:rPr>
        <w:t>In other words, consent is used merely as an excuse for preventing the defendant</w:t>
      </w:r>
      <w:r w:rsidR="009D2095">
        <w:rPr>
          <w:lang w:val="en-IN"/>
        </w:rPr>
        <w:t>s</w:t>
      </w:r>
      <w:r w:rsidR="004F62E7">
        <w:rPr>
          <w:lang w:val="en-IN"/>
        </w:rPr>
        <w:t xml:space="preserve"> </w:t>
      </w:r>
      <w:r w:rsidR="009D2095">
        <w:rPr>
          <w:lang w:val="en-IN"/>
        </w:rPr>
        <w:t>to incur any form of liability for their actions</w:t>
      </w:r>
      <w:r w:rsidR="0072631A">
        <w:rPr>
          <w:lang w:val="en-IN"/>
        </w:rPr>
        <w:t xml:space="preserve"> (Windle </w:t>
      </w:r>
      <w:r w:rsidR="0072631A" w:rsidRPr="0072631A">
        <w:rPr>
          <w:i/>
          <w:iCs/>
          <w:lang w:val="en-IN"/>
        </w:rPr>
        <w:t>et al.,</w:t>
      </w:r>
      <w:r w:rsidR="0072631A">
        <w:rPr>
          <w:lang w:val="en-IN"/>
        </w:rPr>
        <w:t xml:space="preserve"> 2022)</w:t>
      </w:r>
      <w:r w:rsidR="009D2095">
        <w:rPr>
          <w:lang w:val="en-IN"/>
        </w:rPr>
        <w:t xml:space="preserve">. </w:t>
      </w:r>
      <w:r w:rsidR="00132DD2" w:rsidRPr="007D0A6B">
        <w:rPr>
          <w:b/>
          <w:bCs/>
          <w:i/>
          <w:iCs/>
          <w:lang w:val="en-IN"/>
        </w:rPr>
        <w:t>Consent,</w:t>
      </w:r>
      <w:r w:rsidR="00132DD2">
        <w:rPr>
          <w:lang w:val="en-IN"/>
        </w:rPr>
        <w:t xml:space="preserve"> in criminal proceedings</w:t>
      </w:r>
      <w:r w:rsidR="00FA4B0D">
        <w:rPr>
          <w:lang w:val="en-IN"/>
        </w:rPr>
        <w:t xml:space="preserve"> within UK</w:t>
      </w:r>
      <w:r w:rsidR="00132DD2">
        <w:rPr>
          <w:lang w:val="en-IN"/>
        </w:rPr>
        <w:t xml:space="preserve">, is identified as an aspect responsible for legitimating actions of other individuals, the lack of which might result in </w:t>
      </w:r>
      <w:r w:rsidR="00E46EC8">
        <w:rPr>
          <w:lang w:val="en-IN"/>
        </w:rPr>
        <w:t>battery or assault, thereby making criminal proceedings incumbent in such cases</w:t>
      </w:r>
      <w:r w:rsidR="00C147A2">
        <w:rPr>
          <w:lang w:val="en-IN"/>
        </w:rPr>
        <w:t xml:space="preserve"> (</w:t>
      </w:r>
      <w:proofErr w:type="spellStart"/>
      <w:r w:rsidR="00C147A2">
        <w:rPr>
          <w:lang w:val="en-IN"/>
        </w:rPr>
        <w:t>Julesz</w:t>
      </w:r>
      <w:proofErr w:type="spellEnd"/>
      <w:r w:rsidR="00C147A2">
        <w:rPr>
          <w:lang w:val="en-IN"/>
        </w:rPr>
        <w:t>, 2022)</w:t>
      </w:r>
      <w:r w:rsidR="00E46EC8">
        <w:rPr>
          <w:lang w:val="en-IN"/>
        </w:rPr>
        <w:t>. One person’s consent to another person’s actions, expectations, arrangements or the likes, tends to remove probabilities of legal or moral objections</w:t>
      </w:r>
      <w:r w:rsidR="00C17566">
        <w:rPr>
          <w:lang w:val="en-IN"/>
        </w:rPr>
        <w:t xml:space="preserve">, thereby making the consideration of consent critical for criminal proceedings. </w:t>
      </w:r>
    </w:p>
    <w:p w14:paraId="50A36A9E" w14:textId="17C32EC4" w:rsidR="00902A33" w:rsidRDefault="00061D2B" w:rsidP="007E5CB2">
      <w:pPr>
        <w:rPr>
          <w:lang w:val="en-IN"/>
        </w:rPr>
      </w:pPr>
      <w:r>
        <w:rPr>
          <w:lang w:val="en-IN"/>
        </w:rPr>
        <w:lastRenderedPageBreak/>
        <w:t>A</w:t>
      </w:r>
      <w:r w:rsidR="004624A4">
        <w:rPr>
          <w:lang w:val="en-IN"/>
        </w:rPr>
        <w:t xml:space="preserve">ccording to </w:t>
      </w:r>
      <w:r w:rsidR="004624A4" w:rsidRPr="007D0A6B">
        <w:rPr>
          <w:b/>
          <w:bCs/>
          <w:i/>
          <w:iCs/>
          <w:lang w:val="en-IN"/>
        </w:rPr>
        <w:t>liberal criminal theorists</w:t>
      </w:r>
      <w:r w:rsidR="004624A4">
        <w:rPr>
          <w:lang w:val="en-IN"/>
        </w:rPr>
        <w:t>, modern criminal law</w:t>
      </w:r>
      <w:r w:rsidR="00FA4B0D">
        <w:rPr>
          <w:lang w:val="en-IN"/>
        </w:rPr>
        <w:t xml:space="preserve"> of UK</w:t>
      </w:r>
      <w:r w:rsidR="004624A4">
        <w:rPr>
          <w:lang w:val="en-IN"/>
        </w:rPr>
        <w:t xml:space="preserve"> is centred around the protection of </w:t>
      </w:r>
      <w:r w:rsidR="004624A4" w:rsidRPr="007D0A6B">
        <w:rPr>
          <w:b/>
          <w:bCs/>
          <w:i/>
          <w:iCs/>
          <w:lang w:val="en-IN"/>
        </w:rPr>
        <w:t>personal autonomy</w:t>
      </w:r>
      <w:r w:rsidR="000E0447">
        <w:rPr>
          <w:lang w:val="en-IN"/>
        </w:rPr>
        <w:t xml:space="preserve"> and conducts are designated as criminal offenses only if they tend to interfere with the autonomy of individuals. </w:t>
      </w:r>
      <w:r>
        <w:rPr>
          <w:lang w:val="en-IN"/>
        </w:rPr>
        <w:t xml:space="preserve">However, the value of </w:t>
      </w:r>
      <w:r w:rsidRPr="007D0A6B">
        <w:rPr>
          <w:b/>
          <w:bCs/>
          <w:i/>
          <w:iCs/>
          <w:lang w:val="en-IN"/>
        </w:rPr>
        <w:t>human dignity</w:t>
      </w:r>
      <w:r>
        <w:rPr>
          <w:lang w:val="en-IN"/>
        </w:rPr>
        <w:t xml:space="preserve"> tends to </w:t>
      </w:r>
      <w:r w:rsidR="006A3E01">
        <w:rPr>
          <w:lang w:val="en-IN"/>
        </w:rPr>
        <w:t xml:space="preserve">override </w:t>
      </w:r>
      <w:r w:rsidR="00946EE1">
        <w:rPr>
          <w:lang w:val="en-IN"/>
        </w:rPr>
        <w:t xml:space="preserve">the </w:t>
      </w:r>
      <w:r w:rsidR="00946EE1" w:rsidRPr="007D0A6B">
        <w:rPr>
          <w:b/>
          <w:bCs/>
          <w:i/>
          <w:iCs/>
          <w:lang w:val="en-IN"/>
        </w:rPr>
        <w:t>doctrine of autonomy</w:t>
      </w:r>
      <w:r w:rsidR="00946EE1">
        <w:rPr>
          <w:lang w:val="en-IN"/>
        </w:rPr>
        <w:t xml:space="preserve">, </w:t>
      </w:r>
      <w:r w:rsidR="007C37B9">
        <w:rPr>
          <w:lang w:val="en-IN"/>
        </w:rPr>
        <w:t xml:space="preserve">voting in favour of criminalising certain harmful conducts even if it has occurred with consent- this </w:t>
      </w:r>
      <w:proofErr w:type="gramStart"/>
      <w:r w:rsidR="007C37B9">
        <w:rPr>
          <w:lang w:val="en-IN"/>
        </w:rPr>
        <w:t>is in compliance with</w:t>
      </w:r>
      <w:proofErr w:type="gramEnd"/>
      <w:r w:rsidR="007C37B9">
        <w:rPr>
          <w:lang w:val="en-IN"/>
        </w:rPr>
        <w:t xml:space="preserve"> preferred approach proposed by </w:t>
      </w:r>
      <w:proofErr w:type="spellStart"/>
      <w:r w:rsidR="007C37B9">
        <w:rPr>
          <w:lang w:val="en-IN"/>
        </w:rPr>
        <w:t>Bergelson</w:t>
      </w:r>
      <w:proofErr w:type="spellEnd"/>
      <w:r w:rsidR="00E04C4C">
        <w:rPr>
          <w:lang w:val="en-IN"/>
        </w:rPr>
        <w:t xml:space="preserve"> (</w:t>
      </w:r>
      <w:proofErr w:type="spellStart"/>
      <w:r w:rsidR="00E04C4C">
        <w:rPr>
          <w:lang w:val="en-IN"/>
        </w:rPr>
        <w:t>Bergelson</w:t>
      </w:r>
      <w:proofErr w:type="spellEnd"/>
      <w:r w:rsidR="00E04C4C">
        <w:rPr>
          <w:lang w:val="en-IN"/>
        </w:rPr>
        <w:t>, 2021)</w:t>
      </w:r>
      <w:r w:rsidR="007C37B9">
        <w:rPr>
          <w:lang w:val="en-IN"/>
        </w:rPr>
        <w:t xml:space="preserve">. </w:t>
      </w:r>
      <w:proofErr w:type="gramStart"/>
      <w:r w:rsidR="00477401">
        <w:rPr>
          <w:lang w:val="en-IN"/>
        </w:rPr>
        <w:t>Therefore,  consent</w:t>
      </w:r>
      <w:proofErr w:type="gramEnd"/>
      <w:r w:rsidR="00477401">
        <w:rPr>
          <w:lang w:val="en-IN"/>
        </w:rPr>
        <w:t xml:space="preserve"> is not a </w:t>
      </w:r>
      <w:r w:rsidR="006B475B">
        <w:rPr>
          <w:lang w:val="en-IN"/>
        </w:rPr>
        <w:t>defence</w:t>
      </w:r>
      <w:r w:rsidR="00477401">
        <w:rPr>
          <w:lang w:val="en-IN"/>
        </w:rPr>
        <w:t xml:space="preserve"> to certain batteries owing to the fact that</w:t>
      </w:r>
      <w:r w:rsidR="002545E1">
        <w:rPr>
          <w:lang w:val="en-IN"/>
        </w:rPr>
        <w:t xml:space="preserve"> besides promoting personal autonomy, the criminal law</w:t>
      </w:r>
      <w:r w:rsidR="00FA4B0D">
        <w:rPr>
          <w:lang w:val="en-IN"/>
        </w:rPr>
        <w:t xml:space="preserve"> of UK</w:t>
      </w:r>
      <w:r w:rsidR="002545E1">
        <w:rPr>
          <w:lang w:val="en-IN"/>
        </w:rPr>
        <w:t xml:space="preserve"> is also concerned about motivating the exhibition of </w:t>
      </w:r>
      <w:r w:rsidR="002545E1" w:rsidRPr="007D0A6B">
        <w:rPr>
          <w:b/>
          <w:bCs/>
          <w:i/>
          <w:iCs/>
          <w:lang w:val="en-IN"/>
        </w:rPr>
        <w:t>socially accep</w:t>
      </w:r>
      <w:r w:rsidR="007314F3" w:rsidRPr="007D0A6B">
        <w:rPr>
          <w:b/>
          <w:bCs/>
          <w:i/>
          <w:iCs/>
          <w:lang w:val="en-IN"/>
        </w:rPr>
        <w:t>table conduct</w:t>
      </w:r>
      <w:r w:rsidR="007314F3">
        <w:rPr>
          <w:lang w:val="en-IN"/>
        </w:rPr>
        <w:t xml:space="preserve"> </w:t>
      </w:r>
      <w:r w:rsidR="009254D6">
        <w:rPr>
          <w:lang w:val="en-IN"/>
        </w:rPr>
        <w:t xml:space="preserve">by individuals as well as discouraging any form of </w:t>
      </w:r>
      <w:r w:rsidR="009254D6" w:rsidRPr="007D0A6B">
        <w:rPr>
          <w:b/>
          <w:bCs/>
          <w:i/>
          <w:iCs/>
          <w:lang w:val="en-IN"/>
        </w:rPr>
        <w:t>socially unacceptable behaviours</w:t>
      </w:r>
      <w:r w:rsidR="00314235">
        <w:rPr>
          <w:b/>
          <w:bCs/>
          <w:i/>
          <w:iCs/>
          <w:lang w:val="en-IN"/>
        </w:rPr>
        <w:t xml:space="preserve"> </w:t>
      </w:r>
      <w:r w:rsidR="00314235">
        <w:rPr>
          <w:lang w:val="en-IN"/>
        </w:rPr>
        <w:t xml:space="preserve">(Gray </w:t>
      </w:r>
      <w:r w:rsidR="00314235" w:rsidRPr="00314235">
        <w:rPr>
          <w:i/>
          <w:iCs/>
          <w:lang w:val="en-IN"/>
        </w:rPr>
        <w:t>et al.,</w:t>
      </w:r>
      <w:r w:rsidR="00314235">
        <w:rPr>
          <w:lang w:val="en-IN"/>
        </w:rPr>
        <w:t xml:space="preserve"> 2021)</w:t>
      </w:r>
      <w:r w:rsidR="009254D6">
        <w:rPr>
          <w:lang w:val="en-IN"/>
        </w:rPr>
        <w:t xml:space="preserve">. </w:t>
      </w:r>
      <w:r w:rsidR="003832FA">
        <w:rPr>
          <w:lang w:val="en-IN"/>
        </w:rPr>
        <w:t xml:space="preserve">Therefore, criminal law allows the parents to get the ears of their children pierced, but they are forbidden </w:t>
      </w:r>
      <w:r w:rsidR="00BE0710">
        <w:rPr>
          <w:lang w:val="en-IN"/>
        </w:rPr>
        <w:t xml:space="preserve">from getting </w:t>
      </w:r>
      <w:r w:rsidR="00E0103B">
        <w:rPr>
          <w:lang w:val="en-IN"/>
        </w:rPr>
        <w:t>their children tattooed. Furthermore, though the boxers and other players engaged in close-contact sports are allowed to touch each other and beat them, without authorisation</w:t>
      </w:r>
      <w:r w:rsidR="00581157">
        <w:rPr>
          <w:lang w:val="en-IN"/>
        </w:rPr>
        <w:t xml:space="preserve">, but </w:t>
      </w:r>
      <w:r w:rsidR="00514B01">
        <w:rPr>
          <w:lang w:val="en-IN"/>
        </w:rPr>
        <w:t xml:space="preserve">normal citizens </w:t>
      </w:r>
      <w:r w:rsidR="00581157">
        <w:rPr>
          <w:lang w:val="en-IN"/>
        </w:rPr>
        <w:t xml:space="preserve">are not allowed </w:t>
      </w:r>
      <w:r w:rsidR="00514B01">
        <w:rPr>
          <w:lang w:val="en-IN"/>
        </w:rPr>
        <w:t xml:space="preserve">to engage in any kind of street fights or brawl, vide modern criminal law. </w:t>
      </w:r>
    </w:p>
    <w:p w14:paraId="03633FDD" w14:textId="004A5056" w:rsidR="0073467B" w:rsidRDefault="0073467B" w:rsidP="007E5CB2">
      <w:pPr>
        <w:rPr>
          <w:lang w:val="en-IN"/>
        </w:rPr>
      </w:pPr>
      <w:r>
        <w:rPr>
          <w:lang w:val="en-IN"/>
        </w:rPr>
        <w:t xml:space="preserve">As identified in the case of </w:t>
      </w:r>
      <w:r w:rsidRPr="00EC1536">
        <w:rPr>
          <w:i/>
          <w:iCs/>
          <w:lang w:val="en-IN"/>
        </w:rPr>
        <w:t xml:space="preserve">R v </w:t>
      </w:r>
      <w:proofErr w:type="spellStart"/>
      <w:r w:rsidRPr="00EC1536">
        <w:rPr>
          <w:i/>
          <w:iCs/>
          <w:lang w:val="en-IN"/>
        </w:rPr>
        <w:t>Dica</w:t>
      </w:r>
      <w:proofErr w:type="spellEnd"/>
      <w:r w:rsidRPr="00EC1536">
        <w:rPr>
          <w:i/>
          <w:iCs/>
          <w:lang w:val="en-IN"/>
        </w:rPr>
        <w:t xml:space="preserve"> </w:t>
      </w:r>
      <w:r w:rsidR="00EC1536">
        <w:rPr>
          <w:i/>
          <w:iCs/>
          <w:lang w:val="en-IN"/>
        </w:rPr>
        <w:t>[</w:t>
      </w:r>
      <w:r w:rsidRPr="00EC1536">
        <w:rPr>
          <w:i/>
          <w:iCs/>
          <w:lang w:val="en-IN"/>
        </w:rPr>
        <w:t>2004</w:t>
      </w:r>
      <w:r w:rsidR="00EC1536">
        <w:rPr>
          <w:i/>
          <w:iCs/>
          <w:lang w:val="en-IN"/>
        </w:rPr>
        <w:t>]</w:t>
      </w:r>
      <w:r w:rsidRPr="00EC1536">
        <w:rPr>
          <w:i/>
          <w:iCs/>
          <w:lang w:val="en-IN"/>
        </w:rPr>
        <w:t>,</w:t>
      </w:r>
      <w:r>
        <w:rPr>
          <w:lang w:val="en-IN"/>
        </w:rPr>
        <w:t xml:space="preserve"> the defendant argued against charges of Battery claiming implied consent of the plaintiff to contract HIV through engaging in unprotected sexual intercourse. </w:t>
      </w:r>
      <w:r w:rsidR="00EC1536">
        <w:rPr>
          <w:lang w:val="en-IN"/>
        </w:rPr>
        <w:t xml:space="preserve">However, the lack of informed consent on the part of the plaintiff, since they were unaware of the HIV status of the defendant before engaging in the </w:t>
      </w:r>
      <w:proofErr w:type="gramStart"/>
      <w:r w:rsidR="00EC1536">
        <w:rPr>
          <w:lang w:val="en-IN"/>
        </w:rPr>
        <w:t>aforementioned activity</w:t>
      </w:r>
      <w:proofErr w:type="gramEnd"/>
      <w:r w:rsidR="002B61D8">
        <w:rPr>
          <w:lang w:val="en-IN"/>
        </w:rPr>
        <w:t xml:space="preserve">, also vouches for the absence of implied consent- which means that though the plaintiff agreed to engage in unprotected sexual intercourse, they had not agreed to transmission of HIV. </w:t>
      </w:r>
      <w:r w:rsidR="001031CB">
        <w:rPr>
          <w:lang w:val="en-IN"/>
        </w:rPr>
        <w:t xml:space="preserve">As identified in the study by </w:t>
      </w:r>
      <w:r w:rsidR="008E78BE">
        <w:rPr>
          <w:lang w:val="en-IN"/>
        </w:rPr>
        <w:t xml:space="preserve">Fischel, </w:t>
      </w:r>
      <w:r w:rsidR="001031CB">
        <w:rPr>
          <w:lang w:val="en-IN"/>
        </w:rPr>
        <w:t>(</w:t>
      </w:r>
      <w:r w:rsidR="008E78BE">
        <w:rPr>
          <w:lang w:val="en-IN"/>
        </w:rPr>
        <w:t>2019</w:t>
      </w:r>
      <w:r w:rsidR="001031CB">
        <w:rPr>
          <w:lang w:val="en-IN"/>
        </w:rPr>
        <w:t xml:space="preserve">), absence of consent is considered as an element of offense. </w:t>
      </w:r>
      <w:r w:rsidR="001D41DB">
        <w:rPr>
          <w:lang w:val="en-IN"/>
        </w:rPr>
        <w:t>In this case</w:t>
      </w:r>
      <w:r w:rsidR="002B61D8">
        <w:rPr>
          <w:lang w:val="en-IN"/>
        </w:rPr>
        <w:t xml:space="preserve">, </w:t>
      </w:r>
      <w:r w:rsidR="007D457D">
        <w:rPr>
          <w:lang w:val="en-IN"/>
        </w:rPr>
        <w:t xml:space="preserve">defendant had engaged in inflicting severe bodily harm to the plaintiff, therefore </w:t>
      </w:r>
      <w:r w:rsidR="001D41DB">
        <w:rPr>
          <w:lang w:val="en-IN"/>
        </w:rPr>
        <w:t>establishing the presence of an element of offence; thus</w:t>
      </w:r>
      <w:r w:rsidR="00902A33">
        <w:rPr>
          <w:lang w:val="en-IN"/>
        </w:rPr>
        <w:t>,</w:t>
      </w:r>
      <w:r w:rsidR="001D41DB">
        <w:rPr>
          <w:lang w:val="en-IN"/>
        </w:rPr>
        <w:t xml:space="preserve"> the Court </w:t>
      </w:r>
      <w:r w:rsidR="007D457D">
        <w:rPr>
          <w:lang w:val="en-IN"/>
        </w:rPr>
        <w:t>render</w:t>
      </w:r>
      <w:r w:rsidR="001D41DB">
        <w:rPr>
          <w:lang w:val="en-IN"/>
        </w:rPr>
        <w:t>ed</w:t>
      </w:r>
      <w:r w:rsidR="007D457D">
        <w:rPr>
          <w:lang w:val="en-IN"/>
        </w:rPr>
        <w:t xml:space="preserve"> justice in favour of the plaintiff, while dismissing the </w:t>
      </w:r>
      <w:r w:rsidR="00440094">
        <w:rPr>
          <w:lang w:val="en-IN"/>
        </w:rPr>
        <w:t xml:space="preserve">arguments of the defendant. </w:t>
      </w:r>
    </w:p>
    <w:p w14:paraId="17770C36" w14:textId="75BDACF8" w:rsidR="004D7162" w:rsidRDefault="004D7162" w:rsidP="004D7162">
      <w:pPr>
        <w:pStyle w:val="Heading1"/>
        <w:rPr>
          <w:lang w:val="en-IN"/>
        </w:rPr>
      </w:pPr>
      <w:bookmarkStart w:id="2" w:name="_Toc149404891"/>
      <w:r>
        <w:rPr>
          <w:lang w:val="en-IN"/>
        </w:rPr>
        <w:t>Conclusion</w:t>
      </w:r>
      <w:bookmarkEnd w:id="2"/>
    </w:p>
    <w:p w14:paraId="1B22FCC8" w14:textId="19F55BBC" w:rsidR="00FB584C" w:rsidRPr="00FB584C" w:rsidRDefault="004D3A5F" w:rsidP="00FB584C">
      <w:pPr>
        <w:rPr>
          <w:lang w:val="en-IN"/>
        </w:rPr>
      </w:pPr>
      <w:r>
        <w:rPr>
          <w:lang w:val="en-IN"/>
        </w:rPr>
        <w:t>As could be surmised from the exploration above, consent</w:t>
      </w:r>
      <w:r w:rsidR="006A3430">
        <w:rPr>
          <w:lang w:val="en-IN"/>
        </w:rPr>
        <w:t xml:space="preserve">, in the context of </w:t>
      </w:r>
      <w:proofErr w:type="spellStart"/>
      <w:r w:rsidR="006A3430">
        <w:rPr>
          <w:lang w:val="en-IN"/>
        </w:rPr>
        <w:t>Uk</w:t>
      </w:r>
      <w:proofErr w:type="spellEnd"/>
      <w:r w:rsidR="006A3430">
        <w:rPr>
          <w:lang w:val="en-IN"/>
        </w:rPr>
        <w:t xml:space="preserve"> law, </w:t>
      </w:r>
      <w:r>
        <w:rPr>
          <w:lang w:val="en-IN"/>
        </w:rPr>
        <w:t xml:space="preserve">plays a critical role in cases involving Battery. </w:t>
      </w:r>
      <w:r w:rsidR="00F16D6C">
        <w:rPr>
          <w:lang w:val="en-IN"/>
        </w:rPr>
        <w:t xml:space="preserve">Although according to several </w:t>
      </w:r>
      <w:proofErr w:type="gramStart"/>
      <w:r w:rsidR="00F16D6C">
        <w:rPr>
          <w:lang w:val="en-IN"/>
        </w:rPr>
        <w:t>researches</w:t>
      </w:r>
      <w:proofErr w:type="gramEnd"/>
      <w:r w:rsidR="00F16D6C">
        <w:rPr>
          <w:lang w:val="en-IN"/>
        </w:rPr>
        <w:t xml:space="preserve">, consent does not act as a defence to Battery under certain circumstances, most of the researches state that </w:t>
      </w:r>
      <w:r w:rsidR="00047AD9">
        <w:rPr>
          <w:lang w:val="en-IN"/>
        </w:rPr>
        <w:t xml:space="preserve">consent is necessary for avoiding chances of battery. </w:t>
      </w:r>
      <w:r w:rsidR="00047AD9">
        <w:rPr>
          <w:lang w:val="en-IN"/>
        </w:rPr>
        <w:lastRenderedPageBreak/>
        <w:t xml:space="preserve">Receiving consent from the patients, for instance, </w:t>
      </w:r>
      <w:r w:rsidR="00202802">
        <w:rPr>
          <w:lang w:val="en-IN"/>
        </w:rPr>
        <w:t xml:space="preserve">in form of informed consent, helps the medical practitioners, to avoid complications associated with </w:t>
      </w:r>
      <w:r w:rsidR="00021B8C">
        <w:rPr>
          <w:lang w:val="en-IN"/>
        </w:rPr>
        <w:t>B</w:t>
      </w:r>
      <w:r w:rsidR="00202802">
        <w:rPr>
          <w:lang w:val="en-IN"/>
        </w:rPr>
        <w:t>attery, pertaining to treating the patients in their best interests but without the</w:t>
      </w:r>
      <w:r w:rsidR="00CD08D0">
        <w:rPr>
          <w:lang w:val="en-IN"/>
        </w:rPr>
        <w:t xml:space="preserve">ir consent. In criminal law, consent, however, has been found to incur exceptions, with right to dignity gaining </w:t>
      </w:r>
      <w:r w:rsidR="005B13AE">
        <w:rPr>
          <w:lang w:val="en-IN"/>
        </w:rPr>
        <w:t xml:space="preserve">better prominence and need to be catered to, than consent. </w:t>
      </w:r>
      <w:r w:rsidR="00202802">
        <w:rPr>
          <w:lang w:val="en-IN"/>
        </w:rPr>
        <w:t xml:space="preserve"> </w:t>
      </w:r>
      <w:r w:rsidR="005B13AE">
        <w:rPr>
          <w:lang w:val="en-IN"/>
        </w:rPr>
        <w:t xml:space="preserve">In this case, Battery might occur even if the </w:t>
      </w:r>
      <w:r w:rsidR="007855C2">
        <w:rPr>
          <w:lang w:val="en-IN"/>
        </w:rPr>
        <w:t>plaintiffs had given consent, only if the perpetrators violated the dignity of the plaint</w:t>
      </w:r>
      <w:r w:rsidR="00C02C5B">
        <w:rPr>
          <w:lang w:val="en-IN"/>
        </w:rPr>
        <w:t>i</w:t>
      </w:r>
      <w:r w:rsidR="007855C2">
        <w:rPr>
          <w:lang w:val="en-IN"/>
        </w:rPr>
        <w:t xml:space="preserve">ffs or caused them </w:t>
      </w:r>
      <w:r w:rsidR="00C02C5B">
        <w:rPr>
          <w:lang w:val="en-IN"/>
        </w:rPr>
        <w:t xml:space="preserve">significant physical or psychological harm. </w:t>
      </w:r>
    </w:p>
    <w:p w14:paraId="55D35A58" w14:textId="77777777" w:rsidR="00861C60" w:rsidRDefault="00861C60">
      <w:pPr>
        <w:spacing w:before="0" w:beforeAutospacing="0" w:after="160" w:afterAutospacing="0" w:line="259" w:lineRule="auto"/>
        <w:jc w:val="left"/>
        <w:rPr>
          <w:rFonts w:eastAsiaTheme="majorEastAsia" w:cstheme="majorBidi"/>
          <w:b/>
          <w:color w:val="000000" w:themeColor="text1"/>
          <w:szCs w:val="32"/>
          <w:lang w:val="en-IN"/>
        </w:rPr>
      </w:pPr>
      <w:r>
        <w:rPr>
          <w:lang w:val="en-IN"/>
        </w:rPr>
        <w:br w:type="page"/>
      </w:r>
    </w:p>
    <w:p w14:paraId="3D7837B8" w14:textId="3F4BB108" w:rsidR="004D7162" w:rsidRDefault="004D7162" w:rsidP="004D7162">
      <w:pPr>
        <w:pStyle w:val="Heading1"/>
        <w:rPr>
          <w:lang w:val="en-IN"/>
        </w:rPr>
      </w:pPr>
      <w:bookmarkStart w:id="3" w:name="_Toc149404892"/>
      <w:r>
        <w:rPr>
          <w:lang w:val="en-IN"/>
        </w:rPr>
        <w:lastRenderedPageBreak/>
        <w:t>References</w:t>
      </w:r>
      <w:bookmarkEnd w:id="3"/>
    </w:p>
    <w:p w14:paraId="1098D6E5" w14:textId="77777777" w:rsidR="00861C60" w:rsidRDefault="00861C60" w:rsidP="00861C60">
      <w:pPr>
        <w:rPr>
          <w:shd w:val="clear" w:color="auto" w:fill="FFFFFF"/>
        </w:rPr>
      </w:pPr>
      <w:r>
        <w:rPr>
          <w:shd w:val="clear" w:color="auto" w:fill="FFFFFF"/>
        </w:rPr>
        <w:t>Appelbaum, P.S. and Grisso, T., 2019. The MacArthur Treatment Competence Study. I: Mental Illness and Competence to Consent to Treatment1. </w:t>
      </w:r>
      <w:r>
        <w:rPr>
          <w:i/>
          <w:iCs/>
          <w:shd w:val="clear" w:color="auto" w:fill="FFFFFF"/>
        </w:rPr>
        <w:t>Clinical Forensic Psychology and Law</w:t>
      </w:r>
      <w:r>
        <w:rPr>
          <w:shd w:val="clear" w:color="auto" w:fill="FFFFFF"/>
        </w:rPr>
        <w:t>, pp.129-156.</w:t>
      </w:r>
    </w:p>
    <w:p w14:paraId="5278D3FA" w14:textId="77777777" w:rsidR="00861C60" w:rsidRDefault="00861C60" w:rsidP="00861C60">
      <w:pPr>
        <w:rPr>
          <w:shd w:val="clear" w:color="auto" w:fill="FFFFFF"/>
        </w:rPr>
      </w:pPr>
      <w:proofErr w:type="spellStart"/>
      <w:r>
        <w:rPr>
          <w:shd w:val="clear" w:color="auto" w:fill="FFFFFF"/>
        </w:rPr>
        <w:t>Bergelson</w:t>
      </w:r>
      <w:proofErr w:type="spellEnd"/>
      <w:r>
        <w:rPr>
          <w:shd w:val="clear" w:color="auto" w:fill="FFFFFF"/>
        </w:rPr>
        <w:t>, V., 2021. The depths of malice. </w:t>
      </w:r>
      <w:r>
        <w:rPr>
          <w:i/>
          <w:iCs/>
          <w:shd w:val="clear" w:color="auto" w:fill="FFFFFF"/>
        </w:rPr>
        <w:t>Ariz. St. LJ</w:t>
      </w:r>
      <w:r>
        <w:rPr>
          <w:shd w:val="clear" w:color="auto" w:fill="FFFFFF"/>
        </w:rPr>
        <w:t>, </w:t>
      </w:r>
      <w:r>
        <w:rPr>
          <w:i/>
          <w:iCs/>
          <w:shd w:val="clear" w:color="auto" w:fill="FFFFFF"/>
        </w:rPr>
        <w:t>53</w:t>
      </w:r>
      <w:r>
        <w:rPr>
          <w:shd w:val="clear" w:color="auto" w:fill="FFFFFF"/>
        </w:rPr>
        <w:t>, p.399.</w:t>
      </w:r>
    </w:p>
    <w:p w14:paraId="0068EDEC" w14:textId="77777777" w:rsidR="00861C60" w:rsidRDefault="00861C60" w:rsidP="00861C60">
      <w:pPr>
        <w:rPr>
          <w:shd w:val="clear" w:color="auto" w:fill="FFFFFF"/>
        </w:rPr>
      </w:pPr>
      <w:r>
        <w:rPr>
          <w:shd w:val="clear" w:color="auto" w:fill="FFFFFF"/>
        </w:rPr>
        <w:t>Bittick, A. and Holliman, R., 2023. Informed consent with people judged incapable of legally consenting. </w:t>
      </w:r>
      <w:r>
        <w:rPr>
          <w:i/>
          <w:iCs/>
          <w:shd w:val="clear" w:color="auto" w:fill="FFFFFF"/>
        </w:rPr>
        <w:t>Advances in Mental Health and Intellectual Disabilities</w:t>
      </w:r>
      <w:r>
        <w:rPr>
          <w:shd w:val="clear" w:color="auto" w:fill="FFFFFF"/>
        </w:rPr>
        <w:t>, </w:t>
      </w:r>
      <w:r>
        <w:rPr>
          <w:i/>
          <w:iCs/>
          <w:shd w:val="clear" w:color="auto" w:fill="FFFFFF"/>
        </w:rPr>
        <w:t>17</w:t>
      </w:r>
      <w:r>
        <w:rPr>
          <w:shd w:val="clear" w:color="auto" w:fill="FFFFFF"/>
        </w:rPr>
        <w:t>(2), pp.95-108.</w:t>
      </w:r>
    </w:p>
    <w:p w14:paraId="547C30E1" w14:textId="77777777" w:rsidR="00861C60" w:rsidRDefault="00861C60" w:rsidP="00861C60">
      <w:pPr>
        <w:rPr>
          <w:shd w:val="clear" w:color="auto" w:fill="FFFFFF"/>
        </w:rPr>
      </w:pPr>
      <w:r>
        <w:rPr>
          <w:shd w:val="clear" w:color="auto" w:fill="FFFFFF"/>
        </w:rPr>
        <w:t>Fischel, J.J., 2019. </w:t>
      </w:r>
      <w:r>
        <w:rPr>
          <w:i/>
          <w:iCs/>
          <w:shd w:val="clear" w:color="auto" w:fill="FFFFFF"/>
        </w:rPr>
        <w:t>Screw consent: A better politics of sexual justice</w:t>
      </w:r>
      <w:r>
        <w:rPr>
          <w:shd w:val="clear" w:color="auto" w:fill="FFFFFF"/>
        </w:rPr>
        <w:t xml:space="preserve">. </w:t>
      </w:r>
      <w:proofErr w:type="spellStart"/>
      <w:r>
        <w:rPr>
          <w:shd w:val="clear" w:color="auto" w:fill="FFFFFF"/>
        </w:rPr>
        <w:t>Univ</w:t>
      </w:r>
      <w:proofErr w:type="spellEnd"/>
      <w:r>
        <w:rPr>
          <w:shd w:val="clear" w:color="auto" w:fill="FFFFFF"/>
        </w:rPr>
        <w:t xml:space="preserve"> of California Press.</w:t>
      </w:r>
    </w:p>
    <w:p w14:paraId="3B6BFFC8" w14:textId="77777777" w:rsidR="00861C60" w:rsidRDefault="00861C60" w:rsidP="00861C60">
      <w:pPr>
        <w:rPr>
          <w:shd w:val="clear" w:color="auto" w:fill="FFFFFF"/>
        </w:rPr>
      </w:pPr>
      <w:r>
        <w:rPr>
          <w:shd w:val="clear" w:color="auto" w:fill="FFFFFF"/>
        </w:rPr>
        <w:t xml:space="preserve">Gray, C.M., Santos, C., </w:t>
      </w:r>
      <w:proofErr w:type="spellStart"/>
      <w:r>
        <w:rPr>
          <w:shd w:val="clear" w:color="auto" w:fill="FFFFFF"/>
        </w:rPr>
        <w:t>Bielova</w:t>
      </w:r>
      <w:proofErr w:type="spellEnd"/>
      <w:r>
        <w:rPr>
          <w:shd w:val="clear" w:color="auto" w:fill="FFFFFF"/>
        </w:rPr>
        <w:t>, N., Toth, M. and Clifford, D., 2021, May. Dark patterns and the legal requirements of consent banners: An interaction criticism perspective. In </w:t>
      </w:r>
      <w:r>
        <w:rPr>
          <w:i/>
          <w:iCs/>
          <w:shd w:val="clear" w:color="auto" w:fill="FFFFFF"/>
        </w:rPr>
        <w:t>Proceedings of the 2021 CHI Conference on Human Factors in Computing Systems</w:t>
      </w:r>
      <w:r>
        <w:rPr>
          <w:shd w:val="clear" w:color="auto" w:fill="FFFFFF"/>
        </w:rPr>
        <w:t> (pp. 1-18).</w:t>
      </w:r>
    </w:p>
    <w:p w14:paraId="39406DEE" w14:textId="77777777" w:rsidR="00861C60" w:rsidRDefault="00861C60" w:rsidP="00861C60">
      <w:pPr>
        <w:rPr>
          <w:shd w:val="clear" w:color="auto" w:fill="FFFFFF"/>
        </w:rPr>
      </w:pPr>
      <w:r>
        <w:rPr>
          <w:shd w:val="clear" w:color="auto" w:fill="FFFFFF"/>
        </w:rPr>
        <w:t>Jowett, S., Dimopoulos, G. and Kelly, F., 2022. Reforming the law on consent to medical treatment for trans youth: a renewed call for legislative intervention. </w:t>
      </w:r>
      <w:r>
        <w:rPr>
          <w:i/>
          <w:iCs/>
          <w:shd w:val="clear" w:color="auto" w:fill="FFFFFF"/>
        </w:rPr>
        <w:t>Laws</w:t>
      </w:r>
      <w:r>
        <w:rPr>
          <w:shd w:val="clear" w:color="auto" w:fill="FFFFFF"/>
        </w:rPr>
        <w:t>, </w:t>
      </w:r>
      <w:r>
        <w:rPr>
          <w:i/>
          <w:iCs/>
          <w:shd w:val="clear" w:color="auto" w:fill="FFFFFF"/>
        </w:rPr>
        <w:t>11</w:t>
      </w:r>
      <w:r>
        <w:rPr>
          <w:shd w:val="clear" w:color="auto" w:fill="FFFFFF"/>
        </w:rPr>
        <w:t>(4), p.56.</w:t>
      </w:r>
    </w:p>
    <w:p w14:paraId="77C607DE" w14:textId="77777777" w:rsidR="00861C60" w:rsidRDefault="00861C60" w:rsidP="00861C60">
      <w:pPr>
        <w:rPr>
          <w:shd w:val="clear" w:color="auto" w:fill="FFFFFF"/>
        </w:rPr>
      </w:pPr>
      <w:proofErr w:type="spellStart"/>
      <w:r>
        <w:rPr>
          <w:shd w:val="clear" w:color="auto" w:fill="FFFFFF"/>
        </w:rPr>
        <w:t>Julesz</w:t>
      </w:r>
      <w:proofErr w:type="spellEnd"/>
      <w:r>
        <w:rPr>
          <w:shd w:val="clear" w:color="auto" w:fill="FFFFFF"/>
        </w:rPr>
        <w:t>, M., 2023. The Legal History of Informed Consent. </w:t>
      </w:r>
      <w:r>
        <w:rPr>
          <w:i/>
          <w:iCs/>
          <w:shd w:val="clear" w:color="auto" w:fill="FFFFFF"/>
        </w:rPr>
        <w:t>Journal on European History of Law</w:t>
      </w:r>
      <w:r>
        <w:rPr>
          <w:shd w:val="clear" w:color="auto" w:fill="FFFFFF"/>
        </w:rPr>
        <w:t>, </w:t>
      </w:r>
      <w:r>
        <w:rPr>
          <w:i/>
          <w:iCs/>
          <w:shd w:val="clear" w:color="auto" w:fill="FFFFFF"/>
        </w:rPr>
        <w:t>14</w:t>
      </w:r>
      <w:r>
        <w:rPr>
          <w:shd w:val="clear" w:color="auto" w:fill="FFFFFF"/>
        </w:rPr>
        <w:t>(1).</w:t>
      </w:r>
    </w:p>
    <w:p w14:paraId="0328C9A3" w14:textId="77777777" w:rsidR="00861C60" w:rsidRDefault="00861C60" w:rsidP="00861C60">
      <w:pPr>
        <w:rPr>
          <w:shd w:val="clear" w:color="auto" w:fill="FFFFFF"/>
        </w:rPr>
      </w:pPr>
      <w:r>
        <w:rPr>
          <w:shd w:val="clear" w:color="auto" w:fill="FFFFFF"/>
        </w:rPr>
        <w:t>Meade, M.J., Weston, A. and Dreyer, C.W., 2019. Valid consent and orthodontic treatment. </w:t>
      </w:r>
      <w:r>
        <w:rPr>
          <w:i/>
          <w:iCs/>
          <w:shd w:val="clear" w:color="auto" w:fill="FFFFFF"/>
        </w:rPr>
        <w:t>Australasian Orthodontic Journal</w:t>
      </w:r>
      <w:r>
        <w:rPr>
          <w:shd w:val="clear" w:color="auto" w:fill="FFFFFF"/>
        </w:rPr>
        <w:t>, </w:t>
      </w:r>
      <w:r>
        <w:rPr>
          <w:i/>
          <w:iCs/>
          <w:shd w:val="clear" w:color="auto" w:fill="FFFFFF"/>
        </w:rPr>
        <w:t>35</w:t>
      </w:r>
      <w:r>
        <w:rPr>
          <w:shd w:val="clear" w:color="auto" w:fill="FFFFFF"/>
        </w:rPr>
        <w:t>(1), pp.35-45.</w:t>
      </w:r>
    </w:p>
    <w:p w14:paraId="4ECC1A9A" w14:textId="77777777" w:rsidR="00861C60" w:rsidRDefault="00861C60" w:rsidP="00861C60">
      <w:pPr>
        <w:rPr>
          <w:shd w:val="clear" w:color="auto" w:fill="FFFFFF"/>
        </w:rPr>
      </w:pPr>
      <w:r>
        <w:rPr>
          <w:shd w:val="clear" w:color="auto" w:fill="FFFFFF"/>
        </w:rPr>
        <w:t>Monaghan, N., 2022. </w:t>
      </w:r>
      <w:r>
        <w:rPr>
          <w:i/>
          <w:iCs/>
          <w:shd w:val="clear" w:color="auto" w:fill="FFFFFF"/>
        </w:rPr>
        <w:t>Criminal Law Directions</w:t>
      </w:r>
      <w:r>
        <w:rPr>
          <w:shd w:val="clear" w:color="auto" w:fill="FFFFFF"/>
        </w:rPr>
        <w:t>. Oxford University Press.</w:t>
      </w:r>
    </w:p>
    <w:p w14:paraId="07255C1E" w14:textId="77777777" w:rsidR="00861C60" w:rsidRDefault="00861C60" w:rsidP="00861C60">
      <w:pPr>
        <w:rPr>
          <w:shd w:val="clear" w:color="auto" w:fill="FFFFFF"/>
        </w:rPr>
      </w:pPr>
      <w:r>
        <w:rPr>
          <w:shd w:val="clear" w:color="auto" w:fill="FFFFFF"/>
        </w:rPr>
        <w:t>Windle, J., Lynch, O., Sweeney, K., O'Neill, M., Donson, F. and Cuffe, J., 2022. </w:t>
      </w:r>
      <w:r>
        <w:rPr>
          <w:i/>
          <w:iCs/>
          <w:shd w:val="clear" w:color="auto" w:fill="FFFFFF"/>
        </w:rPr>
        <w:t>Criminology, Crime and Justice in Ireland: An Introduction</w:t>
      </w:r>
      <w:r>
        <w:rPr>
          <w:shd w:val="clear" w:color="auto" w:fill="FFFFFF"/>
        </w:rPr>
        <w:t>. Taylor &amp; Francis.</w:t>
      </w:r>
    </w:p>
    <w:p w14:paraId="4C38FECD" w14:textId="77777777" w:rsidR="00861C60" w:rsidRDefault="00861C60" w:rsidP="00861C60"/>
    <w:p w14:paraId="3675B583" w14:textId="77777777" w:rsidR="00861C60" w:rsidRPr="00861C60" w:rsidRDefault="00861C60" w:rsidP="00861C60">
      <w:pPr>
        <w:rPr>
          <w:lang w:val="en-IN"/>
        </w:rPr>
      </w:pPr>
    </w:p>
    <w:sectPr w:rsidR="00861C60" w:rsidRPr="00861C60" w:rsidSect="007E5CB2">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DC0D5" w14:textId="77777777" w:rsidR="003F3001" w:rsidRDefault="003F3001" w:rsidP="004C7BE6">
      <w:pPr>
        <w:spacing w:before="0" w:after="0" w:line="240" w:lineRule="auto"/>
      </w:pPr>
      <w:r>
        <w:separator/>
      </w:r>
    </w:p>
  </w:endnote>
  <w:endnote w:type="continuationSeparator" w:id="0">
    <w:p w14:paraId="5BA30DF2" w14:textId="77777777" w:rsidR="003F3001" w:rsidRDefault="003F3001" w:rsidP="004C7BE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309254"/>
      <w:docPartObj>
        <w:docPartGallery w:val="Page Numbers (Bottom of Page)"/>
        <w:docPartUnique/>
      </w:docPartObj>
    </w:sdtPr>
    <w:sdtEndPr>
      <w:rPr>
        <w:noProof/>
      </w:rPr>
    </w:sdtEndPr>
    <w:sdtContent>
      <w:p w14:paraId="4028D43F" w14:textId="7254414A" w:rsidR="004C7BE6" w:rsidRDefault="004C7B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F1BA60" w14:textId="77777777" w:rsidR="004C7BE6" w:rsidRDefault="004C7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210C4" w14:textId="77777777" w:rsidR="003F3001" w:rsidRDefault="003F3001" w:rsidP="004C7BE6">
      <w:pPr>
        <w:spacing w:before="0" w:after="0" w:line="240" w:lineRule="auto"/>
      </w:pPr>
      <w:r>
        <w:separator/>
      </w:r>
    </w:p>
  </w:footnote>
  <w:footnote w:type="continuationSeparator" w:id="0">
    <w:p w14:paraId="6A3CD273" w14:textId="77777777" w:rsidR="003F3001" w:rsidRDefault="003F3001" w:rsidP="004C7BE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74397"/>
    <w:multiLevelType w:val="hybridMultilevel"/>
    <w:tmpl w:val="3FB68D20"/>
    <w:lvl w:ilvl="0" w:tplc="FFFFFFFF">
      <w:numFmt w:val="bullet"/>
      <w:lvlText w:val="-"/>
      <w:lvlJc w:val="left"/>
      <w:pPr>
        <w:ind w:left="720" w:hanging="360"/>
      </w:pPr>
      <w:rPr>
        <w:rFonts w:ascii="Arial" w:eastAsiaTheme="maj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076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EB2"/>
    <w:rsid w:val="00001762"/>
    <w:rsid w:val="00013CBF"/>
    <w:rsid w:val="00021B8C"/>
    <w:rsid w:val="000235D0"/>
    <w:rsid w:val="00047AD9"/>
    <w:rsid w:val="00051425"/>
    <w:rsid w:val="00061D2B"/>
    <w:rsid w:val="000D542A"/>
    <w:rsid w:val="000E0447"/>
    <w:rsid w:val="001031CB"/>
    <w:rsid w:val="001321F8"/>
    <w:rsid w:val="00132DD2"/>
    <w:rsid w:val="00141421"/>
    <w:rsid w:val="00157547"/>
    <w:rsid w:val="001B3175"/>
    <w:rsid w:val="001D41DB"/>
    <w:rsid w:val="001D5AE7"/>
    <w:rsid w:val="00202802"/>
    <w:rsid w:val="00205B81"/>
    <w:rsid w:val="002545E1"/>
    <w:rsid w:val="00273A18"/>
    <w:rsid w:val="002B61D8"/>
    <w:rsid w:val="002C020C"/>
    <w:rsid w:val="003061AD"/>
    <w:rsid w:val="00307381"/>
    <w:rsid w:val="00314235"/>
    <w:rsid w:val="00324A3B"/>
    <w:rsid w:val="00332353"/>
    <w:rsid w:val="003832FA"/>
    <w:rsid w:val="003F0432"/>
    <w:rsid w:val="003F3001"/>
    <w:rsid w:val="00410EB2"/>
    <w:rsid w:val="0042386E"/>
    <w:rsid w:val="00440094"/>
    <w:rsid w:val="004624A4"/>
    <w:rsid w:val="00477401"/>
    <w:rsid w:val="004965E0"/>
    <w:rsid w:val="004B4BBD"/>
    <w:rsid w:val="004C1D49"/>
    <w:rsid w:val="004C3579"/>
    <w:rsid w:val="004C7BE6"/>
    <w:rsid w:val="004D3A5F"/>
    <w:rsid w:val="004D7162"/>
    <w:rsid w:val="004E4369"/>
    <w:rsid w:val="004F62E7"/>
    <w:rsid w:val="00514B01"/>
    <w:rsid w:val="005155E6"/>
    <w:rsid w:val="0054289B"/>
    <w:rsid w:val="00567121"/>
    <w:rsid w:val="00567F55"/>
    <w:rsid w:val="0057692C"/>
    <w:rsid w:val="00581157"/>
    <w:rsid w:val="005A33AB"/>
    <w:rsid w:val="005A3CC3"/>
    <w:rsid w:val="005A5B24"/>
    <w:rsid w:val="005B0CD7"/>
    <w:rsid w:val="005B13AE"/>
    <w:rsid w:val="005B25C2"/>
    <w:rsid w:val="005D0BA7"/>
    <w:rsid w:val="005D1690"/>
    <w:rsid w:val="005D39B3"/>
    <w:rsid w:val="0063150F"/>
    <w:rsid w:val="006342D0"/>
    <w:rsid w:val="00642A75"/>
    <w:rsid w:val="006A3430"/>
    <w:rsid w:val="006A3E01"/>
    <w:rsid w:val="006A6555"/>
    <w:rsid w:val="006B475B"/>
    <w:rsid w:val="006C7C8A"/>
    <w:rsid w:val="006E601B"/>
    <w:rsid w:val="007005EC"/>
    <w:rsid w:val="0072631A"/>
    <w:rsid w:val="007314F3"/>
    <w:rsid w:val="0073467B"/>
    <w:rsid w:val="00741178"/>
    <w:rsid w:val="007855C2"/>
    <w:rsid w:val="00787BC1"/>
    <w:rsid w:val="007943EE"/>
    <w:rsid w:val="007A174C"/>
    <w:rsid w:val="007B6493"/>
    <w:rsid w:val="007C37B9"/>
    <w:rsid w:val="007D0A6B"/>
    <w:rsid w:val="007D429A"/>
    <w:rsid w:val="007D457D"/>
    <w:rsid w:val="007E0864"/>
    <w:rsid w:val="007E5CB2"/>
    <w:rsid w:val="00811796"/>
    <w:rsid w:val="008213F9"/>
    <w:rsid w:val="00830123"/>
    <w:rsid w:val="00861C60"/>
    <w:rsid w:val="00891F4C"/>
    <w:rsid w:val="008C4B5C"/>
    <w:rsid w:val="008D511C"/>
    <w:rsid w:val="008D7EDF"/>
    <w:rsid w:val="008E78BE"/>
    <w:rsid w:val="008F21EE"/>
    <w:rsid w:val="00902A33"/>
    <w:rsid w:val="00906E3E"/>
    <w:rsid w:val="009254D6"/>
    <w:rsid w:val="009321B3"/>
    <w:rsid w:val="00934BBF"/>
    <w:rsid w:val="00944C0D"/>
    <w:rsid w:val="00945BE6"/>
    <w:rsid w:val="00946EE1"/>
    <w:rsid w:val="00976C0A"/>
    <w:rsid w:val="00977E25"/>
    <w:rsid w:val="009A5DFD"/>
    <w:rsid w:val="009A66E6"/>
    <w:rsid w:val="009C2248"/>
    <w:rsid w:val="009D2095"/>
    <w:rsid w:val="00A37817"/>
    <w:rsid w:val="00A50111"/>
    <w:rsid w:val="00A53796"/>
    <w:rsid w:val="00A80666"/>
    <w:rsid w:val="00A81AB7"/>
    <w:rsid w:val="00A941AB"/>
    <w:rsid w:val="00AD2950"/>
    <w:rsid w:val="00AE38E7"/>
    <w:rsid w:val="00AF200E"/>
    <w:rsid w:val="00AF2CF6"/>
    <w:rsid w:val="00AF3968"/>
    <w:rsid w:val="00B57E07"/>
    <w:rsid w:val="00B67CEE"/>
    <w:rsid w:val="00B82599"/>
    <w:rsid w:val="00BC412D"/>
    <w:rsid w:val="00BD2874"/>
    <w:rsid w:val="00BE0710"/>
    <w:rsid w:val="00C02C5B"/>
    <w:rsid w:val="00C11D21"/>
    <w:rsid w:val="00C147A2"/>
    <w:rsid w:val="00C17566"/>
    <w:rsid w:val="00C421D8"/>
    <w:rsid w:val="00C72D43"/>
    <w:rsid w:val="00C91C71"/>
    <w:rsid w:val="00CB71EE"/>
    <w:rsid w:val="00CC34E0"/>
    <w:rsid w:val="00CD08D0"/>
    <w:rsid w:val="00CD5FB5"/>
    <w:rsid w:val="00CF0252"/>
    <w:rsid w:val="00CF251F"/>
    <w:rsid w:val="00D02CA5"/>
    <w:rsid w:val="00D11267"/>
    <w:rsid w:val="00D34CF8"/>
    <w:rsid w:val="00D72ABD"/>
    <w:rsid w:val="00D85A2F"/>
    <w:rsid w:val="00DB4D4F"/>
    <w:rsid w:val="00DB71AC"/>
    <w:rsid w:val="00DC64C1"/>
    <w:rsid w:val="00DF6A1E"/>
    <w:rsid w:val="00E0103B"/>
    <w:rsid w:val="00E04C4C"/>
    <w:rsid w:val="00E17ADD"/>
    <w:rsid w:val="00E46EC8"/>
    <w:rsid w:val="00EC1536"/>
    <w:rsid w:val="00F064B1"/>
    <w:rsid w:val="00F16D6C"/>
    <w:rsid w:val="00F33517"/>
    <w:rsid w:val="00F504E1"/>
    <w:rsid w:val="00F70007"/>
    <w:rsid w:val="00F95E77"/>
    <w:rsid w:val="00FA4B0D"/>
    <w:rsid w:val="00FB584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F90B3"/>
  <w15:chartTrackingRefBased/>
  <w15:docId w15:val="{E0B9C110-38DA-4E76-93B2-C953508F3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CB2"/>
    <w:pPr>
      <w:spacing w:before="100" w:beforeAutospacing="1" w:after="100" w:afterAutospacing="1"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05B81"/>
    <w:pPr>
      <w:keepNext/>
      <w:keepLines/>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4C3579"/>
    <w:pPr>
      <w:keepNext/>
      <w:keepLines/>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B81"/>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semiHidden/>
    <w:rsid w:val="004C3579"/>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4C7BE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C7BE6"/>
    <w:rPr>
      <w:rFonts w:ascii="Arial" w:hAnsi="Arial"/>
      <w:kern w:val="0"/>
      <w:sz w:val="24"/>
      <w14:ligatures w14:val="none"/>
    </w:rPr>
  </w:style>
  <w:style w:type="paragraph" w:styleId="Footer">
    <w:name w:val="footer"/>
    <w:basedOn w:val="Normal"/>
    <w:link w:val="FooterChar"/>
    <w:uiPriority w:val="99"/>
    <w:unhideWhenUsed/>
    <w:rsid w:val="004C7BE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C7BE6"/>
    <w:rPr>
      <w:rFonts w:ascii="Arial" w:hAnsi="Arial"/>
      <w:kern w:val="0"/>
      <w:sz w:val="24"/>
      <w14:ligatures w14:val="none"/>
    </w:rPr>
  </w:style>
  <w:style w:type="paragraph" w:styleId="TOCHeading">
    <w:name w:val="TOC Heading"/>
    <w:basedOn w:val="Heading1"/>
    <w:next w:val="Normal"/>
    <w:uiPriority w:val="39"/>
    <w:unhideWhenUsed/>
    <w:qFormat/>
    <w:rsid w:val="00811796"/>
    <w:pPr>
      <w:spacing w:before="240" w:beforeAutospacing="0" w:after="0" w:afterAutospacing="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11796"/>
  </w:style>
  <w:style w:type="character" w:styleId="Hyperlink">
    <w:name w:val="Hyperlink"/>
    <w:basedOn w:val="DefaultParagraphFont"/>
    <w:uiPriority w:val="99"/>
    <w:unhideWhenUsed/>
    <w:rsid w:val="008117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56C1-93A5-4CAF-B0E4-480436133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1879</Words>
  <Characters>10716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madalina ghiorghi</cp:lastModifiedBy>
  <cp:revision>2</cp:revision>
  <dcterms:created xsi:type="dcterms:W3CDTF">2023-11-10T11:19:00Z</dcterms:created>
  <dcterms:modified xsi:type="dcterms:W3CDTF">2023-11-10T11:19:00Z</dcterms:modified>
</cp:coreProperties>
</file>