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648"/>
        <w:tblW w:w="9606"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606"/>
      </w:tblGrid>
      <w:tr w:rsidR="00803E90" w14:paraId="081DB509" w14:textId="77777777" w:rsidTr="00A06A4B">
        <w:trPr>
          <w:trHeight w:val="103"/>
        </w:trPr>
        <w:tc>
          <w:tcPr>
            <w:tcW w:w="9606" w:type="dxa"/>
            <w:tcBorders>
              <w:top w:val="none" w:sz="6" w:space="0" w:color="auto"/>
              <w:bottom w:val="none" w:sz="6" w:space="0" w:color="auto"/>
            </w:tcBorders>
          </w:tcPr>
          <w:p w14:paraId="668D53BA" w14:textId="4756E177" w:rsidR="00803E90" w:rsidRPr="00803E90" w:rsidRDefault="00803E90" w:rsidP="00A06A4B">
            <w:pPr>
              <w:rPr>
                <w:rFonts w:ascii="Arial" w:hAnsi="Arial" w:cs="Arial"/>
                <w:color w:val="000000"/>
                <w:sz w:val="24"/>
                <w:szCs w:val="24"/>
              </w:rPr>
            </w:pPr>
            <w:r w:rsidRPr="0091443C">
              <w:rPr>
                <w:sz w:val="44"/>
                <w:szCs w:val="44"/>
              </w:rPr>
              <w:t xml:space="preserve"> </w:t>
            </w:r>
            <w:r>
              <w:rPr>
                <w:sz w:val="44"/>
                <w:szCs w:val="44"/>
              </w:rPr>
              <w:t xml:space="preserve">     </w:t>
            </w:r>
            <w:r w:rsidR="00A06A4B" w:rsidRPr="007E4781">
              <w:rPr>
                <w:rFonts w:asciiTheme="minorHAnsi" w:eastAsia="Times New Roman" w:hAnsiTheme="minorHAnsi" w:cs="Times New Roman"/>
                <w:caps/>
                <w:noProof/>
                <w:sz w:val="40"/>
                <w:szCs w:val="40"/>
                <w:lang w:eastAsia="en-US"/>
              </w:rPr>
              <w:drawing>
                <wp:inline distT="0" distB="0" distL="0" distR="0" wp14:anchorId="34A9484F" wp14:editId="29518769">
                  <wp:extent cx="5394960" cy="1341120"/>
                  <wp:effectExtent l="0" t="0" r="0" b="0"/>
                  <wp:docPr id="1107823152" name="Picture 110782315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4960" cy="1341120"/>
                          </a:xfrm>
                          <a:prstGeom prst="rect">
                            <a:avLst/>
                          </a:prstGeom>
                          <a:noFill/>
                          <a:ln>
                            <a:noFill/>
                          </a:ln>
                        </pic:spPr>
                      </pic:pic>
                    </a:graphicData>
                  </a:graphic>
                </wp:inline>
              </w:drawing>
            </w:r>
          </w:p>
          <w:tbl>
            <w:tblPr>
              <w:tblW w:w="981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818"/>
            </w:tblGrid>
            <w:tr w:rsidR="00803E90" w:rsidRPr="00803E90" w14:paraId="4D27C77B" w14:textId="77777777" w:rsidTr="00803E90">
              <w:trPr>
                <w:trHeight w:val="103"/>
              </w:trPr>
              <w:tc>
                <w:tcPr>
                  <w:tcW w:w="9818" w:type="dxa"/>
                  <w:tcBorders>
                    <w:top w:val="none" w:sz="6" w:space="0" w:color="auto"/>
                    <w:bottom w:val="none" w:sz="6" w:space="0" w:color="auto"/>
                  </w:tcBorders>
                </w:tcPr>
                <w:p w14:paraId="14C22354" w14:textId="77777777" w:rsidR="00A06A4B" w:rsidRDefault="00A06A4B" w:rsidP="00DC50FE">
                  <w:pPr>
                    <w:framePr w:hSpace="180" w:wrap="around" w:hAnchor="margin" w:y="648"/>
                    <w:jc w:val="center"/>
                    <w:rPr>
                      <w:rFonts w:ascii="Arial" w:eastAsiaTheme="minorEastAsia" w:hAnsi="Arial" w:cs="Arial"/>
                      <w:noProof/>
                      <w:sz w:val="36"/>
                      <w:szCs w:val="36"/>
                    </w:rPr>
                  </w:pPr>
                  <w:r w:rsidRPr="00A06A4B">
                    <w:rPr>
                      <w:rFonts w:ascii="Arial" w:eastAsiaTheme="minorEastAsia" w:hAnsi="Arial" w:cs="Arial"/>
                      <w:b/>
                      <w:bCs/>
                      <w:color w:val="262626"/>
                      <w:kern w:val="24"/>
                      <w:position w:val="1"/>
                      <w:sz w:val="36"/>
                      <w:szCs w:val="36"/>
                    </w:rPr>
                    <w:t>BA (Hons) Business Management</w:t>
                  </w:r>
                  <w:r w:rsidRPr="00A06A4B">
                    <w:rPr>
                      <w:rFonts w:ascii="Arial" w:eastAsiaTheme="minorEastAsia" w:hAnsi="Arial" w:cs="Arial"/>
                      <w:noProof/>
                      <w:sz w:val="36"/>
                      <w:szCs w:val="36"/>
                    </w:rPr>
                    <w:t xml:space="preserve"> </w:t>
                  </w:r>
                </w:p>
                <w:p w14:paraId="70211197" w14:textId="77777777" w:rsidR="00A06A4B" w:rsidRPr="00A06A4B" w:rsidRDefault="00A06A4B" w:rsidP="00DC50FE">
                  <w:pPr>
                    <w:framePr w:hSpace="180" w:wrap="around" w:hAnchor="margin" w:y="648"/>
                    <w:jc w:val="center"/>
                    <w:rPr>
                      <w:rFonts w:ascii="Arial" w:eastAsiaTheme="minorEastAsia" w:hAnsi="Arial" w:cs="Arial"/>
                      <w:noProof/>
                      <w:sz w:val="36"/>
                      <w:szCs w:val="36"/>
                    </w:rPr>
                  </w:pPr>
                </w:p>
                <w:p w14:paraId="56D1E414" w14:textId="69780051" w:rsidR="00803E90" w:rsidRPr="00803E90" w:rsidRDefault="00803E90" w:rsidP="00DC50FE">
                  <w:pPr>
                    <w:framePr w:hSpace="180" w:wrap="around" w:hAnchor="margin" w:y="648"/>
                    <w:autoSpaceDE w:val="0"/>
                    <w:autoSpaceDN w:val="0"/>
                    <w:adjustRightInd w:val="0"/>
                    <w:spacing w:after="0" w:line="240" w:lineRule="auto"/>
                    <w:jc w:val="center"/>
                    <w:rPr>
                      <w:rFonts w:ascii="Arial" w:hAnsi="Arial" w:cs="Arial"/>
                      <w:color w:val="000000"/>
                      <w:sz w:val="44"/>
                      <w:szCs w:val="44"/>
                    </w:rPr>
                  </w:pPr>
                  <w:r w:rsidRPr="00803E90">
                    <w:rPr>
                      <w:rFonts w:ascii="Arial" w:hAnsi="Arial" w:cs="Arial"/>
                      <w:b/>
                      <w:bCs/>
                      <w:color w:val="000000"/>
                      <w:sz w:val="44"/>
                      <w:szCs w:val="44"/>
                    </w:rPr>
                    <w:t>Strategic Management and Sustainability</w:t>
                  </w:r>
                </w:p>
              </w:tc>
            </w:tr>
          </w:tbl>
          <w:p w14:paraId="2487C859" w14:textId="0A1C88F6" w:rsidR="00803E90" w:rsidRPr="0091443C" w:rsidRDefault="00803E90" w:rsidP="00A06A4B">
            <w:pPr>
              <w:pStyle w:val="Default"/>
              <w:rPr>
                <w:sz w:val="44"/>
                <w:szCs w:val="44"/>
              </w:rPr>
            </w:pPr>
          </w:p>
        </w:tc>
      </w:tr>
    </w:tbl>
    <w:p w14:paraId="7E0C500F" w14:textId="4795AE78" w:rsidR="00803E90" w:rsidRPr="00803E90" w:rsidRDefault="00803E90" w:rsidP="00803E90">
      <w:pPr>
        <w:pStyle w:val="Default"/>
        <w:rPr>
          <w:rFonts w:eastAsia="Calibri"/>
        </w:rPr>
      </w:pPr>
      <w:r w:rsidRPr="00731FE8">
        <w:t xml:space="preserve"> </w:t>
      </w:r>
    </w:p>
    <w:tbl>
      <w:tblPr>
        <w:tblW w:w="10173"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0173"/>
      </w:tblGrid>
      <w:tr w:rsidR="00803E90" w:rsidRPr="00803E90" w14:paraId="713A919F" w14:textId="77777777" w:rsidTr="00803E90">
        <w:trPr>
          <w:trHeight w:val="103"/>
        </w:trPr>
        <w:tc>
          <w:tcPr>
            <w:tcW w:w="10173" w:type="dxa"/>
            <w:tcBorders>
              <w:top w:val="none" w:sz="6" w:space="0" w:color="auto"/>
              <w:bottom w:val="none" w:sz="6" w:space="0" w:color="auto"/>
            </w:tcBorders>
          </w:tcPr>
          <w:p w14:paraId="39684C0E" w14:textId="3AFE9560" w:rsidR="00803E90" w:rsidRPr="00803E90" w:rsidRDefault="00803E90" w:rsidP="00803E90">
            <w:pPr>
              <w:autoSpaceDE w:val="0"/>
              <w:autoSpaceDN w:val="0"/>
              <w:adjustRightInd w:val="0"/>
              <w:spacing w:after="0" w:line="240" w:lineRule="auto"/>
              <w:jc w:val="center"/>
              <w:rPr>
                <w:rFonts w:ascii="Arial" w:hAnsi="Arial" w:cs="Arial"/>
                <w:color w:val="000000"/>
                <w:sz w:val="36"/>
                <w:szCs w:val="36"/>
              </w:rPr>
            </w:pPr>
            <w:r w:rsidRPr="00803E90">
              <w:rPr>
                <w:rFonts w:ascii="Arial" w:hAnsi="Arial" w:cs="Arial"/>
                <w:b/>
                <w:bCs/>
                <w:color w:val="000000"/>
                <w:sz w:val="36"/>
                <w:szCs w:val="36"/>
              </w:rPr>
              <w:t>LCBB6004</w:t>
            </w:r>
          </w:p>
        </w:tc>
      </w:tr>
    </w:tbl>
    <w:p w14:paraId="5BAFC4B3" w14:textId="6EF1671C" w:rsidR="00803E90" w:rsidRDefault="00803E90" w:rsidP="00803E90">
      <w:pPr>
        <w:jc w:val="center"/>
      </w:pPr>
    </w:p>
    <w:p w14:paraId="0119E55E" w14:textId="77777777" w:rsidR="00803E90" w:rsidRDefault="00803E90" w:rsidP="00803E90">
      <w:pPr>
        <w:jc w:val="center"/>
        <w:rPr>
          <w:rFonts w:eastAsiaTheme="minorEastAsia"/>
          <w:sz w:val="36"/>
          <w:szCs w:val="36"/>
          <w:lang w:eastAsia="en-US"/>
        </w:rPr>
      </w:pPr>
      <w:r w:rsidRPr="007E4781">
        <w:rPr>
          <w:rFonts w:eastAsiaTheme="minorEastAsia"/>
          <w:sz w:val="36"/>
          <w:szCs w:val="36"/>
          <w:lang w:eastAsia="en-US"/>
        </w:rPr>
        <w:t xml:space="preserve">Assessment </w:t>
      </w:r>
      <w:r w:rsidRPr="00731FE8">
        <w:rPr>
          <w:rFonts w:eastAsiaTheme="minorEastAsia"/>
          <w:sz w:val="36"/>
          <w:szCs w:val="36"/>
          <w:lang w:eastAsia="en-US"/>
        </w:rPr>
        <w:t>1</w:t>
      </w:r>
    </w:p>
    <w:p w14:paraId="5980EE8F" w14:textId="77777777" w:rsidR="00803E90" w:rsidRPr="0091443C" w:rsidRDefault="00803E90" w:rsidP="00803E90">
      <w:pPr>
        <w:jc w:val="center"/>
        <w:rPr>
          <w:rFonts w:eastAsiaTheme="minorEastAsia"/>
          <w:sz w:val="32"/>
          <w:szCs w:val="32"/>
          <w:lang w:eastAsia="en-US"/>
        </w:rPr>
      </w:pPr>
    </w:p>
    <w:p w14:paraId="424CD29F" w14:textId="17691A02" w:rsidR="00803E90" w:rsidRPr="00A06A4B" w:rsidRDefault="00803E90" w:rsidP="00803E90">
      <w:pPr>
        <w:spacing w:line="360" w:lineRule="auto"/>
        <w:jc w:val="center"/>
        <w:rPr>
          <w:rFonts w:eastAsia="Times New Roman"/>
          <w:b/>
          <w:sz w:val="40"/>
          <w:szCs w:val="40"/>
        </w:rPr>
      </w:pPr>
      <w:r w:rsidRPr="00A06A4B">
        <w:rPr>
          <w:rFonts w:eastAsia="Times New Roman"/>
          <w:b/>
          <w:sz w:val="40"/>
          <w:szCs w:val="40"/>
        </w:rPr>
        <w:t xml:space="preserve">The Key Business Strategies of VW Over the Past Five </w:t>
      </w:r>
      <w:r w:rsidR="00DC50FE">
        <w:rPr>
          <w:rFonts w:eastAsia="Times New Roman"/>
          <w:b/>
          <w:sz w:val="40"/>
          <w:szCs w:val="40"/>
        </w:rPr>
        <w:t>Years</w:t>
      </w:r>
    </w:p>
    <w:p w14:paraId="1838E792" w14:textId="77777777" w:rsidR="00803E90" w:rsidRPr="007E4781" w:rsidRDefault="00803E90" w:rsidP="00803E90">
      <w:pPr>
        <w:rPr>
          <w:rFonts w:eastAsiaTheme="minorEastAsia"/>
          <w:b/>
          <w:bCs/>
          <w:sz w:val="32"/>
          <w:szCs w:val="32"/>
          <w:lang w:eastAsia="en-US"/>
        </w:rPr>
      </w:pPr>
    </w:p>
    <w:p w14:paraId="5A187C4B" w14:textId="77777777" w:rsidR="00803E90" w:rsidRPr="007E4781" w:rsidRDefault="00803E90" w:rsidP="00803E90">
      <w:pPr>
        <w:rPr>
          <w:rFonts w:eastAsiaTheme="minorEastAsia"/>
          <w:sz w:val="36"/>
          <w:szCs w:val="36"/>
          <w:lang w:eastAsia="en-US"/>
        </w:rPr>
      </w:pPr>
      <w:r w:rsidRPr="007E4781">
        <w:rPr>
          <w:rFonts w:eastAsiaTheme="minorEastAsia"/>
          <w:sz w:val="36"/>
          <w:szCs w:val="36"/>
          <w:lang w:eastAsia="en-US"/>
        </w:rPr>
        <w:t>Student name: Miglena Toteva</w:t>
      </w:r>
    </w:p>
    <w:p w14:paraId="7865222F" w14:textId="77777777" w:rsidR="00803E90" w:rsidRPr="007E4781" w:rsidRDefault="00803E90" w:rsidP="00803E90">
      <w:pPr>
        <w:rPr>
          <w:rFonts w:eastAsiaTheme="minorEastAsia"/>
          <w:sz w:val="36"/>
          <w:szCs w:val="36"/>
          <w:lang w:eastAsia="en-US"/>
        </w:rPr>
      </w:pPr>
      <w:r w:rsidRPr="007E4781">
        <w:rPr>
          <w:rFonts w:eastAsiaTheme="minorEastAsia"/>
          <w:sz w:val="36"/>
          <w:szCs w:val="36"/>
          <w:lang w:eastAsia="en-US"/>
        </w:rPr>
        <w:t>Student ID:2023087</w:t>
      </w:r>
    </w:p>
    <w:p w14:paraId="5ADD5637" w14:textId="77777777" w:rsidR="00803E90" w:rsidRDefault="00803E90" w:rsidP="00803E90">
      <w:pPr>
        <w:rPr>
          <w:rFonts w:eastAsia="Times New Roman"/>
          <w:sz w:val="48"/>
          <w:szCs w:val="48"/>
          <w:lang w:val="bg-BG" w:eastAsia="en-US"/>
        </w:rPr>
      </w:pPr>
    </w:p>
    <w:p w14:paraId="7841609B" w14:textId="77777777" w:rsidR="00803E90" w:rsidRPr="007E4781" w:rsidRDefault="00803E90" w:rsidP="00803E90">
      <w:pPr>
        <w:rPr>
          <w:rFonts w:eastAsia="Times New Roman"/>
          <w:sz w:val="48"/>
          <w:szCs w:val="48"/>
          <w:lang w:val="bg-BG" w:eastAsia="en-US"/>
        </w:rPr>
      </w:pPr>
    </w:p>
    <w:p w14:paraId="7F241856" w14:textId="4BADB9F4" w:rsidR="00803E90" w:rsidRPr="00451BA0" w:rsidRDefault="00803E90" w:rsidP="00803E90">
      <w:pPr>
        <w:rPr>
          <w:rFonts w:ascii="Arial" w:eastAsiaTheme="minorEastAsia" w:hAnsi="Arial" w:cs="Arial"/>
          <w:sz w:val="28"/>
          <w:szCs w:val="28"/>
        </w:rPr>
      </w:pPr>
      <w:r w:rsidRPr="00451BA0">
        <w:rPr>
          <w:rFonts w:ascii="Arial" w:eastAsiaTheme="minorEastAsia" w:hAnsi="Arial" w:cs="Arial"/>
          <w:color w:val="000000"/>
          <w:kern w:val="24"/>
          <w:sz w:val="28"/>
          <w:szCs w:val="28"/>
          <w:lang w:val="en-US" w:eastAsia="en-US"/>
        </w:rPr>
        <w:t>Lecture name</w:t>
      </w:r>
      <w:r w:rsidRPr="00451BA0">
        <w:rPr>
          <w:rFonts w:ascii="Arial" w:eastAsiaTheme="minorEastAsia" w:hAnsi="Arial" w:cs="Arial"/>
          <w:sz w:val="28"/>
          <w:szCs w:val="28"/>
          <w:lang w:eastAsia="en-US"/>
        </w:rPr>
        <w:t xml:space="preserve">: </w:t>
      </w:r>
      <w:r w:rsidR="00451BA0" w:rsidRPr="00451BA0">
        <w:rPr>
          <w:rFonts w:ascii="Arial" w:hAnsi="Arial" w:cs="Arial"/>
          <w:color w:val="373A3C"/>
          <w:sz w:val="28"/>
          <w:szCs w:val="28"/>
          <w:shd w:val="clear" w:color="auto" w:fill="F9F9F9"/>
        </w:rPr>
        <w:t>Dr </w:t>
      </w:r>
      <w:r w:rsidR="00451BA0" w:rsidRPr="00451BA0">
        <w:rPr>
          <w:rStyle w:val="cf0"/>
          <w:rFonts w:ascii="Arial" w:hAnsi="Arial" w:cs="Arial"/>
          <w:color w:val="373A3C"/>
          <w:sz w:val="28"/>
          <w:szCs w:val="28"/>
          <w:shd w:val="clear" w:color="auto" w:fill="F9F9F9"/>
        </w:rPr>
        <w:t>Jayalakshmi Gopalkrishnan</w:t>
      </w:r>
    </w:p>
    <w:p w14:paraId="13FB2652" w14:textId="2CC9943D" w:rsidR="00803E90" w:rsidRDefault="00803E90" w:rsidP="00803E90">
      <w:pPr>
        <w:rPr>
          <w:rFonts w:eastAsiaTheme="minorEastAsia"/>
          <w:sz w:val="28"/>
          <w:szCs w:val="28"/>
        </w:rPr>
      </w:pPr>
      <w:r w:rsidRPr="007E4781">
        <w:rPr>
          <w:rFonts w:eastAsiaTheme="minorEastAsia"/>
          <w:sz w:val="28"/>
          <w:szCs w:val="28"/>
        </w:rPr>
        <w:t xml:space="preserve">Date of submission: </w:t>
      </w:r>
      <w:r>
        <w:rPr>
          <w:rFonts w:eastAsiaTheme="minorEastAsia"/>
          <w:sz w:val="28"/>
          <w:szCs w:val="28"/>
        </w:rPr>
        <w:t xml:space="preserve">August </w:t>
      </w:r>
      <w:r w:rsidRPr="007E4781">
        <w:rPr>
          <w:rFonts w:eastAsiaTheme="minorEastAsia"/>
          <w:sz w:val="28"/>
          <w:szCs w:val="28"/>
        </w:rPr>
        <w:t>202</w:t>
      </w:r>
      <w:r>
        <w:rPr>
          <w:rFonts w:eastAsiaTheme="minorEastAsia"/>
          <w:sz w:val="28"/>
          <w:szCs w:val="28"/>
        </w:rPr>
        <w:t>3</w:t>
      </w:r>
    </w:p>
    <w:p w14:paraId="678234E6" w14:textId="77777777" w:rsidR="00803E90" w:rsidRPr="00C34434" w:rsidRDefault="00803E90" w:rsidP="00C34434">
      <w:pPr>
        <w:spacing w:line="360" w:lineRule="auto"/>
        <w:rPr>
          <w:rFonts w:ascii="Arial" w:eastAsiaTheme="minorEastAsia" w:hAnsi="Arial" w:cs="Arial"/>
          <w:sz w:val="24"/>
          <w:szCs w:val="24"/>
        </w:rPr>
      </w:pPr>
    </w:p>
    <w:p w14:paraId="60CECE0E" w14:textId="77777777" w:rsidR="006B2FD5" w:rsidRDefault="00000000" w:rsidP="00111F63">
      <w:pPr>
        <w:keepNext/>
        <w:keepLines/>
        <w:pBdr>
          <w:top w:val="nil"/>
          <w:left w:val="nil"/>
          <w:bottom w:val="nil"/>
          <w:right w:val="nil"/>
          <w:between w:val="nil"/>
        </w:pBdr>
        <w:spacing w:before="240" w:after="0" w:line="360" w:lineRule="auto"/>
        <w:rPr>
          <w:rFonts w:ascii="Arial" w:eastAsia="Times New Roman" w:hAnsi="Arial" w:cs="Arial"/>
          <w:b/>
          <w:color w:val="2F5496"/>
          <w:sz w:val="32"/>
          <w:szCs w:val="32"/>
        </w:rPr>
      </w:pPr>
      <w:r w:rsidRPr="00C34434">
        <w:rPr>
          <w:rFonts w:ascii="Arial" w:eastAsia="Times New Roman" w:hAnsi="Arial" w:cs="Arial"/>
          <w:b/>
          <w:color w:val="2F5496"/>
          <w:sz w:val="32"/>
          <w:szCs w:val="32"/>
        </w:rPr>
        <w:t>Table of Contents</w:t>
      </w:r>
    </w:p>
    <w:p w14:paraId="4B365A5E" w14:textId="77777777" w:rsidR="00C34434" w:rsidRPr="00C34434" w:rsidRDefault="00C34434" w:rsidP="00C34434">
      <w:pPr>
        <w:keepNext/>
        <w:keepLines/>
        <w:pBdr>
          <w:top w:val="nil"/>
          <w:left w:val="nil"/>
          <w:bottom w:val="nil"/>
          <w:right w:val="nil"/>
          <w:between w:val="nil"/>
        </w:pBdr>
        <w:spacing w:before="240" w:after="0" w:line="360" w:lineRule="auto"/>
        <w:jc w:val="center"/>
        <w:rPr>
          <w:rFonts w:ascii="Arial" w:eastAsia="Times New Roman" w:hAnsi="Arial" w:cs="Arial"/>
          <w:b/>
          <w:color w:val="2F5496"/>
          <w:sz w:val="32"/>
          <w:szCs w:val="32"/>
        </w:rPr>
      </w:pPr>
    </w:p>
    <w:sdt>
      <w:sdtPr>
        <w:rPr>
          <w:rFonts w:ascii="Arial" w:hAnsi="Arial" w:cs="Arial"/>
          <w:sz w:val="24"/>
          <w:szCs w:val="24"/>
        </w:rPr>
        <w:id w:val="2064052155"/>
        <w:docPartObj>
          <w:docPartGallery w:val="Table of Contents"/>
          <w:docPartUnique/>
        </w:docPartObj>
      </w:sdtPr>
      <w:sdtContent>
        <w:p w14:paraId="78C3C8B2" w14:textId="6F1143C0"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r w:rsidRPr="00C34434">
            <w:rPr>
              <w:rFonts w:ascii="Arial" w:hAnsi="Arial" w:cs="Arial"/>
              <w:sz w:val="24"/>
              <w:szCs w:val="24"/>
            </w:rPr>
            <w:fldChar w:fldCharType="begin"/>
          </w:r>
          <w:r w:rsidRPr="00C34434">
            <w:rPr>
              <w:rFonts w:ascii="Arial" w:hAnsi="Arial" w:cs="Arial"/>
              <w:sz w:val="24"/>
              <w:szCs w:val="24"/>
            </w:rPr>
            <w:instrText xml:space="preserve"> TOC \h \u \z \t "Heading 1,1,Heading 2,2,Heading 3,3,"</w:instrText>
          </w:r>
          <w:r w:rsidRPr="00C34434">
            <w:rPr>
              <w:rFonts w:ascii="Arial" w:hAnsi="Arial" w:cs="Arial"/>
              <w:sz w:val="24"/>
              <w:szCs w:val="24"/>
            </w:rPr>
            <w:fldChar w:fldCharType="separate"/>
          </w:r>
          <w:hyperlink w:anchor="_gjdgxs">
            <w:r w:rsidRPr="00C34434">
              <w:rPr>
                <w:rFonts w:ascii="Arial" w:eastAsia="Times New Roman" w:hAnsi="Arial" w:cs="Arial"/>
                <w:color w:val="000000"/>
                <w:sz w:val="24"/>
                <w:szCs w:val="24"/>
              </w:rPr>
              <w:t>Introduction</w:t>
            </w:r>
            <w:r w:rsidRPr="00C34434">
              <w:rPr>
                <w:rFonts w:ascii="Arial" w:eastAsia="Times New Roman" w:hAnsi="Arial" w:cs="Arial"/>
                <w:color w:val="000000"/>
                <w:sz w:val="24"/>
                <w:szCs w:val="24"/>
              </w:rPr>
              <w:tab/>
            </w:r>
            <w:r w:rsidR="00111F63">
              <w:rPr>
                <w:rFonts w:ascii="Arial" w:eastAsia="Times New Roman" w:hAnsi="Arial" w:cs="Arial"/>
                <w:color w:val="000000"/>
                <w:sz w:val="24"/>
                <w:szCs w:val="24"/>
              </w:rPr>
              <w:t>2</w:t>
            </w:r>
          </w:hyperlink>
        </w:p>
        <w:p w14:paraId="09F75E29" w14:textId="1CA08E64"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1fob9te">
            <w:r w:rsidRPr="00C34434">
              <w:rPr>
                <w:rFonts w:ascii="Arial" w:eastAsia="Times New Roman" w:hAnsi="Arial" w:cs="Arial"/>
                <w:color w:val="000000"/>
                <w:sz w:val="24"/>
                <w:szCs w:val="24"/>
              </w:rPr>
              <w:t>The Key Business Strategies of VW Over the Past Five Years</w:t>
            </w:r>
            <w:r w:rsidRPr="00C34434">
              <w:rPr>
                <w:rFonts w:ascii="Arial" w:eastAsia="Times New Roman" w:hAnsi="Arial" w:cs="Arial"/>
                <w:color w:val="000000"/>
                <w:sz w:val="24"/>
                <w:szCs w:val="24"/>
              </w:rPr>
              <w:tab/>
            </w:r>
            <w:r w:rsidR="00111F63">
              <w:rPr>
                <w:rFonts w:ascii="Arial" w:eastAsia="Times New Roman" w:hAnsi="Arial" w:cs="Arial"/>
                <w:color w:val="000000"/>
                <w:sz w:val="24"/>
                <w:szCs w:val="24"/>
              </w:rPr>
              <w:t>3</w:t>
            </w:r>
          </w:hyperlink>
        </w:p>
        <w:p w14:paraId="71E40A5B" w14:textId="0613D643"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3znysh7">
            <w:r w:rsidRPr="00C34434">
              <w:rPr>
                <w:rFonts w:ascii="Arial" w:eastAsia="Times New Roman" w:hAnsi="Arial" w:cs="Arial"/>
                <w:color w:val="000000"/>
                <w:sz w:val="24"/>
                <w:szCs w:val="24"/>
              </w:rPr>
              <w:t>Porter's Generic Strategies</w:t>
            </w:r>
            <w:r w:rsidRPr="00C34434">
              <w:rPr>
                <w:rFonts w:ascii="Arial" w:eastAsia="Times New Roman" w:hAnsi="Arial" w:cs="Arial"/>
                <w:color w:val="000000"/>
                <w:sz w:val="24"/>
                <w:szCs w:val="24"/>
              </w:rPr>
              <w:tab/>
            </w:r>
            <w:r w:rsidR="00111F63">
              <w:rPr>
                <w:rFonts w:ascii="Arial" w:eastAsia="Times New Roman" w:hAnsi="Arial" w:cs="Arial"/>
                <w:color w:val="000000"/>
                <w:sz w:val="24"/>
                <w:szCs w:val="24"/>
              </w:rPr>
              <w:t>4</w:t>
            </w:r>
          </w:hyperlink>
        </w:p>
        <w:p w14:paraId="546E3F7E" w14:textId="64FFCA43" w:rsidR="006B2FD5" w:rsidRPr="00C34434" w:rsidRDefault="00000000" w:rsidP="00C34434">
          <w:pPr>
            <w:widowControl w:val="0"/>
            <w:tabs>
              <w:tab w:val="right" w:leader="dot" w:pos="12000"/>
            </w:tabs>
            <w:spacing w:before="60" w:after="0" w:line="360" w:lineRule="auto"/>
            <w:ind w:left="360"/>
            <w:rPr>
              <w:rFonts w:ascii="Arial" w:eastAsia="Times New Roman" w:hAnsi="Arial" w:cs="Arial"/>
              <w:color w:val="000000"/>
              <w:sz w:val="24"/>
              <w:szCs w:val="24"/>
            </w:rPr>
          </w:pPr>
          <w:hyperlink w:anchor="_2et92p0">
            <w:r w:rsidRPr="00C34434">
              <w:rPr>
                <w:rFonts w:ascii="Arial" w:eastAsia="Times New Roman" w:hAnsi="Arial" w:cs="Arial"/>
                <w:color w:val="000000"/>
                <w:sz w:val="24"/>
                <w:szCs w:val="24"/>
              </w:rPr>
              <w:t>Cost Leadership Strategy</w:t>
            </w:r>
            <w:r w:rsidRPr="00C34434">
              <w:rPr>
                <w:rFonts w:ascii="Arial" w:eastAsia="Times New Roman" w:hAnsi="Arial" w:cs="Arial"/>
                <w:color w:val="000000"/>
                <w:sz w:val="24"/>
                <w:szCs w:val="24"/>
              </w:rPr>
              <w:tab/>
            </w:r>
            <w:r w:rsidR="00111F63">
              <w:rPr>
                <w:rFonts w:ascii="Arial" w:eastAsia="Times New Roman" w:hAnsi="Arial" w:cs="Arial"/>
                <w:color w:val="000000"/>
                <w:sz w:val="24"/>
                <w:szCs w:val="24"/>
              </w:rPr>
              <w:t>4</w:t>
            </w:r>
          </w:hyperlink>
        </w:p>
        <w:p w14:paraId="2486971F" w14:textId="36EB9994" w:rsidR="006B2FD5" w:rsidRPr="00C34434" w:rsidRDefault="00000000" w:rsidP="00C34434">
          <w:pPr>
            <w:widowControl w:val="0"/>
            <w:tabs>
              <w:tab w:val="right" w:leader="dot" w:pos="12000"/>
            </w:tabs>
            <w:spacing w:before="60" w:after="0" w:line="360" w:lineRule="auto"/>
            <w:ind w:left="360"/>
            <w:rPr>
              <w:rFonts w:ascii="Arial" w:eastAsia="Times New Roman" w:hAnsi="Arial" w:cs="Arial"/>
              <w:color w:val="000000"/>
              <w:sz w:val="24"/>
              <w:szCs w:val="24"/>
            </w:rPr>
          </w:pPr>
          <w:hyperlink w:anchor="_tyjcwt">
            <w:r w:rsidRPr="00C34434">
              <w:rPr>
                <w:rFonts w:ascii="Arial" w:eastAsia="Times New Roman" w:hAnsi="Arial" w:cs="Arial"/>
                <w:color w:val="000000"/>
                <w:sz w:val="24"/>
                <w:szCs w:val="24"/>
              </w:rPr>
              <w:t>Differentiation Strategy</w:t>
            </w:r>
            <w:r w:rsidRPr="00C34434">
              <w:rPr>
                <w:rFonts w:ascii="Arial" w:eastAsia="Times New Roman" w:hAnsi="Arial" w:cs="Arial"/>
                <w:color w:val="000000"/>
                <w:sz w:val="24"/>
                <w:szCs w:val="24"/>
              </w:rPr>
              <w:tab/>
            </w:r>
            <w:r w:rsidR="00111F63">
              <w:rPr>
                <w:rFonts w:ascii="Arial" w:eastAsia="Times New Roman" w:hAnsi="Arial" w:cs="Arial"/>
                <w:color w:val="000000"/>
                <w:sz w:val="24"/>
                <w:szCs w:val="24"/>
              </w:rPr>
              <w:t>5</w:t>
            </w:r>
          </w:hyperlink>
        </w:p>
        <w:p w14:paraId="5A604BA3" w14:textId="77777777" w:rsidR="006B2FD5" w:rsidRPr="00C34434" w:rsidRDefault="00000000" w:rsidP="00C34434">
          <w:pPr>
            <w:widowControl w:val="0"/>
            <w:tabs>
              <w:tab w:val="right" w:leader="dot" w:pos="12000"/>
            </w:tabs>
            <w:spacing w:before="60" w:after="0" w:line="360" w:lineRule="auto"/>
            <w:ind w:left="360"/>
            <w:rPr>
              <w:rFonts w:ascii="Arial" w:eastAsia="Times New Roman" w:hAnsi="Arial" w:cs="Arial"/>
              <w:color w:val="000000"/>
              <w:sz w:val="24"/>
              <w:szCs w:val="24"/>
            </w:rPr>
          </w:pPr>
          <w:hyperlink w:anchor="_3dy6vkm">
            <w:r w:rsidRPr="00C34434">
              <w:rPr>
                <w:rFonts w:ascii="Arial" w:eastAsia="Times New Roman" w:hAnsi="Arial" w:cs="Arial"/>
                <w:color w:val="000000"/>
                <w:sz w:val="24"/>
                <w:szCs w:val="24"/>
              </w:rPr>
              <w:t>Focus Strategy</w:t>
            </w:r>
            <w:r w:rsidRPr="00C34434">
              <w:rPr>
                <w:rFonts w:ascii="Arial" w:eastAsia="Times New Roman" w:hAnsi="Arial" w:cs="Arial"/>
                <w:color w:val="000000"/>
                <w:sz w:val="24"/>
                <w:szCs w:val="24"/>
              </w:rPr>
              <w:tab/>
              <w:t>6</w:t>
            </w:r>
          </w:hyperlink>
        </w:p>
        <w:p w14:paraId="3B42A214" w14:textId="77777777"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1t3h5sf">
            <w:r w:rsidRPr="00C34434">
              <w:rPr>
                <w:rFonts w:ascii="Arial" w:eastAsia="Times New Roman" w:hAnsi="Arial" w:cs="Arial"/>
                <w:color w:val="000000"/>
                <w:sz w:val="24"/>
                <w:szCs w:val="24"/>
              </w:rPr>
              <w:t>Resources and Capabilities of VW Over the Past Five Years</w:t>
            </w:r>
            <w:r w:rsidRPr="00C34434">
              <w:rPr>
                <w:rFonts w:ascii="Arial" w:eastAsia="Times New Roman" w:hAnsi="Arial" w:cs="Arial"/>
                <w:color w:val="000000"/>
                <w:sz w:val="24"/>
                <w:szCs w:val="24"/>
              </w:rPr>
              <w:tab/>
              <w:t>7</w:t>
            </w:r>
          </w:hyperlink>
        </w:p>
        <w:p w14:paraId="0650A865" w14:textId="77777777"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2s8eyo1">
            <w:r w:rsidRPr="00C34434">
              <w:rPr>
                <w:rFonts w:ascii="Arial" w:eastAsia="Times New Roman" w:hAnsi="Arial" w:cs="Arial"/>
                <w:color w:val="000000"/>
                <w:sz w:val="24"/>
                <w:szCs w:val="24"/>
              </w:rPr>
              <w:t>VW's Efforts to Become More Competitive with Sustainability in Mind</w:t>
            </w:r>
            <w:r w:rsidRPr="00C34434">
              <w:rPr>
                <w:rFonts w:ascii="Arial" w:eastAsia="Times New Roman" w:hAnsi="Arial" w:cs="Arial"/>
                <w:color w:val="000000"/>
                <w:sz w:val="24"/>
                <w:szCs w:val="24"/>
              </w:rPr>
              <w:tab/>
              <w:t>8</w:t>
            </w:r>
          </w:hyperlink>
        </w:p>
        <w:p w14:paraId="5F58D6F9" w14:textId="77777777"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17dp8vu">
            <w:r w:rsidRPr="00C34434">
              <w:rPr>
                <w:rFonts w:ascii="Arial" w:eastAsia="Times New Roman" w:hAnsi="Arial" w:cs="Arial"/>
                <w:color w:val="000000"/>
                <w:sz w:val="24"/>
                <w:szCs w:val="24"/>
              </w:rPr>
              <w:t>Recommendations for Future Sustainability Practices at Volkswagen (VW)</w:t>
            </w:r>
            <w:r w:rsidRPr="00C34434">
              <w:rPr>
                <w:rFonts w:ascii="Arial" w:eastAsia="Times New Roman" w:hAnsi="Arial" w:cs="Arial"/>
                <w:color w:val="000000"/>
                <w:sz w:val="24"/>
                <w:szCs w:val="24"/>
              </w:rPr>
              <w:tab/>
              <w:t>10</w:t>
            </w:r>
          </w:hyperlink>
        </w:p>
        <w:p w14:paraId="6E3BF5B5" w14:textId="77777777"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3rdcrjn">
            <w:r w:rsidRPr="00C34434">
              <w:rPr>
                <w:rFonts w:ascii="Arial" w:eastAsia="Times New Roman" w:hAnsi="Arial" w:cs="Arial"/>
                <w:color w:val="000000"/>
                <w:sz w:val="24"/>
                <w:szCs w:val="24"/>
              </w:rPr>
              <w:t>Conclusion</w:t>
            </w:r>
            <w:r w:rsidRPr="00C34434">
              <w:rPr>
                <w:rFonts w:ascii="Arial" w:eastAsia="Times New Roman" w:hAnsi="Arial" w:cs="Arial"/>
                <w:color w:val="000000"/>
                <w:sz w:val="24"/>
                <w:szCs w:val="24"/>
              </w:rPr>
              <w:tab/>
              <w:t>11</w:t>
            </w:r>
          </w:hyperlink>
        </w:p>
        <w:p w14:paraId="0D4E0623" w14:textId="77777777"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26in1rg">
            <w:r w:rsidRPr="00C34434">
              <w:rPr>
                <w:rFonts w:ascii="Arial" w:eastAsia="Times New Roman" w:hAnsi="Arial" w:cs="Arial"/>
                <w:color w:val="000000"/>
                <w:sz w:val="24"/>
                <w:szCs w:val="24"/>
              </w:rPr>
              <w:t>References</w:t>
            </w:r>
            <w:r w:rsidRPr="00C34434">
              <w:rPr>
                <w:rFonts w:ascii="Arial" w:eastAsia="Times New Roman" w:hAnsi="Arial" w:cs="Arial"/>
                <w:color w:val="000000"/>
                <w:sz w:val="24"/>
                <w:szCs w:val="24"/>
              </w:rPr>
              <w:tab/>
              <w:t>13</w:t>
            </w:r>
          </w:hyperlink>
        </w:p>
        <w:p w14:paraId="054E170E" w14:textId="77777777" w:rsidR="006B2FD5" w:rsidRPr="00C34434" w:rsidRDefault="00000000" w:rsidP="00C34434">
          <w:pPr>
            <w:widowControl w:val="0"/>
            <w:tabs>
              <w:tab w:val="right" w:leader="dot" w:pos="12000"/>
            </w:tabs>
            <w:spacing w:before="60" w:after="0" w:line="360" w:lineRule="auto"/>
            <w:rPr>
              <w:rFonts w:ascii="Arial" w:eastAsia="Times New Roman" w:hAnsi="Arial" w:cs="Arial"/>
              <w:color w:val="000000"/>
              <w:sz w:val="24"/>
              <w:szCs w:val="24"/>
            </w:rPr>
          </w:pPr>
          <w:hyperlink w:anchor="_mder81m3yglq">
            <w:r w:rsidRPr="00C34434">
              <w:rPr>
                <w:rFonts w:ascii="Arial" w:eastAsia="Times New Roman" w:hAnsi="Arial" w:cs="Arial"/>
                <w:color w:val="000000"/>
                <w:sz w:val="24"/>
                <w:szCs w:val="24"/>
              </w:rPr>
              <w:t>Appendices</w:t>
            </w:r>
            <w:r w:rsidRPr="00C34434">
              <w:rPr>
                <w:rFonts w:ascii="Arial" w:eastAsia="Times New Roman" w:hAnsi="Arial" w:cs="Arial"/>
                <w:color w:val="000000"/>
                <w:sz w:val="24"/>
                <w:szCs w:val="24"/>
              </w:rPr>
              <w:tab/>
              <w:t>15</w:t>
            </w:r>
          </w:hyperlink>
        </w:p>
        <w:p w14:paraId="1FD71941" w14:textId="77777777" w:rsidR="006B2FD5" w:rsidRPr="00C34434" w:rsidRDefault="00000000" w:rsidP="00C34434">
          <w:pPr>
            <w:widowControl w:val="0"/>
            <w:tabs>
              <w:tab w:val="right" w:leader="dot" w:pos="12000"/>
            </w:tabs>
            <w:spacing w:before="60" w:after="0" w:line="360" w:lineRule="auto"/>
            <w:ind w:left="360"/>
            <w:rPr>
              <w:rFonts w:ascii="Arial" w:eastAsia="Times New Roman" w:hAnsi="Arial" w:cs="Arial"/>
              <w:color w:val="000000"/>
              <w:sz w:val="24"/>
              <w:szCs w:val="24"/>
            </w:rPr>
          </w:pPr>
          <w:hyperlink w:anchor="_bbeazmpz36h">
            <w:r w:rsidRPr="00C34434">
              <w:rPr>
                <w:rFonts w:ascii="Arial" w:eastAsia="Times New Roman" w:hAnsi="Arial" w:cs="Arial"/>
                <w:color w:val="000000"/>
                <w:sz w:val="24"/>
                <w:szCs w:val="24"/>
              </w:rPr>
              <w:t>Porter's Generic Strategies</w:t>
            </w:r>
            <w:r w:rsidRPr="00C34434">
              <w:rPr>
                <w:rFonts w:ascii="Arial" w:eastAsia="Times New Roman" w:hAnsi="Arial" w:cs="Arial"/>
                <w:color w:val="000000"/>
                <w:sz w:val="24"/>
                <w:szCs w:val="24"/>
              </w:rPr>
              <w:tab/>
              <w:t>15</w:t>
            </w:r>
          </w:hyperlink>
        </w:p>
        <w:p w14:paraId="19F089B0" w14:textId="77777777" w:rsidR="006B2FD5" w:rsidRDefault="00000000" w:rsidP="00C34434">
          <w:pPr>
            <w:widowControl w:val="0"/>
            <w:tabs>
              <w:tab w:val="right" w:leader="dot" w:pos="12000"/>
            </w:tabs>
            <w:spacing w:before="60" w:after="0" w:line="360" w:lineRule="auto"/>
            <w:ind w:left="360"/>
            <w:rPr>
              <w:rFonts w:ascii="Times New Roman" w:eastAsia="Times New Roman" w:hAnsi="Times New Roman" w:cs="Times New Roman"/>
              <w:color w:val="000000"/>
            </w:rPr>
          </w:pPr>
          <w:hyperlink w:anchor="_4d34og8">
            <w:r w:rsidRPr="00C34434">
              <w:rPr>
                <w:rFonts w:ascii="Arial" w:eastAsia="Times New Roman" w:hAnsi="Arial" w:cs="Arial"/>
                <w:color w:val="000000"/>
                <w:sz w:val="24"/>
                <w:szCs w:val="24"/>
              </w:rPr>
              <w:t>Volkswagen SWOT Analysis</w:t>
            </w:r>
            <w:r w:rsidRPr="00C34434">
              <w:rPr>
                <w:rFonts w:ascii="Arial" w:eastAsia="Times New Roman" w:hAnsi="Arial" w:cs="Arial"/>
                <w:color w:val="000000"/>
                <w:sz w:val="24"/>
                <w:szCs w:val="24"/>
              </w:rPr>
              <w:tab/>
              <w:t>16</w:t>
            </w:r>
          </w:hyperlink>
          <w:r w:rsidRPr="00C34434">
            <w:rPr>
              <w:rFonts w:ascii="Arial" w:hAnsi="Arial" w:cs="Arial"/>
              <w:sz w:val="24"/>
              <w:szCs w:val="24"/>
            </w:rPr>
            <w:fldChar w:fldCharType="end"/>
          </w:r>
        </w:p>
      </w:sdtContent>
    </w:sdt>
    <w:p w14:paraId="3BDEEBD2" w14:textId="77777777" w:rsidR="006B2FD5" w:rsidRDefault="00000000">
      <w:pPr>
        <w:rPr>
          <w:rFonts w:ascii="Times New Roman" w:eastAsia="Times New Roman" w:hAnsi="Times New Roman" w:cs="Times New Roman"/>
          <w:color w:val="2F5496"/>
          <w:sz w:val="32"/>
          <w:szCs w:val="32"/>
        </w:rPr>
      </w:pPr>
      <w:r>
        <w:br w:type="page"/>
      </w:r>
    </w:p>
    <w:p w14:paraId="7209AAAE" w14:textId="77777777" w:rsidR="006B2FD5" w:rsidRDefault="00000000">
      <w:pPr>
        <w:pStyle w:val="Heading1"/>
        <w:jc w:val="center"/>
        <w:rPr>
          <w:rFonts w:ascii="Arial" w:eastAsia="Times New Roman" w:hAnsi="Arial" w:cs="Arial"/>
          <w:b/>
        </w:rPr>
      </w:pPr>
      <w:bookmarkStart w:id="0" w:name="_gjdgxs" w:colFirst="0" w:colLast="0"/>
      <w:bookmarkEnd w:id="0"/>
      <w:r w:rsidRPr="00C34434">
        <w:rPr>
          <w:rFonts w:ascii="Arial" w:eastAsia="Times New Roman" w:hAnsi="Arial" w:cs="Arial"/>
          <w:b/>
        </w:rPr>
        <w:lastRenderedPageBreak/>
        <w:t>Introduction</w:t>
      </w:r>
    </w:p>
    <w:p w14:paraId="4A9F3589" w14:textId="77777777" w:rsidR="00C34434" w:rsidRDefault="00C34434" w:rsidP="00C34434"/>
    <w:p w14:paraId="1619D45D" w14:textId="77777777" w:rsidR="00C34434" w:rsidRPr="00C34434" w:rsidRDefault="00C34434" w:rsidP="00C34434"/>
    <w:p w14:paraId="77E5DBC7" w14:textId="77777777" w:rsidR="006B2FD5" w:rsidRPr="00C34434" w:rsidRDefault="00000000">
      <w:pPr>
        <w:spacing w:line="480" w:lineRule="auto"/>
        <w:ind w:firstLine="720"/>
        <w:rPr>
          <w:rFonts w:ascii="Arial" w:eastAsia="Times New Roman" w:hAnsi="Arial" w:cs="Arial"/>
          <w:sz w:val="24"/>
          <w:szCs w:val="24"/>
        </w:rPr>
      </w:pPr>
      <w:bookmarkStart w:id="1" w:name="_30j0zll" w:colFirst="0" w:colLast="0"/>
      <w:bookmarkEnd w:id="1"/>
      <w:r w:rsidRPr="00C34434">
        <w:rPr>
          <w:rFonts w:ascii="Arial" w:eastAsia="Times New Roman" w:hAnsi="Arial" w:cs="Arial"/>
          <w:sz w:val="24"/>
          <w:szCs w:val="24"/>
        </w:rPr>
        <w:t>In today’s rapidly evolving business environment, organisations must navigate complex challenges while exploiting opportunities for differentiation and growth. This analysis is purposed to explore the strategic trajectory of Volkswagen (VW), a major player in the automotive industry, for the last five years. Over the last five years, VW has embarked on a transformative journey marked by stringent environmental regulations, shifting consumer preferences, and technological disruptions (</w:t>
      </w:r>
      <w:r w:rsidRPr="00C34434">
        <w:rPr>
          <w:rFonts w:ascii="Arial" w:eastAsia="Times New Roman" w:hAnsi="Arial" w:cs="Arial"/>
          <w:sz w:val="24"/>
          <w:szCs w:val="24"/>
          <w:highlight w:val="white"/>
        </w:rPr>
        <w:t>Whittington, 2020)</w:t>
      </w:r>
      <w:r w:rsidRPr="00C34434">
        <w:rPr>
          <w:rFonts w:ascii="Arial" w:eastAsia="Times New Roman" w:hAnsi="Arial" w:cs="Arial"/>
          <w:sz w:val="24"/>
          <w:szCs w:val="24"/>
        </w:rPr>
        <w:t xml:space="preserve">. At the centre of these changing dynamics, understanding how VW has adapted and formulated its business strategies is critical to understanding its competitive position in the market. Against the backdrop of this analysis is the £193 million compensation settlement between VW and over 90,000 drivers in Wales and England, emerging from the "dieselgate" scandal. This scandal significantly tainted VW’s reputation and operational prowess. As a result of this scandal, VW’s strategies are subject to scrutiny within the larger context of its response to the global efforts to secure a resilient market position and sustainability imperatives (Hughes, 2018). Therefore, this analysis leverages frameworks such as Porter’s generic strategies, SWOT analysis, and other industry-based analysis tools to critically assess the alignment between VW’s capabilities, resources, strategies, and competitive landscape.  To understand the robustness of VW’s strategic decisions, the later sections will focus on identifying the key business strategies adopted by the company, subsequently followed by an analysis of the company’s resources and capabilities, its approach to competitiveness in </w:t>
      </w:r>
      <w:r w:rsidRPr="00C34434">
        <w:rPr>
          <w:rFonts w:ascii="Arial" w:eastAsia="Times New Roman" w:hAnsi="Arial" w:cs="Arial"/>
          <w:sz w:val="24"/>
          <w:szCs w:val="24"/>
        </w:rPr>
        <w:lastRenderedPageBreak/>
        <w:t xml:space="preserve">sustainability paradigms, and finally recommendations for further enhancement of the company’s competitiveness in the future. </w:t>
      </w:r>
    </w:p>
    <w:p w14:paraId="482D6A30" w14:textId="77777777" w:rsidR="006B2FD5" w:rsidRPr="00C34434" w:rsidRDefault="006B2FD5">
      <w:pPr>
        <w:spacing w:line="480" w:lineRule="auto"/>
        <w:ind w:firstLine="720"/>
        <w:rPr>
          <w:rFonts w:ascii="Arial" w:eastAsia="Times New Roman" w:hAnsi="Arial" w:cs="Arial"/>
          <w:sz w:val="24"/>
          <w:szCs w:val="24"/>
        </w:rPr>
      </w:pPr>
      <w:bookmarkStart w:id="2" w:name="_u3u8kl1dw73u" w:colFirst="0" w:colLast="0"/>
      <w:bookmarkEnd w:id="2"/>
    </w:p>
    <w:p w14:paraId="114F87E3" w14:textId="77777777" w:rsidR="006B2FD5" w:rsidRDefault="00000000">
      <w:pPr>
        <w:pStyle w:val="Heading1"/>
        <w:jc w:val="center"/>
        <w:rPr>
          <w:rFonts w:ascii="Arial" w:eastAsia="Times New Roman" w:hAnsi="Arial" w:cs="Arial"/>
          <w:b/>
        </w:rPr>
      </w:pPr>
      <w:bookmarkStart w:id="3" w:name="_1fob9te" w:colFirst="0" w:colLast="0"/>
      <w:bookmarkEnd w:id="3"/>
      <w:r w:rsidRPr="00C34434">
        <w:rPr>
          <w:rFonts w:ascii="Arial" w:eastAsia="Times New Roman" w:hAnsi="Arial" w:cs="Arial"/>
          <w:b/>
        </w:rPr>
        <w:t>The Key Business Strategies of VW Over the Past Five Years</w:t>
      </w:r>
    </w:p>
    <w:p w14:paraId="037BDC14" w14:textId="77777777" w:rsidR="00C34434" w:rsidRDefault="00C34434" w:rsidP="00C34434"/>
    <w:p w14:paraId="17D79AF9" w14:textId="77777777" w:rsidR="00C34434" w:rsidRPr="00C34434" w:rsidRDefault="00C34434" w:rsidP="00C34434"/>
    <w:p w14:paraId="331CB7C7"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The 2015 diesel scandal profoundly affected the operations and profitability of Volkswagen (VW). As a result, the company decided to adopt an improvement strategy designed to help the company recover from the fall in stock value due to the scandal. The 2015 diesel emission scandal forced VW to change its management, eventually leading to critical restructuring in the company (Desilver, 2021). Amidst this scandal, VW needed to be seen as an environmentally friendly brand, hence adopting Strategy 2025. Strategy 2025 was embraced to enable the company to produce autonomous electric-powered cars by the end of 2025. This business strategy allowed the company to invest over 1 billion dollars in designing and developing at least 30 electric cars by 2025. Although the company has set aside billions of dollars to address the impact of the 2015 diesel emission scandal, VW has been at the forefront of building various strategies for competitive advantage (</w:t>
      </w:r>
      <w:r w:rsidRPr="00C34434">
        <w:rPr>
          <w:rFonts w:ascii="Arial" w:eastAsia="Times New Roman" w:hAnsi="Arial" w:cs="Arial"/>
          <w:sz w:val="24"/>
          <w:szCs w:val="24"/>
          <w:highlight w:val="white"/>
        </w:rPr>
        <w:t>Whittington, 2020)</w:t>
      </w:r>
      <w:r w:rsidRPr="00C34434">
        <w:rPr>
          <w:rFonts w:ascii="Arial" w:eastAsia="Times New Roman" w:hAnsi="Arial" w:cs="Arial"/>
          <w:sz w:val="24"/>
          <w:szCs w:val="24"/>
        </w:rPr>
        <w:t xml:space="preserve">. After the scandal, which negatively affected VW’s brand reputation, the firm has recently embarked on a journey to improve its innovative power, leverage the purpose of effective mobility, sustain its diversification portfolio and secure more money to increase the financial viability of its Strategy 2025. Besides producing electric vehicles, Strategy 2025 allows VW management to sell off some of its brands to sustain and improve its focus and </w:t>
      </w:r>
      <w:r w:rsidRPr="00C34434">
        <w:rPr>
          <w:rFonts w:ascii="Arial" w:eastAsia="Times New Roman" w:hAnsi="Arial" w:cs="Arial"/>
          <w:sz w:val="24"/>
          <w:szCs w:val="24"/>
        </w:rPr>
        <w:lastRenderedPageBreak/>
        <w:t xml:space="preserve">profitability on fewer but strategic brands (Hughes, 2018). According to the current CEO, selling unviable brands is an important cost-cutting mechanism for VW as it plans to maximise profit and increase its investment turnover in the coming years to support and sustain Strategy 2025. </w:t>
      </w:r>
    </w:p>
    <w:p w14:paraId="6FC31C7D" w14:textId="77777777" w:rsidR="006B2FD5" w:rsidRPr="00C34434" w:rsidRDefault="006B2FD5">
      <w:pPr>
        <w:spacing w:line="480" w:lineRule="auto"/>
        <w:ind w:firstLine="720"/>
        <w:rPr>
          <w:rFonts w:ascii="Arial" w:eastAsia="Times New Roman" w:hAnsi="Arial" w:cs="Arial"/>
          <w:sz w:val="24"/>
          <w:szCs w:val="24"/>
        </w:rPr>
      </w:pPr>
    </w:p>
    <w:p w14:paraId="2B28E764" w14:textId="77777777" w:rsidR="006B2FD5" w:rsidRDefault="00000000" w:rsidP="00C34434">
      <w:pPr>
        <w:pStyle w:val="Heading1"/>
        <w:rPr>
          <w:rFonts w:ascii="Arial" w:eastAsia="Times New Roman" w:hAnsi="Arial" w:cs="Arial"/>
          <w:b/>
        </w:rPr>
      </w:pPr>
      <w:bookmarkStart w:id="4" w:name="_3znysh7" w:colFirst="0" w:colLast="0"/>
      <w:bookmarkEnd w:id="4"/>
      <w:r w:rsidRPr="00C34434">
        <w:rPr>
          <w:rFonts w:ascii="Arial" w:eastAsia="Times New Roman" w:hAnsi="Arial" w:cs="Arial"/>
          <w:b/>
        </w:rPr>
        <w:t>Porter's Generic Strategies</w:t>
      </w:r>
    </w:p>
    <w:p w14:paraId="33716760" w14:textId="77777777" w:rsidR="00C34434" w:rsidRDefault="00C34434" w:rsidP="00C34434"/>
    <w:p w14:paraId="76405B2F" w14:textId="77777777" w:rsidR="00C34434" w:rsidRPr="00C34434" w:rsidRDefault="00C34434" w:rsidP="00C34434"/>
    <w:p w14:paraId="5B41A418"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Porter's Generic Strategies is a strategic business model developed by Michael Porter outlining the three fundamental approaches that business organisations can leverage to achieve competitive advantage in their industry (Butler, 2018). The three strategies often help companies to position strategically about their competitors and create sustainable competitive advantage. In its quest to improve its brand image and increase its market reach and profitability, VW has utilised Porter's Generic Strategies in its operations over the past five years. </w:t>
      </w:r>
    </w:p>
    <w:p w14:paraId="0041127A" w14:textId="77777777" w:rsidR="006B2FD5" w:rsidRPr="00C34434" w:rsidRDefault="006B2FD5">
      <w:pPr>
        <w:spacing w:line="480" w:lineRule="auto"/>
        <w:ind w:firstLine="720"/>
        <w:rPr>
          <w:rFonts w:ascii="Arial" w:eastAsia="Times New Roman" w:hAnsi="Arial" w:cs="Arial"/>
          <w:sz w:val="24"/>
          <w:szCs w:val="24"/>
        </w:rPr>
      </w:pPr>
    </w:p>
    <w:p w14:paraId="5B6E790F" w14:textId="77777777" w:rsidR="006B2FD5" w:rsidRPr="00C34434" w:rsidRDefault="00000000">
      <w:pPr>
        <w:pStyle w:val="Heading2"/>
        <w:rPr>
          <w:rFonts w:ascii="Arial" w:eastAsia="Times New Roman" w:hAnsi="Arial" w:cs="Arial"/>
          <w:b/>
          <w:sz w:val="32"/>
          <w:szCs w:val="32"/>
        </w:rPr>
      </w:pPr>
      <w:bookmarkStart w:id="5" w:name="_2et92p0" w:colFirst="0" w:colLast="0"/>
      <w:bookmarkEnd w:id="5"/>
      <w:r w:rsidRPr="00C34434">
        <w:rPr>
          <w:rFonts w:ascii="Arial" w:eastAsia="Times New Roman" w:hAnsi="Arial" w:cs="Arial"/>
          <w:b/>
          <w:sz w:val="32"/>
          <w:szCs w:val="32"/>
        </w:rPr>
        <w:t>Cost Leadership Strategy</w:t>
      </w:r>
    </w:p>
    <w:p w14:paraId="3EFA3CCB" w14:textId="77777777" w:rsidR="00C34434" w:rsidRDefault="00C34434" w:rsidP="00C34434"/>
    <w:p w14:paraId="5B76D24F" w14:textId="77777777" w:rsidR="00C34434" w:rsidRPr="00C34434" w:rsidRDefault="00C34434" w:rsidP="00C34434"/>
    <w:p w14:paraId="38270AC5"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As proposed by Michael Porter, the cost leadership strategy focuses on achieving the lowest cost of production and operation across the industry. Business organisations pursuing a cost leadership strategy often aim at providing services or products at lower prices than their rivals while maintaining high levels of product quality. </w:t>
      </w:r>
      <w:r w:rsidRPr="00C34434">
        <w:rPr>
          <w:rFonts w:ascii="Arial" w:eastAsia="Times New Roman" w:hAnsi="Arial" w:cs="Arial"/>
          <w:sz w:val="24"/>
          <w:szCs w:val="24"/>
        </w:rPr>
        <w:lastRenderedPageBreak/>
        <w:t xml:space="preserve">A cost leadership strategy aims to attract price-sensitive customers and assist the company in attaining higher sales volumes. For VW’s Strategy 2025, cost leadership entails streamlining the company’s production process, maximising supply chain efficiency, and exploiting new ways to reduce operational and manufacturing costs (Nanjekhe, 2018). Through the introduction and adoption of electric vehicles, the company seeks to manufacture more affordable and accessible cars to a wider customer base, hence increasing its sales volumes which in turn leads the company to profitability in the long run. </w:t>
      </w:r>
    </w:p>
    <w:p w14:paraId="4CD4F305" w14:textId="77777777" w:rsidR="006B2FD5" w:rsidRPr="00C34434" w:rsidRDefault="006B2FD5">
      <w:pPr>
        <w:spacing w:line="480" w:lineRule="auto"/>
        <w:ind w:firstLine="720"/>
        <w:rPr>
          <w:rFonts w:ascii="Arial" w:eastAsia="Times New Roman" w:hAnsi="Arial" w:cs="Arial"/>
          <w:sz w:val="32"/>
          <w:szCs w:val="32"/>
        </w:rPr>
      </w:pPr>
    </w:p>
    <w:p w14:paraId="207BDD49" w14:textId="77777777" w:rsidR="006B2FD5" w:rsidRPr="00C34434" w:rsidRDefault="00000000">
      <w:pPr>
        <w:pStyle w:val="Heading2"/>
        <w:rPr>
          <w:rFonts w:ascii="Arial" w:eastAsia="Times New Roman" w:hAnsi="Arial" w:cs="Arial"/>
          <w:b/>
          <w:sz w:val="32"/>
          <w:szCs w:val="32"/>
        </w:rPr>
      </w:pPr>
      <w:bookmarkStart w:id="6" w:name="_tyjcwt" w:colFirst="0" w:colLast="0"/>
      <w:bookmarkEnd w:id="6"/>
      <w:r w:rsidRPr="00C34434">
        <w:rPr>
          <w:rFonts w:ascii="Arial" w:eastAsia="Times New Roman" w:hAnsi="Arial" w:cs="Arial"/>
          <w:b/>
          <w:sz w:val="32"/>
          <w:szCs w:val="32"/>
        </w:rPr>
        <w:t>Differentiation Strategy</w:t>
      </w:r>
    </w:p>
    <w:p w14:paraId="28315026" w14:textId="77777777" w:rsidR="00C34434" w:rsidRDefault="00C34434" w:rsidP="00C34434"/>
    <w:p w14:paraId="57B94135" w14:textId="77777777" w:rsidR="00C34434" w:rsidRPr="00C34434" w:rsidRDefault="00C34434" w:rsidP="00C34434"/>
    <w:p w14:paraId="4AE50486"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Differentiation is the most effective generic strategy for building a competitive advantage. Over the five years, VW has used a differentiation strategy in combination with the cost leadership strategy to achieve its growth and development agenda and ensure that the company attains its Strategy 2025 objectives. Over the last five years, VW has used the differentiation strategy by creating unique and distinct products and services from its competitors (Butler, 2018). By providing unique, exceptional, high-quality services and products, VW intends to command premium products and build strong brand loyalty, especially after the diesel emission scandal. In this case, VW’s ID series, with its advanced technology, distinct designs, and a focus on sustainability, is intended to position the company as an ultimate choice for environmentally conscious consumers. </w:t>
      </w:r>
    </w:p>
    <w:p w14:paraId="4EEB5BB3" w14:textId="77777777" w:rsidR="006B2FD5" w:rsidRPr="00C34434" w:rsidRDefault="006B2FD5">
      <w:pPr>
        <w:spacing w:line="480" w:lineRule="auto"/>
        <w:ind w:firstLine="720"/>
        <w:rPr>
          <w:rFonts w:ascii="Arial" w:eastAsia="Times New Roman" w:hAnsi="Arial" w:cs="Arial"/>
          <w:sz w:val="24"/>
          <w:szCs w:val="24"/>
        </w:rPr>
      </w:pPr>
    </w:p>
    <w:p w14:paraId="3629C5C2" w14:textId="77777777" w:rsidR="006B2FD5" w:rsidRPr="00C34434" w:rsidRDefault="00000000">
      <w:pPr>
        <w:pStyle w:val="Heading2"/>
        <w:rPr>
          <w:rFonts w:ascii="Arial" w:eastAsia="Times New Roman" w:hAnsi="Arial" w:cs="Arial"/>
          <w:b/>
          <w:sz w:val="32"/>
          <w:szCs w:val="32"/>
        </w:rPr>
      </w:pPr>
      <w:bookmarkStart w:id="7" w:name="_3dy6vkm" w:colFirst="0" w:colLast="0"/>
      <w:bookmarkEnd w:id="7"/>
      <w:r w:rsidRPr="00C34434">
        <w:rPr>
          <w:rFonts w:ascii="Arial" w:eastAsia="Times New Roman" w:hAnsi="Arial" w:cs="Arial"/>
          <w:b/>
          <w:sz w:val="32"/>
          <w:szCs w:val="32"/>
        </w:rPr>
        <w:t>Focus Strategy</w:t>
      </w:r>
    </w:p>
    <w:p w14:paraId="680652C3" w14:textId="77777777" w:rsidR="00C34434" w:rsidRDefault="00C34434" w:rsidP="00C34434"/>
    <w:p w14:paraId="3ECC832D" w14:textId="77777777" w:rsidR="00C34434" w:rsidRPr="00C34434" w:rsidRDefault="00C34434" w:rsidP="00C34434"/>
    <w:p w14:paraId="7B94743F"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Finally, focus strategy motivates business organisations to concentrate their tools and resources on expanding the narrowly targeted business segments. When firms adopt the focus strategy, they focus on serving a particular market segment and base their competitive advantage on niche marketing. This often entails focusing on a specific geographic location, a narrow customer group, or a niche market segment. By tailoring the products and services to the target market’s unique needs, companies can position themselves as experts and cater to the extensive customer base. In the last five years, VW has significantly leveraged the focus strategy, which is evident in its desire to cater to specific electric vehicle market segments (Butler, 2018). For instance, VW exclusively targets urban commuters with compact EVs to create more compelling value propositions. </w:t>
      </w:r>
    </w:p>
    <w:p w14:paraId="093C8DC0" w14:textId="77777777" w:rsidR="006B2FD5" w:rsidRPr="00C34434" w:rsidRDefault="006B2FD5">
      <w:pPr>
        <w:spacing w:line="480" w:lineRule="auto"/>
        <w:ind w:firstLine="720"/>
        <w:rPr>
          <w:rFonts w:ascii="Arial" w:eastAsia="Times New Roman" w:hAnsi="Arial" w:cs="Arial"/>
          <w:sz w:val="24"/>
          <w:szCs w:val="24"/>
        </w:rPr>
      </w:pPr>
    </w:p>
    <w:p w14:paraId="7316B1C6" w14:textId="77777777" w:rsidR="006B2FD5" w:rsidRDefault="00000000" w:rsidP="00C34434">
      <w:pPr>
        <w:pStyle w:val="Heading1"/>
        <w:rPr>
          <w:rFonts w:ascii="Arial" w:eastAsia="Times New Roman" w:hAnsi="Arial" w:cs="Arial"/>
          <w:b/>
        </w:rPr>
      </w:pPr>
      <w:bookmarkStart w:id="8" w:name="_1t3h5sf" w:colFirst="0" w:colLast="0"/>
      <w:bookmarkEnd w:id="8"/>
      <w:r w:rsidRPr="00C34434">
        <w:rPr>
          <w:rFonts w:ascii="Arial" w:eastAsia="Times New Roman" w:hAnsi="Arial" w:cs="Arial"/>
          <w:b/>
        </w:rPr>
        <w:t>Resources and Capabilities of VW Over the Past Five Years</w:t>
      </w:r>
    </w:p>
    <w:p w14:paraId="7E2FEE20" w14:textId="77777777" w:rsidR="00C34434" w:rsidRDefault="00C34434" w:rsidP="00C34434"/>
    <w:p w14:paraId="1E1468A5" w14:textId="77777777" w:rsidR="00C34434" w:rsidRPr="00C34434" w:rsidRDefault="00C34434" w:rsidP="00C34434"/>
    <w:p w14:paraId="48AEED85"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Over the years, Volkswagen has evolved from being a German company to a leading global car manufacturer because of its unique capabilities and resources. At its disposal, some critical resources and capabilities have enabled the company to navigate tough times and emerge as a global leader in the car manufacturing industry (Hanno et al., 2019). One such resource is the human resource. In the last five years, </w:t>
      </w:r>
      <w:r w:rsidRPr="00C34434">
        <w:rPr>
          <w:rFonts w:ascii="Arial" w:eastAsia="Times New Roman" w:hAnsi="Arial" w:cs="Arial"/>
          <w:sz w:val="24"/>
          <w:szCs w:val="24"/>
        </w:rPr>
        <w:lastRenderedPageBreak/>
        <w:t xml:space="preserve">VW has hired the best talents in the market. Thus, the company’s success at the national and international levels is largely attributed to the talents, intelligence, and rover qualifications of its middle-level staff and management teams. The company’s employee portfolio continues to grow yearly.  When the company innovates a new model, it attracts the highly sought-after professionals in the industry while doing everything it can to retain its old staff through better remuneration and providing necessary promotions. The company has a policy demanding its human resources to constantly report their performance for evaluation based on achievement of the company objectives. </w:t>
      </w:r>
    </w:p>
    <w:p w14:paraId="79DAD311"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Moreover, VW has invested significant financial resources for the past five years to achieve Strategy 2025. For instance, the company invested at least 1 billion dollars in designing and producing over 30 electric vehicles to provide its customers with unique and environmentally friendly cars (</w:t>
      </w:r>
      <w:r w:rsidRPr="00C34434">
        <w:rPr>
          <w:rFonts w:ascii="Arial" w:eastAsia="Times New Roman" w:hAnsi="Arial" w:cs="Arial"/>
          <w:sz w:val="24"/>
          <w:szCs w:val="24"/>
          <w:highlight w:val="white"/>
        </w:rPr>
        <w:t>Galpin, 2019)</w:t>
      </w:r>
      <w:r w:rsidRPr="00C34434">
        <w:rPr>
          <w:rFonts w:ascii="Arial" w:eastAsia="Times New Roman" w:hAnsi="Arial" w:cs="Arial"/>
          <w:sz w:val="24"/>
          <w:szCs w:val="24"/>
        </w:rPr>
        <w:t>. Besides, in its expansion strategy, the company has intensified its financial resources for expansion into new markets (Desilver, 2021). Comparatively, VW’s revenues have been growing over the five years due to the increased global competition. This is also attributed to the company’s investment in global diversification which demands VW to invest a significant amount of its financial resources, which is eventually realised on the return on investment. Also, VW has significantly leveraged its technological capabilities in generating and sustaining its operations. Through its innovative technological solutions, VW has recently embarked on the journey to shift to electric mobility (</w:t>
      </w:r>
      <w:r w:rsidRPr="00C34434">
        <w:rPr>
          <w:rFonts w:ascii="Arial" w:eastAsia="Times New Roman" w:hAnsi="Arial" w:cs="Arial"/>
          <w:sz w:val="24"/>
          <w:szCs w:val="24"/>
          <w:highlight w:val="white"/>
        </w:rPr>
        <w:t>Whittington, 2020)</w:t>
      </w:r>
      <w:r w:rsidRPr="00C34434">
        <w:rPr>
          <w:rFonts w:ascii="Arial" w:eastAsia="Times New Roman" w:hAnsi="Arial" w:cs="Arial"/>
          <w:sz w:val="24"/>
          <w:szCs w:val="24"/>
        </w:rPr>
        <w:t xml:space="preserve">. This entails the development and launch of EVs under VW’s ID (Volkswagen, 2017). With a clear focus on reducing carbon emissions and strictly following the structural </w:t>
      </w:r>
      <w:r w:rsidRPr="00C34434">
        <w:rPr>
          <w:rFonts w:ascii="Arial" w:eastAsia="Times New Roman" w:hAnsi="Arial" w:cs="Arial"/>
          <w:sz w:val="24"/>
          <w:szCs w:val="24"/>
        </w:rPr>
        <w:lastRenderedPageBreak/>
        <w:t xml:space="preserve">environmental regulations, the company aims to utilise its technological prowess to be a leading player in the EV market and transition away from conventional internal combustion engine vehicles. </w:t>
      </w:r>
    </w:p>
    <w:p w14:paraId="5AE02584"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VW’s journey for the last five years has been marked by a strategic shift towards sustainable technological innovation and responsiveness to evolving consumer needs. The company has utilised its fundamental resources and capabilities, such as finances, human resources, and technological prowess, to align and achieve its strategic objectives effectively (Hanno et al., 2019). For instance, the company’s commitment to electric mobility as the primary strategy has demanded substantial alignment of its technological and financial resources and capabilities. The development of EVs demands experts in battery technology, efficient supply chain management, and electric drivetrain engineering (Volkswagen, 2017). As a result, VW has made significant investments in battery production facilities, talent acquisition, and charging infrastructure partnerships, exemplifying the alignment of the company’s resources with its strategy. </w:t>
      </w:r>
    </w:p>
    <w:p w14:paraId="640C19FC" w14:textId="77777777" w:rsidR="006B2FD5" w:rsidRPr="00C34434" w:rsidRDefault="006B2FD5">
      <w:pPr>
        <w:spacing w:line="480" w:lineRule="auto"/>
        <w:ind w:firstLine="720"/>
        <w:rPr>
          <w:rFonts w:ascii="Arial" w:eastAsia="Times New Roman" w:hAnsi="Arial" w:cs="Arial"/>
          <w:sz w:val="24"/>
          <w:szCs w:val="24"/>
        </w:rPr>
      </w:pPr>
    </w:p>
    <w:p w14:paraId="3F4DBB01" w14:textId="77777777" w:rsidR="006B2FD5" w:rsidRDefault="00000000" w:rsidP="00C34434">
      <w:pPr>
        <w:pStyle w:val="Heading1"/>
        <w:rPr>
          <w:rFonts w:ascii="Arial" w:eastAsia="Times New Roman" w:hAnsi="Arial" w:cs="Arial"/>
          <w:b/>
        </w:rPr>
      </w:pPr>
      <w:bookmarkStart w:id="9" w:name="_2s8eyo1" w:colFirst="0" w:colLast="0"/>
      <w:bookmarkEnd w:id="9"/>
      <w:r w:rsidRPr="00C34434">
        <w:rPr>
          <w:rFonts w:ascii="Arial" w:eastAsia="Times New Roman" w:hAnsi="Arial" w:cs="Arial"/>
          <w:b/>
        </w:rPr>
        <w:t>VW's Efforts to Become More Competitive with Sustainability in Mind</w:t>
      </w:r>
    </w:p>
    <w:p w14:paraId="4C4C8012" w14:textId="77777777" w:rsidR="00C34434" w:rsidRDefault="00C34434" w:rsidP="00C34434"/>
    <w:p w14:paraId="1FA6E798" w14:textId="77777777" w:rsidR="00C34434" w:rsidRPr="00C34434" w:rsidRDefault="00C34434" w:rsidP="00C34434"/>
    <w:p w14:paraId="240BE2C4"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Volkswagen's route toward competitiveness with sustainability at its centre is a strategic response to the Diesel emission scandal, the evolving consumer demands, the need to adhere to environmental concerns, and the current regulatory demands. Since the diesel scandal, VW has been on the frontline to integrate sustainability as a </w:t>
      </w:r>
      <w:r w:rsidRPr="00C34434">
        <w:rPr>
          <w:rFonts w:ascii="Arial" w:eastAsia="Times New Roman" w:hAnsi="Arial" w:cs="Arial"/>
          <w:sz w:val="24"/>
          <w:szCs w:val="24"/>
        </w:rPr>
        <w:lastRenderedPageBreak/>
        <w:t>competitive advantage. To achieve this, the company has aligned its strategies with sustainable measures to ensure effective operations and profitability. For instance, VW’s commitment to electric mobility is designed to reduce emissions. This strategy is perceived as the basis of the company’s competitive sustainability efforts in many ways. The development of electric vehicles affirms VW's commitment and aspirations to minimise its carbon footprint (</w:t>
      </w:r>
      <w:r w:rsidRPr="00C34434">
        <w:rPr>
          <w:rFonts w:ascii="Arial" w:eastAsia="Times New Roman" w:hAnsi="Arial" w:cs="Arial"/>
          <w:sz w:val="24"/>
          <w:szCs w:val="24"/>
          <w:highlight w:val="white"/>
        </w:rPr>
        <w:t>Galpin, 2019)</w:t>
      </w:r>
      <w:r w:rsidRPr="00C34434">
        <w:rPr>
          <w:rFonts w:ascii="Arial" w:eastAsia="Times New Roman" w:hAnsi="Arial" w:cs="Arial"/>
          <w:sz w:val="24"/>
          <w:szCs w:val="24"/>
        </w:rPr>
        <w:t xml:space="preserve">. By heavily investing in electric vehicle technology, VW aims to position the market as the leader in the supply of emission-free transportation. Therefore, the success of models such as the ID.3 and ID.4 illustrates the potential of this business strategy to align the company’s sustainability goals and capture the rising market segment. </w:t>
      </w:r>
    </w:p>
    <w:p w14:paraId="77074507"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Also, VW’s efforts to become more competitive in the market have been sustained by its commitment to supply chain transparency and ethical sourcing (Hanno et al., 2019). The company has made a deliberate effort to tolerate its supply chain sustainability through responsible sourcing of components and materials. By reducing overreliance on conflict materials and ethical practices and supporting fair labour policies, the company aims to build its reputation and appeal to conscious consumers as an environmentally and socially responsible brand (Jardine Motors Group, 2020). However, these efforts have largely been tainted by the 2015 scandal, which saw the company entangled in legal battles that left a negative mark on its brand. Thus, the extent of these efforts needs to be transparent across the company’s supply chain, and consistent monitoring of suppliers’ compliance is mandatory to avoid another scandal. </w:t>
      </w:r>
    </w:p>
    <w:p w14:paraId="6CF016D9"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Moreover, VW has embarked on a carbon neutrality and renewable energy mission. In the last five years and its Strategy 2025+, VW has pledged to achieve </w:t>
      </w:r>
      <w:r w:rsidRPr="00C34434">
        <w:rPr>
          <w:rFonts w:ascii="Arial" w:eastAsia="Times New Roman" w:hAnsi="Arial" w:cs="Arial"/>
          <w:sz w:val="24"/>
          <w:szCs w:val="24"/>
        </w:rPr>
        <w:lastRenderedPageBreak/>
        <w:t>carbon neutrality throughout its operations by 2050, and this is considered a big step toward competitive sustainability. As a result, the company is investing in renewable energy sources for its operational and manufacturing facilities (</w:t>
      </w:r>
      <w:r w:rsidRPr="00C34434">
        <w:rPr>
          <w:rFonts w:ascii="Arial" w:eastAsia="Times New Roman" w:hAnsi="Arial" w:cs="Arial"/>
          <w:sz w:val="24"/>
          <w:szCs w:val="24"/>
          <w:highlight w:val="white"/>
        </w:rPr>
        <w:t>Whittington, 2020)</w:t>
      </w:r>
      <w:r w:rsidRPr="00C34434">
        <w:rPr>
          <w:rFonts w:ascii="Arial" w:eastAsia="Times New Roman" w:hAnsi="Arial" w:cs="Arial"/>
          <w:sz w:val="24"/>
          <w:szCs w:val="24"/>
        </w:rPr>
        <w:t>. For instance, VW has deployed solar panels and wind turbines to generate power in some of its plants to reduce carbon emissions and operational costs, contributing to a greater long-term competitive advantage. On the same note, VW is strongly committed to regaining trust after the "dieselgate" scandal. These efforts have consequently led to a comprehensive focus on sustainability in its operations. By openly owning up, addressing past challenges, and emphasising its renewed commitment to environmental responsibility, VW intends to rebuild its brand image (Jardine Motors Group, 2020). As a result, through its Strategy 2025, the company has initiated consistent actions and transparent communication to achieve tangible results that will take the company back to its original place as a leader in the automobile industry.</w:t>
      </w:r>
    </w:p>
    <w:p w14:paraId="51A98608" w14:textId="77777777" w:rsidR="006B2FD5" w:rsidRPr="00C34434" w:rsidRDefault="006B2FD5">
      <w:pPr>
        <w:spacing w:line="480" w:lineRule="auto"/>
        <w:ind w:firstLine="720"/>
        <w:rPr>
          <w:rFonts w:ascii="Arial" w:eastAsia="Times New Roman" w:hAnsi="Arial" w:cs="Arial"/>
          <w:sz w:val="24"/>
          <w:szCs w:val="24"/>
        </w:rPr>
      </w:pPr>
    </w:p>
    <w:p w14:paraId="6F87BCD7" w14:textId="62D1FCE4" w:rsidR="006B2FD5" w:rsidRDefault="00000000" w:rsidP="00C34434">
      <w:pPr>
        <w:pStyle w:val="Heading1"/>
        <w:rPr>
          <w:rFonts w:ascii="Arial" w:eastAsia="Times New Roman" w:hAnsi="Arial" w:cs="Arial"/>
          <w:b/>
        </w:rPr>
      </w:pPr>
      <w:bookmarkStart w:id="10" w:name="_17dp8vu" w:colFirst="0" w:colLast="0"/>
      <w:bookmarkEnd w:id="10"/>
      <w:r w:rsidRPr="00C34434">
        <w:rPr>
          <w:rFonts w:ascii="Arial" w:eastAsia="Times New Roman" w:hAnsi="Arial" w:cs="Arial"/>
          <w:b/>
        </w:rPr>
        <w:t>Recommendations for Future Sustainability Practices at Volkswagen (VW)</w:t>
      </w:r>
    </w:p>
    <w:p w14:paraId="1872D9A6" w14:textId="77777777" w:rsidR="00C34434" w:rsidRDefault="00C34434" w:rsidP="00C34434"/>
    <w:p w14:paraId="704963B6" w14:textId="77777777" w:rsidR="00C34434" w:rsidRPr="00C34434" w:rsidRDefault="00C34434" w:rsidP="00C34434"/>
    <w:p w14:paraId="45647F70"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Since the 2015 diesel gate scandal, VW has made significant strides, especially in electric mobility to ensure sustainable practices and development. Whereas these strides have relatively put the company back on track about brand image improvement and customer satisfaction, there is seemingly more that is required in terms of greater innovation to sustain the company's future (</w:t>
      </w:r>
      <w:r w:rsidRPr="00C34434">
        <w:rPr>
          <w:rFonts w:ascii="Arial" w:eastAsia="Times New Roman" w:hAnsi="Arial" w:cs="Arial"/>
          <w:sz w:val="24"/>
          <w:szCs w:val="24"/>
          <w:highlight w:val="white"/>
        </w:rPr>
        <w:t>Whittington, 2020)</w:t>
      </w:r>
      <w:r w:rsidRPr="00C34434">
        <w:rPr>
          <w:rFonts w:ascii="Arial" w:eastAsia="Times New Roman" w:hAnsi="Arial" w:cs="Arial"/>
          <w:sz w:val="24"/>
          <w:szCs w:val="24"/>
        </w:rPr>
        <w:t xml:space="preserve">. Thus, VW needs to invest more in technology such as advanced battery technologies to extend the range of </w:t>
      </w:r>
      <w:r w:rsidRPr="00C34434">
        <w:rPr>
          <w:rFonts w:ascii="Arial" w:eastAsia="Times New Roman" w:hAnsi="Arial" w:cs="Arial"/>
          <w:sz w:val="24"/>
          <w:szCs w:val="24"/>
        </w:rPr>
        <w:lastRenderedPageBreak/>
        <w:t xml:space="preserve">electric vehicles, reduce the charging times for its EVs, and overall, enhance the company’s performance. Therefore, VW should partner with technology partners and research institutions to stay ahead of EV advancements. </w:t>
      </w:r>
    </w:p>
    <w:p w14:paraId="3B79C4ED"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Furthermore, VW needs to expand its renewable energy integration. According to Strategy 2025+, VW is determined to ensure environmental consciousness by lowering its overall carbon footprint. One way to achieve this is to increase the use of renewable energy sources for operations and manufacturing facilities (</w:t>
      </w:r>
      <w:r w:rsidRPr="00C34434">
        <w:rPr>
          <w:rFonts w:ascii="Arial" w:eastAsia="Times New Roman" w:hAnsi="Arial" w:cs="Arial"/>
          <w:sz w:val="24"/>
          <w:szCs w:val="24"/>
          <w:highlight w:val="white"/>
        </w:rPr>
        <w:t>Whittington, 2020)</w:t>
      </w:r>
      <w:r w:rsidRPr="00C34434">
        <w:rPr>
          <w:rFonts w:ascii="Arial" w:eastAsia="Times New Roman" w:hAnsi="Arial" w:cs="Arial"/>
          <w:sz w:val="24"/>
          <w:szCs w:val="24"/>
        </w:rPr>
        <w:t>. The company should consider on-site renewable energy generation, like wind and solar, to reduce carbon emissions further and attain greater energy independence. Similarly, the company should enhance its supply chain transparency by adopting the blockchain or similar technologies to trace the origins and movement of its raw materials (</w:t>
      </w:r>
      <w:r w:rsidRPr="00C34434">
        <w:rPr>
          <w:rFonts w:ascii="Arial" w:eastAsia="Times New Roman" w:hAnsi="Arial" w:cs="Arial"/>
          <w:sz w:val="24"/>
          <w:szCs w:val="24"/>
          <w:highlight w:val="white"/>
        </w:rPr>
        <w:t>Galpin, 2019)</w:t>
      </w:r>
      <w:r w:rsidRPr="00C34434">
        <w:rPr>
          <w:rFonts w:ascii="Arial" w:eastAsia="Times New Roman" w:hAnsi="Arial" w:cs="Arial"/>
          <w:sz w:val="24"/>
          <w:szCs w:val="24"/>
        </w:rPr>
        <w:t xml:space="preserve">. This will not only ensure ethical sourcing but also support environmentally conscious efforts. </w:t>
      </w:r>
    </w:p>
    <w:p w14:paraId="49849EC0" w14:textId="77777777" w:rsidR="006B2FD5" w:rsidRPr="00C34434" w:rsidRDefault="006B2FD5">
      <w:pPr>
        <w:spacing w:line="480" w:lineRule="auto"/>
        <w:rPr>
          <w:rFonts w:ascii="Arial" w:eastAsia="Times New Roman" w:hAnsi="Arial" w:cs="Arial"/>
          <w:sz w:val="24"/>
          <w:szCs w:val="24"/>
        </w:rPr>
      </w:pPr>
    </w:p>
    <w:p w14:paraId="7FCAFFBE" w14:textId="77777777" w:rsidR="006B2FD5" w:rsidRDefault="00000000" w:rsidP="00C34434">
      <w:pPr>
        <w:pStyle w:val="Heading1"/>
        <w:rPr>
          <w:rFonts w:ascii="Arial" w:eastAsia="Times New Roman" w:hAnsi="Arial" w:cs="Arial"/>
          <w:b/>
        </w:rPr>
      </w:pPr>
      <w:bookmarkStart w:id="11" w:name="_3rdcrjn" w:colFirst="0" w:colLast="0"/>
      <w:bookmarkEnd w:id="11"/>
      <w:r w:rsidRPr="00C34434">
        <w:rPr>
          <w:rFonts w:ascii="Arial" w:eastAsia="Times New Roman" w:hAnsi="Arial" w:cs="Arial"/>
          <w:b/>
        </w:rPr>
        <w:t>Conclusion</w:t>
      </w:r>
    </w:p>
    <w:p w14:paraId="26F6EE92" w14:textId="77777777" w:rsidR="00C34434" w:rsidRDefault="00C34434" w:rsidP="00C34434"/>
    <w:p w14:paraId="13D4325F" w14:textId="77777777" w:rsidR="00C34434" w:rsidRPr="00C34434" w:rsidRDefault="00C34434" w:rsidP="00C34434"/>
    <w:p w14:paraId="29C20D9E" w14:textId="77777777" w:rsidR="006B2FD5" w:rsidRPr="00C34434" w:rsidRDefault="00000000">
      <w:pPr>
        <w:spacing w:line="480" w:lineRule="auto"/>
        <w:ind w:firstLine="720"/>
        <w:rPr>
          <w:rFonts w:ascii="Arial" w:eastAsia="Times New Roman" w:hAnsi="Arial" w:cs="Arial"/>
          <w:sz w:val="24"/>
          <w:szCs w:val="24"/>
        </w:rPr>
      </w:pPr>
      <w:r w:rsidRPr="00C34434">
        <w:rPr>
          <w:rFonts w:ascii="Arial" w:eastAsia="Times New Roman" w:hAnsi="Arial" w:cs="Arial"/>
          <w:sz w:val="24"/>
          <w:szCs w:val="24"/>
        </w:rPr>
        <w:t xml:space="preserve">The analysis of Volkswagen's competitive environment and strategies for the past five years emphasises the dynamic nature of the automotive industry and the central role of sustainability in defining the company’s future. VW’s response to the industry challenges such as the Dieselgate emission scandal and the demands of sustainability have contributed to the transformative developments in the company’s approach to business. Through a robust evaluation, it is vivid that VW has strategically </w:t>
      </w:r>
      <w:r w:rsidRPr="00C34434">
        <w:rPr>
          <w:rFonts w:ascii="Arial" w:eastAsia="Times New Roman" w:hAnsi="Arial" w:cs="Arial"/>
          <w:sz w:val="24"/>
          <w:szCs w:val="24"/>
        </w:rPr>
        <w:lastRenderedPageBreak/>
        <w:t xml:space="preserve">aligned its capabilities, resources, and efforts to achieve a competitive advantage while prioritising sustainability. The push for electric mobility, integration of renewable energy, supply chain transparency, and circular economic principles have allowed VW to effectively transition towards a promising sustainable future. Looking forward, VW has the greater opportunity to enhance its efforts by embracing a circular economy, accelerating innovation, and promoting collaboration with the industry. As more consumers continue to seek brands that appreciate sustainability, VW’s commitment can act as a fundamental differentiator, promoting loyalty and attracting a new generation of conscious buyers in the automobile industry. </w:t>
      </w:r>
    </w:p>
    <w:p w14:paraId="149127F7" w14:textId="77777777" w:rsidR="006B2FD5" w:rsidRPr="00C34434" w:rsidRDefault="006B2FD5">
      <w:pPr>
        <w:spacing w:line="480" w:lineRule="auto"/>
        <w:rPr>
          <w:rFonts w:ascii="Arial" w:eastAsia="Times New Roman" w:hAnsi="Arial" w:cs="Arial"/>
          <w:sz w:val="24"/>
          <w:szCs w:val="24"/>
        </w:rPr>
      </w:pPr>
    </w:p>
    <w:p w14:paraId="1FB6DFBC" w14:textId="77777777" w:rsidR="006B2FD5" w:rsidRPr="00C34434" w:rsidRDefault="006B2FD5">
      <w:pPr>
        <w:spacing w:line="480" w:lineRule="auto"/>
        <w:rPr>
          <w:rFonts w:ascii="Arial" w:eastAsia="Times New Roman" w:hAnsi="Arial" w:cs="Arial"/>
          <w:sz w:val="24"/>
          <w:szCs w:val="24"/>
        </w:rPr>
      </w:pPr>
    </w:p>
    <w:p w14:paraId="45B20132" w14:textId="77777777" w:rsidR="006B2FD5" w:rsidRPr="00C34434" w:rsidRDefault="006B2FD5">
      <w:pPr>
        <w:spacing w:line="480" w:lineRule="auto"/>
        <w:rPr>
          <w:rFonts w:ascii="Arial" w:eastAsia="Times New Roman" w:hAnsi="Arial" w:cs="Arial"/>
          <w:sz w:val="24"/>
          <w:szCs w:val="24"/>
        </w:rPr>
      </w:pPr>
    </w:p>
    <w:p w14:paraId="58E4A318" w14:textId="77777777" w:rsidR="006B2FD5" w:rsidRPr="00C34434" w:rsidRDefault="006B2FD5">
      <w:pPr>
        <w:spacing w:line="480" w:lineRule="auto"/>
        <w:rPr>
          <w:rFonts w:ascii="Arial" w:eastAsia="Times New Roman" w:hAnsi="Arial" w:cs="Arial"/>
          <w:sz w:val="24"/>
          <w:szCs w:val="24"/>
        </w:rPr>
      </w:pPr>
    </w:p>
    <w:p w14:paraId="5651B7F1" w14:textId="77777777" w:rsidR="006B2FD5" w:rsidRPr="00C34434" w:rsidRDefault="006B2FD5">
      <w:pPr>
        <w:spacing w:line="480" w:lineRule="auto"/>
        <w:rPr>
          <w:rFonts w:ascii="Arial" w:eastAsia="Times New Roman" w:hAnsi="Arial" w:cs="Arial"/>
          <w:sz w:val="24"/>
          <w:szCs w:val="24"/>
        </w:rPr>
      </w:pPr>
    </w:p>
    <w:p w14:paraId="180A8BCB" w14:textId="77777777" w:rsidR="006B2FD5" w:rsidRPr="00C34434" w:rsidRDefault="006B2FD5">
      <w:pPr>
        <w:spacing w:line="480" w:lineRule="auto"/>
        <w:rPr>
          <w:rFonts w:ascii="Arial" w:eastAsia="Times New Roman" w:hAnsi="Arial" w:cs="Arial"/>
          <w:sz w:val="24"/>
          <w:szCs w:val="24"/>
        </w:rPr>
      </w:pPr>
    </w:p>
    <w:p w14:paraId="67A1AC28" w14:textId="77777777" w:rsidR="006B2FD5" w:rsidRPr="00C34434" w:rsidRDefault="006B2FD5">
      <w:pPr>
        <w:spacing w:line="480" w:lineRule="auto"/>
        <w:rPr>
          <w:rFonts w:ascii="Arial" w:eastAsia="Times New Roman" w:hAnsi="Arial" w:cs="Arial"/>
          <w:sz w:val="24"/>
          <w:szCs w:val="24"/>
        </w:rPr>
      </w:pPr>
    </w:p>
    <w:p w14:paraId="40566A53" w14:textId="77777777" w:rsidR="006B2FD5" w:rsidRPr="00C34434" w:rsidRDefault="006B2FD5">
      <w:pPr>
        <w:spacing w:line="480" w:lineRule="auto"/>
        <w:rPr>
          <w:rFonts w:ascii="Arial" w:eastAsia="Times New Roman" w:hAnsi="Arial" w:cs="Arial"/>
          <w:sz w:val="24"/>
          <w:szCs w:val="24"/>
        </w:rPr>
      </w:pPr>
    </w:p>
    <w:p w14:paraId="4E39CC4A" w14:textId="77777777" w:rsidR="006B2FD5" w:rsidRPr="00C34434" w:rsidRDefault="006B2FD5">
      <w:pPr>
        <w:spacing w:line="480" w:lineRule="auto"/>
        <w:rPr>
          <w:rFonts w:ascii="Arial" w:eastAsia="Times New Roman" w:hAnsi="Arial" w:cs="Arial"/>
          <w:sz w:val="24"/>
          <w:szCs w:val="24"/>
        </w:rPr>
      </w:pPr>
    </w:p>
    <w:p w14:paraId="1A5F206E" w14:textId="77777777" w:rsidR="006B2FD5" w:rsidRPr="00C34434" w:rsidRDefault="006B2FD5">
      <w:pPr>
        <w:spacing w:line="480" w:lineRule="auto"/>
        <w:rPr>
          <w:rFonts w:ascii="Arial" w:eastAsia="Times New Roman" w:hAnsi="Arial" w:cs="Arial"/>
          <w:sz w:val="24"/>
          <w:szCs w:val="24"/>
        </w:rPr>
      </w:pPr>
    </w:p>
    <w:p w14:paraId="1C37E860" w14:textId="77777777" w:rsidR="006B2FD5" w:rsidRPr="00C34434" w:rsidRDefault="006B2FD5">
      <w:pPr>
        <w:spacing w:line="480" w:lineRule="auto"/>
        <w:rPr>
          <w:rFonts w:ascii="Arial" w:eastAsia="Times New Roman" w:hAnsi="Arial" w:cs="Arial"/>
          <w:sz w:val="24"/>
          <w:szCs w:val="24"/>
        </w:rPr>
      </w:pPr>
    </w:p>
    <w:p w14:paraId="27DA688B" w14:textId="77777777" w:rsidR="006B2FD5" w:rsidRPr="00C34434" w:rsidRDefault="006B2FD5">
      <w:pPr>
        <w:spacing w:line="480" w:lineRule="auto"/>
        <w:rPr>
          <w:rFonts w:ascii="Arial" w:eastAsia="Times New Roman" w:hAnsi="Arial" w:cs="Arial"/>
          <w:sz w:val="24"/>
          <w:szCs w:val="24"/>
        </w:rPr>
      </w:pPr>
    </w:p>
    <w:p w14:paraId="734401DB" w14:textId="77777777" w:rsidR="006B2FD5" w:rsidRDefault="00000000">
      <w:pPr>
        <w:pStyle w:val="Heading1"/>
        <w:jc w:val="center"/>
        <w:rPr>
          <w:rFonts w:ascii="Arial" w:eastAsia="Times New Roman" w:hAnsi="Arial" w:cs="Arial"/>
          <w:b/>
        </w:rPr>
      </w:pPr>
      <w:bookmarkStart w:id="12" w:name="_26in1rg" w:colFirst="0" w:colLast="0"/>
      <w:bookmarkEnd w:id="12"/>
      <w:r w:rsidRPr="00C34434">
        <w:rPr>
          <w:rFonts w:ascii="Arial" w:eastAsia="Times New Roman" w:hAnsi="Arial" w:cs="Arial"/>
          <w:b/>
        </w:rPr>
        <w:t>References</w:t>
      </w:r>
    </w:p>
    <w:p w14:paraId="001F80DD" w14:textId="77777777" w:rsidR="00C34434" w:rsidRPr="00C34434" w:rsidRDefault="00C34434" w:rsidP="00C34434"/>
    <w:p w14:paraId="03CC4E70" w14:textId="77777777" w:rsidR="00C34434" w:rsidRPr="00C34434" w:rsidRDefault="00C34434" w:rsidP="00C34434"/>
    <w:p w14:paraId="13082DDD" w14:textId="77777777" w:rsidR="006B2FD5" w:rsidRPr="00C34434" w:rsidRDefault="00000000">
      <w:pPr>
        <w:spacing w:line="480" w:lineRule="auto"/>
        <w:ind w:left="720" w:hanging="720"/>
        <w:rPr>
          <w:rFonts w:ascii="Arial" w:eastAsia="Times New Roman" w:hAnsi="Arial" w:cs="Arial"/>
          <w:sz w:val="24"/>
          <w:szCs w:val="24"/>
        </w:rPr>
      </w:pPr>
      <w:r w:rsidRPr="00C34434">
        <w:rPr>
          <w:rFonts w:ascii="Arial" w:eastAsia="Times New Roman" w:hAnsi="Arial" w:cs="Arial"/>
          <w:sz w:val="24"/>
          <w:szCs w:val="24"/>
        </w:rPr>
        <w:t xml:space="preserve">Butler, A. 2018. Application of Michael Porter's Generic/Intensive Growth Strategies to Volkswagen. [Online] Available at: </w:t>
      </w:r>
      <w:hyperlink r:id="rId7">
        <w:r w:rsidRPr="00C34434">
          <w:rPr>
            <w:rFonts w:ascii="Arial" w:eastAsia="Times New Roman" w:hAnsi="Arial" w:cs="Arial"/>
            <w:color w:val="1155CC"/>
            <w:sz w:val="24"/>
            <w:szCs w:val="24"/>
            <w:u w:val="single"/>
          </w:rPr>
          <w:t>https://www.essay48.com/13648-Volkswagen-Porters-Generic-Strategies</w:t>
        </w:r>
      </w:hyperlink>
      <w:r w:rsidRPr="00C34434">
        <w:rPr>
          <w:rFonts w:ascii="Arial" w:eastAsia="Times New Roman" w:hAnsi="Arial" w:cs="Arial"/>
          <w:sz w:val="24"/>
          <w:szCs w:val="24"/>
        </w:rPr>
        <w:t xml:space="preserve"> [Accessed on: 13 August 2023]</w:t>
      </w:r>
    </w:p>
    <w:p w14:paraId="3BD44224" w14:textId="77777777" w:rsidR="006B2FD5" w:rsidRPr="00C34434" w:rsidRDefault="00000000">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C34434">
        <w:rPr>
          <w:rFonts w:ascii="Arial" w:eastAsia="Times New Roman" w:hAnsi="Arial" w:cs="Arial"/>
          <w:color w:val="000000"/>
          <w:sz w:val="24"/>
          <w:szCs w:val="24"/>
        </w:rPr>
        <w:t xml:space="preserve">Desilver, D. (2021, June 07) Today’s electric vehicle market: slow growth in U.S., faster in China, Europe. </w:t>
      </w:r>
      <w:r w:rsidRPr="00C34434">
        <w:rPr>
          <w:rFonts w:ascii="Arial" w:eastAsia="Times New Roman" w:hAnsi="Arial" w:cs="Arial"/>
          <w:sz w:val="24"/>
          <w:szCs w:val="24"/>
        </w:rPr>
        <w:t xml:space="preserve">[Online] Available at: </w:t>
      </w:r>
      <w:r w:rsidRPr="00C34434">
        <w:rPr>
          <w:rFonts w:ascii="Arial" w:eastAsia="Times New Roman" w:hAnsi="Arial" w:cs="Arial"/>
          <w:color w:val="000000"/>
          <w:sz w:val="24"/>
          <w:szCs w:val="24"/>
        </w:rPr>
        <w:t> </w:t>
      </w:r>
      <w:hyperlink r:id="rId8">
        <w:r w:rsidRPr="00C34434">
          <w:rPr>
            <w:rFonts w:ascii="Arial" w:eastAsia="Times New Roman" w:hAnsi="Arial" w:cs="Arial"/>
            <w:color w:val="000000"/>
            <w:sz w:val="24"/>
            <w:szCs w:val="24"/>
            <w:u w:val="single"/>
          </w:rPr>
          <w:t>https://www.pewresearch.org/fact-tank/2021/06/07/todays-electric-vehicle-market-slow-growth-in-u-s-faster-in-china-europe/</w:t>
        </w:r>
      </w:hyperlink>
      <w:r w:rsidRPr="00C34434">
        <w:rPr>
          <w:rFonts w:ascii="Arial" w:eastAsia="Times New Roman" w:hAnsi="Arial" w:cs="Arial"/>
          <w:sz w:val="24"/>
          <w:szCs w:val="24"/>
        </w:rPr>
        <w:t xml:space="preserve"> [Accessed on: 12 August 2023]</w:t>
      </w:r>
    </w:p>
    <w:p w14:paraId="58FA2429" w14:textId="77777777" w:rsidR="006B2FD5" w:rsidRPr="00C34434" w:rsidRDefault="00000000">
      <w:pPr>
        <w:spacing w:line="480" w:lineRule="auto"/>
        <w:ind w:left="720" w:hanging="720"/>
        <w:rPr>
          <w:rFonts w:ascii="Arial" w:eastAsia="Times New Roman" w:hAnsi="Arial" w:cs="Arial"/>
          <w:sz w:val="24"/>
          <w:szCs w:val="24"/>
          <w:highlight w:val="white"/>
        </w:rPr>
      </w:pPr>
      <w:r w:rsidRPr="00C34434">
        <w:rPr>
          <w:rFonts w:ascii="Arial" w:eastAsia="Times New Roman" w:hAnsi="Arial" w:cs="Arial"/>
          <w:sz w:val="24"/>
          <w:szCs w:val="24"/>
          <w:highlight w:val="white"/>
        </w:rPr>
        <w:t>Galpin, T., 2019. Strategy beyond the business unit level: corporate parenting in focus. </w:t>
      </w:r>
      <w:r w:rsidRPr="00C34434">
        <w:rPr>
          <w:rFonts w:ascii="Arial" w:eastAsia="Times New Roman" w:hAnsi="Arial" w:cs="Arial"/>
          <w:i/>
          <w:sz w:val="24"/>
          <w:szCs w:val="24"/>
          <w:highlight w:val="white"/>
        </w:rPr>
        <w:t>Journal of Business Strategy</w:t>
      </w:r>
      <w:r w:rsidRPr="00C34434">
        <w:rPr>
          <w:rFonts w:ascii="Arial" w:eastAsia="Times New Roman" w:hAnsi="Arial" w:cs="Arial"/>
          <w:sz w:val="24"/>
          <w:szCs w:val="24"/>
          <w:highlight w:val="white"/>
        </w:rPr>
        <w:t>, </w:t>
      </w:r>
      <w:r w:rsidRPr="00C34434">
        <w:rPr>
          <w:rFonts w:ascii="Arial" w:eastAsia="Times New Roman" w:hAnsi="Arial" w:cs="Arial"/>
          <w:i/>
          <w:sz w:val="24"/>
          <w:szCs w:val="24"/>
          <w:highlight w:val="white"/>
        </w:rPr>
        <w:t>40</w:t>
      </w:r>
      <w:r w:rsidRPr="00C34434">
        <w:rPr>
          <w:rFonts w:ascii="Arial" w:eastAsia="Times New Roman" w:hAnsi="Arial" w:cs="Arial"/>
          <w:sz w:val="24"/>
          <w:szCs w:val="24"/>
          <w:highlight w:val="white"/>
        </w:rPr>
        <w:t>(3), pp.43-51.</w:t>
      </w:r>
    </w:p>
    <w:p w14:paraId="0F4A24DF" w14:textId="77777777" w:rsidR="006B2FD5" w:rsidRPr="00C34434" w:rsidRDefault="00000000">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C34434">
        <w:rPr>
          <w:rFonts w:ascii="Arial" w:eastAsia="Times New Roman" w:hAnsi="Arial" w:cs="Arial"/>
          <w:color w:val="000000"/>
          <w:sz w:val="24"/>
          <w:szCs w:val="24"/>
        </w:rPr>
        <w:t xml:space="preserve">Hanno, M., Magadia, R., Kadoo, A., &amp; Akinsaya, D. (2019). Volkswagen: a real-time case analysis: developing strategies for competitive advantage. Researchgate. </w:t>
      </w:r>
    </w:p>
    <w:p w14:paraId="2A7528AC" w14:textId="77777777" w:rsidR="006B2FD5" w:rsidRPr="00C34434" w:rsidRDefault="00000000">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C34434">
        <w:rPr>
          <w:rFonts w:ascii="Arial" w:eastAsia="Times New Roman" w:hAnsi="Arial" w:cs="Arial"/>
          <w:color w:val="000000"/>
          <w:sz w:val="24"/>
          <w:szCs w:val="24"/>
        </w:rPr>
        <w:t xml:space="preserve">Hughes, J. (2018). How to set smart goals (with 5 examples). </w:t>
      </w:r>
      <w:r w:rsidRPr="00C34434">
        <w:rPr>
          <w:rFonts w:ascii="Arial" w:eastAsia="Times New Roman" w:hAnsi="Arial" w:cs="Arial"/>
          <w:sz w:val="24"/>
          <w:szCs w:val="24"/>
        </w:rPr>
        <w:t xml:space="preserve">[Online] Available at: </w:t>
      </w:r>
      <w:r w:rsidRPr="00C34434">
        <w:rPr>
          <w:rFonts w:ascii="Arial" w:eastAsia="Times New Roman" w:hAnsi="Arial" w:cs="Arial"/>
          <w:color w:val="000000"/>
          <w:sz w:val="24"/>
          <w:szCs w:val="24"/>
        </w:rPr>
        <w:t> </w:t>
      </w:r>
      <w:hyperlink r:id="rId9">
        <w:r w:rsidRPr="00C34434">
          <w:rPr>
            <w:rFonts w:ascii="Arial" w:eastAsia="Times New Roman" w:hAnsi="Arial" w:cs="Arial"/>
            <w:color w:val="000000"/>
            <w:sz w:val="24"/>
            <w:szCs w:val="24"/>
            <w:u w:val="single"/>
          </w:rPr>
          <w:t>https://www.elegantthemes.com/blog/business/smart-goals</w:t>
        </w:r>
      </w:hyperlink>
      <w:r w:rsidRPr="00C34434">
        <w:rPr>
          <w:rFonts w:ascii="Arial" w:eastAsia="Times New Roman" w:hAnsi="Arial" w:cs="Arial"/>
          <w:sz w:val="24"/>
          <w:szCs w:val="24"/>
        </w:rPr>
        <w:t xml:space="preserve"> [Accessed on: 13 August 2023]</w:t>
      </w:r>
    </w:p>
    <w:p w14:paraId="6BA62805" w14:textId="77777777" w:rsidR="006B2FD5" w:rsidRPr="00C34434" w:rsidRDefault="00000000">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C34434">
        <w:rPr>
          <w:rFonts w:ascii="Arial" w:eastAsia="Times New Roman" w:hAnsi="Arial" w:cs="Arial"/>
          <w:color w:val="000000"/>
          <w:sz w:val="24"/>
          <w:szCs w:val="24"/>
        </w:rPr>
        <w:t xml:space="preserve">Jardine Motors Group. (2020). Driving Seat: The history of car technology. </w:t>
      </w:r>
      <w:r w:rsidRPr="00C34434">
        <w:rPr>
          <w:rFonts w:ascii="Arial" w:eastAsia="Times New Roman" w:hAnsi="Arial" w:cs="Arial"/>
          <w:sz w:val="24"/>
          <w:szCs w:val="24"/>
        </w:rPr>
        <w:t xml:space="preserve">[Online] Available at: </w:t>
      </w:r>
      <w:r w:rsidRPr="00C34434">
        <w:rPr>
          <w:rFonts w:ascii="Arial" w:eastAsia="Times New Roman" w:hAnsi="Arial" w:cs="Arial"/>
          <w:color w:val="000000"/>
          <w:sz w:val="24"/>
          <w:szCs w:val="24"/>
        </w:rPr>
        <w:t> </w:t>
      </w:r>
      <w:hyperlink r:id="rId10">
        <w:r w:rsidRPr="00C34434">
          <w:rPr>
            <w:rFonts w:ascii="Arial" w:eastAsia="Times New Roman" w:hAnsi="Arial" w:cs="Arial"/>
            <w:color w:val="000000"/>
            <w:sz w:val="24"/>
            <w:szCs w:val="24"/>
            <w:u w:val="single"/>
          </w:rPr>
          <w:t>https://news.jardinemotors.co.uk/lifestyle/the-history-of-car-technology</w:t>
        </w:r>
      </w:hyperlink>
      <w:r w:rsidRPr="00C34434">
        <w:rPr>
          <w:rFonts w:ascii="Arial" w:eastAsia="Times New Roman" w:hAnsi="Arial" w:cs="Arial"/>
          <w:sz w:val="24"/>
          <w:szCs w:val="24"/>
        </w:rPr>
        <w:t xml:space="preserve"> [Accessed on: 12 August 2023]</w:t>
      </w:r>
    </w:p>
    <w:p w14:paraId="605A4A57" w14:textId="77777777" w:rsidR="006B2FD5" w:rsidRPr="00C34434" w:rsidRDefault="00000000">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C34434">
        <w:rPr>
          <w:rFonts w:ascii="Arial" w:eastAsia="Times New Roman" w:hAnsi="Arial" w:cs="Arial"/>
          <w:color w:val="000000"/>
          <w:sz w:val="24"/>
          <w:szCs w:val="24"/>
        </w:rPr>
        <w:lastRenderedPageBreak/>
        <w:t xml:space="preserve">Nanjekhe,P. 2018. Volkswagen Porters Five Forces Analysis 2018. [online]. Available at: </w:t>
      </w:r>
      <w:hyperlink r:id="rId11">
        <w:r w:rsidRPr="00C34434">
          <w:rPr>
            <w:rFonts w:ascii="Arial" w:eastAsia="Times New Roman" w:hAnsi="Arial" w:cs="Arial"/>
            <w:color w:val="000000"/>
            <w:sz w:val="24"/>
            <w:szCs w:val="24"/>
            <w:u w:val="single"/>
          </w:rPr>
          <w:t>https://www.123writing.com/sample/volkswagen-porters-five-forces-analysis-2018</w:t>
        </w:r>
      </w:hyperlink>
      <w:r w:rsidRPr="00C34434">
        <w:rPr>
          <w:rFonts w:ascii="Arial" w:eastAsia="Times New Roman" w:hAnsi="Arial" w:cs="Arial"/>
          <w:sz w:val="24"/>
          <w:szCs w:val="24"/>
        </w:rPr>
        <w:t xml:space="preserve"> [Accessed on: 13 August 2023]</w:t>
      </w:r>
    </w:p>
    <w:p w14:paraId="02E2D5A2" w14:textId="77777777" w:rsidR="006B2FD5" w:rsidRPr="00C34434" w:rsidRDefault="00000000">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C34434">
        <w:rPr>
          <w:rFonts w:ascii="Arial" w:eastAsia="Times New Roman" w:hAnsi="Arial" w:cs="Arial"/>
          <w:color w:val="000000"/>
          <w:sz w:val="24"/>
          <w:szCs w:val="24"/>
        </w:rPr>
        <w:t xml:space="preserve">Volkswagen. (2017). Volkswagen group annual report 2017: Volkswagen konsern- AR 2017 – goals and strategies. </w:t>
      </w:r>
      <w:r w:rsidRPr="00C34434">
        <w:rPr>
          <w:rFonts w:ascii="Arial" w:eastAsia="Times New Roman" w:hAnsi="Arial" w:cs="Arial"/>
          <w:sz w:val="24"/>
          <w:szCs w:val="24"/>
        </w:rPr>
        <w:t xml:space="preserve">[Online] Available at: </w:t>
      </w:r>
      <w:r w:rsidRPr="00C34434">
        <w:rPr>
          <w:rFonts w:ascii="Arial" w:eastAsia="Times New Roman" w:hAnsi="Arial" w:cs="Arial"/>
          <w:color w:val="000000"/>
          <w:sz w:val="24"/>
          <w:szCs w:val="24"/>
        </w:rPr>
        <w:t> </w:t>
      </w:r>
      <w:hyperlink r:id="rId12">
        <w:r w:rsidRPr="00C34434">
          <w:rPr>
            <w:rFonts w:ascii="Arial" w:eastAsia="Times New Roman" w:hAnsi="Arial" w:cs="Arial"/>
            <w:color w:val="000000"/>
            <w:sz w:val="24"/>
            <w:szCs w:val="24"/>
            <w:u w:val="single"/>
          </w:rPr>
          <w:t>https://annualreport2017.volkswagenag.com/group-management-report/goals-and-strategies.html</w:t>
        </w:r>
      </w:hyperlink>
      <w:r w:rsidRPr="00C34434">
        <w:rPr>
          <w:rFonts w:ascii="Arial" w:eastAsia="Times New Roman" w:hAnsi="Arial" w:cs="Arial"/>
          <w:sz w:val="24"/>
          <w:szCs w:val="24"/>
        </w:rPr>
        <w:t xml:space="preserve"> [Accessed on: 13 August 2023]</w:t>
      </w:r>
    </w:p>
    <w:p w14:paraId="532A5C27" w14:textId="77777777" w:rsidR="006B2FD5" w:rsidRPr="00C34434" w:rsidRDefault="00000000">
      <w:pPr>
        <w:spacing w:line="480" w:lineRule="auto"/>
        <w:ind w:left="720" w:hanging="720"/>
        <w:rPr>
          <w:rFonts w:ascii="Arial" w:eastAsia="Times New Roman" w:hAnsi="Arial" w:cs="Arial"/>
          <w:sz w:val="24"/>
          <w:szCs w:val="24"/>
          <w:highlight w:val="white"/>
        </w:rPr>
      </w:pPr>
      <w:r w:rsidRPr="00C34434">
        <w:rPr>
          <w:rFonts w:ascii="Arial" w:eastAsia="Times New Roman" w:hAnsi="Arial" w:cs="Arial"/>
          <w:sz w:val="24"/>
          <w:szCs w:val="24"/>
          <w:highlight w:val="white"/>
        </w:rPr>
        <w:t>Whittington, R. 2020. Exploring strategy: Text and cases (12th ed.). Harlow: Pearson.</w:t>
      </w:r>
    </w:p>
    <w:p w14:paraId="1B1E15C5"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6C35E9A0"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6B508EC4"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0C81E7EC"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6EAAFFCE"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31246F15"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5DC64C2C"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1B652222"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11DB2648" w14:textId="77777777" w:rsidR="006B2FD5" w:rsidRPr="00DC50FE" w:rsidRDefault="00000000">
      <w:pPr>
        <w:pStyle w:val="Heading1"/>
        <w:spacing w:after="240" w:line="480" w:lineRule="auto"/>
        <w:jc w:val="center"/>
        <w:rPr>
          <w:rFonts w:ascii="Arial" w:eastAsia="Times New Roman" w:hAnsi="Arial" w:cs="Arial"/>
        </w:rPr>
      </w:pPr>
      <w:bookmarkStart w:id="13" w:name="_mder81m3yglq" w:colFirst="0" w:colLast="0"/>
      <w:bookmarkEnd w:id="13"/>
      <w:r w:rsidRPr="00DC50FE">
        <w:rPr>
          <w:rFonts w:ascii="Arial" w:eastAsia="Times New Roman" w:hAnsi="Arial" w:cs="Arial"/>
          <w:b/>
        </w:rPr>
        <w:lastRenderedPageBreak/>
        <w:t>Appendices</w:t>
      </w:r>
    </w:p>
    <w:p w14:paraId="1F5846EA" w14:textId="77777777" w:rsidR="006B2FD5" w:rsidRPr="00DC50FE" w:rsidRDefault="00000000">
      <w:pPr>
        <w:pStyle w:val="Heading2"/>
        <w:rPr>
          <w:rFonts w:ascii="Arial" w:eastAsia="Times New Roman" w:hAnsi="Arial" w:cs="Arial"/>
          <w:b/>
          <w:sz w:val="32"/>
          <w:szCs w:val="32"/>
        </w:rPr>
      </w:pPr>
      <w:bookmarkStart w:id="14" w:name="_bbeazmpz36h" w:colFirst="0" w:colLast="0"/>
      <w:bookmarkEnd w:id="14"/>
      <w:r w:rsidRPr="00DC50FE">
        <w:rPr>
          <w:rFonts w:ascii="Arial" w:eastAsia="Times New Roman" w:hAnsi="Arial" w:cs="Arial"/>
          <w:b/>
          <w:sz w:val="32"/>
          <w:szCs w:val="32"/>
        </w:rPr>
        <w:t>Porter's Generic Strategies</w:t>
      </w:r>
    </w:p>
    <w:p w14:paraId="18A53FAC" w14:textId="77777777" w:rsidR="006B2FD5" w:rsidRPr="00C34434" w:rsidRDefault="00000000">
      <w:pPr>
        <w:spacing w:line="480" w:lineRule="auto"/>
        <w:rPr>
          <w:rFonts w:ascii="Arial" w:eastAsia="Times New Roman" w:hAnsi="Arial" w:cs="Arial"/>
          <w:sz w:val="24"/>
          <w:szCs w:val="24"/>
        </w:rPr>
      </w:pPr>
      <w:r w:rsidRPr="00C34434">
        <w:rPr>
          <w:rFonts w:ascii="Arial" w:eastAsia="Times New Roman" w:hAnsi="Arial" w:cs="Arial"/>
          <w:noProof/>
          <w:sz w:val="24"/>
          <w:szCs w:val="24"/>
        </w:rPr>
        <w:drawing>
          <wp:inline distT="0" distB="0" distL="0" distR="0" wp14:anchorId="70E96112" wp14:editId="443DD584">
            <wp:extent cx="5591175" cy="3352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591175" cy="3352800"/>
                    </a:xfrm>
                    <a:prstGeom prst="rect">
                      <a:avLst/>
                    </a:prstGeom>
                    <a:ln/>
                  </pic:spPr>
                </pic:pic>
              </a:graphicData>
            </a:graphic>
          </wp:inline>
        </w:drawing>
      </w:r>
    </w:p>
    <w:p w14:paraId="168879F6" w14:textId="77777777" w:rsidR="006B2FD5" w:rsidRPr="00DC50FE" w:rsidRDefault="00000000">
      <w:pPr>
        <w:pStyle w:val="Heading2"/>
        <w:rPr>
          <w:rFonts w:ascii="Arial" w:eastAsia="Times New Roman" w:hAnsi="Arial" w:cs="Arial"/>
          <w:b/>
          <w:sz w:val="32"/>
          <w:szCs w:val="32"/>
        </w:rPr>
      </w:pPr>
      <w:bookmarkStart w:id="15" w:name="_4d34og8" w:colFirst="0" w:colLast="0"/>
      <w:bookmarkEnd w:id="15"/>
      <w:r w:rsidRPr="00DC50FE">
        <w:rPr>
          <w:rFonts w:ascii="Arial" w:eastAsia="Times New Roman" w:hAnsi="Arial" w:cs="Arial"/>
          <w:b/>
          <w:sz w:val="32"/>
          <w:szCs w:val="32"/>
        </w:rPr>
        <w:lastRenderedPageBreak/>
        <w:t>Volkswagen SWOT Analysis</w:t>
      </w:r>
    </w:p>
    <w:p w14:paraId="0CBB88FE" w14:textId="77777777" w:rsidR="006B2FD5" w:rsidRPr="00C34434" w:rsidRDefault="00000000">
      <w:pPr>
        <w:spacing w:line="480" w:lineRule="auto"/>
        <w:rPr>
          <w:rFonts w:ascii="Arial" w:eastAsia="Times New Roman" w:hAnsi="Arial" w:cs="Arial"/>
          <w:sz w:val="24"/>
          <w:szCs w:val="24"/>
        </w:rPr>
      </w:pPr>
      <w:r w:rsidRPr="00C34434">
        <w:rPr>
          <w:rFonts w:ascii="Arial" w:eastAsia="Times New Roman" w:hAnsi="Arial" w:cs="Arial"/>
          <w:noProof/>
          <w:sz w:val="24"/>
          <w:szCs w:val="24"/>
        </w:rPr>
        <w:drawing>
          <wp:inline distT="0" distB="0" distL="0" distR="0" wp14:anchorId="13350B0A" wp14:editId="74F52930">
            <wp:extent cx="5943600" cy="6248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6248400"/>
                    </a:xfrm>
                    <a:prstGeom prst="rect">
                      <a:avLst/>
                    </a:prstGeom>
                    <a:ln/>
                  </pic:spPr>
                </pic:pic>
              </a:graphicData>
            </a:graphic>
          </wp:inline>
        </w:drawing>
      </w:r>
    </w:p>
    <w:p w14:paraId="11833BB6"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72967ADF" w14:textId="77777777" w:rsidR="006B2FD5" w:rsidRPr="00C34434" w:rsidRDefault="006B2FD5">
      <w:pPr>
        <w:pBdr>
          <w:top w:val="nil"/>
          <w:left w:val="nil"/>
          <w:bottom w:val="nil"/>
          <w:right w:val="nil"/>
          <w:between w:val="nil"/>
        </w:pBdr>
        <w:spacing w:before="240" w:after="240" w:line="480" w:lineRule="auto"/>
        <w:rPr>
          <w:rFonts w:ascii="Arial" w:eastAsia="Times New Roman" w:hAnsi="Arial" w:cs="Arial"/>
          <w:sz w:val="24"/>
          <w:szCs w:val="24"/>
        </w:rPr>
      </w:pPr>
    </w:p>
    <w:p w14:paraId="11F4C157" w14:textId="77777777" w:rsidR="006B2FD5" w:rsidRPr="00C34434" w:rsidRDefault="00000000">
      <w:pPr>
        <w:pBdr>
          <w:top w:val="nil"/>
          <w:left w:val="nil"/>
          <w:bottom w:val="nil"/>
          <w:right w:val="nil"/>
          <w:between w:val="nil"/>
        </w:pBdr>
        <w:spacing w:before="240" w:after="240" w:line="480" w:lineRule="auto"/>
        <w:rPr>
          <w:rFonts w:ascii="Arial" w:eastAsia="Times New Roman" w:hAnsi="Arial" w:cs="Arial"/>
          <w:color w:val="000000"/>
          <w:sz w:val="24"/>
          <w:szCs w:val="24"/>
        </w:rPr>
      </w:pPr>
      <w:r w:rsidRPr="00C34434">
        <w:rPr>
          <w:rFonts w:ascii="Arial" w:eastAsia="Times New Roman" w:hAnsi="Arial" w:cs="Arial"/>
          <w:color w:val="000000"/>
          <w:sz w:val="24"/>
          <w:szCs w:val="24"/>
        </w:rPr>
        <w:t> </w:t>
      </w:r>
    </w:p>
    <w:p w14:paraId="75A9D1B0" w14:textId="77777777" w:rsidR="006B2FD5" w:rsidRPr="00C34434" w:rsidRDefault="006B2FD5">
      <w:pPr>
        <w:spacing w:line="480" w:lineRule="auto"/>
        <w:rPr>
          <w:rFonts w:ascii="Arial" w:eastAsia="Times New Roman" w:hAnsi="Arial" w:cs="Arial"/>
          <w:sz w:val="24"/>
          <w:szCs w:val="24"/>
        </w:rPr>
      </w:pPr>
    </w:p>
    <w:p w14:paraId="0EDE37CA" w14:textId="77777777" w:rsidR="006B2FD5" w:rsidRPr="00C34434" w:rsidRDefault="006B2FD5">
      <w:pPr>
        <w:spacing w:line="480" w:lineRule="auto"/>
        <w:rPr>
          <w:rFonts w:ascii="Arial" w:eastAsia="Times New Roman" w:hAnsi="Arial" w:cs="Arial"/>
          <w:sz w:val="24"/>
          <w:szCs w:val="24"/>
        </w:rPr>
      </w:pPr>
    </w:p>
    <w:p w14:paraId="7E0EF4C1" w14:textId="77777777" w:rsidR="006B2FD5" w:rsidRPr="00C34434" w:rsidRDefault="006B2FD5">
      <w:pPr>
        <w:spacing w:line="480" w:lineRule="auto"/>
        <w:rPr>
          <w:rFonts w:ascii="Arial" w:eastAsia="Times New Roman" w:hAnsi="Arial" w:cs="Arial"/>
          <w:sz w:val="24"/>
          <w:szCs w:val="24"/>
        </w:rPr>
      </w:pPr>
    </w:p>
    <w:p w14:paraId="1ED08F0B" w14:textId="77777777" w:rsidR="006B2FD5" w:rsidRPr="00C34434" w:rsidRDefault="006B2FD5">
      <w:pPr>
        <w:spacing w:line="480" w:lineRule="auto"/>
        <w:rPr>
          <w:rFonts w:ascii="Arial" w:eastAsia="Times New Roman" w:hAnsi="Arial" w:cs="Arial"/>
          <w:sz w:val="24"/>
          <w:szCs w:val="24"/>
        </w:rPr>
      </w:pPr>
    </w:p>
    <w:p w14:paraId="420C6772" w14:textId="77777777" w:rsidR="006B2FD5" w:rsidRPr="00C34434" w:rsidRDefault="006B2FD5">
      <w:pPr>
        <w:spacing w:line="480" w:lineRule="auto"/>
        <w:rPr>
          <w:rFonts w:ascii="Arial" w:eastAsia="Times New Roman" w:hAnsi="Arial" w:cs="Arial"/>
          <w:sz w:val="24"/>
          <w:szCs w:val="24"/>
        </w:rPr>
      </w:pPr>
    </w:p>
    <w:sectPr w:rsidR="006B2FD5" w:rsidRPr="00C34434" w:rsidSect="00111F63">
      <w:headerReference w:type="default" r:id="rId15"/>
      <w:footerReference w:type="default" r:id="rId1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7957E" w14:textId="77777777" w:rsidR="00E737F6" w:rsidRDefault="00E737F6">
      <w:pPr>
        <w:spacing w:after="0" w:line="240" w:lineRule="auto"/>
      </w:pPr>
      <w:r>
        <w:separator/>
      </w:r>
    </w:p>
  </w:endnote>
  <w:endnote w:type="continuationSeparator" w:id="0">
    <w:p w14:paraId="12C0C359" w14:textId="77777777" w:rsidR="00E737F6" w:rsidRDefault="00E73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754238"/>
      <w:docPartObj>
        <w:docPartGallery w:val="Page Numbers (Bottom of Page)"/>
        <w:docPartUnique/>
      </w:docPartObj>
    </w:sdtPr>
    <w:sdtEndPr>
      <w:rPr>
        <w:noProof/>
      </w:rPr>
    </w:sdtEndPr>
    <w:sdtContent>
      <w:p w14:paraId="48CEE21B" w14:textId="7A33D695" w:rsidR="00111F63" w:rsidRDefault="00111F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898100" w14:textId="77777777" w:rsidR="00111F63" w:rsidRDefault="00111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E1F36" w14:textId="77777777" w:rsidR="00E737F6" w:rsidRDefault="00E737F6">
      <w:pPr>
        <w:spacing w:after="0" w:line="240" w:lineRule="auto"/>
      </w:pPr>
      <w:r>
        <w:separator/>
      </w:r>
    </w:p>
  </w:footnote>
  <w:footnote w:type="continuationSeparator" w:id="0">
    <w:p w14:paraId="1BB3D135" w14:textId="77777777" w:rsidR="00E737F6" w:rsidRDefault="00E737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7ACB8" w14:textId="721B75B1" w:rsidR="006B2FD5"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highlight w:val="white"/>
      </w:rPr>
      <w:t> </w:t>
    </w:r>
  </w:p>
  <w:p w14:paraId="7B6FD2B7" w14:textId="77777777" w:rsidR="00311FBF" w:rsidRDefault="00311FBF">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p>
  <w:p w14:paraId="713A0933" w14:textId="77777777" w:rsidR="006B2FD5" w:rsidRDefault="006B2FD5">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FD5"/>
    <w:rsid w:val="00111F63"/>
    <w:rsid w:val="00195F54"/>
    <w:rsid w:val="00311FBF"/>
    <w:rsid w:val="00451BA0"/>
    <w:rsid w:val="00580B27"/>
    <w:rsid w:val="006B2FD5"/>
    <w:rsid w:val="00803E90"/>
    <w:rsid w:val="009375CC"/>
    <w:rsid w:val="00A06A4B"/>
    <w:rsid w:val="00C32AB0"/>
    <w:rsid w:val="00C34434"/>
    <w:rsid w:val="00CE23F1"/>
    <w:rsid w:val="00DC50FE"/>
    <w:rsid w:val="00E737F6"/>
    <w:rsid w:val="00F0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986CE"/>
  <w15:docId w15:val="{549ED07F-C801-4CE4-B4D6-82650202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spacing w:line="240" w:lineRule="auto"/>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Default">
    <w:name w:val="Default"/>
    <w:rsid w:val="00803E90"/>
    <w:pPr>
      <w:autoSpaceDE w:val="0"/>
      <w:autoSpaceDN w:val="0"/>
      <w:adjustRightInd w:val="0"/>
      <w:spacing w:after="0" w:line="240" w:lineRule="auto"/>
    </w:pPr>
    <w:rPr>
      <w:rFonts w:ascii="Arial" w:eastAsia="Arial" w:hAnsi="Arial" w:cs="Arial"/>
      <w:color w:val="000000"/>
      <w:sz w:val="24"/>
      <w:szCs w:val="24"/>
    </w:rPr>
  </w:style>
  <w:style w:type="paragraph" w:styleId="Header">
    <w:name w:val="header"/>
    <w:basedOn w:val="Normal"/>
    <w:link w:val="HeaderChar"/>
    <w:uiPriority w:val="99"/>
    <w:unhideWhenUsed/>
    <w:rsid w:val="00111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F63"/>
  </w:style>
  <w:style w:type="paragraph" w:styleId="Footer">
    <w:name w:val="footer"/>
    <w:basedOn w:val="Normal"/>
    <w:link w:val="FooterChar"/>
    <w:uiPriority w:val="99"/>
    <w:unhideWhenUsed/>
    <w:rsid w:val="00111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F63"/>
  </w:style>
  <w:style w:type="character" w:customStyle="1" w:styleId="cf0">
    <w:name w:val="cf0"/>
    <w:basedOn w:val="DefaultParagraphFont"/>
    <w:rsid w:val="00451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ewresearch.org/fact-tank/2021/06/07/todays-electric-vehicle-market-slow-growth-in-u-s-faster-in-china-europe/"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say48.com/13648-Volkswagen-Porters-Generic-Strategies" TargetMode="External"/><Relationship Id="rId12" Type="http://schemas.openxmlformats.org/officeDocument/2006/relationships/hyperlink" Target="https://annualreport2017.volkswagenag.com/group-management-report/goals-and-strategies.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123writing.com/sample/volkswagen-porters-five-forces-analysis-2018"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news.jardinemotors.co.uk/lifestyle/the-history-of-car-technology" TargetMode="External"/><Relationship Id="rId4" Type="http://schemas.openxmlformats.org/officeDocument/2006/relationships/footnotes" Target="footnotes.xml"/><Relationship Id="rId9" Type="http://schemas.openxmlformats.org/officeDocument/2006/relationships/hyperlink" Target="https://www.elegantthemes.com/blog/business/smart-goal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18</Pages>
  <Words>3030</Words>
  <Characters>17273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Miglena Toteva</dc:creator>
  <cp:lastModifiedBy>Miglena Toteva</cp:lastModifiedBy>
  <cp:revision>5</cp:revision>
  <dcterms:created xsi:type="dcterms:W3CDTF">2023-08-16T07:15:00Z</dcterms:created>
  <dcterms:modified xsi:type="dcterms:W3CDTF">2023-08-23T12:37:00Z</dcterms:modified>
</cp:coreProperties>
</file>