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3A2F90" w14:textId="77777777" w:rsidR="007D3782" w:rsidRDefault="007D3782" w:rsidP="007D3782">
      <w:pPr>
        <w:jc w:val="center"/>
        <w:rPr>
          <w:b/>
          <w:sz w:val="32"/>
          <w:szCs w:val="32"/>
        </w:rPr>
      </w:pPr>
      <w:r>
        <w:rPr>
          <w:b/>
          <w:sz w:val="32"/>
          <w:szCs w:val="32"/>
        </w:rPr>
        <w:t>University of Wales Trinity Saint David</w:t>
      </w:r>
    </w:p>
    <w:p w14:paraId="403F8DE4" w14:textId="77777777" w:rsidR="007D3782" w:rsidRDefault="007D3782" w:rsidP="007D3782">
      <w:pPr>
        <w:jc w:val="center"/>
        <w:rPr>
          <w:b/>
          <w:bCs/>
          <w:sz w:val="24"/>
          <w:szCs w:val="24"/>
        </w:rPr>
      </w:pPr>
      <w:r>
        <w:rPr>
          <w:b/>
          <w:bCs/>
          <w:sz w:val="24"/>
          <w:szCs w:val="24"/>
        </w:rPr>
        <w:t>Wales Institute of Science &amp; Art</w:t>
      </w:r>
    </w:p>
    <w:p w14:paraId="613330DA" w14:textId="77777777" w:rsidR="007D3782" w:rsidRDefault="007D3782" w:rsidP="007D3782">
      <w:pPr>
        <w:jc w:val="center"/>
        <w:rPr>
          <w:b/>
          <w:bCs/>
          <w:sz w:val="24"/>
          <w:szCs w:val="24"/>
        </w:rPr>
      </w:pPr>
    </w:p>
    <w:p w14:paraId="03E610E9" w14:textId="77777777" w:rsidR="007D3782" w:rsidRDefault="007D3782" w:rsidP="007D3782">
      <w:pPr>
        <w:jc w:val="center"/>
        <w:rPr>
          <w:b/>
          <w:bCs/>
          <w:sz w:val="24"/>
          <w:szCs w:val="24"/>
        </w:rPr>
      </w:pPr>
    </w:p>
    <w:p w14:paraId="2C237BD5" w14:textId="3F8ECCD6" w:rsidR="007D3782" w:rsidRDefault="007D3782" w:rsidP="007D3782">
      <w:pPr>
        <w:jc w:val="center"/>
      </w:pPr>
      <w:r>
        <w:rPr>
          <w:noProof/>
        </w:rPr>
        <w:drawing>
          <wp:inline distT="0" distB="0" distL="0" distR="0" wp14:anchorId="21B25381" wp14:editId="0ED94092">
            <wp:extent cx="3931920" cy="1577340"/>
            <wp:effectExtent l="0" t="0" r="0" b="381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1920" cy="1577340"/>
                    </a:xfrm>
                    <a:prstGeom prst="rect">
                      <a:avLst/>
                    </a:prstGeom>
                    <a:noFill/>
                    <a:ln>
                      <a:noFill/>
                    </a:ln>
                  </pic:spPr>
                </pic:pic>
              </a:graphicData>
            </a:graphic>
          </wp:inline>
        </w:drawing>
      </w:r>
    </w:p>
    <w:p w14:paraId="68527544" w14:textId="77777777" w:rsidR="007D3782" w:rsidRDefault="007D3782" w:rsidP="007D3782">
      <w:pPr>
        <w:jc w:val="center"/>
      </w:pPr>
    </w:p>
    <w:p w14:paraId="3E699835" w14:textId="77777777" w:rsidR="007D3782" w:rsidRDefault="007D3782" w:rsidP="007D3782"/>
    <w:p w14:paraId="7400EF4F" w14:textId="320C6E00" w:rsidR="007D3782" w:rsidRDefault="001135B0" w:rsidP="007D3782">
      <w:pPr>
        <w:jc w:val="center"/>
        <w:rPr>
          <w:b/>
          <w:bCs/>
          <w:i/>
          <w:iCs/>
          <w:sz w:val="44"/>
          <w:szCs w:val="44"/>
        </w:rPr>
      </w:pPr>
      <w:r>
        <w:rPr>
          <w:b/>
          <w:bCs/>
          <w:i/>
          <w:iCs/>
          <w:sz w:val="44"/>
          <w:szCs w:val="44"/>
        </w:rPr>
        <w:t>Risk Assessment Technical Report</w:t>
      </w:r>
    </w:p>
    <w:p w14:paraId="62E9A388" w14:textId="25214928" w:rsidR="007D3782" w:rsidRDefault="001135B0" w:rsidP="007D3782">
      <w:pPr>
        <w:jc w:val="center"/>
        <w:rPr>
          <w:b/>
          <w:bCs/>
          <w:i/>
          <w:iCs/>
          <w:sz w:val="32"/>
          <w:szCs w:val="32"/>
        </w:rPr>
      </w:pPr>
      <w:r>
        <w:rPr>
          <w:b/>
          <w:bCs/>
          <w:i/>
          <w:iCs/>
          <w:sz w:val="32"/>
          <w:szCs w:val="32"/>
        </w:rPr>
        <w:t>Workshop and Practice</w:t>
      </w:r>
      <w:r w:rsidR="007D3782">
        <w:rPr>
          <w:b/>
          <w:bCs/>
          <w:i/>
          <w:iCs/>
          <w:sz w:val="32"/>
          <w:szCs w:val="32"/>
        </w:rPr>
        <w:t xml:space="preserve"> (</w:t>
      </w:r>
      <w:r>
        <w:rPr>
          <w:b/>
          <w:bCs/>
          <w:i/>
          <w:iCs/>
          <w:sz w:val="32"/>
          <w:szCs w:val="32"/>
        </w:rPr>
        <w:t>ACHA4011</w:t>
      </w:r>
      <w:r w:rsidR="007D3782">
        <w:rPr>
          <w:b/>
          <w:bCs/>
          <w:i/>
          <w:iCs/>
          <w:sz w:val="32"/>
          <w:szCs w:val="32"/>
        </w:rPr>
        <w:t>)</w:t>
      </w:r>
    </w:p>
    <w:p w14:paraId="38337FBC" w14:textId="77777777" w:rsidR="007D3782" w:rsidRDefault="007D3782" w:rsidP="007D3782">
      <w:pPr>
        <w:jc w:val="center"/>
        <w:rPr>
          <w:sz w:val="36"/>
          <w:szCs w:val="36"/>
        </w:rPr>
      </w:pPr>
    </w:p>
    <w:p w14:paraId="2AB81548" w14:textId="77777777" w:rsidR="007D3782" w:rsidRDefault="007D3782" w:rsidP="007D3782">
      <w:pPr>
        <w:jc w:val="center"/>
        <w:rPr>
          <w:sz w:val="36"/>
          <w:szCs w:val="36"/>
        </w:rPr>
      </w:pPr>
      <w:bookmarkStart w:id="0" w:name="_Hlk3738211"/>
      <w:bookmarkEnd w:id="0"/>
    </w:p>
    <w:p w14:paraId="731537A8" w14:textId="77777777" w:rsidR="007D3782" w:rsidRDefault="007D3782" w:rsidP="007D3782">
      <w:pPr>
        <w:jc w:val="center"/>
        <w:rPr>
          <w:sz w:val="36"/>
          <w:szCs w:val="36"/>
        </w:rPr>
      </w:pPr>
    </w:p>
    <w:p w14:paraId="10051355" w14:textId="77777777" w:rsidR="007D3782" w:rsidRDefault="007D3782" w:rsidP="007D3782">
      <w:pPr>
        <w:jc w:val="center"/>
        <w:rPr>
          <w:sz w:val="36"/>
          <w:szCs w:val="36"/>
        </w:rPr>
      </w:pPr>
    </w:p>
    <w:p w14:paraId="2DC35B8D" w14:textId="77777777" w:rsidR="007D3782" w:rsidRDefault="007D3782" w:rsidP="007D3782">
      <w:pPr>
        <w:jc w:val="center"/>
        <w:rPr>
          <w:sz w:val="36"/>
          <w:szCs w:val="36"/>
        </w:rPr>
      </w:pPr>
    </w:p>
    <w:p w14:paraId="3A9C087D" w14:textId="300FD455" w:rsidR="007D3782" w:rsidRDefault="007D3782" w:rsidP="007D3782">
      <w:pPr>
        <w:jc w:val="center"/>
        <w:rPr>
          <w:sz w:val="36"/>
          <w:szCs w:val="36"/>
        </w:rPr>
      </w:pPr>
      <w:r>
        <w:t>Lewis Cox</w:t>
      </w:r>
    </w:p>
    <w:p w14:paraId="0EFE7C34" w14:textId="1FAAC680" w:rsidR="007D3782" w:rsidRDefault="007D3782" w:rsidP="007D3782">
      <w:pPr>
        <w:spacing w:line="240" w:lineRule="auto"/>
        <w:jc w:val="center"/>
      </w:pPr>
      <w:r>
        <w:t>2004098</w:t>
      </w:r>
    </w:p>
    <w:p w14:paraId="586F6552" w14:textId="038B33BA" w:rsidR="00AF2E50" w:rsidRDefault="007D3782" w:rsidP="007D3782">
      <w:pPr>
        <w:spacing w:after="120" w:line="240" w:lineRule="auto"/>
        <w:jc w:val="center"/>
      </w:pPr>
      <w:r>
        <w:t xml:space="preserve"> </w:t>
      </w:r>
      <w:r w:rsidR="001135B0">
        <w:t>Deadline Date 08-Mar-2021</w:t>
      </w:r>
    </w:p>
    <w:p w14:paraId="6598BCD8" w14:textId="7E030E29" w:rsidR="004A3828" w:rsidRDefault="004A3828">
      <w:r>
        <w:br w:type="page"/>
      </w:r>
    </w:p>
    <w:sdt>
      <w:sdtPr>
        <w:rPr>
          <w:rFonts w:asciiTheme="minorHAnsi" w:eastAsiaTheme="minorHAnsi" w:hAnsiTheme="minorHAnsi" w:cstheme="minorBidi"/>
          <w:color w:val="auto"/>
          <w:sz w:val="22"/>
          <w:szCs w:val="22"/>
          <w:lang w:val="en-GB"/>
        </w:rPr>
        <w:id w:val="466631212"/>
        <w:docPartObj>
          <w:docPartGallery w:val="Table of Contents"/>
          <w:docPartUnique/>
        </w:docPartObj>
      </w:sdtPr>
      <w:sdtEndPr>
        <w:rPr>
          <w:b/>
          <w:bCs/>
          <w:noProof/>
        </w:rPr>
      </w:sdtEndPr>
      <w:sdtContent>
        <w:p w14:paraId="3C96DA17" w14:textId="13FE415B" w:rsidR="004A3828" w:rsidRPr="004A3828" w:rsidRDefault="004A3828">
          <w:pPr>
            <w:pStyle w:val="TOCHeading"/>
            <w:rPr>
              <w:rStyle w:val="Heading1Char"/>
            </w:rPr>
          </w:pPr>
          <w:r w:rsidRPr="004A3828">
            <w:rPr>
              <w:rStyle w:val="Heading1Char"/>
            </w:rPr>
            <w:t>Contents</w:t>
          </w:r>
        </w:p>
        <w:p w14:paraId="0EA20053" w14:textId="501F241A" w:rsidR="00207F40" w:rsidRDefault="004A382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880605" w:history="1">
            <w:r w:rsidR="00207F40" w:rsidRPr="00703E66">
              <w:rPr>
                <w:rStyle w:val="Hyperlink"/>
                <w:noProof/>
              </w:rPr>
              <w:t>1.</w:t>
            </w:r>
            <w:r w:rsidR="00207F40">
              <w:rPr>
                <w:rFonts w:eastAsiaTheme="minorEastAsia"/>
                <w:noProof/>
                <w:lang w:eastAsia="en-GB"/>
              </w:rPr>
              <w:tab/>
            </w:r>
            <w:r w:rsidR="00207F40" w:rsidRPr="00703E66">
              <w:rPr>
                <w:rStyle w:val="Hyperlink"/>
                <w:noProof/>
              </w:rPr>
              <w:t>Introduction</w:t>
            </w:r>
            <w:r w:rsidR="00207F40">
              <w:rPr>
                <w:noProof/>
                <w:webHidden/>
              </w:rPr>
              <w:tab/>
            </w:r>
            <w:r w:rsidR="00207F40">
              <w:rPr>
                <w:noProof/>
                <w:webHidden/>
              </w:rPr>
              <w:fldChar w:fldCharType="begin"/>
            </w:r>
            <w:r w:rsidR="00207F40">
              <w:rPr>
                <w:noProof/>
                <w:webHidden/>
              </w:rPr>
              <w:instrText xml:space="preserve"> PAGEREF _Toc65880605 \h </w:instrText>
            </w:r>
            <w:r w:rsidR="00207F40">
              <w:rPr>
                <w:noProof/>
                <w:webHidden/>
              </w:rPr>
            </w:r>
            <w:r w:rsidR="00207F40">
              <w:rPr>
                <w:noProof/>
                <w:webHidden/>
              </w:rPr>
              <w:fldChar w:fldCharType="separate"/>
            </w:r>
            <w:r w:rsidR="00207F40">
              <w:rPr>
                <w:noProof/>
                <w:webHidden/>
              </w:rPr>
              <w:t>3</w:t>
            </w:r>
            <w:r w:rsidR="00207F40">
              <w:rPr>
                <w:noProof/>
                <w:webHidden/>
              </w:rPr>
              <w:fldChar w:fldCharType="end"/>
            </w:r>
          </w:hyperlink>
        </w:p>
        <w:p w14:paraId="77F32E31" w14:textId="41FAF473" w:rsidR="00207F40" w:rsidRDefault="00664812">
          <w:pPr>
            <w:pStyle w:val="TOC1"/>
            <w:tabs>
              <w:tab w:val="left" w:pos="440"/>
              <w:tab w:val="right" w:leader="dot" w:pos="9016"/>
            </w:tabs>
            <w:rPr>
              <w:rFonts w:eastAsiaTheme="minorEastAsia"/>
              <w:noProof/>
              <w:lang w:eastAsia="en-GB"/>
            </w:rPr>
          </w:pPr>
          <w:hyperlink w:anchor="_Toc65880606" w:history="1">
            <w:r w:rsidR="00207F40" w:rsidRPr="00703E66">
              <w:rPr>
                <w:rStyle w:val="Hyperlink"/>
                <w:noProof/>
              </w:rPr>
              <w:t>2.</w:t>
            </w:r>
            <w:r w:rsidR="00207F40">
              <w:rPr>
                <w:rFonts w:eastAsiaTheme="minorEastAsia"/>
                <w:noProof/>
                <w:lang w:eastAsia="en-GB"/>
              </w:rPr>
              <w:tab/>
            </w:r>
            <w:r w:rsidR="00207F40" w:rsidRPr="00703E66">
              <w:rPr>
                <w:rStyle w:val="Hyperlink"/>
                <w:noProof/>
              </w:rPr>
              <w:t>Research / Literature Review</w:t>
            </w:r>
            <w:r w:rsidR="00207F40">
              <w:rPr>
                <w:noProof/>
                <w:webHidden/>
              </w:rPr>
              <w:tab/>
            </w:r>
            <w:r w:rsidR="00207F40">
              <w:rPr>
                <w:noProof/>
                <w:webHidden/>
              </w:rPr>
              <w:fldChar w:fldCharType="begin"/>
            </w:r>
            <w:r w:rsidR="00207F40">
              <w:rPr>
                <w:noProof/>
                <w:webHidden/>
              </w:rPr>
              <w:instrText xml:space="preserve"> PAGEREF _Toc65880606 \h </w:instrText>
            </w:r>
            <w:r w:rsidR="00207F40">
              <w:rPr>
                <w:noProof/>
                <w:webHidden/>
              </w:rPr>
            </w:r>
            <w:r w:rsidR="00207F40">
              <w:rPr>
                <w:noProof/>
                <w:webHidden/>
              </w:rPr>
              <w:fldChar w:fldCharType="separate"/>
            </w:r>
            <w:r w:rsidR="00207F40">
              <w:rPr>
                <w:noProof/>
                <w:webHidden/>
              </w:rPr>
              <w:t>4</w:t>
            </w:r>
            <w:r w:rsidR="00207F40">
              <w:rPr>
                <w:noProof/>
                <w:webHidden/>
              </w:rPr>
              <w:fldChar w:fldCharType="end"/>
            </w:r>
          </w:hyperlink>
        </w:p>
        <w:p w14:paraId="473FF6ED" w14:textId="55164DC7" w:rsidR="00207F40" w:rsidRDefault="00664812">
          <w:pPr>
            <w:pStyle w:val="TOC1"/>
            <w:tabs>
              <w:tab w:val="left" w:pos="440"/>
              <w:tab w:val="right" w:leader="dot" w:pos="9016"/>
            </w:tabs>
            <w:rPr>
              <w:rFonts w:eastAsiaTheme="minorEastAsia"/>
              <w:noProof/>
              <w:lang w:eastAsia="en-GB"/>
            </w:rPr>
          </w:pPr>
          <w:hyperlink w:anchor="_Toc65880607" w:history="1">
            <w:r w:rsidR="00207F40" w:rsidRPr="00703E66">
              <w:rPr>
                <w:rStyle w:val="Hyperlink"/>
                <w:noProof/>
              </w:rPr>
              <w:t>3.</w:t>
            </w:r>
            <w:r w:rsidR="00207F40">
              <w:rPr>
                <w:rFonts w:eastAsiaTheme="minorEastAsia"/>
                <w:noProof/>
                <w:lang w:eastAsia="en-GB"/>
              </w:rPr>
              <w:tab/>
            </w:r>
            <w:r w:rsidR="00207F40" w:rsidRPr="00703E66">
              <w:rPr>
                <w:rStyle w:val="Hyperlink"/>
                <w:noProof/>
              </w:rPr>
              <w:t>FMEA’s For The Assembly of Braking Components</w:t>
            </w:r>
            <w:r w:rsidR="00207F40">
              <w:rPr>
                <w:noProof/>
                <w:webHidden/>
              </w:rPr>
              <w:tab/>
            </w:r>
            <w:r w:rsidR="00207F40">
              <w:rPr>
                <w:noProof/>
                <w:webHidden/>
              </w:rPr>
              <w:fldChar w:fldCharType="begin"/>
            </w:r>
            <w:r w:rsidR="00207F40">
              <w:rPr>
                <w:noProof/>
                <w:webHidden/>
              </w:rPr>
              <w:instrText xml:space="preserve"> PAGEREF _Toc65880607 \h </w:instrText>
            </w:r>
            <w:r w:rsidR="00207F40">
              <w:rPr>
                <w:noProof/>
                <w:webHidden/>
              </w:rPr>
            </w:r>
            <w:r w:rsidR="00207F40">
              <w:rPr>
                <w:noProof/>
                <w:webHidden/>
              </w:rPr>
              <w:fldChar w:fldCharType="separate"/>
            </w:r>
            <w:r w:rsidR="00207F40">
              <w:rPr>
                <w:noProof/>
                <w:webHidden/>
              </w:rPr>
              <w:t>6</w:t>
            </w:r>
            <w:r w:rsidR="00207F40">
              <w:rPr>
                <w:noProof/>
                <w:webHidden/>
              </w:rPr>
              <w:fldChar w:fldCharType="end"/>
            </w:r>
          </w:hyperlink>
        </w:p>
        <w:p w14:paraId="7BF0B5F0" w14:textId="154CBA41" w:rsidR="00207F40" w:rsidRDefault="00664812">
          <w:pPr>
            <w:pStyle w:val="TOC2"/>
            <w:tabs>
              <w:tab w:val="right" w:leader="dot" w:pos="9016"/>
            </w:tabs>
            <w:rPr>
              <w:rFonts w:eastAsiaTheme="minorEastAsia"/>
              <w:noProof/>
              <w:lang w:eastAsia="en-GB"/>
            </w:rPr>
          </w:pPr>
          <w:hyperlink w:anchor="_Toc65880608" w:history="1">
            <w:r w:rsidR="00207F40" w:rsidRPr="00703E66">
              <w:rPr>
                <w:rStyle w:val="Hyperlink"/>
                <w:noProof/>
              </w:rPr>
              <w:t>3.1 Initial FMEA</w:t>
            </w:r>
            <w:r w:rsidR="00207F40">
              <w:rPr>
                <w:noProof/>
                <w:webHidden/>
              </w:rPr>
              <w:tab/>
            </w:r>
            <w:r w:rsidR="00207F40">
              <w:rPr>
                <w:noProof/>
                <w:webHidden/>
              </w:rPr>
              <w:fldChar w:fldCharType="begin"/>
            </w:r>
            <w:r w:rsidR="00207F40">
              <w:rPr>
                <w:noProof/>
                <w:webHidden/>
              </w:rPr>
              <w:instrText xml:space="preserve"> PAGEREF _Toc65880608 \h </w:instrText>
            </w:r>
            <w:r w:rsidR="00207F40">
              <w:rPr>
                <w:noProof/>
                <w:webHidden/>
              </w:rPr>
            </w:r>
            <w:r w:rsidR="00207F40">
              <w:rPr>
                <w:noProof/>
                <w:webHidden/>
              </w:rPr>
              <w:fldChar w:fldCharType="separate"/>
            </w:r>
            <w:r w:rsidR="00207F40">
              <w:rPr>
                <w:noProof/>
                <w:webHidden/>
              </w:rPr>
              <w:t>7</w:t>
            </w:r>
            <w:r w:rsidR="00207F40">
              <w:rPr>
                <w:noProof/>
                <w:webHidden/>
              </w:rPr>
              <w:fldChar w:fldCharType="end"/>
            </w:r>
          </w:hyperlink>
        </w:p>
        <w:p w14:paraId="5C80C234" w14:textId="6A31FD4B" w:rsidR="00207F40" w:rsidRDefault="00664812">
          <w:pPr>
            <w:pStyle w:val="TOC2"/>
            <w:tabs>
              <w:tab w:val="right" w:leader="dot" w:pos="9016"/>
            </w:tabs>
            <w:rPr>
              <w:rFonts w:eastAsiaTheme="minorEastAsia"/>
              <w:noProof/>
              <w:lang w:eastAsia="en-GB"/>
            </w:rPr>
          </w:pPr>
          <w:hyperlink w:anchor="_Toc65880609" w:history="1">
            <w:r w:rsidR="00207F40" w:rsidRPr="00703E66">
              <w:rPr>
                <w:rStyle w:val="Hyperlink"/>
                <w:noProof/>
              </w:rPr>
              <w:t>3.2 Post-Mitigation FMEA</w:t>
            </w:r>
            <w:r w:rsidR="00207F40">
              <w:rPr>
                <w:noProof/>
                <w:webHidden/>
              </w:rPr>
              <w:tab/>
            </w:r>
            <w:r w:rsidR="00207F40">
              <w:rPr>
                <w:noProof/>
                <w:webHidden/>
              </w:rPr>
              <w:fldChar w:fldCharType="begin"/>
            </w:r>
            <w:r w:rsidR="00207F40">
              <w:rPr>
                <w:noProof/>
                <w:webHidden/>
              </w:rPr>
              <w:instrText xml:space="preserve"> PAGEREF _Toc65880609 \h </w:instrText>
            </w:r>
            <w:r w:rsidR="00207F40">
              <w:rPr>
                <w:noProof/>
                <w:webHidden/>
              </w:rPr>
            </w:r>
            <w:r w:rsidR="00207F40">
              <w:rPr>
                <w:noProof/>
                <w:webHidden/>
              </w:rPr>
              <w:fldChar w:fldCharType="separate"/>
            </w:r>
            <w:r w:rsidR="00207F40">
              <w:rPr>
                <w:noProof/>
                <w:webHidden/>
              </w:rPr>
              <w:t>10</w:t>
            </w:r>
            <w:r w:rsidR="00207F40">
              <w:rPr>
                <w:noProof/>
                <w:webHidden/>
              </w:rPr>
              <w:fldChar w:fldCharType="end"/>
            </w:r>
          </w:hyperlink>
        </w:p>
        <w:p w14:paraId="52A73535" w14:textId="2D463B4E" w:rsidR="00207F40" w:rsidRDefault="00664812">
          <w:pPr>
            <w:pStyle w:val="TOC2"/>
            <w:tabs>
              <w:tab w:val="right" w:leader="dot" w:pos="9016"/>
            </w:tabs>
            <w:rPr>
              <w:rFonts w:eastAsiaTheme="minorEastAsia"/>
              <w:noProof/>
              <w:lang w:eastAsia="en-GB"/>
            </w:rPr>
          </w:pPr>
          <w:hyperlink w:anchor="_Toc65880610" w:history="1">
            <w:r w:rsidR="00207F40" w:rsidRPr="00703E66">
              <w:rPr>
                <w:rStyle w:val="Hyperlink"/>
                <w:noProof/>
              </w:rPr>
              <w:t>3.3 Pre and Post-Mitigation Action FMEA Comparison</w:t>
            </w:r>
            <w:r w:rsidR="00207F40">
              <w:rPr>
                <w:noProof/>
                <w:webHidden/>
              </w:rPr>
              <w:tab/>
            </w:r>
            <w:r w:rsidR="00207F40">
              <w:rPr>
                <w:noProof/>
                <w:webHidden/>
              </w:rPr>
              <w:fldChar w:fldCharType="begin"/>
            </w:r>
            <w:r w:rsidR="00207F40">
              <w:rPr>
                <w:noProof/>
                <w:webHidden/>
              </w:rPr>
              <w:instrText xml:space="preserve"> PAGEREF _Toc65880610 \h </w:instrText>
            </w:r>
            <w:r w:rsidR="00207F40">
              <w:rPr>
                <w:noProof/>
                <w:webHidden/>
              </w:rPr>
            </w:r>
            <w:r w:rsidR="00207F40">
              <w:rPr>
                <w:noProof/>
                <w:webHidden/>
              </w:rPr>
              <w:fldChar w:fldCharType="separate"/>
            </w:r>
            <w:r w:rsidR="00207F40">
              <w:rPr>
                <w:noProof/>
                <w:webHidden/>
              </w:rPr>
              <w:t>10</w:t>
            </w:r>
            <w:r w:rsidR="00207F40">
              <w:rPr>
                <w:noProof/>
                <w:webHidden/>
              </w:rPr>
              <w:fldChar w:fldCharType="end"/>
            </w:r>
          </w:hyperlink>
        </w:p>
        <w:p w14:paraId="73B116CE" w14:textId="49F4E2F8" w:rsidR="00207F40" w:rsidRDefault="00664812">
          <w:pPr>
            <w:pStyle w:val="TOC1"/>
            <w:tabs>
              <w:tab w:val="left" w:pos="440"/>
              <w:tab w:val="right" w:leader="dot" w:pos="9016"/>
            </w:tabs>
            <w:rPr>
              <w:rFonts w:eastAsiaTheme="minorEastAsia"/>
              <w:noProof/>
              <w:lang w:eastAsia="en-GB"/>
            </w:rPr>
          </w:pPr>
          <w:hyperlink w:anchor="_Toc65880611" w:history="1">
            <w:r w:rsidR="00207F40" w:rsidRPr="00703E66">
              <w:rPr>
                <w:rStyle w:val="Hyperlink"/>
                <w:noProof/>
              </w:rPr>
              <w:t>4.</w:t>
            </w:r>
            <w:r w:rsidR="00207F40">
              <w:rPr>
                <w:rFonts w:eastAsiaTheme="minorEastAsia"/>
                <w:noProof/>
                <w:lang w:eastAsia="en-GB"/>
              </w:rPr>
              <w:tab/>
            </w:r>
            <w:r w:rsidR="00207F40" w:rsidRPr="00703E66">
              <w:rPr>
                <w:rStyle w:val="Hyperlink"/>
                <w:noProof/>
              </w:rPr>
              <w:t>Conclusion</w:t>
            </w:r>
            <w:r w:rsidR="00207F40">
              <w:rPr>
                <w:noProof/>
                <w:webHidden/>
              </w:rPr>
              <w:tab/>
            </w:r>
            <w:r w:rsidR="00207F40">
              <w:rPr>
                <w:noProof/>
                <w:webHidden/>
              </w:rPr>
              <w:fldChar w:fldCharType="begin"/>
            </w:r>
            <w:r w:rsidR="00207F40">
              <w:rPr>
                <w:noProof/>
                <w:webHidden/>
              </w:rPr>
              <w:instrText xml:space="preserve"> PAGEREF _Toc65880611 \h </w:instrText>
            </w:r>
            <w:r w:rsidR="00207F40">
              <w:rPr>
                <w:noProof/>
                <w:webHidden/>
              </w:rPr>
            </w:r>
            <w:r w:rsidR="00207F40">
              <w:rPr>
                <w:noProof/>
                <w:webHidden/>
              </w:rPr>
              <w:fldChar w:fldCharType="separate"/>
            </w:r>
            <w:r w:rsidR="00207F40">
              <w:rPr>
                <w:noProof/>
                <w:webHidden/>
              </w:rPr>
              <w:t>11</w:t>
            </w:r>
            <w:r w:rsidR="00207F40">
              <w:rPr>
                <w:noProof/>
                <w:webHidden/>
              </w:rPr>
              <w:fldChar w:fldCharType="end"/>
            </w:r>
          </w:hyperlink>
        </w:p>
        <w:p w14:paraId="6BC4D3E5" w14:textId="10F6D79E" w:rsidR="00207F40" w:rsidRDefault="00664812">
          <w:pPr>
            <w:pStyle w:val="TOC1"/>
            <w:tabs>
              <w:tab w:val="left" w:pos="440"/>
              <w:tab w:val="right" w:leader="dot" w:pos="9016"/>
            </w:tabs>
            <w:rPr>
              <w:rFonts w:eastAsiaTheme="minorEastAsia"/>
              <w:noProof/>
              <w:lang w:eastAsia="en-GB"/>
            </w:rPr>
          </w:pPr>
          <w:hyperlink w:anchor="_Toc65880612" w:history="1">
            <w:r w:rsidR="00207F40" w:rsidRPr="00703E66">
              <w:rPr>
                <w:rStyle w:val="Hyperlink"/>
                <w:noProof/>
              </w:rPr>
              <w:t>5.</w:t>
            </w:r>
            <w:r w:rsidR="00207F40">
              <w:rPr>
                <w:rFonts w:eastAsiaTheme="minorEastAsia"/>
                <w:noProof/>
                <w:lang w:eastAsia="en-GB"/>
              </w:rPr>
              <w:tab/>
            </w:r>
            <w:r w:rsidR="00207F40" w:rsidRPr="00703E66">
              <w:rPr>
                <w:rStyle w:val="Hyperlink"/>
                <w:noProof/>
              </w:rPr>
              <w:t>References and Bibliography</w:t>
            </w:r>
            <w:r w:rsidR="00207F40">
              <w:rPr>
                <w:noProof/>
                <w:webHidden/>
              </w:rPr>
              <w:tab/>
            </w:r>
            <w:r w:rsidR="00207F40">
              <w:rPr>
                <w:noProof/>
                <w:webHidden/>
              </w:rPr>
              <w:fldChar w:fldCharType="begin"/>
            </w:r>
            <w:r w:rsidR="00207F40">
              <w:rPr>
                <w:noProof/>
                <w:webHidden/>
              </w:rPr>
              <w:instrText xml:space="preserve"> PAGEREF _Toc65880612 \h </w:instrText>
            </w:r>
            <w:r w:rsidR="00207F40">
              <w:rPr>
                <w:noProof/>
                <w:webHidden/>
              </w:rPr>
            </w:r>
            <w:r w:rsidR="00207F40">
              <w:rPr>
                <w:noProof/>
                <w:webHidden/>
              </w:rPr>
              <w:fldChar w:fldCharType="separate"/>
            </w:r>
            <w:r w:rsidR="00207F40">
              <w:rPr>
                <w:noProof/>
                <w:webHidden/>
              </w:rPr>
              <w:t>11</w:t>
            </w:r>
            <w:r w:rsidR="00207F40">
              <w:rPr>
                <w:noProof/>
                <w:webHidden/>
              </w:rPr>
              <w:fldChar w:fldCharType="end"/>
            </w:r>
          </w:hyperlink>
        </w:p>
        <w:p w14:paraId="7901EA27" w14:textId="47853C8E" w:rsidR="00207F40" w:rsidRDefault="00664812">
          <w:pPr>
            <w:pStyle w:val="TOC2"/>
            <w:tabs>
              <w:tab w:val="right" w:leader="dot" w:pos="9016"/>
            </w:tabs>
            <w:rPr>
              <w:rFonts w:eastAsiaTheme="minorEastAsia"/>
              <w:noProof/>
              <w:lang w:eastAsia="en-GB"/>
            </w:rPr>
          </w:pPr>
          <w:hyperlink w:anchor="_Toc65880613" w:history="1">
            <w:r w:rsidR="00207F40" w:rsidRPr="00703E66">
              <w:rPr>
                <w:rStyle w:val="Hyperlink"/>
                <w:noProof/>
              </w:rPr>
              <w:t>5.1 References</w:t>
            </w:r>
            <w:r w:rsidR="00207F40">
              <w:rPr>
                <w:noProof/>
                <w:webHidden/>
              </w:rPr>
              <w:tab/>
            </w:r>
            <w:r w:rsidR="00207F40">
              <w:rPr>
                <w:noProof/>
                <w:webHidden/>
              </w:rPr>
              <w:fldChar w:fldCharType="begin"/>
            </w:r>
            <w:r w:rsidR="00207F40">
              <w:rPr>
                <w:noProof/>
                <w:webHidden/>
              </w:rPr>
              <w:instrText xml:space="preserve"> PAGEREF _Toc65880613 \h </w:instrText>
            </w:r>
            <w:r w:rsidR="00207F40">
              <w:rPr>
                <w:noProof/>
                <w:webHidden/>
              </w:rPr>
            </w:r>
            <w:r w:rsidR="00207F40">
              <w:rPr>
                <w:noProof/>
                <w:webHidden/>
              </w:rPr>
              <w:fldChar w:fldCharType="separate"/>
            </w:r>
            <w:r w:rsidR="00207F40">
              <w:rPr>
                <w:noProof/>
                <w:webHidden/>
              </w:rPr>
              <w:t>11</w:t>
            </w:r>
            <w:r w:rsidR="00207F40">
              <w:rPr>
                <w:noProof/>
                <w:webHidden/>
              </w:rPr>
              <w:fldChar w:fldCharType="end"/>
            </w:r>
          </w:hyperlink>
        </w:p>
        <w:p w14:paraId="5980E502" w14:textId="2F1257B9" w:rsidR="00207F40" w:rsidRDefault="00664812">
          <w:pPr>
            <w:pStyle w:val="TOC2"/>
            <w:tabs>
              <w:tab w:val="right" w:leader="dot" w:pos="9016"/>
            </w:tabs>
            <w:rPr>
              <w:rFonts w:eastAsiaTheme="minorEastAsia"/>
              <w:noProof/>
              <w:lang w:eastAsia="en-GB"/>
            </w:rPr>
          </w:pPr>
          <w:hyperlink w:anchor="_Toc65880614" w:history="1">
            <w:r w:rsidR="00207F40" w:rsidRPr="00703E66">
              <w:rPr>
                <w:rStyle w:val="Hyperlink"/>
                <w:noProof/>
              </w:rPr>
              <w:t>5.2 Bibliography</w:t>
            </w:r>
            <w:r w:rsidR="00207F40">
              <w:rPr>
                <w:noProof/>
                <w:webHidden/>
              </w:rPr>
              <w:tab/>
            </w:r>
            <w:r w:rsidR="00207F40">
              <w:rPr>
                <w:noProof/>
                <w:webHidden/>
              </w:rPr>
              <w:fldChar w:fldCharType="begin"/>
            </w:r>
            <w:r w:rsidR="00207F40">
              <w:rPr>
                <w:noProof/>
                <w:webHidden/>
              </w:rPr>
              <w:instrText xml:space="preserve"> PAGEREF _Toc65880614 \h </w:instrText>
            </w:r>
            <w:r w:rsidR="00207F40">
              <w:rPr>
                <w:noProof/>
                <w:webHidden/>
              </w:rPr>
            </w:r>
            <w:r w:rsidR="00207F40">
              <w:rPr>
                <w:noProof/>
                <w:webHidden/>
              </w:rPr>
              <w:fldChar w:fldCharType="separate"/>
            </w:r>
            <w:r w:rsidR="00207F40">
              <w:rPr>
                <w:noProof/>
                <w:webHidden/>
              </w:rPr>
              <w:t>12</w:t>
            </w:r>
            <w:r w:rsidR="00207F40">
              <w:rPr>
                <w:noProof/>
                <w:webHidden/>
              </w:rPr>
              <w:fldChar w:fldCharType="end"/>
            </w:r>
          </w:hyperlink>
        </w:p>
        <w:p w14:paraId="02396D0A" w14:textId="40DE6DE5" w:rsidR="004A3828" w:rsidRDefault="004A3828">
          <w:r>
            <w:rPr>
              <w:b/>
              <w:bCs/>
              <w:noProof/>
            </w:rPr>
            <w:fldChar w:fldCharType="end"/>
          </w:r>
        </w:p>
      </w:sdtContent>
    </w:sdt>
    <w:p w14:paraId="564341FD" w14:textId="61782C72" w:rsidR="004A3828" w:rsidRDefault="004A3828">
      <w:pPr>
        <w:rPr>
          <w:rFonts w:asciiTheme="majorHAnsi" w:eastAsiaTheme="majorEastAsia" w:hAnsiTheme="majorHAnsi" w:cstheme="majorBidi"/>
          <w:b/>
          <w:color w:val="2F5496" w:themeColor="accent1" w:themeShade="BF"/>
          <w:sz w:val="32"/>
          <w:szCs w:val="32"/>
          <w:u w:val="single"/>
        </w:rPr>
      </w:pPr>
      <w:r>
        <w:br w:type="page"/>
      </w:r>
    </w:p>
    <w:p w14:paraId="13FB74BB" w14:textId="64C07EB4" w:rsidR="004A3828" w:rsidRDefault="004A3828" w:rsidP="005A21ED">
      <w:pPr>
        <w:pStyle w:val="Heading1"/>
        <w:numPr>
          <w:ilvl w:val="0"/>
          <w:numId w:val="1"/>
        </w:numPr>
        <w:jc w:val="both"/>
      </w:pPr>
      <w:bookmarkStart w:id="1" w:name="_Toc65880605"/>
      <w:r>
        <w:lastRenderedPageBreak/>
        <w:t>Introduction</w:t>
      </w:r>
      <w:bookmarkEnd w:id="1"/>
    </w:p>
    <w:p w14:paraId="488067EB" w14:textId="3D7C45F6" w:rsidR="00425462" w:rsidRDefault="004A3828" w:rsidP="002F4ACA">
      <w:pPr>
        <w:jc w:val="both"/>
      </w:pPr>
      <w:r>
        <w:t xml:space="preserve"> The aim of this report was to risk assess tasks performed during an assembly line process, and </w:t>
      </w:r>
      <w:r w:rsidR="00533F6E">
        <w:t xml:space="preserve">propose </w:t>
      </w:r>
      <w:r>
        <w:t>corrective actions in order to mitigate the identified risks. A Failure Mode &amp; Effect</w:t>
      </w:r>
      <w:r w:rsidR="00890347">
        <w:t>s</w:t>
      </w:r>
      <w:r>
        <w:t xml:space="preserve"> Analysis (FMEA) was completed for the assembly of the </w:t>
      </w:r>
      <w:r w:rsidR="00DF7F7D">
        <w:t xml:space="preserve">braking components of </w:t>
      </w:r>
      <w:r w:rsidR="00BA2806">
        <w:t>a</w:t>
      </w:r>
      <w:r w:rsidR="00DF7F7D">
        <w:t xml:space="preserve"> vehicle</w:t>
      </w:r>
      <w:r>
        <w:t>, both pr</w:t>
      </w:r>
      <w:r w:rsidR="000276BA">
        <w:t>e and post</w:t>
      </w:r>
      <w:r>
        <w:t xml:space="preserve"> </w:t>
      </w:r>
      <w:r w:rsidR="002D0379">
        <w:t>the proposed</w:t>
      </w:r>
      <w:r>
        <w:t xml:space="preserve"> improvement actions.</w:t>
      </w:r>
      <w:r w:rsidR="000276BA">
        <w:t xml:space="preserve"> The braking assembly is a safety critical component, which must leave the assembly plant in working order and be of sufficient quality to meet user expectations</w:t>
      </w:r>
      <w:r w:rsidR="00BA2806">
        <w:t>.</w:t>
      </w:r>
    </w:p>
    <w:p w14:paraId="08F1FBAB" w14:textId="03FAB0B9" w:rsidR="006C3DC2" w:rsidRDefault="007F5B3A" w:rsidP="002F4ACA">
      <w:pPr>
        <w:jc w:val="both"/>
      </w:pPr>
      <w:r>
        <w:t xml:space="preserve"> In order to conduct the FMEA’s, </w:t>
      </w:r>
      <w:r w:rsidR="006B56DC">
        <w:t>the values that were to be assigned to the severity, likelihood of occurrence and likelihood of detection were defined. The initial FMEA was performed given that no mitigation actions were in place, and the vehicle leaving the assembly plant being the limit for detection</w:t>
      </w:r>
      <w:r w:rsidR="00890347">
        <w:t xml:space="preserve"> of the failure</w:t>
      </w:r>
      <w:r w:rsidR="006B56DC">
        <w:t>.</w:t>
      </w:r>
      <w:r w:rsidR="009432BD">
        <w:t xml:space="preserve"> </w:t>
      </w:r>
      <w:r w:rsidR="006C3DC2">
        <w:t xml:space="preserve"> The mitigation actions suggested </w:t>
      </w:r>
      <w:r w:rsidR="00890347">
        <w:t xml:space="preserve">are </w:t>
      </w:r>
      <w:r w:rsidR="006C3DC2">
        <w:t>actions that a large assembly line could practicably implement; some actions may not be cost effective</w:t>
      </w:r>
      <w:r w:rsidR="00890347">
        <w:t xml:space="preserve"> or necessary</w:t>
      </w:r>
      <w:r w:rsidR="006C3DC2">
        <w:t xml:space="preserve"> for smaller vehicle assembly outfits.</w:t>
      </w:r>
    </w:p>
    <w:p w14:paraId="6890FFED" w14:textId="4A47520E" w:rsidR="007F5B3A" w:rsidRDefault="006C3DC2" w:rsidP="002F4ACA">
      <w:pPr>
        <w:jc w:val="both"/>
      </w:pPr>
      <w:r>
        <w:t xml:space="preserve"> </w:t>
      </w:r>
      <w:r w:rsidR="009432BD">
        <w:t xml:space="preserve">A specific vehicle </w:t>
      </w:r>
      <w:r w:rsidR="00040303">
        <w:t xml:space="preserve">type </w:t>
      </w:r>
      <w:r w:rsidR="009432BD">
        <w:t xml:space="preserve">was not </w:t>
      </w:r>
      <w:r w:rsidR="00040303">
        <w:t>identified</w:t>
      </w:r>
      <w:r w:rsidR="009432BD">
        <w:t>, although slight differences in assembly could alter the likelihood of detection and the severity of the failure. Due to the sa</w:t>
      </w:r>
      <w:r w:rsidR="00AB4E59">
        <w:t>f</w:t>
      </w:r>
      <w:r w:rsidR="009432BD">
        <w:t>ety critical nature of the braking components, a single brake failure</w:t>
      </w:r>
      <w:r w:rsidR="00AB4E59">
        <w:t xml:space="preserve"> (i.e. front left calliper) was classified as a complete failure of the entire braking system. This is an important distinction</w:t>
      </w:r>
      <w:r w:rsidR="00040303">
        <w:t>,</w:t>
      </w:r>
      <w:r w:rsidR="00AB4E59">
        <w:t xml:space="preserve"> given smaller motorcycles may only have a single front calliper, and a failure of one calliper on a car should raise concerns regarding </w:t>
      </w:r>
      <w:r w:rsidR="00047FDF">
        <w:t>the rest</w:t>
      </w:r>
      <w:r w:rsidR="00AB4E59">
        <w:t>.</w:t>
      </w:r>
    </w:p>
    <w:p w14:paraId="436EE9BD" w14:textId="77777777" w:rsidR="00342391" w:rsidRDefault="00342391" w:rsidP="005A21ED">
      <w:pPr>
        <w:jc w:val="both"/>
      </w:pPr>
    </w:p>
    <w:p w14:paraId="5C06276E" w14:textId="73239105" w:rsidR="00425462" w:rsidRDefault="00425462" w:rsidP="005A21ED">
      <w:pPr>
        <w:jc w:val="both"/>
      </w:pPr>
    </w:p>
    <w:p w14:paraId="367F5E1C" w14:textId="4F4A2439" w:rsidR="00425462" w:rsidRDefault="00425462" w:rsidP="005A21ED">
      <w:pPr>
        <w:jc w:val="both"/>
      </w:pPr>
    </w:p>
    <w:p w14:paraId="6A5C868E" w14:textId="7AA2EC58" w:rsidR="00425462" w:rsidRDefault="00425462" w:rsidP="005A21ED">
      <w:pPr>
        <w:jc w:val="both"/>
      </w:pPr>
    </w:p>
    <w:p w14:paraId="5751E859" w14:textId="7C4B8C40" w:rsidR="00425462" w:rsidRDefault="00425462" w:rsidP="005A21ED">
      <w:pPr>
        <w:jc w:val="both"/>
      </w:pPr>
    </w:p>
    <w:p w14:paraId="79505EFE" w14:textId="1B593E45" w:rsidR="00425462" w:rsidRDefault="00425462" w:rsidP="005A21ED">
      <w:pPr>
        <w:jc w:val="both"/>
      </w:pPr>
    </w:p>
    <w:p w14:paraId="49B6AA9E" w14:textId="7FBC4929" w:rsidR="00425462" w:rsidRDefault="00425462" w:rsidP="005A21ED">
      <w:pPr>
        <w:jc w:val="both"/>
      </w:pPr>
    </w:p>
    <w:p w14:paraId="754F9AF5" w14:textId="09F8ACF5" w:rsidR="00425462" w:rsidRDefault="00425462" w:rsidP="005A21ED">
      <w:pPr>
        <w:jc w:val="both"/>
      </w:pPr>
    </w:p>
    <w:p w14:paraId="240FE189" w14:textId="104C16E5" w:rsidR="00425462" w:rsidRDefault="00425462" w:rsidP="005A21ED">
      <w:pPr>
        <w:jc w:val="both"/>
      </w:pPr>
    </w:p>
    <w:p w14:paraId="521705AA" w14:textId="5841269E" w:rsidR="00425462" w:rsidRDefault="00425462" w:rsidP="005A21ED">
      <w:pPr>
        <w:jc w:val="both"/>
      </w:pPr>
    </w:p>
    <w:p w14:paraId="56736FC3" w14:textId="2593690D" w:rsidR="00425462" w:rsidRDefault="00425462" w:rsidP="005A21ED">
      <w:pPr>
        <w:jc w:val="both"/>
      </w:pPr>
    </w:p>
    <w:p w14:paraId="12255638" w14:textId="1DBBE868" w:rsidR="00342391" w:rsidRDefault="00342391" w:rsidP="005A21ED">
      <w:pPr>
        <w:pStyle w:val="Heading1"/>
        <w:numPr>
          <w:ilvl w:val="0"/>
          <w:numId w:val="1"/>
        </w:numPr>
        <w:jc w:val="both"/>
      </w:pPr>
      <w:bookmarkStart w:id="2" w:name="_Toc65880606"/>
      <w:r>
        <w:lastRenderedPageBreak/>
        <w:t>Research /</w:t>
      </w:r>
      <w:r w:rsidR="00DE281A">
        <w:t xml:space="preserve"> </w:t>
      </w:r>
      <w:r>
        <w:t>Literature Review</w:t>
      </w:r>
      <w:bookmarkEnd w:id="2"/>
    </w:p>
    <w:p w14:paraId="24D32FBB" w14:textId="7EFB369F" w:rsidR="00D02534" w:rsidRDefault="00D02534" w:rsidP="005A21ED">
      <w:pPr>
        <w:ind w:right="-46"/>
        <w:jc w:val="both"/>
      </w:pPr>
      <w:r>
        <w:t xml:space="preserve">  </w:t>
      </w:r>
      <w:r w:rsidR="00342391">
        <w:t xml:space="preserve">Engineering roles can be found within many environments and projects. The nature of these roles  usually requires thorough relevant knowledge </w:t>
      </w:r>
      <w:r w:rsidR="00BA2806">
        <w:t>whilst</w:t>
      </w:r>
      <w:r w:rsidR="00342391">
        <w:t xml:space="preserve"> </w:t>
      </w:r>
      <w:r w:rsidR="00D05B9C">
        <w:t xml:space="preserve">following the correct ethical obligations. Within the automotive and transportation industry, not only is the safety of the end user of paramount importance, but ever increasingly vital is the safety of those involved in assembly/disassembly and the impact the lifecycle of the vehicle has on the environment.  </w:t>
      </w:r>
    </w:p>
    <w:p w14:paraId="736D8EAD" w14:textId="0561969E" w:rsidR="00D05B9C" w:rsidRPr="007A435A" w:rsidRDefault="00D02534" w:rsidP="005A21ED">
      <w:pPr>
        <w:jc w:val="both"/>
      </w:pPr>
      <w:r>
        <w:t xml:space="preserve"> </w:t>
      </w:r>
      <w:r w:rsidR="0057407B">
        <w:t xml:space="preserve">Outlined by the iMechE Code of Conduct </w:t>
      </w:r>
      <w:r w:rsidR="0057407B" w:rsidRPr="0057407B">
        <w:rPr>
          <w:sz w:val="18"/>
          <w:szCs w:val="18"/>
        </w:rPr>
        <w:t>(2014)</w:t>
      </w:r>
      <w:r w:rsidR="007A435A">
        <w:rPr>
          <w:sz w:val="18"/>
          <w:szCs w:val="18"/>
        </w:rPr>
        <w:t xml:space="preserve">, </w:t>
      </w:r>
      <w:r w:rsidR="007A435A" w:rsidRPr="007A435A">
        <w:t>the expectation of engineers is that of integrity</w:t>
      </w:r>
      <w:r w:rsidR="007A435A">
        <w:t xml:space="preserve"> and quality</w:t>
      </w:r>
      <w:r w:rsidR="003051C2">
        <w:t xml:space="preserve"> of work</w:t>
      </w:r>
      <w:r>
        <w:t xml:space="preserve">. A very public example of this code being breached is the VW emissions scandal, in which the trust of both regulatory authorities and customers was betrayed, through the use of undeclared software to defeat emissions tests </w:t>
      </w:r>
      <w:r w:rsidRPr="00D02534">
        <w:rPr>
          <w:sz w:val="18"/>
          <w:szCs w:val="18"/>
        </w:rPr>
        <w:t>(Horn, 2015).</w:t>
      </w:r>
      <w:r w:rsidR="003051C2">
        <w:rPr>
          <w:sz w:val="18"/>
          <w:szCs w:val="18"/>
        </w:rPr>
        <w:t xml:space="preserve"> </w:t>
      </w:r>
      <w:r w:rsidR="003051C2" w:rsidRPr="00293659">
        <w:t>Another example</w:t>
      </w:r>
      <w:r w:rsidR="00564298">
        <w:t xml:space="preserve"> of shortcomings, </w:t>
      </w:r>
      <w:r w:rsidR="003051C2" w:rsidRPr="00293659">
        <w:t>which could be seen as lack of quality in testing</w:t>
      </w:r>
      <w:r w:rsidR="000D193D">
        <w:t xml:space="preserve"> </w:t>
      </w:r>
      <w:r w:rsidR="00564298">
        <w:t>although</w:t>
      </w:r>
      <w:r w:rsidR="000D193D">
        <w:t xml:space="preserve"> maintaining ethical practices</w:t>
      </w:r>
      <w:r w:rsidR="00564298">
        <w:t>,</w:t>
      </w:r>
      <w:r w:rsidR="00293659" w:rsidRPr="00293659">
        <w:t xml:space="preserve"> is the De Havilland Comet</w:t>
      </w:r>
      <w:r w:rsidR="00293659">
        <w:t>,</w:t>
      </w:r>
      <w:r w:rsidR="00293659" w:rsidRPr="00293659">
        <w:t xml:space="preserve"> which as a </w:t>
      </w:r>
      <w:r w:rsidR="00293659">
        <w:t>type</w:t>
      </w:r>
      <w:r w:rsidR="00293659" w:rsidRPr="00293659">
        <w:t xml:space="preserve"> suffered several catastrophic failures before the design flaw was detected. </w:t>
      </w:r>
      <w:r w:rsidR="00293659">
        <w:t>It was believed a cabin test pressurisation of double the normal working pressure</w:t>
      </w:r>
      <w:r w:rsidR="00564298">
        <w:t>,</w:t>
      </w:r>
      <w:r w:rsidR="00293659">
        <w:t xml:space="preserve"> would be sufficient to account for the aircraft lifecycle. However, this was not representative of the </w:t>
      </w:r>
      <w:r w:rsidR="000D193D">
        <w:t xml:space="preserve">material </w:t>
      </w:r>
      <w:r w:rsidR="00293659">
        <w:t>fatigue created by the actual lifecycle of the aircraft</w:t>
      </w:r>
      <w:r w:rsidR="005279B2">
        <w:t xml:space="preserve">. Another contributory factor, was the minimal amount of research into material fatigue as a whole during the development era of the comet </w:t>
      </w:r>
      <w:r w:rsidR="005279B2" w:rsidRPr="000D193D">
        <w:rPr>
          <w:sz w:val="18"/>
          <w:szCs w:val="18"/>
        </w:rPr>
        <w:t>(Ministry of Transport and Civil Aviation, 1955)</w:t>
      </w:r>
      <w:r w:rsidR="005279B2">
        <w:t xml:space="preserve">.  </w:t>
      </w:r>
      <w:r w:rsidR="00564298">
        <w:t xml:space="preserve"> The VW and De Havilland examples had very different outcomes, but show that an engineers’ work has the potential to risk reputation, finances and lives</w:t>
      </w:r>
      <w:r w:rsidR="005279B2">
        <w:t>; especially when developing new technologies that could harbour many unknowns.</w:t>
      </w:r>
    </w:p>
    <w:p w14:paraId="4A568087" w14:textId="7373FABD" w:rsidR="00704743" w:rsidRDefault="00D05B9C" w:rsidP="005A21ED">
      <w:pPr>
        <w:jc w:val="both"/>
        <w:rPr>
          <w:sz w:val="18"/>
          <w:szCs w:val="18"/>
        </w:rPr>
      </w:pPr>
      <w:r>
        <w:t xml:space="preserve"> </w:t>
      </w:r>
      <w:r w:rsidR="000276BA">
        <w:t xml:space="preserve">As an aid to risk mitigation, </w:t>
      </w:r>
      <w:r>
        <w:t xml:space="preserve">FMEA’s have been in standardised use </w:t>
      </w:r>
      <w:r w:rsidR="0057407B">
        <w:t xml:space="preserve">within the automotive industry since the early 1990’s </w:t>
      </w:r>
      <w:r w:rsidR="0057407B" w:rsidRPr="0057407B">
        <w:rPr>
          <w:sz w:val="18"/>
          <w:szCs w:val="18"/>
        </w:rPr>
        <w:t>(SAE International)</w:t>
      </w:r>
      <w:r w:rsidR="00CE50B9">
        <w:rPr>
          <w:sz w:val="18"/>
          <w:szCs w:val="18"/>
        </w:rPr>
        <w:t xml:space="preserve">, </w:t>
      </w:r>
      <w:r w:rsidR="00CE50B9" w:rsidRPr="00CE50B9">
        <w:t>although first developed by the US army in the 1940</w:t>
      </w:r>
      <w:r w:rsidR="00CE50B9">
        <w:t>’</w:t>
      </w:r>
      <w:r w:rsidR="00CE50B9" w:rsidRPr="00CE50B9">
        <w:t>s</w:t>
      </w:r>
      <w:r w:rsidR="00CE50B9">
        <w:t xml:space="preserve"> </w:t>
      </w:r>
      <w:r w:rsidR="00CE50B9" w:rsidRPr="00262958">
        <w:rPr>
          <w:sz w:val="18"/>
          <w:szCs w:val="18"/>
        </w:rPr>
        <w:t>(</w:t>
      </w:r>
      <w:proofErr w:type="spellStart"/>
      <w:r w:rsidR="00CE50B9" w:rsidRPr="00262958">
        <w:rPr>
          <w:sz w:val="18"/>
          <w:szCs w:val="18"/>
        </w:rPr>
        <w:t>Baynal</w:t>
      </w:r>
      <w:proofErr w:type="spellEnd"/>
      <w:r w:rsidR="00CE50B9" w:rsidRPr="00262958">
        <w:rPr>
          <w:sz w:val="18"/>
          <w:szCs w:val="18"/>
        </w:rPr>
        <w:t xml:space="preserve">, Sari and </w:t>
      </w:r>
      <w:proofErr w:type="spellStart"/>
      <w:r w:rsidR="00CE50B9" w:rsidRPr="00262958">
        <w:rPr>
          <w:sz w:val="18"/>
          <w:szCs w:val="18"/>
        </w:rPr>
        <w:t>Akpinar</w:t>
      </w:r>
      <w:proofErr w:type="spellEnd"/>
      <w:r w:rsidR="00CE50B9" w:rsidRPr="00262958">
        <w:rPr>
          <w:sz w:val="18"/>
          <w:szCs w:val="18"/>
        </w:rPr>
        <w:t>, 2018)</w:t>
      </w:r>
      <w:r w:rsidR="00721D82">
        <w:t xml:space="preserve">. The main FMEA types used are system, design and process FMEA, where a complex automotive system is divided into </w:t>
      </w:r>
      <w:r w:rsidR="00F315B0">
        <w:t>its</w:t>
      </w:r>
      <w:r w:rsidR="00721D82">
        <w:t xml:space="preserve"> hardware, </w:t>
      </w:r>
      <w:r w:rsidR="00E06435">
        <w:t xml:space="preserve">mechanical </w:t>
      </w:r>
      <w:r w:rsidR="00721D82">
        <w:t>and software components.</w:t>
      </w:r>
      <w:r w:rsidR="00F315B0">
        <w:t xml:space="preserve"> </w:t>
      </w:r>
      <w:r w:rsidR="00F315B0" w:rsidRPr="00F315B0">
        <w:rPr>
          <w:sz w:val="18"/>
          <w:szCs w:val="18"/>
        </w:rPr>
        <w:t>(</w:t>
      </w:r>
      <w:proofErr w:type="spellStart"/>
      <w:r w:rsidR="00F315B0" w:rsidRPr="00F315B0">
        <w:rPr>
          <w:sz w:val="18"/>
          <w:szCs w:val="18"/>
        </w:rPr>
        <w:t>Vanyi</w:t>
      </w:r>
      <w:proofErr w:type="spellEnd"/>
      <w:r w:rsidR="00F315B0" w:rsidRPr="00F315B0">
        <w:rPr>
          <w:sz w:val="18"/>
          <w:szCs w:val="18"/>
        </w:rPr>
        <w:t>, 2016)</w:t>
      </w:r>
      <w:r w:rsidR="00BA2806">
        <w:rPr>
          <w:sz w:val="18"/>
          <w:szCs w:val="18"/>
        </w:rPr>
        <w:t xml:space="preserve">. </w:t>
      </w:r>
      <w:r w:rsidR="009B362C" w:rsidRPr="009B362C">
        <w:t>An FMEA allows risk to be calculated</w:t>
      </w:r>
      <w:r w:rsidR="009B362C">
        <w:t>;</w:t>
      </w:r>
      <w:r w:rsidR="009B362C" w:rsidRPr="009B362C">
        <w:t xml:space="preserve"> </w:t>
      </w:r>
      <w:r w:rsidR="009B362C">
        <w:t xml:space="preserve">assigning values to </w:t>
      </w:r>
      <w:r w:rsidR="009B362C" w:rsidRPr="009B362C">
        <w:t xml:space="preserve">the </w:t>
      </w:r>
      <w:r w:rsidR="002850ED">
        <w:t>‘</w:t>
      </w:r>
      <w:r w:rsidR="009B362C" w:rsidRPr="009B362C">
        <w:t>likelihood of occurrence</w:t>
      </w:r>
      <w:r w:rsidR="002850ED">
        <w:t>’</w:t>
      </w:r>
      <w:r w:rsidR="009B362C" w:rsidRPr="009B362C">
        <w:t xml:space="preserve"> </w:t>
      </w:r>
      <w:r w:rsidR="009B362C">
        <w:t xml:space="preserve">and </w:t>
      </w:r>
      <w:r w:rsidR="009B362C" w:rsidRPr="009B362C">
        <w:t xml:space="preserve">the </w:t>
      </w:r>
      <w:r w:rsidR="002850ED">
        <w:t>‘</w:t>
      </w:r>
      <w:r w:rsidR="009B362C" w:rsidRPr="009B362C">
        <w:t>severity</w:t>
      </w:r>
      <w:r w:rsidR="002850ED">
        <w:t>’</w:t>
      </w:r>
      <w:r w:rsidR="009B362C" w:rsidRPr="009B362C">
        <w:t xml:space="preserve"> of the event</w:t>
      </w:r>
      <w:r w:rsidR="009B362C">
        <w:t xml:space="preserve"> </w:t>
      </w:r>
      <w:r w:rsidR="002850ED">
        <w:t>before</w:t>
      </w:r>
      <w:r w:rsidR="009B362C">
        <w:t xml:space="preserve"> multiplying the values.</w:t>
      </w:r>
      <w:r w:rsidR="009B362C" w:rsidRPr="009B362C">
        <w:t xml:space="preserve"> To be truly meaningful, </w:t>
      </w:r>
      <w:r w:rsidR="00BA2806" w:rsidRPr="009B362C">
        <w:t>FMEA’s require consistency with</w:t>
      </w:r>
      <w:r w:rsidR="009B362C" w:rsidRPr="009B362C">
        <w:t xml:space="preserve">in a business / manufacturing plant, following </w:t>
      </w:r>
      <w:r w:rsidR="00BA2806" w:rsidRPr="009B362C">
        <w:t xml:space="preserve">clearly defined </w:t>
      </w:r>
      <w:r w:rsidR="009B362C" w:rsidRPr="009B362C">
        <w:t>severity and occurrence values. Without a defined approach, events across different areas of the plant would not be comparable by the calculated Risk Priority Number (RPN)</w:t>
      </w:r>
      <w:r w:rsidR="009B362C">
        <w:t>. Definitions and values vary</w:t>
      </w:r>
      <w:r w:rsidR="00586214">
        <w:t xml:space="preserve"> between </w:t>
      </w:r>
      <w:r w:rsidR="00DB17DF">
        <w:t>manufacturers</w:t>
      </w:r>
      <w:r w:rsidR="009B362C">
        <w:t xml:space="preserve">, with some choosing to use non-consecutive values (e.g. </w:t>
      </w:r>
      <w:r w:rsidR="00D45B81">
        <w:t>1,</w:t>
      </w:r>
      <w:r w:rsidR="009B362C">
        <w:t xml:space="preserve">3,5,7,9) rather than consecutive (e.g. 1,2,3,4,5) to provide greater resolution for team members </w:t>
      </w:r>
      <w:r w:rsidR="00586214">
        <w:t>conducting the FMEA</w:t>
      </w:r>
      <w:r w:rsidR="009E4A4B">
        <w:t xml:space="preserve"> </w:t>
      </w:r>
      <w:r w:rsidR="009E4A4B" w:rsidRPr="009E4A4B">
        <w:rPr>
          <w:sz w:val="18"/>
          <w:szCs w:val="18"/>
        </w:rPr>
        <w:t>(PQRI, 2004)</w:t>
      </w:r>
      <w:r w:rsidR="00586214" w:rsidRPr="009E4A4B">
        <w:rPr>
          <w:sz w:val="18"/>
          <w:szCs w:val="18"/>
        </w:rPr>
        <w:t>.</w:t>
      </w:r>
      <w:r w:rsidR="00BB176B">
        <w:rPr>
          <w:sz w:val="18"/>
          <w:szCs w:val="18"/>
        </w:rPr>
        <w:t xml:space="preserve"> </w:t>
      </w:r>
    </w:p>
    <w:p w14:paraId="64EAD3C0" w14:textId="6B4618F5" w:rsidR="00425462" w:rsidRDefault="00704743" w:rsidP="005A21ED">
      <w:pPr>
        <w:jc w:val="both"/>
      </w:pPr>
      <w:r w:rsidRPr="00AE59B9">
        <w:t xml:space="preserve"> To perform an FMEA, a cross-functional team </w:t>
      </w:r>
      <w:r w:rsidR="00AE59B9" w:rsidRPr="00AE59B9">
        <w:t>is assembled</w:t>
      </w:r>
      <w:r w:rsidR="00AE59B9">
        <w:t xml:space="preserve"> </w:t>
      </w:r>
      <w:r w:rsidR="00AE59B9" w:rsidRPr="00AE59B9">
        <w:rPr>
          <w:sz w:val="18"/>
          <w:szCs w:val="18"/>
        </w:rPr>
        <w:t>(</w:t>
      </w:r>
      <w:proofErr w:type="spellStart"/>
      <w:r w:rsidR="00AE59B9" w:rsidRPr="00AE59B9">
        <w:rPr>
          <w:sz w:val="18"/>
          <w:szCs w:val="18"/>
        </w:rPr>
        <w:t>Rassiah</w:t>
      </w:r>
      <w:proofErr w:type="spellEnd"/>
      <w:r w:rsidR="00AE59B9" w:rsidRPr="00AE59B9">
        <w:rPr>
          <w:sz w:val="18"/>
          <w:szCs w:val="18"/>
        </w:rPr>
        <w:t xml:space="preserve">, 2020). </w:t>
      </w:r>
      <w:r w:rsidR="00AE59B9">
        <w:t>The inclusion of assessors from varying disciplines gives an experienced view of the task under scrutiny, but also a “back-to-</w:t>
      </w:r>
      <w:r w:rsidR="00AE59B9">
        <w:lastRenderedPageBreak/>
        <w:t>basics” approach, from which questions can be raised by team members less experienced or</w:t>
      </w:r>
      <w:r w:rsidR="00A14D1A">
        <w:t xml:space="preserve"> less</w:t>
      </w:r>
      <w:r w:rsidR="00AE59B9">
        <w:t xml:space="preserve"> knowledgeable of the task</w:t>
      </w:r>
      <w:r w:rsidR="00A14D1A">
        <w:t>, that may have been otherwise overlooked.</w:t>
      </w:r>
      <w:r w:rsidR="00E220BB">
        <w:t xml:space="preserve"> In conjunction with an effective change management system, the impact of the mitigating actions is assessed with a second FMEA to ensure continuous improvement of processes.</w:t>
      </w:r>
      <w:r w:rsidR="00425462">
        <w:br w:type="page"/>
      </w:r>
    </w:p>
    <w:p w14:paraId="5D5C523B" w14:textId="3D3B40BB" w:rsidR="006D7A66" w:rsidRDefault="001815BF" w:rsidP="003C270D">
      <w:pPr>
        <w:pStyle w:val="Heading1"/>
        <w:numPr>
          <w:ilvl w:val="0"/>
          <w:numId w:val="1"/>
        </w:numPr>
        <w:jc w:val="both"/>
      </w:pPr>
      <w:bookmarkStart w:id="3" w:name="_Toc65880607"/>
      <w:r>
        <w:lastRenderedPageBreak/>
        <w:t>FMEA</w:t>
      </w:r>
      <w:r w:rsidR="00BA6211">
        <w:t>’s</w:t>
      </w:r>
      <w:r>
        <w:t xml:space="preserve"> </w:t>
      </w:r>
      <w:r w:rsidR="00363351">
        <w:t>For The Assembly of Braking Components</w:t>
      </w:r>
      <w:bookmarkEnd w:id="3"/>
    </w:p>
    <w:p w14:paraId="42B855E8" w14:textId="309ACDFF" w:rsidR="00712792" w:rsidRPr="00712792" w:rsidRDefault="00712792" w:rsidP="003C270D">
      <w:pPr>
        <w:jc w:val="both"/>
      </w:pPr>
      <w:r>
        <w:t xml:space="preserve">  The following definitions were used to assign </w:t>
      </w:r>
      <w:r w:rsidR="0068772C">
        <w:t xml:space="preserve">the </w:t>
      </w:r>
      <w:r w:rsidR="00F92FFF">
        <w:t>values</w:t>
      </w:r>
      <w:r w:rsidR="0068772C">
        <w:t xml:space="preserve"> 1, 3, 5, 7 and 9</w:t>
      </w:r>
      <w:r w:rsidR="00DF31FD">
        <w:t>. The initial FMEA assumes competent technicians but no actions designed to mitigate risk.</w:t>
      </w:r>
    </w:p>
    <w:p w14:paraId="22914C30" w14:textId="0CE055C0" w:rsidR="00712792" w:rsidRPr="00712792" w:rsidRDefault="00F92FFF" w:rsidP="003C270D">
      <w:pPr>
        <w:pStyle w:val="ListParagraph"/>
        <w:ind w:left="360"/>
        <w:jc w:val="both"/>
        <w:rPr>
          <w:b/>
          <w:bCs/>
          <w:sz w:val="24"/>
          <w:szCs w:val="24"/>
          <w:u w:val="single"/>
        </w:rPr>
      </w:pPr>
      <w:r>
        <w:rPr>
          <w:b/>
          <w:bCs/>
          <w:sz w:val="24"/>
          <w:szCs w:val="24"/>
          <w:u w:val="single"/>
        </w:rPr>
        <w:t>Value</w:t>
      </w:r>
      <w:r w:rsidR="00712792" w:rsidRPr="00712792">
        <w:rPr>
          <w:b/>
          <w:bCs/>
          <w:sz w:val="24"/>
          <w:szCs w:val="24"/>
          <w:u w:val="single"/>
        </w:rPr>
        <w:t xml:space="preserve"> Definitions for Severity;</w:t>
      </w:r>
    </w:p>
    <w:p w14:paraId="3B247F45" w14:textId="77777777" w:rsidR="00712792" w:rsidRDefault="00712792" w:rsidP="003C270D">
      <w:pPr>
        <w:jc w:val="both"/>
      </w:pPr>
      <w:r>
        <w:t xml:space="preserve">1 – No impact on safety, the environment or reliability of the vehicle </w:t>
      </w:r>
      <w:r w:rsidRPr="00A55F77">
        <w:rPr>
          <w:i/>
          <w:iCs/>
          <w:sz w:val="20"/>
          <w:szCs w:val="20"/>
        </w:rPr>
        <w:t xml:space="preserve">(e.g. </w:t>
      </w:r>
      <w:r>
        <w:rPr>
          <w:i/>
          <w:iCs/>
          <w:sz w:val="20"/>
          <w:szCs w:val="20"/>
        </w:rPr>
        <w:t>The wrong colour stitching</w:t>
      </w:r>
      <w:r w:rsidRPr="00A55F77">
        <w:rPr>
          <w:i/>
          <w:iCs/>
          <w:sz w:val="20"/>
          <w:szCs w:val="20"/>
        </w:rPr>
        <w:t>)</w:t>
      </w:r>
    </w:p>
    <w:p w14:paraId="02333C88" w14:textId="77777777" w:rsidR="00712792" w:rsidRDefault="00712792" w:rsidP="003C270D">
      <w:pPr>
        <w:jc w:val="both"/>
      </w:pPr>
      <w:r>
        <w:t>3 – Event has very little impact on safety, the environment or reliability of the vehicle.</w:t>
      </w:r>
    </w:p>
    <w:p w14:paraId="02A5E54F" w14:textId="2AE50F62" w:rsidR="00712792" w:rsidRDefault="00712792" w:rsidP="003C270D">
      <w:pPr>
        <w:jc w:val="both"/>
      </w:pPr>
      <w:r>
        <w:t xml:space="preserve">5 – Event could cause injury, major environmental contamination or render the vehicle immobile over the expected lifetime of the vehicle </w:t>
      </w:r>
      <w:r w:rsidRPr="004A3D0F">
        <w:rPr>
          <w:i/>
          <w:iCs/>
          <w:sz w:val="20"/>
          <w:szCs w:val="20"/>
        </w:rPr>
        <w:t xml:space="preserve">(e.g. </w:t>
      </w:r>
      <w:r>
        <w:rPr>
          <w:i/>
          <w:iCs/>
          <w:sz w:val="20"/>
          <w:szCs w:val="20"/>
        </w:rPr>
        <w:t>Would</w:t>
      </w:r>
      <w:r w:rsidRPr="004A3D0F">
        <w:rPr>
          <w:i/>
          <w:iCs/>
          <w:sz w:val="20"/>
          <w:szCs w:val="20"/>
        </w:rPr>
        <w:t xml:space="preserve"> </w:t>
      </w:r>
      <w:r w:rsidR="008369EC">
        <w:rPr>
          <w:i/>
          <w:iCs/>
          <w:sz w:val="20"/>
          <w:szCs w:val="20"/>
        </w:rPr>
        <w:t xml:space="preserve">likely </w:t>
      </w:r>
      <w:r w:rsidRPr="004A3D0F">
        <w:rPr>
          <w:i/>
          <w:iCs/>
          <w:sz w:val="20"/>
          <w:szCs w:val="20"/>
        </w:rPr>
        <w:t xml:space="preserve">require a </w:t>
      </w:r>
      <w:r w:rsidRPr="00712792">
        <w:rPr>
          <w:b/>
          <w:bCs/>
          <w:i/>
          <w:iCs/>
          <w:sz w:val="20"/>
          <w:szCs w:val="20"/>
        </w:rPr>
        <w:t>“safety recall</w:t>
      </w:r>
      <w:r>
        <w:rPr>
          <w:b/>
          <w:bCs/>
          <w:i/>
          <w:iCs/>
          <w:sz w:val="20"/>
          <w:szCs w:val="20"/>
        </w:rPr>
        <w:t>”</w:t>
      </w:r>
      <w:r>
        <w:rPr>
          <w:i/>
          <w:iCs/>
          <w:sz w:val="20"/>
          <w:szCs w:val="20"/>
        </w:rPr>
        <w:t xml:space="preserve"> as best practice</w:t>
      </w:r>
      <w:r w:rsidRPr="004A3D0F">
        <w:rPr>
          <w:i/>
          <w:iCs/>
          <w:sz w:val="20"/>
          <w:szCs w:val="20"/>
        </w:rPr>
        <w:t>)</w:t>
      </w:r>
      <w:r>
        <w:rPr>
          <w:i/>
          <w:iCs/>
          <w:sz w:val="20"/>
          <w:szCs w:val="20"/>
        </w:rPr>
        <w:t>.</w:t>
      </w:r>
    </w:p>
    <w:p w14:paraId="315AA826" w14:textId="234C03ED" w:rsidR="00712792" w:rsidRDefault="00712792" w:rsidP="003C270D">
      <w:pPr>
        <w:jc w:val="both"/>
      </w:pPr>
      <w:r>
        <w:t xml:space="preserve">7 – Event will in the </w:t>
      </w:r>
      <w:r w:rsidRPr="00A55F77">
        <w:rPr>
          <w:b/>
          <w:bCs/>
        </w:rPr>
        <w:t>near future</w:t>
      </w:r>
      <w:r>
        <w:t xml:space="preserve"> cause injury, major environmental contamination or render the vehicle immobile </w:t>
      </w:r>
      <w:r w:rsidRPr="004A3D0F">
        <w:rPr>
          <w:i/>
          <w:iCs/>
          <w:sz w:val="20"/>
          <w:szCs w:val="20"/>
        </w:rPr>
        <w:t xml:space="preserve">(e.g. Would </w:t>
      </w:r>
      <w:r w:rsidR="008369EC">
        <w:rPr>
          <w:i/>
          <w:iCs/>
          <w:sz w:val="20"/>
          <w:szCs w:val="20"/>
        </w:rPr>
        <w:t xml:space="preserve">likely </w:t>
      </w:r>
      <w:r w:rsidRPr="004A3D0F">
        <w:rPr>
          <w:i/>
          <w:iCs/>
          <w:sz w:val="20"/>
          <w:szCs w:val="20"/>
        </w:rPr>
        <w:t xml:space="preserve">require a </w:t>
      </w:r>
      <w:r w:rsidRPr="00712792">
        <w:rPr>
          <w:b/>
          <w:bCs/>
          <w:i/>
          <w:iCs/>
          <w:sz w:val="20"/>
          <w:szCs w:val="20"/>
        </w:rPr>
        <w:t>“Stop Drive Recall</w:t>
      </w:r>
      <w:r w:rsidRPr="004A3D0F">
        <w:rPr>
          <w:i/>
          <w:iCs/>
          <w:sz w:val="20"/>
          <w:szCs w:val="20"/>
        </w:rPr>
        <w:t>” as best practice).</w:t>
      </w:r>
    </w:p>
    <w:p w14:paraId="7DF176DD" w14:textId="77777777" w:rsidR="00712792" w:rsidRDefault="00712792" w:rsidP="003C270D">
      <w:pPr>
        <w:jc w:val="both"/>
      </w:pPr>
      <w:r>
        <w:t xml:space="preserve">9 – Event will cause </w:t>
      </w:r>
      <w:r w:rsidRPr="00A55F77">
        <w:rPr>
          <w:b/>
          <w:bCs/>
        </w:rPr>
        <w:t>immediate</w:t>
      </w:r>
      <w:r>
        <w:t xml:space="preserve"> serious injury, death, major environmental contamination or render the vehicle immobile.    </w:t>
      </w:r>
      <w:r w:rsidRPr="00C724E0">
        <w:rPr>
          <w:i/>
          <w:iCs/>
          <w:sz w:val="20"/>
          <w:szCs w:val="20"/>
        </w:rPr>
        <w:t xml:space="preserve">(e.g. </w:t>
      </w:r>
      <w:r>
        <w:rPr>
          <w:i/>
          <w:iCs/>
          <w:sz w:val="20"/>
          <w:szCs w:val="20"/>
        </w:rPr>
        <w:t>Complete b</w:t>
      </w:r>
      <w:r w:rsidRPr="00C724E0">
        <w:rPr>
          <w:i/>
          <w:iCs/>
          <w:sz w:val="20"/>
          <w:szCs w:val="20"/>
        </w:rPr>
        <w:t>rake failure, major fluid spill, absence of fluids).</w:t>
      </w:r>
    </w:p>
    <w:p w14:paraId="3369F645" w14:textId="2B7FDDF3" w:rsidR="00712792" w:rsidRPr="00712792" w:rsidRDefault="00F92FFF" w:rsidP="003C270D">
      <w:pPr>
        <w:pStyle w:val="ListParagraph"/>
        <w:ind w:left="360"/>
        <w:jc w:val="both"/>
        <w:rPr>
          <w:b/>
          <w:bCs/>
          <w:sz w:val="24"/>
          <w:szCs w:val="24"/>
          <w:u w:val="single"/>
        </w:rPr>
      </w:pPr>
      <w:r>
        <w:rPr>
          <w:b/>
          <w:bCs/>
          <w:sz w:val="24"/>
          <w:szCs w:val="24"/>
          <w:u w:val="single"/>
        </w:rPr>
        <w:t>Value</w:t>
      </w:r>
      <w:r w:rsidR="00712792" w:rsidRPr="00712792">
        <w:rPr>
          <w:b/>
          <w:bCs/>
          <w:sz w:val="24"/>
          <w:szCs w:val="24"/>
          <w:u w:val="single"/>
        </w:rPr>
        <w:t xml:space="preserve"> Definitions for Likelihood of Occurrence;</w:t>
      </w:r>
    </w:p>
    <w:p w14:paraId="031983D2" w14:textId="77777777" w:rsidR="00712792" w:rsidRDefault="00712792" w:rsidP="003C270D">
      <w:pPr>
        <w:jc w:val="both"/>
      </w:pPr>
      <w:r>
        <w:t xml:space="preserve">1 – Event is extremely unlikely to occur </w:t>
      </w:r>
      <w:r w:rsidRPr="00BD5E54">
        <w:rPr>
          <w:i/>
          <w:iCs/>
          <w:sz w:val="20"/>
          <w:szCs w:val="20"/>
        </w:rPr>
        <w:t>(e.g. Major component such as fuel tank not fitted).</w:t>
      </w:r>
      <w:r w:rsidRPr="00BD5E54">
        <w:rPr>
          <w:sz w:val="20"/>
          <w:szCs w:val="20"/>
        </w:rPr>
        <w:t xml:space="preserve"> </w:t>
      </w:r>
    </w:p>
    <w:p w14:paraId="04E2BF19" w14:textId="77777777" w:rsidR="00712792" w:rsidRDefault="00712792" w:rsidP="003C270D">
      <w:pPr>
        <w:jc w:val="both"/>
      </w:pPr>
      <w:r>
        <w:t>3 – Event occurs sporadically.</w:t>
      </w:r>
    </w:p>
    <w:p w14:paraId="09C9D138" w14:textId="77777777" w:rsidR="00712792" w:rsidRDefault="00712792" w:rsidP="003C270D">
      <w:pPr>
        <w:jc w:val="both"/>
      </w:pPr>
      <w:r>
        <w:t>5 – Event occurs 50 % of the time.</w:t>
      </w:r>
    </w:p>
    <w:p w14:paraId="1E6BFF1E" w14:textId="77777777" w:rsidR="00712792" w:rsidRDefault="00712792" w:rsidP="003C270D">
      <w:pPr>
        <w:jc w:val="both"/>
      </w:pPr>
      <w:r>
        <w:t>7 – The event occurs more often than not.</w:t>
      </w:r>
    </w:p>
    <w:p w14:paraId="3026EBCF" w14:textId="77777777" w:rsidR="00712792" w:rsidRDefault="00712792" w:rsidP="003C270D">
      <w:pPr>
        <w:jc w:val="both"/>
      </w:pPr>
      <w:r>
        <w:t xml:space="preserve">9 – Event will happen with almost complete certainty. Likely to be systematic </w:t>
      </w:r>
      <w:r w:rsidRPr="00BD5E54">
        <w:rPr>
          <w:i/>
          <w:iCs/>
          <w:sz w:val="20"/>
          <w:szCs w:val="20"/>
        </w:rPr>
        <w:t>(e.g. Technician knowledge gap or incorrect training).</w:t>
      </w:r>
    </w:p>
    <w:p w14:paraId="603122D6" w14:textId="2CAD4E87" w:rsidR="00712792" w:rsidRPr="00712792" w:rsidRDefault="00F92FFF" w:rsidP="003C270D">
      <w:pPr>
        <w:pStyle w:val="ListParagraph"/>
        <w:ind w:left="360"/>
        <w:jc w:val="both"/>
        <w:rPr>
          <w:b/>
          <w:bCs/>
          <w:sz w:val="24"/>
          <w:szCs w:val="24"/>
          <w:u w:val="single"/>
        </w:rPr>
      </w:pPr>
      <w:r>
        <w:rPr>
          <w:b/>
          <w:bCs/>
          <w:sz w:val="24"/>
          <w:szCs w:val="24"/>
          <w:u w:val="single"/>
        </w:rPr>
        <w:t>Value</w:t>
      </w:r>
      <w:r w:rsidR="00712792" w:rsidRPr="00712792">
        <w:rPr>
          <w:b/>
          <w:bCs/>
          <w:sz w:val="24"/>
          <w:szCs w:val="24"/>
          <w:u w:val="single"/>
        </w:rPr>
        <w:t xml:space="preserve"> Definitions for Likelihood of Detection (Detection prior to leaving Assembly Plant);</w:t>
      </w:r>
    </w:p>
    <w:p w14:paraId="58126640" w14:textId="77777777" w:rsidR="00712792" w:rsidRPr="00BD5E54" w:rsidRDefault="00712792" w:rsidP="003C270D">
      <w:pPr>
        <w:jc w:val="both"/>
        <w:rPr>
          <w:i/>
          <w:iCs/>
          <w:sz w:val="20"/>
          <w:szCs w:val="20"/>
        </w:rPr>
      </w:pPr>
      <w:r>
        <w:t xml:space="preserve">1 – Event will almost certainly be detected </w:t>
      </w:r>
      <w:r w:rsidRPr="00BD5E54">
        <w:rPr>
          <w:i/>
          <w:iCs/>
          <w:sz w:val="20"/>
          <w:szCs w:val="20"/>
        </w:rPr>
        <w:t>(e.g. Component will not physically fit during assembly).</w:t>
      </w:r>
    </w:p>
    <w:p w14:paraId="54E97E6A" w14:textId="77777777" w:rsidR="00712792" w:rsidRDefault="00712792" w:rsidP="003C270D">
      <w:pPr>
        <w:jc w:val="both"/>
      </w:pPr>
      <w:r>
        <w:t>3 – Event is likely to be detected.</w:t>
      </w:r>
    </w:p>
    <w:p w14:paraId="1CA38832" w14:textId="77777777" w:rsidR="00712792" w:rsidRDefault="00712792" w:rsidP="003C270D">
      <w:pPr>
        <w:jc w:val="both"/>
      </w:pPr>
      <w:r>
        <w:t>5 – Event has a 50 % chance of being detected.</w:t>
      </w:r>
    </w:p>
    <w:p w14:paraId="48AC97EB" w14:textId="3FA954BC" w:rsidR="00712792" w:rsidRDefault="00712792" w:rsidP="003C270D">
      <w:pPr>
        <w:jc w:val="both"/>
      </w:pPr>
      <w:r>
        <w:t>7 – Event is unlikely to be detected.</w:t>
      </w:r>
    </w:p>
    <w:p w14:paraId="37C65590" w14:textId="77777777" w:rsidR="00712792" w:rsidRPr="008B7FD2" w:rsidRDefault="00712792" w:rsidP="003C270D">
      <w:pPr>
        <w:jc w:val="both"/>
      </w:pPr>
      <w:r>
        <w:t xml:space="preserve">9 – Event will almost certainly not be detected </w:t>
      </w:r>
      <w:r w:rsidRPr="00BD5E54">
        <w:rPr>
          <w:i/>
          <w:iCs/>
          <w:sz w:val="20"/>
          <w:szCs w:val="20"/>
        </w:rPr>
        <w:t>(e.g. Electrical component malfunctioning).</w:t>
      </w:r>
    </w:p>
    <w:p w14:paraId="22BE2304" w14:textId="7E0CCA5A" w:rsidR="006D7A66" w:rsidRDefault="001815BF" w:rsidP="001815BF">
      <w:pPr>
        <w:pStyle w:val="Heading2"/>
        <w:rPr>
          <w:u w:val="single"/>
        </w:rPr>
      </w:pPr>
      <w:bookmarkStart w:id="4" w:name="_Toc65880608"/>
      <w:r w:rsidRPr="00713690">
        <w:rPr>
          <w:u w:val="single"/>
        </w:rPr>
        <w:lastRenderedPageBreak/>
        <w:t>3.1 Initial FMEA</w:t>
      </w:r>
      <w:bookmarkEnd w:id="4"/>
    </w:p>
    <w:p w14:paraId="383D7F5E" w14:textId="6E46D27E" w:rsidR="005A21ED" w:rsidRDefault="005A21ED" w:rsidP="005A21ED">
      <w:pPr>
        <w:pStyle w:val="Caption"/>
        <w:keepNext/>
        <w:jc w:val="center"/>
      </w:pPr>
      <w:r>
        <w:t xml:space="preserve">Table </w:t>
      </w:r>
      <w:fldSimple w:instr=" SEQ Table \* ARABIC ">
        <w:r w:rsidR="000A5D2A">
          <w:rPr>
            <w:noProof/>
          </w:rPr>
          <w:t>1</w:t>
        </w:r>
      </w:fldSimple>
      <w:r>
        <w:t xml:space="preserve"> - Initial FMEA of braking component assembly.</w:t>
      </w:r>
    </w:p>
    <w:p w14:paraId="4BBBE557" w14:textId="41F4A4F0" w:rsidR="005A21ED" w:rsidRPr="005A21ED" w:rsidRDefault="005A21ED" w:rsidP="005A21ED">
      <w:pPr>
        <w:jc w:val="center"/>
      </w:pPr>
      <w:r w:rsidRPr="005A21ED">
        <w:rPr>
          <w:noProof/>
        </w:rPr>
        <w:drawing>
          <wp:inline distT="0" distB="0" distL="0" distR="0" wp14:anchorId="3A6346E3" wp14:editId="22775D69">
            <wp:extent cx="5731510" cy="3370518"/>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370518"/>
                    </a:xfrm>
                    <a:prstGeom prst="rect">
                      <a:avLst/>
                    </a:prstGeom>
                    <a:noFill/>
                    <a:ln>
                      <a:noFill/>
                    </a:ln>
                  </pic:spPr>
                </pic:pic>
              </a:graphicData>
            </a:graphic>
          </wp:inline>
        </w:drawing>
      </w:r>
    </w:p>
    <w:p w14:paraId="12850BD0" w14:textId="729123EF" w:rsidR="005A21ED" w:rsidRPr="002E7C78" w:rsidRDefault="005A21ED" w:rsidP="003C270D">
      <w:pPr>
        <w:pStyle w:val="ListParagraph"/>
        <w:numPr>
          <w:ilvl w:val="0"/>
          <w:numId w:val="7"/>
        </w:numPr>
        <w:rPr>
          <w:b/>
          <w:bCs/>
          <w:sz w:val="24"/>
          <w:szCs w:val="24"/>
          <w:u w:val="single"/>
        </w:rPr>
      </w:pPr>
      <w:r w:rsidRPr="002E7C78">
        <w:rPr>
          <w:b/>
          <w:bCs/>
          <w:sz w:val="24"/>
          <w:szCs w:val="24"/>
          <w:u w:val="single"/>
        </w:rPr>
        <w:t>Failure Mode (1)</w:t>
      </w:r>
      <w:r w:rsidR="00C01CA5" w:rsidRPr="002E7C78">
        <w:rPr>
          <w:b/>
          <w:bCs/>
          <w:sz w:val="24"/>
          <w:szCs w:val="24"/>
          <w:u w:val="single"/>
        </w:rPr>
        <w:t xml:space="preserve"> Rationale</w:t>
      </w:r>
      <w:r w:rsidRPr="002E7C78">
        <w:rPr>
          <w:b/>
          <w:bCs/>
          <w:sz w:val="24"/>
          <w:szCs w:val="24"/>
          <w:u w:val="single"/>
        </w:rPr>
        <w:t xml:space="preserve"> – </w:t>
      </w:r>
      <w:r w:rsidRPr="002E7C78">
        <w:rPr>
          <w:b/>
          <w:bCs/>
          <w:i/>
          <w:iCs/>
          <w:sz w:val="24"/>
          <w:szCs w:val="24"/>
          <w:u w:val="single"/>
        </w:rPr>
        <w:t>“Brake calliper mounting bolts not torqued…”</w:t>
      </w:r>
    </w:p>
    <w:p w14:paraId="4622993E" w14:textId="038835B2" w:rsidR="005A21ED" w:rsidRDefault="005A21ED" w:rsidP="003C270D">
      <w:pPr>
        <w:pStyle w:val="ListParagraph"/>
        <w:numPr>
          <w:ilvl w:val="2"/>
          <w:numId w:val="7"/>
        </w:numPr>
      </w:pPr>
      <w:r>
        <w:t>Occurrence – Potentially</w:t>
      </w:r>
      <w:r w:rsidR="007470BA">
        <w:t xml:space="preserve">, </w:t>
      </w:r>
      <w:r>
        <w:t xml:space="preserve">without the correct tools (i.e. torque wrench) the mounting bolts </w:t>
      </w:r>
      <w:r w:rsidR="00150C60">
        <w:t>could be insufficiently tightened, however it is likely a competent technician could judge this sufficiently for this not to occur every time.</w:t>
      </w:r>
    </w:p>
    <w:p w14:paraId="3F741EB3" w14:textId="2A4B4744" w:rsidR="00150C60" w:rsidRDefault="00150C60" w:rsidP="003C270D">
      <w:pPr>
        <w:pStyle w:val="ListParagraph"/>
        <w:numPr>
          <w:ilvl w:val="2"/>
          <w:numId w:val="7"/>
        </w:numPr>
      </w:pPr>
      <w:r>
        <w:t>Severity – Potential for the calliper to come loose from the vehicle resulting in complete brake failure</w:t>
      </w:r>
      <w:r w:rsidR="009432BD">
        <w:t>.</w:t>
      </w:r>
    </w:p>
    <w:p w14:paraId="29BBC710" w14:textId="6024B6E7" w:rsidR="00150C60" w:rsidRDefault="00150C60" w:rsidP="003C270D">
      <w:pPr>
        <w:pStyle w:val="ListParagraph"/>
        <w:numPr>
          <w:ilvl w:val="2"/>
          <w:numId w:val="7"/>
        </w:numPr>
      </w:pPr>
      <w:r>
        <w:t xml:space="preserve">Detection – Technician responsible for assembly would in most circumstances notice </w:t>
      </w:r>
      <w:r w:rsidR="001A51CF">
        <w:t xml:space="preserve">an </w:t>
      </w:r>
      <w:r>
        <w:t xml:space="preserve">excessively loose bolt, however there is potential for </w:t>
      </w:r>
      <w:r w:rsidR="001A51CF">
        <w:t xml:space="preserve">a </w:t>
      </w:r>
      <w:r>
        <w:t>“visually tight” bolt to be insufficiently torqued.</w:t>
      </w:r>
    </w:p>
    <w:p w14:paraId="61C46207" w14:textId="77777777" w:rsidR="002E7C78" w:rsidRPr="002E7C78" w:rsidRDefault="002E7C78" w:rsidP="003C270D">
      <w:pPr>
        <w:pStyle w:val="ListParagraph"/>
        <w:numPr>
          <w:ilvl w:val="0"/>
          <w:numId w:val="7"/>
        </w:numPr>
        <w:rPr>
          <w:u w:val="single"/>
        </w:rPr>
      </w:pPr>
      <w:r w:rsidRPr="002E7C78">
        <w:rPr>
          <w:u w:val="single"/>
        </w:rPr>
        <w:t xml:space="preserve">Proposed Mitigation Actions – </w:t>
      </w:r>
    </w:p>
    <w:p w14:paraId="5846933D" w14:textId="723FC3D7" w:rsidR="007470BA" w:rsidRDefault="006C3DC2" w:rsidP="003C270D">
      <w:pPr>
        <w:pStyle w:val="ListParagraph"/>
        <w:numPr>
          <w:ilvl w:val="2"/>
          <w:numId w:val="11"/>
        </w:numPr>
      </w:pPr>
      <w:r>
        <w:t xml:space="preserve">Correctly calibrated tools should be used and technicians </w:t>
      </w:r>
      <w:r w:rsidR="00CF0BFC">
        <w:t>should have</w:t>
      </w:r>
      <w:r>
        <w:t xml:space="preserve"> sufficient training in their use. </w:t>
      </w:r>
      <w:r w:rsidR="00CF0BFC">
        <w:t>Due to the safety critical nature, a dedicated tool pre-set to the correct torque setting would be preferred</w:t>
      </w:r>
      <w:r w:rsidR="0093013B">
        <w:t xml:space="preserve">. </w:t>
      </w:r>
      <w:r w:rsidR="001A51CF">
        <w:t xml:space="preserve">Unapproved tools should not be kept at this workstation </w:t>
      </w:r>
      <w:r w:rsidR="0000550F">
        <w:t xml:space="preserve">in order </w:t>
      </w:r>
      <w:r w:rsidR="001A51CF">
        <w:t>to avoid use.</w:t>
      </w:r>
      <w:r w:rsidR="0093013B">
        <w:t xml:space="preserve"> </w:t>
      </w:r>
      <w:r w:rsidR="002E358B">
        <w:t>The approved tool should be calibrated at regular intervals of at least the manufacturers recommendation.</w:t>
      </w:r>
      <w:r w:rsidR="00A6452F">
        <w:t xml:space="preserve"> Digital tools that record torque settings may be advantageous.</w:t>
      </w:r>
    </w:p>
    <w:p w14:paraId="636D99A0" w14:textId="71EC1DD5" w:rsidR="00EB1F08" w:rsidRDefault="00EB1F08" w:rsidP="003C270D">
      <w:pPr>
        <w:pStyle w:val="ListParagraph"/>
        <w:ind w:left="1080"/>
      </w:pPr>
    </w:p>
    <w:p w14:paraId="0A416347" w14:textId="5A289E73" w:rsidR="00330F81" w:rsidRDefault="00330F81" w:rsidP="003C270D">
      <w:pPr>
        <w:pStyle w:val="ListParagraph"/>
        <w:ind w:left="1080"/>
      </w:pPr>
    </w:p>
    <w:p w14:paraId="63539251" w14:textId="182126E3" w:rsidR="00F856E8" w:rsidRDefault="00F856E8" w:rsidP="003C270D">
      <w:pPr>
        <w:pStyle w:val="ListParagraph"/>
        <w:ind w:left="1080"/>
      </w:pPr>
    </w:p>
    <w:p w14:paraId="402A18CF" w14:textId="41F9BDD1" w:rsidR="00150C60" w:rsidRPr="002E7C78" w:rsidRDefault="00150C60" w:rsidP="003C270D">
      <w:pPr>
        <w:pStyle w:val="ListParagraph"/>
        <w:numPr>
          <w:ilvl w:val="0"/>
          <w:numId w:val="7"/>
        </w:numPr>
        <w:rPr>
          <w:b/>
          <w:bCs/>
          <w:sz w:val="24"/>
          <w:szCs w:val="24"/>
          <w:u w:val="single"/>
        </w:rPr>
      </w:pPr>
      <w:r w:rsidRPr="002E7C78">
        <w:rPr>
          <w:b/>
          <w:bCs/>
          <w:sz w:val="24"/>
          <w:szCs w:val="24"/>
          <w:u w:val="single"/>
        </w:rPr>
        <w:t>Failure Mode (2)</w:t>
      </w:r>
      <w:r w:rsidR="00C01CA5" w:rsidRPr="002E7C78">
        <w:rPr>
          <w:b/>
          <w:bCs/>
          <w:sz w:val="24"/>
          <w:szCs w:val="24"/>
          <w:u w:val="single"/>
        </w:rPr>
        <w:t xml:space="preserve"> Rationale</w:t>
      </w:r>
      <w:r w:rsidRPr="002E7C78">
        <w:rPr>
          <w:b/>
          <w:bCs/>
          <w:sz w:val="24"/>
          <w:szCs w:val="24"/>
          <w:u w:val="single"/>
        </w:rPr>
        <w:t xml:space="preserve"> – </w:t>
      </w:r>
      <w:r w:rsidRPr="002E7C78">
        <w:rPr>
          <w:b/>
          <w:bCs/>
          <w:i/>
          <w:iCs/>
          <w:sz w:val="24"/>
          <w:szCs w:val="24"/>
          <w:u w:val="single"/>
        </w:rPr>
        <w:t>“Incorrect brake disc size installed”</w:t>
      </w:r>
    </w:p>
    <w:p w14:paraId="332B79AB" w14:textId="22811A77" w:rsidR="00150C60" w:rsidRDefault="00150C60" w:rsidP="003C270D">
      <w:pPr>
        <w:pStyle w:val="ListParagraph"/>
        <w:numPr>
          <w:ilvl w:val="2"/>
          <w:numId w:val="7"/>
        </w:numPr>
      </w:pPr>
      <w:r>
        <w:t xml:space="preserve">Occurrence </w:t>
      </w:r>
      <w:r w:rsidR="00D77498">
        <w:t>–</w:t>
      </w:r>
      <w:r>
        <w:t xml:space="preserve"> </w:t>
      </w:r>
      <w:r w:rsidR="00D77498">
        <w:t xml:space="preserve">Potential to occur if assembly line is multi-vehicle with the same fitment </w:t>
      </w:r>
      <w:r w:rsidR="00F856E8">
        <w:t xml:space="preserve">bolt pattern </w:t>
      </w:r>
      <w:r w:rsidR="00D77498">
        <w:t>(e.g. sports model with larger disc)</w:t>
      </w:r>
      <w:r w:rsidR="0050188A">
        <w:t>.</w:t>
      </w:r>
    </w:p>
    <w:p w14:paraId="7620771F" w14:textId="4AB5B4E0" w:rsidR="00D77498" w:rsidRDefault="00D77498" w:rsidP="003C270D">
      <w:pPr>
        <w:pStyle w:val="ListParagraph"/>
        <w:numPr>
          <w:ilvl w:val="2"/>
          <w:numId w:val="7"/>
        </w:numPr>
      </w:pPr>
      <w:r>
        <w:t xml:space="preserve">Severity – The contact surfaces of the disc and pads may not meet sufficiently resulting in </w:t>
      </w:r>
      <w:r w:rsidR="00C47F1C">
        <w:t xml:space="preserve">a loss of </w:t>
      </w:r>
      <w:r>
        <w:t xml:space="preserve">braking power. </w:t>
      </w:r>
    </w:p>
    <w:p w14:paraId="078D6776" w14:textId="4A0387A7" w:rsidR="00D77498" w:rsidRDefault="00D77498" w:rsidP="003C270D">
      <w:pPr>
        <w:pStyle w:val="ListParagraph"/>
        <w:numPr>
          <w:ilvl w:val="2"/>
          <w:numId w:val="7"/>
        </w:numPr>
      </w:pPr>
      <w:r>
        <w:t xml:space="preserve">Detection </w:t>
      </w:r>
      <w:r w:rsidR="00C47F1C">
        <w:t>–</w:t>
      </w:r>
      <w:r>
        <w:t xml:space="preserve"> </w:t>
      </w:r>
      <w:r w:rsidR="00C47F1C">
        <w:t>Likely to be detected</w:t>
      </w:r>
      <w:r w:rsidR="00C01CA5">
        <w:t xml:space="preserve"> by </w:t>
      </w:r>
      <w:r w:rsidR="00F856E8">
        <w:t xml:space="preserve">a </w:t>
      </w:r>
      <w:r w:rsidR="00C01CA5">
        <w:t>technician</w:t>
      </w:r>
      <w:r w:rsidR="00C47F1C">
        <w:t xml:space="preserve"> when fitting the brake calliper over the disc,</w:t>
      </w:r>
      <w:r w:rsidR="0045792A">
        <w:t xml:space="preserve"> however it </w:t>
      </w:r>
      <w:r w:rsidR="00C47F1C">
        <w:t xml:space="preserve">may be overlooked if </w:t>
      </w:r>
      <w:r w:rsidR="005B27C3">
        <w:t xml:space="preserve">there is </w:t>
      </w:r>
      <w:r w:rsidR="00C47F1C">
        <w:t>not an obvious size difference</w:t>
      </w:r>
      <w:r w:rsidR="00F856E8">
        <w:t>.</w:t>
      </w:r>
    </w:p>
    <w:p w14:paraId="28916E63" w14:textId="77777777" w:rsidR="003951DA" w:rsidRPr="003951DA" w:rsidRDefault="003951DA" w:rsidP="003C270D">
      <w:pPr>
        <w:pStyle w:val="ListParagraph"/>
        <w:numPr>
          <w:ilvl w:val="0"/>
          <w:numId w:val="7"/>
        </w:numPr>
        <w:rPr>
          <w:u w:val="single"/>
        </w:rPr>
      </w:pPr>
      <w:r w:rsidRPr="003951DA">
        <w:rPr>
          <w:u w:val="single"/>
        </w:rPr>
        <w:t xml:space="preserve">Proposed Mitigation Actions – </w:t>
      </w:r>
    </w:p>
    <w:p w14:paraId="3005B983" w14:textId="52BC3388" w:rsidR="00070CFE" w:rsidRPr="00150C60" w:rsidRDefault="00070CFE" w:rsidP="003C270D">
      <w:pPr>
        <w:pStyle w:val="ListParagraph"/>
        <w:numPr>
          <w:ilvl w:val="2"/>
          <w:numId w:val="12"/>
        </w:numPr>
      </w:pPr>
      <w:r>
        <w:t xml:space="preserve">An automated parts delivery system with barcode identified components should greatly reduce the risk of incorrect parts being fitted. A vehicle model should have a component list, which assigns specific bar coded components to the chassis. Upon the arrival of the chassis at the workstation, it should be scanned along with the brake disc bar code. The automated system should make the technician aware </w:t>
      </w:r>
      <w:r w:rsidR="00F856E8">
        <w:t>when</w:t>
      </w:r>
      <w:r>
        <w:t xml:space="preserve"> the brake disc scanned is not assigned to the chassis at the workstation. </w:t>
      </w:r>
      <w:r w:rsidR="0017742D">
        <w:t xml:space="preserve">Implementing RFID tags into parts is also a possibility, and has been introduced by Lockheed to their F-35 assembly line </w:t>
      </w:r>
      <w:r w:rsidR="0017742D" w:rsidRPr="0017742D">
        <w:rPr>
          <w:sz w:val="18"/>
          <w:szCs w:val="18"/>
        </w:rPr>
        <w:t>(Neil, 2014).</w:t>
      </w:r>
      <w:r w:rsidR="00336538">
        <w:rPr>
          <w:sz w:val="18"/>
          <w:szCs w:val="18"/>
        </w:rPr>
        <w:t xml:space="preserve"> </w:t>
      </w:r>
      <w:r w:rsidR="00336538" w:rsidRPr="00336538">
        <w:t xml:space="preserve">These are not physical barriers to fitting the wrong </w:t>
      </w:r>
      <w:r w:rsidR="00336538">
        <w:t>component</w:t>
      </w:r>
      <w:r w:rsidR="00336538" w:rsidRPr="00336538">
        <w:t>, however the traceability of the parts would mean this would likely be detected prior to releasing the vehicle from the plant</w:t>
      </w:r>
      <w:r w:rsidR="003A65A6">
        <w:t xml:space="preserve"> during final quality assurance checks.</w:t>
      </w:r>
    </w:p>
    <w:p w14:paraId="1F260B4F" w14:textId="77777777" w:rsidR="009432BD" w:rsidRPr="00150C60" w:rsidRDefault="009432BD" w:rsidP="003C270D">
      <w:pPr>
        <w:pStyle w:val="ListParagraph"/>
        <w:ind w:left="768"/>
      </w:pPr>
    </w:p>
    <w:p w14:paraId="31AE888B" w14:textId="118C9983" w:rsidR="005A21ED" w:rsidRPr="002E7C78" w:rsidRDefault="00C01CA5" w:rsidP="003C270D">
      <w:pPr>
        <w:pStyle w:val="ListParagraph"/>
        <w:numPr>
          <w:ilvl w:val="0"/>
          <w:numId w:val="7"/>
        </w:numPr>
        <w:rPr>
          <w:b/>
          <w:bCs/>
          <w:sz w:val="24"/>
          <w:szCs w:val="24"/>
          <w:u w:val="single"/>
        </w:rPr>
      </w:pPr>
      <w:r w:rsidRPr="002E7C78">
        <w:rPr>
          <w:b/>
          <w:bCs/>
          <w:sz w:val="24"/>
          <w:szCs w:val="24"/>
          <w:u w:val="single"/>
        </w:rPr>
        <w:t xml:space="preserve">Failure Mode (3) Rationale -  </w:t>
      </w:r>
      <w:r w:rsidRPr="002E7C78">
        <w:rPr>
          <w:b/>
          <w:bCs/>
          <w:i/>
          <w:iCs/>
          <w:sz w:val="24"/>
          <w:szCs w:val="24"/>
          <w:u w:val="single"/>
        </w:rPr>
        <w:t>“Brake pads installed in wrong orientation…”</w:t>
      </w:r>
    </w:p>
    <w:p w14:paraId="59E9F8D3" w14:textId="25DBBA10" w:rsidR="009432BD" w:rsidRPr="009432BD" w:rsidRDefault="009432BD" w:rsidP="003C270D">
      <w:pPr>
        <w:pStyle w:val="ListParagraph"/>
        <w:numPr>
          <w:ilvl w:val="2"/>
          <w:numId w:val="7"/>
        </w:numPr>
        <w:rPr>
          <w:b/>
          <w:bCs/>
          <w:u w:val="single"/>
        </w:rPr>
      </w:pPr>
      <w:r>
        <w:t>Occurrence – A competent technician would most likely not make this error, however human error cannot be overlooked.</w:t>
      </w:r>
    </w:p>
    <w:p w14:paraId="797DAC09" w14:textId="2DE208AF" w:rsidR="009432BD" w:rsidRPr="009432BD" w:rsidRDefault="009432BD" w:rsidP="003C270D">
      <w:pPr>
        <w:pStyle w:val="ListParagraph"/>
        <w:numPr>
          <w:ilvl w:val="2"/>
          <w:numId w:val="7"/>
        </w:numPr>
        <w:rPr>
          <w:b/>
          <w:bCs/>
          <w:u w:val="single"/>
        </w:rPr>
      </w:pPr>
      <w:r>
        <w:t>Severity – Major if not complete lack of braking power would occur.</w:t>
      </w:r>
    </w:p>
    <w:p w14:paraId="11CE0AEF" w14:textId="6374F6FB" w:rsidR="009432BD" w:rsidRPr="0017742D" w:rsidRDefault="009432BD" w:rsidP="003C270D">
      <w:pPr>
        <w:pStyle w:val="ListParagraph"/>
        <w:numPr>
          <w:ilvl w:val="2"/>
          <w:numId w:val="7"/>
        </w:numPr>
        <w:rPr>
          <w:b/>
          <w:bCs/>
          <w:u w:val="single"/>
        </w:rPr>
      </w:pPr>
      <w:r>
        <w:t>Detection – Once fitted within the calliper</w:t>
      </w:r>
      <w:r w:rsidR="008763EB">
        <w:t>, the pads are not easily visible. It is</w:t>
      </w:r>
      <w:r>
        <w:t xml:space="preserve"> very unlikely that the error would be detected by a second technician.</w:t>
      </w:r>
    </w:p>
    <w:p w14:paraId="1933E4AF" w14:textId="7DDE0D52" w:rsidR="0017742D" w:rsidRPr="003951DA" w:rsidRDefault="003951DA" w:rsidP="003C270D">
      <w:pPr>
        <w:pStyle w:val="ListParagraph"/>
        <w:numPr>
          <w:ilvl w:val="0"/>
          <w:numId w:val="7"/>
        </w:numPr>
        <w:rPr>
          <w:u w:val="single"/>
        </w:rPr>
      </w:pPr>
      <w:r w:rsidRPr="003951DA">
        <w:rPr>
          <w:u w:val="single"/>
        </w:rPr>
        <w:t xml:space="preserve">Proposed </w:t>
      </w:r>
      <w:r w:rsidR="0017742D" w:rsidRPr="003951DA">
        <w:rPr>
          <w:u w:val="single"/>
        </w:rPr>
        <w:t xml:space="preserve">Mitigation Actions – </w:t>
      </w:r>
    </w:p>
    <w:p w14:paraId="157B64BD" w14:textId="5031F677" w:rsidR="00A741E4" w:rsidRDefault="00BB6179" w:rsidP="003C270D">
      <w:pPr>
        <w:pStyle w:val="ListParagraph"/>
        <w:numPr>
          <w:ilvl w:val="2"/>
          <w:numId w:val="13"/>
        </w:numPr>
      </w:pPr>
      <w:r>
        <w:t>Using a traceable automated parts system, vehicle specific parts can be preassembled or made into kits</w:t>
      </w:r>
      <w:r w:rsidR="00CB48AF">
        <w:t xml:space="preserve"> ready for chassis fitment on the final assembly line</w:t>
      </w:r>
      <w:r>
        <w:t xml:space="preserve"> (</w:t>
      </w:r>
      <w:r w:rsidRPr="00BB6179">
        <w:rPr>
          <w:rFonts w:cstheme="minorHAnsi"/>
          <w:color w:val="000000"/>
          <w:spacing w:val="2"/>
          <w:sz w:val="18"/>
          <w:szCs w:val="18"/>
          <w:shd w:val="clear" w:color="auto" w:fill="FFFFFF"/>
        </w:rPr>
        <w:t>Krammer, Neef, and Plapper,</w:t>
      </w:r>
      <w:r w:rsidR="00CB48AF">
        <w:rPr>
          <w:rFonts w:cstheme="minorHAnsi"/>
          <w:color w:val="000000"/>
          <w:spacing w:val="2"/>
          <w:sz w:val="18"/>
          <w:szCs w:val="18"/>
          <w:shd w:val="clear" w:color="auto" w:fill="FFFFFF"/>
        </w:rPr>
        <w:t xml:space="preserve"> </w:t>
      </w:r>
      <w:r>
        <w:rPr>
          <w:rFonts w:cstheme="minorHAnsi"/>
          <w:color w:val="000000"/>
          <w:spacing w:val="2"/>
          <w:sz w:val="18"/>
          <w:szCs w:val="18"/>
          <w:shd w:val="clear" w:color="auto" w:fill="FFFFFF"/>
        </w:rPr>
        <w:t>2011)</w:t>
      </w:r>
      <w:r>
        <w:t>. A pre-assembled calliper ensures that at least two technicians have witnessed the brake pad orientation; the technician that pre-assembled</w:t>
      </w:r>
      <w:r w:rsidR="00A741E4">
        <w:t xml:space="preserve"> the calliper</w:t>
      </w:r>
      <w:r>
        <w:t xml:space="preserve">, and </w:t>
      </w:r>
      <w:r w:rsidR="00A741E4">
        <w:t>the technician that fitted the calliper to the chassis</w:t>
      </w:r>
      <w:r w:rsidR="00B37782">
        <w:t xml:space="preserve"> acting as a secondary checker.</w:t>
      </w:r>
    </w:p>
    <w:p w14:paraId="252AC484" w14:textId="069D621A" w:rsidR="00A741E4" w:rsidRDefault="00A741E4" w:rsidP="003C270D">
      <w:pPr>
        <w:pStyle w:val="ListParagraph"/>
        <w:numPr>
          <w:ilvl w:val="2"/>
          <w:numId w:val="13"/>
        </w:numPr>
      </w:pPr>
      <w:r>
        <w:t xml:space="preserve">Once assembly of the vehicle is completed, a quality test should be performed prior to the vehicle leaving the plant. The braking efficiency should be tested </w:t>
      </w:r>
      <w:r w:rsidR="00F65914">
        <w:t xml:space="preserve">and meet </w:t>
      </w:r>
      <w:r w:rsidR="00F65914">
        <w:lastRenderedPageBreak/>
        <w:t>specification set by a control vehicle</w:t>
      </w:r>
      <w:r w:rsidR="00336538">
        <w:t xml:space="preserve"> on an automated brake tester.</w:t>
      </w:r>
      <w:r w:rsidR="00061E83">
        <w:t xml:space="preserve"> It is very unlikely that the vehicle would meet the test requirements with incorrectly installed brake pads.</w:t>
      </w:r>
    </w:p>
    <w:p w14:paraId="06B8EE12" w14:textId="77777777" w:rsidR="00061E83" w:rsidRDefault="00061E83" w:rsidP="003C270D">
      <w:pPr>
        <w:pStyle w:val="ListParagraph"/>
        <w:ind w:left="1080"/>
      </w:pPr>
    </w:p>
    <w:p w14:paraId="490E709F" w14:textId="77C95E6F" w:rsidR="00DF31FD" w:rsidRPr="002E7C78" w:rsidRDefault="008763EB" w:rsidP="003C270D">
      <w:pPr>
        <w:pStyle w:val="ListParagraph"/>
        <w:numPr>
          <w:ilvl w:val="0"/>
          <w:numId w:val="7"/>
        </w:numPr>
        <w:rPr>
          <w:b/>
          <w:bCs/>
          <w:sz w:val="24"/>
          <w:szCs w:val="24"/>
          <w:u w:val="single"/>
        </w:rPr>
      </w:pPr>
      <w:r w:rsidRPr="002E7C78">
        <w:rPr>
          <w:b/>
          <w:bCs/>
          <w:sz w:val="24"/>
          <w:szCs w:val="24"/>
          <w:u w:val="single"/>
        </w:rPr>
        <w:t xml:space="preserve">Failure Mode (4) Rationale – </w:t>
      </w:r>
      <w:r w:rsidRPr="002E7C78">
        <w:rPr>
          <w:b/>
          <w:bCs/>
          <w:i/>
          <w:iCs/>
          <w:sz w:val="24"/>
          <w:szCs w:val="24"/>
          <w:u w:val="single"/>
        </w:rPr>
        <w:t>“Brake line fitting not fully tightened”</w:t>
      </w:r>
    </w:p>
    <w:p w14:paraId="0338D0B3" w14:textId="71CF95CD" w:rsidR="008763EB" w:rsidRDefault="008763EB" w:rsidP="003C270D">
      <w:pPr>
        <w:pStyle w:val="ListParagraph"/>
        <w:numPr>
          <w:ilvl w:val="2"/>
          <w:numId w:val="7"/>
        </w:numPr>
      </w:pPr>
      <w:r w:rsidRPr="008763EB">
        <w:t xml:space="preserve">Occurrence </w:t>
      </w:r>
      <w:r w:rsidR="007470BA">
        <w:t>–</w:t>
      </w:r>
      <w:r w:rsidRPr="008763EB">
        <w:t xml:space="preserve"> </w:t>
      </w:r>
      <w:r>
        <w:t>Potentially</w:t>
      </w:r>
      <w:r w:rsidR="007470BA">
        <w:t>,</w:t>
      </w:r>
      <w:r>
        <w:t xml:space="preserve"> without the correct tools (i.e. torque wrench) the </w:t>
      </w:r>
      <w:r w:rsidR="00AE0072">
        <w:t>hose fittings</w:t>
      </w:r>
      <w:r>
        <w:t xml:space="preserve"> could be insufficiently tightened, however it is likely a competent technician could judge this sufficiently for this not to occur every time.</w:t>
      </w:r>
    </w:p>
    <w:p w14:paraId="7318A1CC" w14:textId="3FAE74B5" w:rsidR="00AE0072" w:rsidRDefault="00AE0072" w:rsidP="003C270D">
      <w:pPr>
        <w:pStyle w:val="ListParagraph"/>
        <w:numPr>
          <w:ilvl w:val="2"/>
          <w:numId w:val="7"/>
        </w:numPr>
      </w:pPr>
      <w:r>
        <w:t>Severity – Potential to cause a complete brake failure if sufficiently lo</w:t>
      </w:r>
      <w:r w:rsidR="002B1EF2">
        <w:t>o</w:t>
      </w:r>
      <w:r>
        <w:t>se that there is no fluid pressure. It could be the case of a small leak coat</w:t>
      </w:r>
      <w:r w:rsidR="002B1EF2">
        <w:t>ing</w:t>
      </w:r>
      <w:r>
        <w:t xml:space="preserve"> the contact surfaces of the discs and pads. Additionally, any fluid leak from a motorcycle could cause lack of rear wheel traction. Brake fluid Dot 4 also falls under COSSH regulations as a serious health hazard </w:t>
      </w:r>
      <w:r w:rsidRPr="00392B73">
        <w:rPr>
          <w:i/>
          <w:iCs/>
          <w:sz w:val="18"/>
          <w:szCs w:val="18"/>
        </w:rPr>
        <w:t>(Morris Lubricants, 201</w:t>
      </w:r>
      <w:r w:rsidR="000650E3" w:rsidRPr="00392B73">
        <w:rPr>
          <w:i/>
          <w:iCs/>
          <w:sz w:val="18"/>
          <w:szCs w:val="18"/>
        </w:rPr>
        <w:t>5</w:t>
      </w:r>
      <w:r w:rsidRPr="00392B73">
        <w:rPr>
          <w:i/>
          <w:iCs/>
          <w:sz w:val="18"/>
          <w:szCs w:val="18"/>
        </w:rPr>
        <w:t>)</w:t>
      </w:r>
      <w:r w:rsidRPr="00392B73">
        <w:rPr>
          <w:sz w:val="18"/>
          <w:szCs w:val="18"/>
        </w:rPr>
        <w:t xml:space="preserve"> </w:t>
      </w:r>
      <w:r>
        <w:t>and can damage painted vehicle components.</w:t>
      </w:r>
    </w:p>
    <w:p w14:paraId="25060BB3" w14:textId="663759B3" w:rsidR="000B0C4C" w:rsidRDefault="000B0C4C" w:rsidP="003C270D">
      <w:pPr>
        <w:pStyle w:val="ListParagraph"/>
        <w:numPr>
          <w:ilvl w:val="2"/>
          <w:numId w:val="7"/>
        </w:numPr>
      </w:pPr>
      <w:r>
        <w:t>Detection – If sufficiently loose a leak may be detected. It is likely to only be detected on application of the brakes, where a leak will occur under pressure</w:t>
      </w:r>
      <w:r w:rsidR="00203AFC">
        <w:t xml:space="preserve"> before the lever loses resistance,</w:t>
      </w:r>
      <w:r>
        <w:t xml:space="preserve"> or the brake lever will immediately have no resistance.</w:t>
      </w:r>
    </w:p>
    <w:p w14:paraId="66067CBE" w14:textId="21EC780A" w:rsidR="00E81E54" w:rsidRDefault="00E81E54" w:rsidP="003C270D">
      <w:pPr>
        <w:pStyle w:val="ListParagraph"/>
        <w:numPr>
          <w:ilvl w:val="0"/>
          <w:numId w:val="7"/>
        </w:numPr>
        <w:rPr>
          <w:u w:val="single"/>
        </w:rPr>
      </w:pPr>
      <w:r w:rsidRPr="003951DA">
        <w:rPr>
          <w:u w:val="single"/>
        </w:rPr>
        <w:t xml:space="preserve">Proposed Mitigation Actions – </w:t>
      </w:r>
    </w:p>
    <w:p w14:paraId="07C5EA82" w14:textId="48802B46" w:rsidR="00E81E54" w:rsidRDefault="00E81E54" w:rsidP="003C270D">
      <w:pPr>
        <w:pStyle w:val="ListParagraph"/>
        <w:numPr>
          <w:ilvl w:val="2"/>
          <w:numId w:val="7"/>
        </w:numPr>
      </w:pPr>
      <w:r>
        <w:t xml:space="preserve">Correctly calibrated tools should be used and technicians should have sufficient training in their use. Due to the safety critical nature, a dedicated tool pre-set to the correct torque setting would be preferred. Unapproved tools should not be kept at this workstation in order to avoid their use. </w:t>
      </w:r>
    </w:p>
    <w:p w14:paraId="2E5ECFD1" w14:textId="40F36012" w:rsidR="00E81E54" w:rsidRDefault="00E81E54" w:rsidP="003C270D">
      <w:pPr>
        <w:pStyle w:val="ListParagraph"/>
        <w:numPr>
          <w:ilvl w:val="2"/>
          <w:numId w:val="7"/>
        </w:numPr>
      </w:pPr>
      <w:r>
        <w:t xml:space="preserve">Once assembly of the vehicle is completed, a quality test should be performed prior to the vehicle leaving the plant. The braking efficiency should be tested and meet specification set by a control vehicle on an automated brake tester. </w:t>
      </w:r>
      <w:r w:rsidR="00715E1A">
        <w:t>Upon a satisfactory result</w:t>
      </w:r>
      <w:r>
        <w:t>, a final visual inspection of the brake fittings should be performed and recorded</w:t>
      </w:r>
      <w:r w:rsidR="003C4E4B">
        <w:t xml:space="preserve"> as complete.</w:t>
      </w:r>
    </w:p>
    <w:p w14:paraId="7808E961" w14:textId="77777777" w:rsidR="00E81E54" w:rsidRPr="00E81E54" w:rsidRDefault="00E81E54" w:rsidP="00E81E54">
      <w:pPr>
        <w:pStyle w:val="ListParagraph"/>
        <w:ind w:left="1080"/>
        <w:jc w:val="both"/>
      </w:pPr>
    </w:p>
    <w:p w14:paraId="7479217C" w14:textId="77777777" w:rsidR="00E81E54" w:rsidRPr="008763EB" w:rsidRDefault="00E81E54" w:rsidP="00E81E54">
      <w:pPr>
        <w:pStyle w:val="ListParagraph"/>
        <w:ind w:left="1080"/>
        <w:jc w:val="both"/>
      </w:pPr>
    </w:p>
    <w:p w14:paraId="7F0223BD" w14:textId="689E517A" w:rsidR="005A21ED" w:rsidRDefault="005A21ED" w:rsidP="005A21ED">
      <w:pPr>
        <w:pStyle w:val="ListParagraph"/>
        <w:ind w:left="768"/>
      </w:pPr>
    </w:p>
    <w:p w14:paraId="1CA89E4C" w14:textId="1A52585D" w:rsidR="002E723F" w:rsidRDefault="002E723F" w:rsidP="005A21ED">
      <w:pPr>
        <w:pStyle w:val="ListParagraph"/>
        <w:ind w:left="768"/>
      </w:pPr>
    </w:p>
    <w:p w14:paraId="64149EB5" w14:textId="06196511" w:rsidR="002E723F" w:rsidRDefault="002E723F" w:rsidP="005A21ED">
      <w:pPr>
        <w:pStyle w:val="ListParagraph"/>
        <w:ind w:left="768"/>
      </w:pPr>
    </w:p>
    <w:p w14:paraId="1746F274" w14:textId="17D0053D" w:rsidR="002E723F" w:rsidRDefault="002E723F" w:rsidP="005A21ED">
      <w:pPr>
        <w:pStyle w:val="ListParagraph"/>
        <w:ind w:left="768"/>
      </w:pPr>
    </w:p>
    <w:p w14:paraId="2265B85F" w14:textId="335EEBBB" w:rsidR="002E723F" w:rsidRDefault="002E723F" w:rsidP="005A21ED">
      <w:pPr>
        <w:pStyle w:val="ListParagraph"/>
        <w:ind w:left="768"/>
      </w:pPr>
    </w:p>
    <w:p w14:paraId="5B8628E4" w14:textId="44DBA95D" w:rsidR="002E723F" w:rsidRDefault="002E723F" w:rsidP="005A21ED">
      <w:pPr>
        <w:pStyle w:val="ListParagraph"/>
        <w:ind w:left="768"/>
      </w:pPr>
    </w:p>
    <w:p w14:paraId="39FD3C43" w14:textId="42FDAA42" w:rsidR="002E723F" w:rsidRDefault="002E723F" w:rsidP="005A21ED">
      <w:pPr>
        <w:pStyle w:val="ListParagraph"/>
        <w:ind w:left="768"/>
      </w:pPr>
    </w:p>
    <w:p w14:paraId="562C3EEC" w14:textId="7764F352" w:rsidR="00E06435" w:rsidRPr="008C4C0E" w:rsidRDefault="008C4C0E" w:rsidP="008C4C0E">
      <w:pPr>
        <w:pStyle w:val="Heading2"/>
        <w:rPr>
          <w:u w:val="single"/>
        </w:rPr>
      </w:pPr>
      <w:bookmarkStart w:id="5" w:name="_Toc65880609"/>
      <w:r w:rsidRPr="008C4C0E">
        <w:rPr>
          <w:u w:val="single"/>
        </w:rPr>
        <w:lastRenderedPageBreak/>
        <w:t xml:space="preserve">3.2 </w:t>
      </w:r>
      <w:r w:rsidR="00E06435" w:rsidRPr="008C4C0E">
        <w:rPr>
          <w:u w:val="single"/>
        </w:rPr>
        <w:t>Post-Mitigation FMEA</w:t>
      </w:r>
      <w:bookmarkEnd w:id="5"/>
    </w:p>
    <w:p w14:paraId="07817507" w14:textId="44647A08" w:rsidR="002E723F" w:rsidRDefault="002E723F" w:rsidP="002E723F">
      <w:pPr>
        <w:pStyle w:val="Caption"/>
        <w:keepNext/>
        <w:jc w:val="center"/>
      </w:pPr>
      <w:r>
        <w:t xml:space="preserve">Table </w:t>
      </w:r>
      <w:fldSimple w:instr=" SEQ Table \* ARABIC ">
        <w:r w:rsidR="000A5D2A">
          <w:rPr>
            <w:noProof/>
          </w:rPr>
          <w:t>2</w:t>
        </w:r>
      </w:fldSimple>
      <w:r>
        <w:t xml:space="preserve"> - FMEA conducted after mitigation actions</w:t>
      </w:r>
      <w:r w:rsidR="00330F81">
        <w:t xml:space="preserve"> outlined p</w:t>
      </w:r>
      <w:r w:rsidR="00F06F9A">
        <w:t>r</w:t>
      </w:r>
      <w:r w:rsidR="00330F81">
        <w:t>eviously</w:t>
      </w:r>
      <w:r>
        <w:t xml:space="preserve"> had been completed.</w:t>
      </w:r>
    </w:p>
    <w:p w14:paraId="5E86EFC4" w14:textId="37A217CE" w:rsidR="00E06435" w:rsidRDefault="002E723F" w:rsidP="000A5D2A">
      <w:pPr>
        <w:jc w:val="center"/>
      </w:pPr>
      <w:r w:rsidRPr="002E723F">
        <w:rPr>
          <w:noProof/>
        </w:rPr>
        <w:drawing>
          <wp:inline distT="0" distB="0" distL="0" distR="0" wp14:anchorId="264F2ED3" wp14:editId="43B9C348">
            <wp:extent cx="5608320" cy="32981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4642" cy="3301853"/>
                    </a:xfrm>
                    <a:prstGeom prst="rect">
                      <a:avLst/>
                    </a:prstGeom>
                    <a:noFill/>
                    <a:ln>
                      <a:noFill/>
                    </a:ln>
                  </pic:spPr>
                </pic:pic>
              </a:graphicData>
            </a:graphic>
          </wp:inline>
        </w:drawing>
      </w:r>
    </w:p>
    <w:p w14:paraId="60781672" w14:textId="2E663729" w:rsidR="007470BA" w:rsidRPr="000A5D2A" w:rsidRDefault="000A5D2A" w:rsidP="000A5D2A">
      <w:pPr>
        <w:pStyle w:val="Heading2"/>
        <w:rPr>
          <w:u w:val="single"/>
        </w:rPr>
      </w:pPr>
      <w:bookmarkStart w:id="6" w:name="_Toc65880610"/>
      <w:r w:rsidRPr="000A5D2A">
        <w:rPr>
          <w:u w:val="single"/>
        </w:rPr>
        <w:t xml:space="preserve">3.3 Pre and Post-Mitigation Action </w:t>
      </w:r>
      <w:r w:rsidR="00CA4D9B">
        <w:rPr>
          <w:u w:val="single"/>
        </w:rPr>
        <w:t>FMEA Comparison</w:t>
      </w:r>
      <w:bookmarkEnd w:id="6"/>
    </w:p>
    <w:p w14:paraId="1F72CCCE" w14:textId="721B3D42" w:rsidR="000A5D2A" w:rsidRDefault="000A5D2A" w:rsidP="000A5D2A">
      <w:pPr>
        <w:pStyle w:val="Caption"/>
        <w:keepNext/>
        <w:jc w:val="center"/>
      </w:pPr>
      <w:r>
        <w:t xml:space="preserve">Table </w:t>
      </w:r>
      <w:fldSimple w:instr=" SEQ Table \* ARABIC ">
        <w:r>
          <w:rPr>
            <w:noProof/>
          </w:rPr>
          <w:t>3</w:t>
        </w:r>
      </w:fldSimple>
      <w:r>
        <w:t xml:space="preserve"> - Comparison of RPN values.</w:t>
      </w:r>
    </w:p>
    <w:p w14:paraId="39E306A9" w14:textId="6DFC0806" w:rsidR="007470BA" w:rsidRDefault="000A5D2A" w:rsidP="000A5D2A">
      <w:pPr>
        <w:jc w:val="center"/>
      </w:pPr>
      <w:r w:rsidRPr="000A5D2A">
        <w:rPr>
          <w:noProof/>
        </w:rPr>
        <w:drawing>
          <wp:inline distT="0" distB="0" distL="0" distR="0" wp14:anchorId="5449E1B5" wp14:editId="514849E6">
            <wp:extent cx="4693920" cy="38736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7072" cy="3884475"/>
                    </a:xfrm>
                    <a:prstGeom prst="rect">
                      <a:avLst/>
                    </a:prstGeom>
                    <a:noFill/>
                    <a:ln>
                      <a:noFill/>
                    </a:ln>
                  </pic:spPr>
                </pic:pic>
              </a:graphicData>
            </a:graphic>
          </wp:inline>
        </w:drawing>
      </w:r>
    </w:p>
    <w:p w14:paraId="288B2876" w14:textId="77777777" w:rsidR="00EA50F4" w:rsidRDefault="00E06435" w:rsidP="00DF51D0">
      <w:pPr>
        <w:pStyle w:val="Heading1"/>
        <w:numPr>
          <w:ilvl w:val="0"/>
          <w:numId w:val="1"/>
        </w:numPr>
      </w:pPr>
      <w:bookmarkStart w:id="7" w:name="_Toc65880611"/>
      <w:r>
        <w:lastRenderedPageBreak/>
        <w:t>Conclusion</w:t>
      </w:r>
      <w:bookmarkEnd w:id="7"/>
    </w:p>
    <w:p w14:paraId="2238353C" w14:textId="583BDD6E" w:rsidR="00E06435" w:rsidRPr="00EA50F4" w:rsidRDefault="00EA50F4" w:rsidP="003C270D">
      <w:pPr>
        <w:jc w:val="both"/>
        <w:rPr>
          <w:rFonts w:asciiTheme="majorHAnsi" w:eastAsiaTheme="majorEastAsia" w:hAnsiTheme="majorHAnsi" w:cstheme="majorBidi"/>
          <w:b/>
          <w:color w:val="2F5496" w:themeColor="accent1" w:themeShade="BF"/>
          <w:sz w:val="32"/>
          <w:szCs w:val="32"/>
          <w:u w:val="single"/>
        </w:rPr>
      </w:pPr>
      <w:r>
        <w:t xml:space="preserve"> As shown in table 3, failure mode risk can be dramatically reduced using FMEA’s</w:t>
      </w:r>
      <w:r w:rsidR="00DD5220">
        <w:t xml:space="preserve"> and implementing mitigation action</w:t>
      </w:r>
      <w:r>
        <w:t>.</w:t>
      </w:r>
      <w:r w:rsidR="00896595">
        <w:t xml:space="preserve"> By analysing a process that from the offset seem</w:t>
      </w:r>
      <w:r w:rsidR="00C52430">
        <w:t>s</w:t>
      </w:r>
      <w:r w:rsidR="00896595">
        <w:t xml:space="preserve"> relatively straight forward, possible failures can be identified and prioritised, enabling resources to be focused on minimising the greatest</w:t>
      </w:r>
      <w:r w:rsidR="00C52430">
        <w:t xml:space="preserve"> risk</w:t>
      </w:r>
      <w:r w:rsidR="00896595">
        <w:t xml:space="preserve">. </w:t>
      </w:r>
      <w:r w:rsidR="00C52430">
        <w:t>Especially important to larger manufacturing and assembly facilities, a systematic approach to addressing risk reduces the likelihood of an underestimated or unforeseen failure</w:t>
      </w:r>
      <w:r w:rsidR="00262958">
        <w:t xml:space="preserve"> </w:t>
      </w:r>
      <w:r w:rsidR="00262958" w:rsidRPr="00262958">
        <w:rPr>
          <w:sz w:val="18"/>
          <w:szCs w:val="18"/>
        </w:rPr>
        <w:t>(</w:t>
      </w:r>
      <w:proofErr w:type="spellStart"/>
      <w:r w:rsidR="00262958" w:rsidRPr="00262958">
        <w:rPr>
          <w:sz w:val="18"/>
          <w:szCs w:val="18"/>
        </w:rPr>
        <w:t>Baynal</w:t>
      </w:r>
      <w:proofErr w:type="spellEnd"/>
      <w:r w:rsidR="00262958" w:rsidRPr="00262958">
        <w:rPr>
          <w:sz w:val="18"/>
          <w:szCs w:val="18"/>
        </w:rPr>
        <w:t xml:space="preserve">, Sari and </w:t>
      </w:r>
      <w:proofErr w:type="spellStart"/>
      <w:r w:rsidR="00262958" w:rsidRPr="00262958">
        <w:rPr>
          <w:sz w:val="18"/>
          <w:szCs w:val="18"/>
        </w:rPr>
        <w:t>Akpinar</w:t>
      </w:r>
      <w:proofErr w:type="spellEnd"/>
      <w:r w:rsidR="00262958" w:rsidRPr="00262958">
        <w:rPr>
          <w:sz w:val="18"/>
          <w:szCs w:val="18"/>
        </w:rPr>
        <w:t>, 2018)</w:t>
      </w:r>
      <w:r w:rsidR="00C52430" w:rsidRPr="00262958">
        <w:rPr>
          <w:sz w:val="18"/>
          <w:szCs w:val="18"/>
        </w:rPr>
        <w:t>.</w:t>
      </w:r>
    </w:p>
    <w:p w14:paraId="283425E5" w14:textId="0B320832" w:rsidR="00E06435" w:rsidRDefault="00E06435" w:rsidP="00F84777">
      <w:pPr>
        <w:pStyle w:val="Heading1"/>
        <w:numPr>
          <w:ilvl w:val="0"/>
          <w:numId w:val="1"/>
        </w:numPr>
      </w:pPr>
      <w:bookmarkStart w:id="8" w:name="_Toc65880612"/>
      <w:r>
        <w:t>References</w:t>
      </w:r>
      <w:r w:rsidR="002D4A2C">
        <w:t xml:space="preserve"> and Bibli</w:t>
      </w:r>
      <w:r w:rsidR="00161558">
        <w:t>o</w:t>
      </w:r>
      <w:r w:rsidR="002D4A2C">
        <w:t>graphy</w:t>
      </w:r>
      <w:bookmarkEnd w:id="8"/>
    </w:p>
    <w:p w14:paraId="481EEBC6" w14:textId="4B96440F" w:rsidR="002D4A2C" w:rsidRPr="002D4A2C" w:rsidRDefault="002D4A2C" w:rsidP="002D4A2C">
      <w:pPr>
        <w:pStyle w:val="Heading2"/>
        <w:rPr>
          <w:u w:val="single"/>
        </w:rPr>
      </w:pPr>
      <w:bookmarkStart w:id="9" w:name="_Toc65880613"/>
      <w:r w:rsidRPr="002D4A2C">
        <w:rPr>
          <w:u w:val="single"/>
        </w:rPr>
        <w:t>5.1 References</w:t>
      </w:r>
      <w:bookmarkEnd w:id="9"/>
    </w:p>
    <w:p w14:paraId="3C8E730E" w14:textId="6388AFEF" w:rsidR="00262958" w:rsidRPr="00262958" w:rsidRDefault="00262958" w:rsidP="00B0676C">
      <w:pPr>
        <w:jc w:val="both"/>
        <w:rPr>
          <w:sz w:val="18"/>
          <w:szCs w:val="18"/>
        </w:rPr>
      </w:pPr>
      <w:proofErr w:type="spellStart"/>
      <w:r w:rsidRPr="00262958">
        <w:rPr>
          <w:sz w:val="18"/>
          <w:szCs w:val="18"/>
        </w:rPr>
        <w:t>Baynal,K</w:t>
      </w:r>
      <w:proofErr w:type="spellEnd"/>
      <w:r w:rsidRPr="00262958">
        <w:rPr>
          <w:sz w:val="18"/>
          <w:szCs w:val="18"/>
        </w:rPr>
        <w:t xml:space="preserve">., Sari T., </w:t>
      </w:r>
      <w:proofErr w:type="spellStart"/>
      <w:r w:rsidRPr="00262958">
        <w:rPr>
          <w:sz w:val="18"/>
          <w:szCs w:val="18"/>
        </w:rPr>
        <w:t>Akpinar</w:t>
      </w:r>
      <w:proofErr w:type="spellEnd"/>
      <w:r w:rsidRPr="00262958">
        <w:rPr>
          <w:sz w:val="18"/>
          <w:szCs w:val="18"/>
        </w:rPr>
        <w:t xml:space="preserve"> B. (2018), ‘</w:t>
      </w:r>
      <w:r w:rsidRPr="00262958">
        <w:rPr>
          <w:i/>
          <w:iCs/>
          <w:sz w:val="18"/>
          <w:szCs w:val="18"/>
        </w:rPr>
        <w:t>Risk Management in Automotive Manufacturing Process based on FMEA and Grey Relational Analysis: A Case Study’</w:t>
      </w:r>
      <w:r>
        <w:rPr>
          <w:sz w:val="18"/>
          <w:szCs w:val="18"/>
        </w:rPr>
        <w:t>, Advances in Production Engineering &amp; Management, Vol</w:t>
      </w:r>
      <w:r w:rsidR="00D40995">
        <w:rPr>
          <w:sz w:val="18"/>
          <w:szCs w:val="18"/>
        </w:rPr>
        <w:t xml:space="preserve">. </w:t>
      </w:r>
      <w:r>
        <w:rPr>
          <w:sz w:val="18"/>
          <w:szCs w:val="18"/>
        </w:rPr>
        <w:t>13, No. 1, pp 69-80</w:t>
      </w:r>
      <w:r w:rsidR="00D40995">
        <w:rPr>
          <w:sz w:val="18"/>
          <w:szCs w:val="18"/>
        </w:rPr>
        <w:t>.</w:t>
      </w:r>
    </w:p>
    <w:p w14:paraId="0E520EEC" w14:textId="0000DF98" w:rsidR="0074419C" w:rsidRPr="00502A20" w:rsidRDefault="0074419C" w:rsidP="00B0676C">
      <w:pPr>
        <w:jc w:val="both"/>
        <w:rPr>
          <w:sz w:val="18"/>
          <w:szCs w:val="18"/>
        </w:rPr>
      </w:pPr>
      <w:r w:rsidRPr="00502A20">
        <w:rPr>
          <w:sz w:val="18"/>
          <w:szCs w:val="18"/>
        </w:rPr>
        <w:t xml:space="preserve">Horn, M </w:t>
      </w:r>
      <w:r w:rsidR="007A4D0D">
        <w:rPr>
          <w:sz w:val="18"/>
          <w:szCs w:val="18"/>
        </w:rPr>
        <w:t>(</w:t>
      </w:r>
      <w:r w:rsidRPr="00502A20">
        <w:rPr>
          <w:sz w:val="18"/>
          <w:szCs w:val="18"/>
        </w:rPr>
        <w:t>2015</w:t>
      </w:r>
      <w:r w:rsidR="007A4D0D">
        <w:rPr>
          <w:sz w:val="18"/>
          <w:szCs w:val="18"/>
        </w:rPr>
        <w:t>)</w:t>
      </w:r>
      <w:r w:rsidRPr="00502A20">
        <w:rPr>
          <w:sz w:val="18"/>
          <w:szCs w:val="18"/>
        </w:rPr>
        <w:t xml:space="preserve">, </w:t>
      </w:r>
      <w:r w:rsidR="0080034A" w:rsidRPr="00502A20">
        <w:rPr>
          <w:sz w:val="18"/>
          <w:szCs w:val="18"/>
        </w:rPr>
        <w:t>‘</w:t>
      </w:r>
      <w:r w:rsidRPr="00502A20">
        <w:rPr>
          <w:i/>
          <w:iCs/>
          <w:sz w:val="18"/>
          <w:szCs w:val="18"/>
        </w:rPr>
        <w:t>Testimony of Michael Horn, President and CEO of Volkswagen Group of America, Inc.</w:t>
      </w:r>
      <w:r w:rsidR="0080034A" w:rsidRPr="00502A20">
        <w:rPr>
          <w:i/>
          <w:iCs/>
          <w:sz w:val="18"/>
          <w:szCs w:val="18"/>
        </w:rPr>
        <w:t>’</w:t>
      </w:r>
      <w:r w:rsidRPr="00502A20">
        <w:rPr>
          <w:i/>
          <w:iCs/>
          <w:sz w:val="18"/>
          <w:szCs w:val="18"/>
        </w:rPr>
        <w:t xml:space="preserve">, </w:t>
      </w:r>
      <w:r w:rsidRPr="00502A20">
        <w:rPr>
          <w:sz w:val="18"/>
          <w:szCs w:val="18"/>
        </w:rPr>
        <w:t xml:space="preserve">Before the House Committee on Energy and Commerce Subcommittee on Oversight and Investigations, 08-Oct-2015, Accessed 24-Feb-2021, Available at </w:t>
      </w:r>
      <w:r w:rsidR="0080034A" w:rsidRPr="00502A20">
        <w:rPr>
          <w:sz w:val="18"/>
          <w:szCs w:val="18"/>
        </w:rPr>
        <w:t>[</w:t>
      </w:r>
      <w:r w:rsidRPr="00502A20">
        <w:rPr>
          <w:sz w:val="18"/>
          <w:szCs w:val="18"/>
        </w:rPr>
        <w:t>https://docs.house.gov/meetings/IF/IF02/20151008/104046/HHRG-114-IF02-Wstate-HornM-20151008.pdf</w:t>
      </w:r>
      <w:r w:rsidR="0080034A" w:rsidRPr="00502A20">
        <w:rPr>
          <w:sz w:val="18"/>
          <w:szCs w:val="18"/>
        </w:rPr>
        <w:t>]</w:t>
      </w:r>
      <w:r w:rsidR="004947B9">
        <w:rPr>
          <w:sz w:val="18"/>
          <w:szCs w:val="18"/>
        </w:rPr>
        <w:t>.</w:t>
      </w:r>
    </w:p>
    <w:p w14:paraId="54081528" w14:textId="62FBE43E" w:rsidR="00BB6179" w:rsidRDefault="00EF2A7A" w:rsidP="00B0676C">
      <w:pPr>
        <w:jc w:val="both"/>
        <w:rPr>
          <w:sz w:val="18"/>
          <w:szCs w:val="18"/>
        </w:rPr>
      </w:pPr>
      <w:r w:rsidRPr="00502A20">
        <w:rPr>
          <w:sz w:val="18"/>
          <w:szCs w:val="18"/>
        </w:rPr>
        <w:t xml:space="preserve">iMechE </w:t>
      </w:r>
      <w:r w:rsidR="007A4D0D">
        <w:rPr>
          <w:sz w:val="18"/>
          <w:szCs w:val="18"/>
        </w:rPr>
        <w:t>(</w:t>
      </w:r>
      <w:r w:rsidRPr="00502A20">
        <w:rPr>
          <w:sz w:val="18"/>
          <w:szCs w:val="18"/>
        </w:rPr>
        <w:t>2014</w:t>
      </w:r>
      <w:r w:rsidR="007A4D0D">
        <w:rPr>
          <w:sz w:val="18"/>
          <w:szCs w:val="18"/>
        </w:rPr>
        <w:t>)</w:t>
      </w:r>
      <w:r w:rsidRPr="00502A20">
        <w:rPr>
          <w:sz w:val="18"/>
          <w:szCs w:val="18"/>
        </w:rPr>
        <w:t xml:space="preserve">, </w:t>
      </w:r>
      <w:r w:rsidR="0080034A" w:rsidRPr="00502A20">
        <w:rPr>
          <w:sz w:val="18"/>
          <w:szCs w:val="18"/>
        </w:rPr>
        <w:t>‘</w:t>
      </w:r>
      <w:r w:rsidRPr="00502A20">
        <w:rPr>
          <w:i/>
          <w:iCs/>
          <w:sz w:val="18"/>
          <w:szCs w:val="18"/>
        </w:rPr>
        <w:t>Royal Charter &amp; By-Laws</w:t>
      </w:r>
      <w:r w:rsidR="0080034A" w:rsidRPr="00502A20">
        <w:rPr>
          <w:i/>
          <w:iCs/>
          <w:sz w:val="18"/>
          <w:szCs w:val="18"/>
        </w:rPr>
        <w:t>’</w:t>
      </w:r>
      <w:r w:rsidRPr="00502A20">
        <w:rPr>
          <w:sz w:val="18"/>
          <w:szCs w:val="18"/>
        </w:rPr>
        <w:t>, The Institution of Mechanical Engineers, Published 28-May-2014 by The Institution of Mechanical Engineers.</w:t>
      </w:r>
    </w:p>
    <w:p w14:paraId="1828B5D7" w14:textId="37D8DF53" w:rsidR="00BB6179" w:rsidRPr="00BB6179" w:rsidRDefault="00BB6179" w:rsidP="00B0676C">
      <w:pPr>
        <w:jc w:val="both"/>
        <w:rPr>
          <w:rFonts w:cstheme="minorHAnsi"/>
          <w:sz w:val="12"/>
          <w:szCs w:val="12"/>
        </w:rPr>
      </w:pPr>
      <w:r w:rsidRPr="00BB6179">
        <w:rPr>
          <w:rFonts w:cstheme="minorHAnsi"/>
          <w:color w:val="000000"/>
          <w:spacing w:val="2"/>
          <w:sz w:val="18"/>
          <w:szCs w:val="18"/>
          <w:shd w:val="clear" w:color="auto" w:fill="FFFFFF"/>
        </w:rPr>
        <w:t>Krammer, P., Neef, D., and Plapper, P.</w:t>
      </w:r>
      <w:r w:rsidR="007A4D0D">
        <w:rPr>
          <w:rFonts w:cstheme="minorHAnsi"/>
          <w:color w:val="000000"/>
          <w:spacing w:val="2"/>
          <w:sz w:val="18"/>
          <w:szCs w:val="18"/>
          <w:shd w:val="clear" w:color="auto" w:fill="FFFFFF"/>
        </w:rPr>
        <w:t xml:space="preserve"> (2011)</w:t>
      </w:r>
      <w:r w:rsidRPr="00BB6179">
        <w:rPr>
          <w:rFonts w:cstheme="minorHAnsi"/>
          <w:color w:val="000000"/>
          <w:spacing w:val="2"/>
          <w:sz w:val="18"/>
          <w:szCs w:val="18"/>
          <w:shd w:val="clear" w:color="auto" w:fill="FFFFFF"/>
        </w:rPr>
        <w:t>, "Advanced Manufacturing Technologies for General Assembly," SAE Technical Paper 2011-01-1253, 2011, </w:t>
      </w:r>
      <w:hyperlink r:id="rId12" w:history="1">
        <w:r w:rsidRPr="00BB6179">
          <w:rPr>
            <w:rStyle w:val="Hyperlink"/>
            <w:rFonts w:cstheme="minorHAnsi"/>
            <w:color w:val="auto"/>
            <w:spacing w:val="2"/>
            <w:sz w:val="18"/>
            <w:szCs w:val="18"/>
            <w:u w:val="none"/>
            <w:shd w:val="clear" w:color="auto" w:fill="FFFFFF"/>
          </w:rPr>
          <w:t>https://doi-org.ezproxy.uwtsd.ac.uk/10.4271/2011-01-1253</w:t>
        </w:r>
      </w:hyperlink>
      <w:r w:rsidRPr="00BB6179">
        <w:rPr>
          <w:rFonts w:cstheme="minorHAnsi"/>
          <w:spacing w:val="2"/>
          <w:sz w:val="18"/>
          <w:szCs w:val="18"/>
          <w:shd w:val="clear" w:color="auto" w:fill="FFFFFF"/>
        </w:rPr>
        <w:t>.</w:t>
      </w:r>
    </w:p>
    <w:p w14:paraId="5A5CF1FE" w14:textId="4DB5FF69" w:rsidR="0074419C" w:rsidRDefault="0074419C" w:rsidP="00B0676C">
      <w:pPr>
        <w:jc w:val="both"/>
        <w:rPr>
          <w:sz w:val="18"/>
          <w:szCs w:val="18"/>
        </w:rPr>
      </w:pPr>
      <w:r w:rsidRPr="00502A20">
        <w:rPr>
          <w:sz w:val="18"/>
          <w:szCs w:val="18"/>
        </w:rPr>
        <w:t xml:space="preserve">Ministry of Transport and Civil Aviation </w:t>
      </w:r>
      <w:r w:rsidR="007A4D0D">
        <w:rPr>
          <w:sz w:val="18"/>
          <w:szCs w:val="18"/>
        </w:rPr>
        <w:t>(</w:t>
      </w:r>
      <w:r w:rsidRPr="00502A20">
        <w:rPr>
          <w:sz w:val="18"/>
          <w:szCs w:val="18"/>
        </w:rPr>
        <w:t>1955</w:t>
      </w:r>
      <w:r w:rsidR="007A4D0D">
        <w:rPr>
          <w:sz w:val="18"/>
          <w:szCs w:val="18"/>
        </w:rPr>
        <w:t>)</w:t>
      </w:r>
      <w:r w:rsidRPr="00502A20">
        <w:rPr>
          <w:sz w:val="18"/>
          <w:szCs w:val="18"/>
        </w:rPr>
        <w:t>,</w:t>
      </w:r>
      <w:r w:rsidR="002E4A22">
        <w:rPr>
          <w:sz w:val="18"/>
          <w:szCs w:val="18"/>
        </w:rPr>
        <w:t>’</w:t>
      </w:r>
      <w:r w:rsidRPr="00502A20">
        <w:rPr>
          <w:i/>
          <w:iCs/>
          <w:sz w:val="18"/>
          <w:szCs w:val="18"/>
        </w:rPr>
        <w:t>Civil Aircraft Accident – Report of the court of enquiry into the accidents to Comet G-ALYP on 10</w:t>
      </w:r>
      <w:r w:rsidRPr="00502A20">
        <w:rPr>
          <w:i/>
          <w:iCs/>
          <w:sz w:val="18"/>
          <w:szCs w:val="18"/>
          <w:vertAlign w:val="superscript"/>
        </w:rPr>
        <w:t>th</w:t>
      </w:r>
      <w:r w:rsidRPr="00502A20">
        <w:rPr>
          <w:i/>
          <w:iCs/>
          <w:sz w:val="18"/>
          <w:szCs w:val="18"/>
        </w:rPr>
        <w:t xml:space="preserve"> January, 1954 and Comet G-ALYY on 8</w:t>
      </w:r>
      <w:r w:rsidRPr="00502A20">
        <w:rPr>
          <w:i/>
          <w:iCs/>
          <w:sz w:val="18"/>
          <w:szCs w:val="18"/>
          <w:vertAlign w:val="superscript"/>
        </w:rPr>
        <w:t>th</w:t>
      </w:r>
      <w:r w:rsidRPr="00502A20">
        <w:rPr>
          <w:i/>
          <w:iCs/>
          <w:sz w:val="18"/>
          <w:szCs w:val="18"/>
        </w:rPr>
        <w:t xml:space="preserve"> April 1954</w:t>
      </w:r>
      <w:r w:rsidR="0080034A" w:rsidRPr="00502A20">
        <w:rPr>
          <w:i/>
          <w:iCs/>
          <w:sz w:val="18"/>
          <w:szCs w:val="18"/>
        </w:rPr>
        <w:t>’</w:t>
      </w:r>
      <w:r w:rsidRPr="00502A20">
        <w:rPr>
          <w:sz w:val="18"/>
          <w:szCs w:val="18"/>
        </w:rPr>
        <w:t xml:space="preserve">, Part XIV, Published by Her Majesty’s Stationery Office 01-Feb-1955, </w:t>
      </w:r>
      <w:r w:rsidR="0097452F" w:rsidRPr="00502A20">
        <w:rPr>
          <w:sz w:val="18"/>
          <w:szCs w:val="18"/>
        </w:rPr>
        <w:t xml:space="preserve">Accessed 24-Feb-2021, </w:t>
      </w:r>
      <w:r w:rsidRPr="00502A20">
        <w:rPr>
          <w:sz w:val="18"/>
          <w:szCs w:val="18"/>
        </w:rPr>
        <w:t xml:space="preserve">Available </w:t>
      </w:r>
      <w:r w:rsidRPr="00CD189D">
        <w:rPr>
          <w:sz w:val="18"/>
          <w:szCs w:val="18"/>
        </w:rPr>
        <w:t xml:space="preserve">at </w:t>
      </w:r>
      <w:r w:rsidR="0080034A" w:rsidRPr="00CD189D">
        <w:rPr>
          <w:sz w:val="18"/>
          <w:szCs w:val="18"/>
        </w:rPr>
        <w:t>[</w:t>
      </w:r>
      <w:hyperlink r:id="rId13" w:history="1">
        <w:r w:rsidR="0080034A" w:rsidRPr="00CD189D">
          <w:rPr>
            <w:rStyle w:val="Hyperlink"/>
            <w:color w:val="auto"/>
            <w:sz w:val="18"/>
            <w:szCs w:val="18"/>
            <w:u w:val="none"/>
          </w:rPr>
          <w:t>https://reports.aviation-safety.net/1954/19540408-2_COMT_G-ALYY.pdf</w:t>
        </w:r>
      </w:hyperlink>
      <w:r w:rsidR="0080034A" w:rsidRPr="00CD189D">
        <w:rPr>
          <w:sz w:val="18"/>
          <w:szCs w:val="18"/>
        </w:rPr>
        <w:t>].</w:t>
      </w:r>
    </w:p>
    <w:p w14:paraId="298A7A0F" w14:textId="5D72D327" w:rsidR="002E4A22" w:rsidRPr="004947B9" w:rsidRDefault="002E4A22" w:rsidP="00B0676C">
      <w:pPr>
        <w:jc w:val="both"/>
        <w:rPr>
          <w:i/>
          <w:iCs/>
          <w:sz w:val="18"/>
          <w:szCs w:val="18"/>
        </w:rPr>
      </w:pPr>
      <w:r>
        <w:rPr>
          <w:sz w:val="18"/>
          <w:szCs w:val="18"/>
        </w:rPr>
        <w:t xml:space="preserve">Morris Lubricants </w:t>
      </w:r>
      <w:r w:rsidR="007A4D0D">
        <w:rPr>
          <w:sz w:val="18"/>
          <w:szCs w:val="18"/>
        </w:rPr>
        <w:t>(</w:t>
      </w:r>
      <w:r>
        <w:rPr>
          <w:sz w:val="18"/>
          <w:szCs w:val="18"/>
        </w:rPr>
        <w:t>201</w:t>
      </w:r>
      <w:r w:rsidR="004947B9">
        <w:rPr>
          <w:sz w:val="18"/>
          <w:szCs w:val="18"/>
        </w:rPr>
        <w:t>5</w:t>
      </w:r>
      <w:r w:rsidR="007A4D0D">
        <w:rPr>
          <w:sz w:val="18"/>
          <w:szCs w:val="18"/>
        </w:rPr>
        <w:t>)</w:t>
      </w:r>
      <w:r>
        <w:rPr>
          <w:sz w:val="18"/>
          <w:szCs w:val="18"/>
        </w:rPr>
        <w:t>, ‘</w:t>
      </w:r>
      <w:r w:rsidR="004947B9">
        <w:rPr>
          <w:sz w:val="18"/>
          <w:szCs w:val="18"/>
        </w:rPr>
        <w:t xml:space="preserve"> </w:t>
      </w:r>
      <w:r w:rsidR="004947B9" w:rsidRPr="004947B9">
        <w:rPr>
          <w:i/>
          <w:iCs/>
          <w:sz w:val="18"/>
          <w:szCs w:val="18"/>
        </w:rPr>
        <w:t>Safety Data Sheet - Brake Fluid DOT 4</w:t>
      </w:r>
      <w:r w:rsidR="004947B9">
        <w:rPr>
          <w:i/>
          <w:iCs/>
          <w:sz w:val="18"/>
          <w:szCs w:val="18"/>
        </w:rPr>
        <w:t>’, Morris Lubricants, 04-Nov-2015, Accessed 04-Mar-2021, Available at [</w:t>
      </w:r>
      <w:r w:rsidR="004947B9" w:rsidRPr="004947B9">
        <w:rPr>
          <w:i/>
          <w:iCs/>
          <w:sz w:val="18"/>
          <w:szCs w:val="18"/>
        </w:rPr>
        <w:t>https://www.morrislubricants.co.uk/products/e0cdd633f6c1b4d8fec08680df757a1b.pdf</w:t>
      </w:r>
      <w:r w:rsidR="004947B9">
        <w:rPr>
          <w:i/>
          <w:iCs/>
          <w:sz w:val="18"/>
          <w:szCs w:val="18"/>
        </w:rPr>
        <w:t>].</w:t>
      </w:r>
    </w:p>
    <w:p w14:paraId="1257CAE6" w14:textId="676975D0" w:rsidR="0080034A" w:rsidRDefault="0080034A" w:rsidP="00B0676C">
      <w:pPr>
        <w:jc w:val="both"/>
        <w:rPr>
          <w:sz w:val="18"/>
          <w:szCs w:val="18"/>
        </w:rPr>
      </w:pPr>
      <w:r w:rsidRPr="00502A20">
        <w:rPr>
          <w:sz w:val="18"/>
          <w:szCs w:val="18"/>
        </w:rPr>
        <w:t xml:space="preserve">PQRI </w:t>
      </w:r>
      <w:r w:rsidR="007A4D0D">
        <w:rPr>
          <w:sz w:val="18"/>
          <w:szCs w:val="18"/>
        </w:rPr>
        <w:t>(</w:t>
      </w:r>
      <w:r w:rsidRPr="00502A20">
        <w:rPr>
          <w:sz w:val="18"/>
          <w:szCs w:val="18"/>
        </w:rPr>
        <w:t>2008</w:t>
      </w:r>
      <w:r w:rsidR="007A4D0D">
        <w:rPr>
          <w:sz w:val="18"/>
          <w:szCs w:val="18"/>
        </w:rPr>
        <w:t>)</w:t>
      </w:r>
      <w:r w:rsidRPr="00502A20">
        <w:rPr>
          <w:sz w:val="18"/>
          <w:szCs w:val="18"/>
        </w:rPr>
        <w:t>, ‘</w:t>
      </w:r>
      <w:r w:rsidRPr="00502A20">
        <w:rPr>
          <w:i/>
          <w:iCs/>
          <w:sz w:val="18"/>
          <w:szCs w:val="18"/>
        </w:rPr>
        <w:t xml:space="preserve">Risk Management Training Guides- Failure Modes and Effects Analysis Guide’, </w:t>
      </w:r>
      <w:r w:rsidRPr="00502A20">
        <w:rPr>
          <w:sz w:val="18"/>
          <w:szCs w:val="18"/>
        </w:rPr>
        <w:t>PQRI Manufacturing Technology Committee - Risk Management Working Group, Product Quality Research Institute, Washington DC 20005-1209 USA, Accessed 24-Mar-2021, Available at [https://pqri.org/wp-content/uploads/2015/08/pdf/FMEA_Training_Guide.pdf].</w:t>
      </w:r>
    </w:p>
    <w:p w14:paraId="27A86A15" w14:textId="14700C70" w:rsidR="004614ED" w:rsidRPr="004614ED" w:rsidRDefault="004614ED" w:rsidP="00B0676C">
      <w:pPr>
        <w:jc w:val="both"/>
        <w:rPr>
          <w:rFonts w:cstheme="minorHAnsi"/>
          <w:sz w:val="18"/>
          <w:szCs w:val="18"/>
        </w:rPr>
      </w:pPr>
      <w:proofErr w:type="spellStart"/>
      <w:r w:rsidRPr="004614ED">
        <w:rPr>
          <w:rFonts w:cstheme="minorHAnsi"/>
          <w:color w:val="1C1D1E"/>
          <w:sz w:val="18"/>
          <w:szCs w:val="18"/>
          <w:shd w:val="clear" w:color="auto" w:fill="FFFFFF"/>
        </w:rPr>
        <w:t>Rassiah</w:t>
      </w:r>
      <w:proofErr w:type="spellEnd"/>
      <w:r w:rsidRPr="004614ED">
        <w:rPr>
          <w:rFonts w:cstheme="minorHAnsi"/>
          <w:color w:val="1C1D1E"/>
          <w:sz w:val="18"/>
          <w:szCs w:val="18"/>
          <w:shd w:val="clear" w:color="auto" w:fill="FFFFFF"/>
        </w:rPr>
        <w:t>, P.</w:t>
      </w:r>
      <w:r>
        <w:rPr>
          <w:rFonts w:cstheme="minorHAnsi"/>
          <w:color w:val="1C1D1E"/>
          <w:sz w:val="18"/>
          <w:szCs w:val="18"/>
          <w:shd w:val="clear" w:color="auto" w:fill="FFFFFF"/>
        </w:rPr>
        <w:t xml:space="preserve"> </w:t>
      </w:r>
      <w:r w:rsidRPr="004614ED">
        <w:rPr>
          <w:rFonts w:cstheme="minorHAnsi"/>
          <w:i/>
          <w:iCs/>
          <w:color w:val="1C1D1E"/>
          <w:sz w:val="18"/>
          <w:szCs w:val="18"/>
          <w:shd w:val="clear" w:color="auto" w:fill="FFFFFF"/>
        </w:rPr>
        <w:t>et al.</w:t>
      </w:r>
      <w:r w:rsidRPr="004614ED">
        <w:rPr>
          <w:rFonts w:cstheme="minorHAnsi"/>
          <w:color w:val="1C1D1E"/>
          <w:sz w:val="18"/>
          <w:szCs w:val="18"/>
          <w:shd w:val="clear" w:color="auto" w:fill="FFFFFF"/>
        </w:rPr>
        <w:t xml:space="preserve"> (2020</w:t>
      </w:r>
      <w:r w:rsidRPr="004614ED">
        <w:rPr>
          <w:rFonts w:cstheme="minorHAnsi"/>
          <w:i/>
          <w:iCs/>
          <w:color w:val="1C1D1E"/>
          <w:sz w:val="18"/>
          <w:szCs w:val="18"/>
          <w:shd w:val="clear" w:color="auto" w:fill="FFFFFF"/>
        </w:rPr>
        <w:t>), ‘Using failure mode and effects analysis (FMEA) to generate an initial plan check checklist for improved safety in radiation treatment’</w:t>
      </w:r>
      <w:r>
        <w:rPr>
          <w:rFonts w:cstheme="minorHAnsi"/>
          <w:color w:val="1C1D1E"/>
          <w:sz w:val="18"/>
          <w:szCs w:val="18"/>
          <w:shd w:val="clear" w:color="auto" w:fill="FFFFFF"/>
        </w:rPr>
        <w:t>,</w:t>
      </w:r>
      <w:r w:rsidRPr="004614ED">
        <w:rPr>
          <w:rFonts w:cstheme="minorHAnsi"/>
          <w:color w:val="1C1D1E"/>
          <w:sz w:val="18"/>
          <w:szCs w:val="18"/>
          <w:shd w:val="clear" w:color="auto" w:fill="FFFFFF"/>
        </w:rPr>
        <w:t xml:space="preserve"> J Appl Clin Med Phys, 21: 83-9</w:t>
      </w:r>
      <w:r w:rsidRPr="004614ED">
        <w:rPr>
          <w:rFonts w:cstheme="minorHAnsi"/>
          <w:sz w:val="18"/>
          <w:szCs w:val="18"/>
          <w:shd w:val="clear" w:color="auto" w:fill="FFFFFF"/>
        </w:rPr>
        <w:t>1. </w:t>
      </w:r>
      <w:hyperlink r:id="rId14" w:history="1">
        <w:r w:rsidRPr="004614ED">
          <w:rPr>
            <w:rStyle w:val="Hyperlink"/>
            <w:rFonts w:cstheme="minorHAnsi"/>
            <w:color w:val="auto"/>
            <w:sz w:val="18"/>
            <w:szCs w:val="18"/>
            <w:u w:val="none"/>
            <w:shd w:val="clear" w:color="auto" w:fill="FFFFFF"/>
          </w:rPr>
          <w:t>https://doi.org/10.1002/acm2.12918</w:t>
        </w:r>
      </w:hyperlink>
      <w:r>
        <w:rPr>
          <w:rFonts w:cstheme="minorHAnsi"/>
          <w:sz w:val="18"/>
          <w:szCs w:val="18"/>
        </w:rPr>
        <w:t>.</w:t>
      </w:r>
    </w:p>
    <w:p w14:paraId="7B3176A5" w14:textId="26C55BCA" w:rsidR="00EF2A7A" w:rsidRPr="00502A20" w:rsidRDefault="00EF2A7A" w:rsidP="00B0676C">
      <w:pPr>
        <w:jc w:val="both"/>
        <w:rPr>
          <w:sz w:val="18"/>
          <w:szCs w:val="18"/>
        </w:rPr>
      </w:pPr>
      <w:r w:rsidRPr="00502A20">
        <w:rPr>
          <w:sz w:val="18"/>
          <w:szCs w:val="18"/>
        </w:rPr>
        <w:t xml:space="preserve">SAE International </w:t>
      </w:r>
      <w:r w:rsidR="007A4D0D">
        <w:rPr>
          <w:sz w:val="18"/>
          <w:szCs w:val="18"/>
        </w:rPr>
        <w:t>(</w:t>
      </w:r>
      <w:r w:rsidRPr="00502A20">
        <w:rPr>
          <w:sz w:val="18"/>
          <w:szCs w:val="18"/>
        </w:rPr>
        <w:t>2009</w:t>
      </w:r>
      <w:r w:rsidR="007A4D0D">
        <w:rPr>
          <w:sz w:val="18"/>
          <w:szCs w:val="18"/>
        </w:rPr>
        <w:t>)</w:t>
      </w:r>
      <w:r w:rsidRPr="00502A20">
        <w:rPr>
          <w:sz w:val="18"/>
          <w:szCs w:val="18"/>
        </w:rPr>
        <w:t xml:space="preserve">, </w:t>
      </w:r>
      <w:r w:rsidR="0080034A" w:rsidRPr="00502A20">
        <w:rPr>
          <w:sz w:val="18"/>
          <w:szCs w:val="18"/>
        </w:rPr>
        <w:t>‘</w:t>
      </w:r>
      <w:r w:rsidRPr="00502A20">
        <w:rPr>
          <w:i/>
          <w:iCs/>
          <w:sz w:val="18"/>
          <w:szCs w:val="18"/>
        </w:rPr>
        <w:t>Potential Failure Mode and Effects Analysis in Design (Design FMEA), Potential Failure Mode and Effects Analysis in Manufacturing and Assembly Processes (Process FMEA)</w:t>
      </w:r>
      <w:r w:rsidR="0080034A" w:rsidRPr="00502A20">
        <w:rPr>
          <w:i/>
          <w:iCs/>
          <w:sz w:val="18"/>
          <w:szCs w:val="18"/>
        </w:rPr>
        <w:t>’</w:t>
      </w:r>
      <w:r w:rsidRPr="00502A20">
        <w:rPr>
          <w:i/>
          <w:iCs/>
          <w:sz w:val="18"/>
          <w:szCs w:val="18"/>
        </w:rPr>
        <w:t>,</w:t>
      </w:r>
      <w:r w:rsidRPr="00502A20">
        <w:rPr>
          <w:sz w:val="18"/>
          <w:szCs w:val="18"/>
        </w:rPr>
        <w:t xml:space="preserve"> Standard J137_200901, Published 15-Jan-2009 by SAE International in United States.</w:t>
      </w:r>
    </w:p>
    <w:p w14:paraId="260B0CC9" w14:textId="1971239C" w:rsidR="0080034A" w:rsidRDefault="0080034A" w:rsidP="00B0676C">
      <w:pPr>
        <w:jc w:val="both"/>
        <w:rPr>
          <w:sz w:val="18"/>
          <w:szCs w:val="18"/>
        </w:rPr>
      </w:pPr>
      <w:proofErr w:type="spellStart"/>
      <w:r w:rsidRPr="00502A20">
        <w:rPr>
          <w:sz w:val="18"/>
          <w:szCs w:val="18"/>
        </w:rPr>
        <w:t>Vanyi</w:t>
      </w:r>
      <w:proofErr w:type="spellEnd"/>
      <w:r w:rsidRPr="00502A20">
        <w:rPr>
          <w:sz w:val="18"/>
          <w:szCs w:val="18"/>
        </w:rPr>
        <w:t>, Gabor. (2016).</w:t>
      </w:r>
      <w:r w:rsidRPr="00502A20">
        <w:rPr>
          <w:i/>
          <w:iCs/>
          <w:sz w:val="18"/>
          <w:szCs w:val="18"/>
        </w:rPr>
        <w:t>’Improving the effectiveness of FMEA analysis in automotive – a case study’.</w:t>
      </w:r>
      <w:r w:rsidRPr="00502A20">
        <w:rPr>
          <w:sz w:val="18"/>
          <w:szCs w:val="18"/>
        </w:rPr>
        <w:t xml:space="preserve"> Acta Universitatis </w:t>
      </w:r>
      <w:proofErr w:type="spellStart"/>
      <w:r w:rsidRPr="00502A20">
        <w:rPr>
          <w:sz w:val="18"/>
          <w:szCs w:val="18"/>
        </w:rPr>
        <w:t>Sapientiae</w:t>
      </w:r>
      <w:proofErr w:type="spellEnd"/>
      <w:r w:rsidRPr="00502A20">
        <w:rPr>
          <w:sz w:val="18"/>
          <w:szCs w:val="18"/>
        </w:rPr>
        <w:t>, Informatica. 8. 10.1515/ausi-2016-0005.</w:t>
      </w:r>
    </w:p>
    <w:p w14:paraId="2E75DEC3" w14:textId="59BB975B" w:rsidR="00502A20" w:rsidRPr="008C4C0E" w:rsidRDefault="009569FF" w:rsidP="00B0676C">
      <w:pPr>
        <w:pStyle w:val="Heading2"/>
        <w:ind w:left="360"/>
        <w:jc w:val="both"/>
        <w:rPr>
          <w:u w:val="single"/>
        </w:rPr>
      </w:pPr>
      <w:bookmarkStart w:id="10" w:name="_Toc65880614"/>
      <w:r>
        <w:rPr>
          <w:u w:val="single"/>
        </w:rPr>
        <w:lastRenderedPageBreak/>
        <w:t>5</w:t>
      </w:r>
      <w:r w:rsidR="008C4C0E">
        <w:rPr>
          <w:u w:val="single"/>
        </w:rPr>
        <w:t>.</w:t>
      </w:r>
      <w:r w:rsidR="004C7A21">
        <w:rPr>
          <w:u w:val="single"/>
        </w:rPr>
        <w:t>2</w:t>
      </w:r>
      <w:r w:rsidR="00A17B59">
        <w:rPr>
          <w:u w:val="single"/>
        </w:rPr>
        <w:t xml:space="preserve"> </w:t>
      </w:r>
      <w:r w:rsidR="008C4C0E" w:rsidRPr="008C4C0E">
        <w:rPr>
          <w:u w:val="single"/>
        </w:rPr>
        <w:t>Bibliography</w:t>
      </w:r>
      <w:bookmarkEnd w:id="10"/>
    </w:p>
    <w:p w14:paraId="6D94152F" w14:textId="065FB4CB" w:rsidR="00EF2A7A" w:rsidRPr="00B0676C" w:rsidRDefault="007A4D0D" w:rsidP="00B0676C">
      <w:pPr>
        <w:jc w:val="both"/>
        <w:rPr>
          <w:sz w:val="18"/>
          <w:szCs w:val="18"/>
        </w:rPr>
      </w:pPr>
      <w:r w:rsidRPr="00B0676C">
        <w:rPr>
          <w:sz w:val="18"/>
          <w:szCs w:val="18"/>
        </w:rPr>
        <w:t xml:space="preserve">American Society for Quality (2021), </w:t>
      </w:r>
      <w:r w:rsidRPr="00B0676C">
        <w:rPr>
          <w:i/>
          <w:iCs/>
          <w:sz w:val="18"/>
          <w:szCs w:val="18"/>
        </w:rPr>
        <w:t>‘Failure Mode and Effects Analysis (FMEA)’,</w:t>
      </w:r>
      <w:r w:rsidRPr="00B0676C">
        <w:rPr>
          <w:sz w:val="18"/>
          <w:szCs w:val="18"/>
        </w:rPr>
        <w:t xml:space="preserve"> asq.org, Accessed 19-Feb-2021, Available at [https://asq.org/quality-resources/fmea].</w:t>
      </w:r>
    </w:p>
    <w:p w14:paraId="4950D796" w14:textId="6346861B" w:rsidR="007A4D0D" w:rsidRDefault="007A4D0D" w:rsidP="00B0676C">
      <w:pPr>
        <w:jc w:val="both"/>
        <w:rPr>
          <w:sz w:val="18"/>
          <w:szCs w:val="18"/>
        </w:rPr>
      </w:pPr>
      <w:r w:rsidRPr="00B0676C">
        <w:rPr>
          <w:sz w:val="18"/>
          <w:szCs w:val="18"/>
        </w:rPr>
        <w:t xml:space="preserve">Automotive Engineering HQ (2014), </w:t>
      </w:r>
      <w:r w:rsidRPr="00B0676C">
        <w:rPr>
          <w:i/>
          <w:iCs/>
          <w:sz w:val="18"/>
          <w:szCs w:val="18"/>
        </w:rPr>
        <w:t>‘Engineering Change Management in the Automotive Industry’</w:t>
      </w:r>
      <w:r w:rsidRPr="00B0676C">
        <w:rPr>
          <w:sz w:val="18"/>
          <w:szCs w:val="18"/>
        </w:rPr>
        <w:t>, 02-Sep-2014</w:t>
      </w:r>
      <w:r w:rsidR="00B0676C" w:rsidRPr="00B0676C">
        <w:rPr>
          <w:sz w:val="18"/>
          <w:szCs w:val="18"/>
        </w:rPr>
        <w:t>, Accessed 19-Feb-2012, Available at [https://www.automotiveengineeringhq.com/engineering-change-management/ SEP 2 2014 AEHQ  engineering change management in the automotive industry].</w:t>
      </w:r>
    </w:p>
    <w:p w14:paraId="72B33505" w14:textId="77777777" w:rsidR="000823C4" w:rsidRDefault="000823C4" w:rsidP="000823C4">
      <w:pPr>
        <w:jc w:val="both"/>
        <w:rPr>
          <w:sz w:val="18"/>
          <w:szCs w:val="18"/>
        </w:rPr>
      </w:pPr>
      <w:r w:rsidRPr="00F158AA">
        <w:rPr>
          <w:sz w:val="18"/>
          <w:szCs w:val="18"/>
        </w:rPr>
        <w:t xml:space="preserve">Cars Garage 2013, </w:t>
      </w:r>
      <w:r w:rsidRPr="00F158AA">
        <w:rPr>
          <w:i/>
          <w:iCs/>
          <w:sz w:val="18"/>
          <w:szCs w:val="18"/>
        </w:rPr>
        <w:t>'BMW Motorcycle Assembly - Berlin Plant'</w:t>
      </w:r>
      <w:r w:rsidRPr="00F158AA">
        <w:rPr>
          <w:sz w:val="18"/>
          <w:szCs w:val="18"/>
        </w:rPr>
        <w:t>, Cars Garage, Uploaded 02-Dec-2013, Accessed 04-Mar-2021, Ava</w:t>
      </w:r>
      <w:r>
        <w:rPr>
          <w:sz w:val="18"/>
          <w:szCs w:val="18"/>
        </w:rPr>
        <w:t>ilab</w:t>
      </w:r>
      <w:r w:rsidRPr="00F158AA">
        <w:rPr>
          <w:sz w:val="18"/>
          <w:szCs w:val="18"/>
        </w:rPr>
        <w:t>le at [https://www.youtube.com/watch?v=KrWA9vrxhyE].</w:t>
      </w:r>
    </w:p>
    <w:p w14:paraId="600605D0" w14:textId="77777777" w:rsidR="000823C4" w:rsidRDefault="000823C4" w:rsidP="000823C4">
      <w:pPr>
        <w:jc w:val="both"/>
        <w:rPr>
          <w:sz w:val="18"/>
          <w:szCs w:val="18"/>
        </w:rPr>
      </w:pPr>
      <w:r w:rsidRPr="000808C4">
        <w:rPr>
          <w:sz w:val="18"/>
          <w:szCs w:val="18"/>
        </w:rPr>
        <w:t xml:space="preserve">Cars Garage 2014, </w:t>
      </w:r>
      <w:r w:rsidRPr="000808C4">
        <w:rPr>
          <w:i/>
          <w:iCs/>
          <w:sz w:val="18"/>
          <w:szCs w:val="18"/>
        </w:rPr>
        <w:t>'BMW Motorcycle Assembling'</w:t>
      </w:r>
      <w:r w:rsidRPr="000808C4">
        <w:rPr>
          <w:sz w:val="18"/>
          <w:szCs w:val="18"/>
        </w:rPr>
        <w:t>, Cars Garage, Uploaded 20-Dec-2014, Accesssed 04-Mar-2021, Available at [https://www.youtube.com/watch?v=L22oij8nT2k&amp;t=0s].</w:t>
      </w:r>
    </w:p>
    <w:p w14:paraId="6219E649" w14:textId="3B909F91" w:rsidR="000823C4" w:rsidRDefault="000823C4" w:rsidP="000823C4">
      <w:pPr>
        <w:jc w:val="both"/>
        <w:rPr>
          <w:sz w:val="18"/>
          <w:szCs w:val="18"/>
        </w:rPr>
      </w:pPr>
      <w:r w:rsidRPr="000D04A2">
        <w:rPr>
          <w:sz w:val="18"/>
          <w:szCs w:val="18"/>
        </w:rPr>
        <w:t>Crypton Technology 2021, 'How Do Brake Testers Work?', Crypton Technology, Accessed 04-Mar-2021, Available at [https://www.cryptontechnology.com/news/how-do-brake-testers-work].</w:t>
      </w:r>
    </w:p>
    <w:p w14:paraId="42422404" w14:textId="77777777" w:rsidR="000823C4" w:rsidRDefault="000823C4" w:rsidP="000823C4">
      <w:pPr>
        <w:jc w:val="both"/>
        <w:rPr>
          <w:sz w:val="18"/>
          <w:szCs w:val="18"/>
        </w:rPr>
      </w:pPr>
      <w:r w:rsidRPr="006E391C">
        <w:rPr>
          <w:i/>
          <w:iCs/>
          <w:sz w:val="18"/>
          <w:szCs w:val="18"/>
        </w:rPr>
        <w:t>HSE.gov (2021), Haza</w:t>
      </w:r>
      <w:r>
        <w:rPr>
          <w:i/>
          <w:iCs/>
          <w:sz w:val="18"/>
          <w:szCs w:val="18"/>
        </w:rPr>
        <w:t xml:space="preserve">rd Pictograms (symbols), </w:t>
      </w:r>
      <w:r w:rsidRPr="006E391C">
        <w:rPr>
          <w:sz w:val="18"/>
          <w:szCs w:val="18"/>
        </w:rPr>
        <w:t>Accessed 04-Mar-2021, Available at [https://www.hse.gov.uk/chemical-classification/labelling-packaging/hazard-symbols-hazard-pictograms.htm].</w:t>
      </w:r>
    </w:p>
    <w:p w14:paraId="233EC90D" w14:textId="3AB3C0A1" w:rsidR="000823C4" w:rsidRDefault="000823C4" w:rsidP="000823C4">
      <w:pPr>
        <w:jc w:val="both"/>
        <w:rPr>
          <w:sz w:val="18"/>
          <w:szCs w:val="18"/>
        </w:rPr>
      </w:pPr>
      <w:r w:rsidRPr="00250FF1">
        <w:rPr>
          <w:sz w:val="18"/>
          <w:szCs w:val="18"/>
        </w:rPr>
        <w:t>Mercedes-AMG Petronas F1 Tea</w:t>
      </w:r>
      <w:r>
        <w:rPr>
          <w:sz w:val="18"/>
          <w:szCs w:val="18"/>
        </w:rPr>
        <w:t>m 2020</w:t>
      </w:r>
      <w:r w:rsidRPr="00F158AA">
        <w:rPr>
          <w:i/>
          <w:iCs/>
          <w:sz w:val="18"/>
          <w:szCs w:val="18"/>
        </w:rPr>
        <w:t>, ‘F1 Wheel Guns Explained!’</w:t>
      </w:r>
      <w:r>
        <w:rPr>
          <w:sz w:val="18"/>
          <w:szCs w:val="18"/>
        </w:rPr>
        <w:t>, Mercedes-AMG Petronas Formula One Team, Uploaded 16-Dec-2020, Accessed 04-Mar-2021, Available at [</w:t>
      </w:r>
      <w:r w:rsidRPr="00250FF1">
        <w:rPr>
          <w:sz w:val="18"/>
          <w:szCs w:val="18"/>
        </w:rPr>
        <w:t>htps://www.youtube.com/watch?v=xFYllIqlr6k&amp;feature=emb_title].</w:t>
      </w:r>
    </w:p>
    <w:p w14:paraId="3A1D90B0" w14:textId="5D5C7008" w:rsidR="00B0676C" w:rsidRDefault="00B0676C" w:rsidP="00B0676C">
      <w:pPr>
        <w:jc w:val="both"/>
        <w:rPr>
          <w:rFonts w:cstheme="minorHAnsi"/>
          <w:sz w:val="18"/>
          <w:szCs w:val="18"/>
        </w:rPr>
      </w:pPr>
      <w:r w:rsidRPr="00B0676C">
        <w:rPr>
          <w:sz w:val="18"/>
          <w:szCs w:val="18"/>
        </w:rPr>
        <w:t xml:space="preserve">Ullah, I., Tang, T., Yin, L. (2016), </w:t>
      </w:r>
      <w:r w:rsidRPr="00B0676C">
        <w:rPr>
          <w:i/>
          <w:iCs/>
          <w:sz w:val="18"/>
          <w:szCs w:val="18"/>
        </w:rPr>
        <w:t>‘Engineering Product and Process Design Changes: A Literature Overview’</w:t>
      </w:r>
      <w:r>
        <w:rPr>
          <w:i/>
          <w:iCs/>
          <w:sz w:val="18"/>
          <w:szCs w:val="18"/>
        </w:rPr>
        <w:t xml:space="preserve">, </w:t>
      </w:r>
      <w:r w:rsidRPr="00B0676C">
        <w:rPr>
          <w:sz w:val="18"/>
          <w:szCs w:val="18"/>
        </w:rPr>
        <w:t>9</w:t>
      </w:r>
      <w:r w:rsidRPr="00B0676C">
        <w:rPr>
          <w:sz w:val="18"/>
          <w:szCs w:val="18"/>
          <w:vertAlign w:val="superscript"/>
        </w:rPr>
        <w:t>th</w:t>
      </w:r>
      <w:r w:rsidRPr="00B0676C">
        <w:rPr>
          <w:sz w:val="18"/>
          <w:szCs w:val="18"/>
        </w:rPr>
        <w:t xml:space="preserve"> International Conference on Digital Enterprise Technology – DET 2016 – “Intelligent Manufacturing” in the Knowledge Economy Era</w:t>
      </w:r>
      <w:r>
        <w:rPr>
          <w:sz w:val="18"/>
          <w:szCs w:val="18"/>
        </w:rPr>
        <w:t xml:space="preserve">, </w:t>
      </w:r>
      <w:r w:rsidRPr="00B0676C">
        <w:rPr>
          <w:rFonts w:cstheme="minorHAnsi"/>
          <w:sz w:val="18"/>
          <w:szCs w:val="18"/>
        </w:rPr>
        <w:t>Procedia CIRP 56 ( 2016 ) 25 – 33</w:t>
      </w:r>
      <w:r>
        <w:rPr>
          <w:rFonts w:cstheme="minorHAnsi"/>
          <w:sz w:val="18"/>
          <w:szCs w:val="18"/>
        </w:rPr>
        <w:t xml:space="preserve">, </w:t>
      </w:r>
      <w:r w:rsidRPr="00B0676C">
        <w:rPr>
          <w:rFonts w:cstheme="minorHAnsi"/>
          <w:sz w:val="18"/>
          <w:szCs w:val="18"/>
        </w:rPr>
        <w:t>Published by Elsevier B.V 2016</w:t>
      </w:r>
      <w:r>
        <w:rPr>
          <w:rFonts w:cstheme="minorHAnsi"/>
          <w:sz w:val="18"/>
          <w:szCs w:val="18"/>
        </w:rPr>
        <w:t>.</w:t>
      </w:r>
    </w:p>
    <w:p w14:paraId="3C0A73BD" w14:textId="77777777" w:rsidR="00B0676C" w:rsidRPr="00250FF1" w:rsidRDefault="00B0676C" w:rsidP="00EF2A7A"/>
    <w:sectPr w:rsidR="00B0676C" w:rsidRPr="00250FF1" w:rsidSect="00E61DA8">
      <w:head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47330" w14:textId="77777777" w:rsidR="00664812" w:rsidRDefault="00664812" w:rsidP="007D3782">
      <w:pPr>
        <w:spacing w:after="0" w:line="240" w:lineRule="auto"/>
      </w:pPr>
      <w:r>
        <w:separator/>
      </w:r>
    </w:p>
  </w:endnote>
  <w:endnote w:type="continuationSeparator" w:id="0">
    <w:p w14:paraId="4AEF7A08" w14:textId="77777777" w:rsidR="00664812" w:rsidRDefault="00664812" w:rsidP="007D3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3C816D" w14:textId="77777777" w:rsidR="00664812" w:rsidRDefault="00664812" w:rsidP="007D3782">
      <w:pPr>
        <w:spacing w:after="0" w:line="240" w:lineRule="auto"/>
      </w:pPr>
      <w:r>
        <w:separator/>
      </w:r>
    </w:p>
  </w:footnote>
  <w:footnote w:type="continuationSeparator" w:id="0">
    <w:p w14:paraId="6AC177CC" w14:textId="77777777" w:rsidR="00664812" w:rsidRDefault="00664812" w:rsidP="007D3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381352"/>
      <w:docPartObj>
        <w:docPartGallery w:val="Page Numbers (Top of Page)"/>
        <w:docPartUnique/>
      </w:docPartObj>
    </w:sdtPr>
    <w:sdtEndPr/>
    <w:sdtContent>
      <w:p w14:paraId="76CD753C" w14:textId="77777777" w:rsidR="007D3782" w:rsidRDefault="007D3782">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F2FA6E6" w14:textId="77777777" w:rsidR="007D3782" w:rsidRDefault="007D37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8535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9441A65"/>
    <w:multiLevelType w:val="hybridMultilevel"/>
    <w:tmpl w:val="1C94A76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0B5D23D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BFF4CB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C63482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1F2A569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68B4F1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2D4573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5187D50"/>
    <w:multiLevelType w:val="hybridMultilevel"/>
    <w:tmpl w:val="309AC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3C635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5F6E530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5F072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E554F9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11"/>
  </w:num>
  <w:num w:numId="3">
    <w:abstractNumId w:val="12"/>
  </w:num>
  <w:num w:numId="4">
    <w:abstractNumId w:val="10"/>
  </w:num>
  <w:num w:numId="5">
    <w:abstractNumId w:val="8"/>
  </w:num>
  <w:num w:numId="6">
    <w:abstractNumId w:val="1"/>
  </w:num>
  <w:num w:numId="7">
    <w:abstractNumId w:val="4"/>
  </w:num>
  <w:num w:numId="8">
    <w:abstractNumId w:val="5"/>
  </w:num>
  <w:num w:numId="9">
    <w:abstractNumId w:val="0"/>
  </w:num>
  <w:num w:numId="10">
    <w:abstractNumId w:val="6"/>
  </w:num>
  <w:num w:numId="11">
    <w:abstractNumId w:val="9"/>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782"/>
    <w:rsid w:val="0000550F"/>
    <w:rsid w:val="000276BA"/>
    <w:rsid w:val="00040303"/>
    <w:rsid w:val="00047FDF"/>
    <w:rsid w:val="00061E83"/>
    <w:rsid w:val="000650E3"/>
    <w:rsid w:val="00070CFE"/>
    <w:rsid w:val="000808C4"/>
    <w:rsid w:val="000823C4"/>
    <w:rsid w:val="000A5D2A"/>
    <w:rsid w:val="000B0C4C"/>
    <w:rsid w:val="000D04A2"/>
    <w:rsid w:val="000D193D"/>
    <w:rsid w:val="000D4504"/>
    <w:rsid w:val="000F60CE"/>
    <w:rsid w:val="000F6F7C"/>
    <w:rsid w:val="001135B0"/>
    <w:rsid w:val="00150C60"/>
    <w:rsid w:val="00161558"/>
    <w:rsid w:val="0017742D"/>
    <w:rsid w:val="001815BF"/>
    <w:rsid w:val="00191897"/>
    <w:rsid w:val="001A51CF"/>
    <w:rsid w:val="001B21D4"/>
    <w:rsid w:val="001F2346"/>
    <w:rsid w:val="00203AFC"/>
    <w:rsid w:val="00205A88"/>
    <w:rsid w:val="00207F40"/>
    <w:rsid w:val="00250FF1"/>
    <w:rsid w:val="00262958"/>
    <w:rsid w:val="002850ED"/>
    <w:rsid w:val="00293659"/>
    <w:rsid w:val="002B1EF2"/>
    <w:rsid w:val="002D0379"/>
    <w:rsid w:val="002D4A2C"/>
    <w:rsid w:val="002E358B"/>
    <w:rsid w:val="002E4A22"/>
    <w:rsid w:val="002E723F"/>
    <w:rsid w:val="002E7C78"/>
    <w:rsid w:val="002F4ACA"/>
    <w:rsid w:val="003051C2"/>
    <w:rsid w:val="00330F81"/>
    <w:rsid w:val="00336538"/>
    <w:rsid w:val="00342391"/>
    <w:rsid w:val="00363351"/>
    <w:rsid w:val="00392B73"/>
    <w:rsid w:val="003951DA"/>
    <w:rsid w:val="003A199A"/>
    <w:rsid w:val="003A65A6"/>
    <w:rsid w:val="003C270D"/>
    <w:rsid w:val="003C4E4B"/>
    <w:rsid w:val="00425462"/>
    <w:rsid w:val="0045792A"/>
    <w:rsid w:val="004614ED"/>
    <w:rsid w:val="004947B9"/>
    <w:rsid w:val="004A3828"/>
    <w:rsid w:val="004A3D0F"/>
    <w:rsid w:val="004C7A21"/>
    <w:rsid w:val="004D744E"/>
    <w:rsid w:val="0050188A"/>
    <w:rsid w:val="00502A20"/>
    <w:rsid w:val="005279B2"/>
    <w:rsid w:val="00533F6E"/>
    <w:rsid w:val="00564298"/>
    <w:rsid w:val="0057407B"/>
    <w:rsid w:val="00576C41"/>
    <w:rsid w:val="00586214"/>
    <w:rsid w:val="005A21ED"/>
    <w:rsid w:val="005B27C3"/>
    <w:rsid w:val="005C2797"/>
    <w:rsid w:val="005E2362"/>
    <w:rsid w:val="00605AC6"/>
    <w:rsid w:val="00664812"/>
    <w:rsid w:val="0068772C"/>
    <w:rsid w:val="00694810"/>
    <w:rsid w:val="006B56DC"/>
    <w:rsid w:val="006C3DC2"/>
    <w:rsid w:val="006D7A66"/>
    <w:rsid w:val="006E391C"/>
    <w:rsid w:val="006F5C0B"/>
    <w:rsid w:val="00704743"/>
    <w:rsid w:val="00712792"/>
    <w:rsid w:val="00713690"/>
    <w:rsid w:val="00715E1A"/>
    <w:rsid w:val="00721D82"/>
    <w:rsid w:val="0074419C"/>
    <w:rsid w:val="007470BA"/>
    <w:rsid w:val="0076132A"/>
    <w:rsid w:val="007A435A"/>
    <w:rsid w:val="007A4D0D"/>
    <w:rsid w:val="007D3782"/>
    <w:rsid w:val="007F5B3A"/>
    <w:rsid w:val="0080034A"/>
    <w:rsid w:val="008369EC"/>
    <w:rsid w:val="00861D43"/>
    <w:rsid w:val="008763EB"/>
    <w:rsid w:val="00890347"/>
    <w:rsid w:val="00896595"/>
    <w:rsid w:val="008B7FD2"/>
    <w:rsid w:val="008C4C0E"/>
    <w:rsid w:val="0093013B"/>
    <w:rsid w:val="009432BD"/>
    <w:rsid w:val="009479A7"/>
    <w:rsid w:val="009569FF"/>
    <w:rsid w:val="0097452F"/>
    <w:rsid w:val="009A1936"/>
    <w:rsid w:val="009B362C"/>
    <w:rsid w:val="009E4A4B"/>
    <w:rsid w:val="00A14D1A"/>
    <w:rsid w:val="00A17B59"/>
    <w:rsid w:val="00A55F77"/>
    <w:rsid w:val="00A6452F"/>
    <w:rsid w:val="00A71201"/>
    <w:rsid w:val="00A741E4"/>
    <w:rsid w:val="00A80932"/>
    <w:rsid w:val="00AB4E59"/>
    <w:rsid w:val="00AE0072"/>
    <w:rsid w:val="00AE59B9"/>
    <w:rsid w:val="00AF2E50"/>
    <w:rsid w:val="00B0676C"/>
    <w:rsid w:val="00B37782"/>
    <w:rsid w:val="00BA2806"/>
    <w:rsid w:val="00BA6211"/>
    <w:rsid w:val="00BB176B"/>
    <w:rsid w:val="00BB6179"/>
    <w:rsid w:val="00BD5E54"/>
    <w:rsid w:val="00BF0459"/>
    <w:rsid w:val="00C01CA5"/>
    <w:rsid w:val="00C47F1C"/>
    <w:rsid w:val="00C52430"/>
    <w:rsid w:val="00C724E0"/>
    <w:rsid w:val="00CA4D9B"/>
    <w:rsid w:val="00CB48AF"/>
    <w:rsid w:val="00CD189D"/>
    <w:rsid w:val="00CD31B7"/>
    <w:rsid w:val="00CE50B9"/>
    <w:rsid w:val="00CF0BFC"/>
    <w:rsid w:val="00D02534"/>
    <w:rsid w:val="00D05B9C"/>
    <w:rsid w:val="00D34BBD"/>
    <w:rsid w:val="00D40995"/>
    <w:rsid w:val="00D45B81"/>
    <w:rsid w:val="00D77498"/>
    <w:rsid w:val="00D97604"/>
    <w:rsid w:val="00DB067D"/>
    <w:rsid w:val="00DB17DF"/>
    <w:rsid w:val="00DB63AF"/>
    <w:rsid w:val="00DC0FEB"/>
    <w:rsid w:val="00DC2FEB"/>
    <w:rsid w:val="00DD5220"/>
    <w:rsid w:val="00DE281A"/>
    <w:rsid w:val="00DF0CA8"/>
    <w:rsid w:val="00DF31FD"/>
    <w:rsid w:val="00DF7F7D"/>
    <w:rsid w:val="00E06435"/>
    <w:rsid w:val="00E220BB"/>
    <w:rsid w:val="00E61DA8"/>
    <w:rsid w:val="00E73A96"/>
    <w:rsid w:val="00E76A41"/>
    <w:rsid w:val="00E81E54"/>
    <w:rsid w:val="00EA50F4"/>
    <w:rsid w:val="00EB1F08"/>
    <w:rsid w:val="00EF2A7A"/>
    <w:rsid w:val="00F06F9A"/>
    <w:rsid w:val="00F158AA"/>
    <w:rsid w:val="00F17557"/>
    <w:rsid w:val="00F315B0"/>
    <w:rsid w:val="00F65914"/>
    <w:rsid w:val="00F674E2"/>
    <w:rsid w:val="00F70D49"/>
    <w:rsid w:val="00F84777"/>
    <w:rsid w:val="00F856E8"/>
    <w:rsid w:val="00F92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1C260"/>
  <w15:chartTrackingRefBased/>
  <w15:docId w15:val="{E7B59605-D536-4313-850B-A7EBE1786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782"/>
  </w:style>
  <w:style w:type="paragraph" w:styleId="Heading1">
    <w:name w:val="heading 1"/>
    <w:basedOn w:val="Normal"/>
    <w:next w:val="Normal"/>
    <w:link w:val="Heading1Char"/>
    <w:uiPriority w:val="9"/>
    <w:qFormat/>
    <w:rsid w:val="004A3828"/>
    <w:pPr>
      <w:keepNext/>
      <w:keepLines/>
      <w:spacing w:before="240" w:after="0"/>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1815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828"/>
    <w:rPr>
      <w:rFonts w:asciiTheme="majorHAnsi" w:eastAsiaTheme="majorEastAsia" w:hAnsiTheme="majorHAnsi" w:cstheme="majorBidi"/>
      <w:b/>
      <w:color w:val="2F5496" w:themeColor="accent1" w:themeShade="BF"/>
      <w:sz w:val="32"/>
      <w:szCs w:val="32"/>
      <w:u w:val="single"/>
    </w:rPr>
  </w:style>
  <w:style w:type="paragraph" w:styleId="Header">
    <w:name w:val="header"/>
    <w:basedOn w:val="Normal"/>
    <w:link w:val="HeaderChar"/>
    <w:uiPriority w:val="99"/>
    <w:unhideWhenUsed/>
    <w:rsid w:val="007D3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782"/>
  </w:style>
  <w:style w:type="paragraph" w:styleId="Footer">
    <w:name w:val="footer"/>
    <w:basedOn w:val="Normal"/>
    <w:link w:val="FooterChar"/>
    <w:uiPriority w:val="99"/>
    <w:unhideWhenUsed/>
    <w:rsid w:val="007D3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782"/>
  </w:style>
  <w:style w:type="paragraph" w:styleId="TOCHeading">
    <w:name w:val="TOC Heading"/>
    <w:basedOn w:val="Heading1"/>
    <w:next w:val="Normal"/>
    <w:uiPriority w:val="39"/>
    <w:unhideWhenUsed/>
    <w:qFormat/>
    <w:rsid w:val="004A3828"/>
    <w:pPr>
      <w:spacing w:line="259" w:lineRule="auto"/>
      <w:outlineLvl w:val="9"/>
    </w:pPr>
    <w:rPr>
      <w:b w:val="0"/>
      <w:u w:val="none"/>
      <w:lang w:val="en-US"/>
    </w:rPr>
  </w:style>
  <w:style w:type="paragraph" w:styleId="TOC1">
    <w:name w:val="toc 1"/>
    <w:basedOn w:val="Normal"/>
    <w:next w:val="Normal"/>
    <w:autoRedefine/>
    <w:uiPriority w:val="39"/>
    <w:unhideWhenUsed/>
    <w:rsid w:val="004A3828"/>
    <w:pPr>
      <w:spacing w:after="100"/>
    </w:pPr>
  </w:style>
  <w:style w:type="character" w:styleId="Hyperlink">
    <w:name w:val="Hyperlink"/>
    <w:basedOn w:val="DefaultParagraphFont"/>
    <w:uiPriority w:val="99"/>
    <w:unhideWhenUsed/>
    <w:rsid w:val="004A3828"/>
    <w:rPr>
      <w:color w:val="0563C1" w:themeColor="hyperlink"/>
      <w:u w:val="single"/>
    </w:rPr>
  </w:style>
  <w:style w:type="character" w:customStyle="1" w:styleId="Heading2Char">
    <w:name w:val="Heading 2 Char"/>
    <w:basedOn w:val="DefaultParagraphFont"/>
    <w:link w:val="Heading2"/>
    <w:uiPriority w:val="9"/>
    <w:rsid w:val="001815B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815BF"/>
    <w:pPr>
      <w:spacing w:after="100"/>
      <w:ind w:left="220"/>
    </w:pPr>
  </w:style>
  <w:style w:type="character" w:styleId="UnresolvedMention">
    <w:name w:val="Unresolved Mention"/>
    <w:basedOn w:val="DefaultParagraphFont"/>
    <w:uiPriority w:val="99"/>
    <w:semiHidden/>
    <w:unhideWhenUsed/>
    <w:rsid w:val="0080034A"/>
    <w:rPr>
      <w:color w:val="605E5C"/>
      <w:shd w:val="clear" w:color="auto" w:fill="E1DFDD"/>
    </w:rPr>
  </w:style>
  <w:style w:type="paragraph" w:styleId="ListParagraph">
    <w:name w:val="List Paragraph"/>
    <w:basedOn w:val="Normal"/>
    <w:uiPriority w:val="34"/>
    <w:qFormat/>
    <w:rsid w:val="006D7A66"/>
    <w:pPr>
      <w:ind w:left="720"/>
      <w:contextualSpacing/>
    </w:pPr>
  </w:style>
  <w:style w:type="paragraph" w:styleId="Caption">
    <w:name w:val="caption"/>
    <w:basedOn w:val="Normal"/>
    <w:next w:val="Normal"/>
    <w:uiPriority w:val="35"/>
    <w:semiHidden/>
    <w:unhideWhenUsed/>
    <w:qFormat/>
    <w:rsid w:val="005A21E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751223">
      <w:bodyDiv w:val="1"/>
      <w:marLeft w:val="0"/>
      <w:marRight w:val="0"/>
      <w:marTop w:val="0"/>
      <w:marBottom w:val="0"/>
      <w:divBdr>
        <w:top w:val="none" w:sz="0" w:space="0" w:color="auto"/>
        <w:left w:val="none" w:sz="0" w:space="0" w:color="auto"/>
        <w:bottom w:val="none" w:sz="0" w:space="0" w:color="auto"/>
        <w:right w:val="none" w:sz="0" w:space="0" w:color="auto"/>
      </w:divBdr>
    </w:div>
    <w:div w:id="1184628795">
      <w:bodyDiv w:val="1"/>
      <w:marLeft w:val="0"/>
      <w:marRight w:val="0"/>
      <w:marTop w:val="0"/>
      <w:marBottom w:val="0"/>
      <w:divBdr>
        <w:top w:val="none" w:sz="0" w:space="0" w:color="auto"/>
        <w:left w:val="none" w:sz="0" w:space="0" w:color="auto"/>
        <w:bottom w:val="none" w:sz="0" w:space="0" w:color="auto"/>
        <w:right w:val="none" w:sz="0" w:space="0" w:color="auto"/>
      </w:divBdr>
    </w:div>
    <w:div w:id="1508522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ports.aviation-safety.net/1954/19540408-2_COMT_G-ALY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4271/2011-01-125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acm2.12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8557F-A3DB-4AE9-9A28-6D0F0EC3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2786</Words>
  <Characters>15885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James</dc:creator>
  <cp:keywords/>
  <dc:description/>
  <cp:lastModifiedBy>Lewis James</cp:lastModifiedBy>
  <cp:revision>137</cp:revision>
  <dcterms:created xsi:type="dcterms:W3CDTF">2021-03-02T16:46:00Z</dcterms:created>
  <dcterms:modified xsi:type="dcterms:W3CDTF">2021-03-07T11:13:00Z</dcterms:modified>
</cp:coreProperties>
</file>