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C6885" w14:textId="77777777" w:rsidR="003B1E84" w:rsidRDefault="003B1E84" w:rsidP="003B1E84">
      <w:pPr>
        <w:spacing w:line="360" w:lineRule="auto"/>
        <w:jc w:val="center"/>
        <w:rPr>
          <w:rFonts w:ascii="Arial" w:hAnsi="Arial" w:cs="Arial"/>
          <w:sz w:val="44"/>
          <w:szCs w:val="44"/>
        </w:rPr>
      </w:pPr>
    </w:p>
    <w:p w14:paraId="34D79E8A" w14:textId="77777777" w:rsidR="003B1E84" w:rsidRDefault="003B1E84" w:rsidP="003B1E84">
      <w:pPr>
        <w:spacing w:line="360" w:lineRule="auto"/>
        <w:jc w:val="center"/>
        <w:rPr>
          <w:rFonts w:ascii="Arial" w:hAnsi="Arial" w:cs="Arial"/>
          <w:sz w:val="44"/>
          <w:szCs w:val="44"/>
        </w:rPr>
      </w:pPr>
    </w:p>
    <w:p w14:paraId="67B9F016" w14:textId="4EE9E4FB" w:rsidR="004A7215" w:rsidRDefault="003B1E84" w:rsidP="003B1E84">
      <w:pPr>
        <w:spacing w:line="360" w:lineRule="auto"/>
        <w:jc w:val="center"/>
        <w:rPr>
          <w:rFonts w:ascii="Arial" w:hAnsi="Arial" w:cs="Arial"/>
          <w:sz w:val="44"/>
          <w:szCs w:val="44"/>
        </w:rPr>
      </w:pPr>
      <w:r w:rsidRPr="003B1E84">
        <w:rPr>
          <w:rFonts w:ascii="Arial" w:hAnsi="Arial" w:cs="Arial"/>
          <w:sz w:val="44"/>
          <w:szCs w:val="44"/>
        </w:rPr>
        <w:t xml:space="preserve">A PESTLE analysis of Costa Coffee’s marketing environment </w:t>
      </w:r>
    </w:p>
    <w:p w14:paraId="78A8223B" w14:textId="77777777" w:rsidR="003B1E84" w:rsidRDefault="003B1E84" w:rsidP="003B1E84">
      <w:pPr>
        <w:spacing w:line="360" w:lineRule="auto"/>
        <w:jc w:val="center"/>
        <w:rPr>
          <w:rFonts w:ascii="Arial" w:hAnsi="Arial" w:cs="Arial"/>
          <w:sz w:val="44"/>
          <w:szCs w:val="44"/>
        </w:rPr>
      </w:pPr>
    </w:p>
    <w:p w14:paraId="6C0F60E4" w14:textId="77777777" w:rsidR="003B1E84" w:rsidRDefault="003B1E84" w:rsidP="003B1E84">
      <w:pPr>
        <w:spacing w:line="360" w:lineRule="auto"/>
        <w:jc w:val="center"/>
        <w:rPr>
          <w:rFonts w:ascii="Arial" w:hAnsi="Arial" w:cs="Arial"/>
          <w:sz w:val="44"/>
          <w:szCs w:val="44"/>
        </w:rPr>
      </w:pPr>
    </w:p>
    <w:p w14:paraId="4CB32D2B" w14:textId="77777777" w:rsidR="003B1E84" w:rsidRDefault="003B1E84" w:rsidP="003B1E84">
      <w:pPr>
        <w:spacing w:line="360" w:lineRule="auto"/>
        <w:jc w:val="center"/>
        <w:rPr>
          <w:rFonts w:ascii="Arial" w:hAnsi="Arial" w:cs="Arial"/>
          <w:sz w:val="44"/>
          <w:szCs w:val="44"/>
        </w:rPr>
      </w:pPr>
    </w:p>
    <w:p w14:paraId="6346A7BC" w14:textId="77777777" w:rsidR="003B1E84" w:rsidRDefault="003B1E84" w:rsidP="003B1E84">
      <w:pPr>
        <w:spacing w:line="360" w:lineRule="auto"/>
        <w:jc w:val="center"/>
        <w:rPr>
          <w:rFonts w:ascii="Arial" w:hAnsi="Arial" w:cs="Arial"/>
          <w:sz w:val="44"/>
          <w:szCs w:val="44"/>
        </w:rPr>
      </w:pPr>
    </w:p>
    <w:p w14:paraId="46A9A5FB" w14:textId="77777777" w:rsidR="003B1E84" w:rsidRDefault="003B1E84" w:rsidP="003B1E84">
      <w:pPr>
        <w:spacing w:line="360" w:lineRule="auto"/>
        <w:jc w:val="center"/>
        <w:rPr>
          <w:rFonts w:ascii="Arial" w:hAnsi="Arial" w:cs="Arial"/>
          <w:sz w:val="44"/>
          <w:szCs w:val="44"/>
        </w:rPr>
      </w:pPr>
    </w:p>
    <w:p w14:paraId="4C72BDFC" w14:textId="77777777" w:rsidR="003B1E84" w:rsidRDefault="003B1E84" w:rsidP="003B1E84">
      <w:pPr>
        <w:spacing w:line="360" w:lineRule="auto"/>
        <w:jc w:val="center"/>
        <w:rPr>
          <w:rFonts w:ascii="Arial" w:hAnsi="Arial" w:cs="Arial"/>
          <w:sz w:val="44"/>
          <w:szCs w:val="44"/>
        </w:rPr>
      </w:pPr>
    </w:p>
    <w:p w14:paraId="55E0E5E2" w14:textId="77777777" w:rsidR="000A77F9" w:rsidRDefault="000A77F9" w:rsidP="003B1E84">
      <w:pPr>
        <w:spacing w:line="360" w:lineRule="auto"/>
        <w:jc w:val="both"/>
        <w:rPr>
          <w:rFonts w:ascii="Arial" w:eastAsia="Aptos" w:hAnsi="Arial" w:cs="Arial"/>
        </w:rPr>
      </w:pPr>
    </w:p>
    <w:p w14:paraId="400028CC" w14:textId="77777777" w:rsidR="000A77F9" w:rsidRDefault="000A77F9" w:rsidP="003B1E84">
      <w:pPr>
        <w:spacing w:line="360" w:lineRule="auto"/>
        <w:jc w:val="both"/>
        <w:rPr>
          <w:rFonts w:ascii="Arial" w:eastAsia="Aptos" w:hAnsi="Arial" w:cs="Arial"/>
        </w:rPr>
      </w:pPr>
    </w:p>
    <w:p w14:paraId="72690A45" w14:textId="2FE003D7" w:rsidR="003B1E84" w:rsidRPr="003B1E84" w:rsidRDefault="003B1E84" w:rsidP="003B1E84">
      <w:pPr>
        <w:spacing w:line="360" w:lineRule="auto"/>
        <w:jc w:val="both"/>
        <w:rPr>
          <w:rFonts w:ascii="Arial" w:eastAsia="Aptos" w:hAnsi="Arial" w:cs="Arial"/>
        </w:rPr>
      </w:pPr>
      <w:r w:rsidRPr="003B1E84">
        <w:rPr>
          <w:rFonts w:ascii="Arial" w:eastAsia="Aptos" w:hAnsi="Arial" w:cs="Arial"/>
        </w:rPr>
        <w:t>Student name: Miruna Roberta Dumitru</w:t>
      </w:r>
    </w:p>
    <w:p w14:paraId="42BBE749" w14:textId="77777777" w:rsidR="003B1E84" w:rsidRPr="003B1E84" w:rsidRDefault="003B1E84" w:rsidP="003B1E84">
      <w:pPr>
        <w:spacing w:line="360" w:lineRule="auto"/>
        <w:jc w:val="both"/>
        <w:rPr>
          <w:rFonts w:ascii="Arial" w:eastAsia="Aptos" w:hAnsi="Arial" w:cs="Arial"/>
        </w:rPr>
      </w:pPr>
      <w:r w:rsidRPr="003B1E84">
        <w:rPr>
          <w:rFonts w:ascii="Arial" w:eastAsia="Aptos" w:hAnsi="Arial" w:cs="Arial"/>
        </w:rPr>
        <w:t>Student ID: 2437534</w:t>
      </w:r>
    </w:p>
    <w:p w14:paraId="3DA4BCDA" w14:textId="71082562" w:rsidR="003B1E84" w:rsidRPr="003B1E84" w:rsidRDefault="003B1E84" w:rsidP="003B1E84">
      <w:pPr>
        <w:spacing w:line="360" w:lineRule="auto"/>
        <w:jc w:val="both"/>
        <w:rPr>
          <w:rFonts w:ascii="Arial" w:eastAsia="Aptos" w:hAnsi="Arial" w:cs="Arial"/>
        </w:rPr>
      </w:pPr>
      <w:r w:rsidRPr="003B1E84">
        <w:rPr>
          <w:rFonts w:ascii="Arial" w:eastAsia="Aptos" w:hAnsi="Arial" w:cs="Arial"/>
        </w:rPr>
        <w:t>Module name:</w:t>
      </w:r>
      <w:r w:rsidR="00A6306C">
        <w:rPr>
          <w:rFonts w:ascii="Arial" w:eastAsia="Aptos" w:hAnsi="Arial" w:cs="Arial"/>
        </w:rPr>
        <w:t xml:space="preserve"> Principles of marketing</w:t>
      </w:r>
    </w:p>
    <w:p w14:paraId="73EDCF29" w14:textId="166E3817" w:rsidR="003B1E84" w:rsidRPr="003B1E84" w:rsidRDefault="003B1E84" w:rsidP="003B1E84">
      <w:pPr>
        <w:spacing w:line="360" w:lineRule="auto"/>
        <w:jc w:val="both"/>
        <w:rPr>
          <w:rFonts w:ascii="Arial" w:eastAsia="Aptos" w:hAnsi="Arial" w:cs="Arial"/>
        </w:rPr>
      </w:pPr>
      <w:r w:rsidRPr="003B1E84">
        <w:rPr>
          <w:rFonts w:ascii="Arial" w:eastAsia="Aptos" w:hAnsi="Arial" w:cs="Arial"/>
        </w:rPr>
        <w:t xml:space="preserve">Module code: </w:t>
      </w:r>
      <w:r w:rsidR="00A6306C">
        <w:rPr>
          <w:rFonts w:ascii="Arial" w:eastAsia="Aptos" w:hAnsi="Arial" w:cs="Arial"/>
        </w:rPr>
        <w:t>LCBB5015</w:t>
      </w:r>
    </w:p>
    <w:p w14:paraId="3E88D458" w14:textId="77777777" w:rsidR="003B1E84" w:rsidRDefault="003B1E84" w:rsidP="003B1E84">
      <w:pPr>
        <w:spacing w:line="360" w:lineRule="auto"/>
        <w:jc w:val="center"/>
        <w:rPr>
          <w:rFonts w:ascii="Arial" w:hAnsi="Arial" w:cs="Arial"/>
          <w:sz w:val="44"/>
          <w:szCs w:val="44"/>
        </w:rPr>
      </w:pPr>
    </w:p>
    <w:p w14:paraId="37494323" w14:textId="77777777" w:rsidR="003B1E84" w:rsidRDefault="003B1E84" w:rsidP="003B1E84">
      <w:pPr>
        <w:spacing w:line="360" w:lineRule="auto"/>
        <w:jc w:val="center"/>
        <w:rPr>
          <w:rFonts w:ascii="Arial" w:hAnsi="Arial" w:cs="Arial"/>
          <w:sz w:val="44"/>
          <w:szCs w:val="44"/>
        </w:rPr>
      </w:pPr>
    </w:p>
    <w:sdt>
      <w:sdtPr>
        <w:rPr>
          <w:rFonts w:asciiTheme="minorHAnsi" w:eastAsiaTheme="minorHAnsi" w:hAnsiTheme="minorHAnsi" w:cstheme="minorBidi"/>
          <w:color w:val="auto"/>
          <w:kern w:val="2"/>
          <w:sz w:val="24"/>
          <w:szCs w:val="24"/>
          <w:lang w:eastAsia="en-US"/>
          <w14:ligatures w14:val="standardContextual"/>
        </w:rPr>
        <w:id w:val="-863445555"/>
        <w:docPartObj>
          <w:docPartGallery w:val="Table of Contents"/>
          <w:docPartUnique/>
        </w:docPartObj>
      </w:sdtPr>
      <w:sdtEndPr>
        <w:rPr>
          <w:b/>
          <w:bCs/>
        </w:rPr>
      </w:sdtEndPr>
      <w:sdtContent>
        <w:p w14:paraId="1EC83AF9" w14:textId="59B2E959" w:rsidR="003B1E84" w:rsidRDefault="003B1E84">
          <w:pPr>
            <w:pStyle w:val="TOCHeading"/>
          </w:pPr>
          <w:r>
            <w:t>Contents</w:t>
          </w:r>
        </w:p>
        <w:p w14:paraId="72AB70A1" w14:textId="10B81DB1" w:rsidR="00A6306C" w:rsidRDefault="003B1E84">
          <w:pPr>
            <w:pStyle w:val="TOC1"/>
            <w:tabs>
              <w:tab w:val="right" w:leader="dot" w:pos="9016"/>
            </w:tabs>
            <w:rPr>
              <w:noProof/>
            </w:rPr>
          </w:pPr>
          <w:r>
            <w:fldChar w:fldCharType="begin"/>
          </w:r>
          <w:r>
            <w:instrText xml:space="preserve"> TOC \o "1-3" \h \z \u </w:instrText>
          </w:r>
          <w:r>
            <w:fldChar w:fldCharType="separate"/>
          </w:r>
          <w:hyperlink w:anchor="_Toc233449495" w:history="1">
            <w:r w:rsidR="00A6306C" w:rsidRPr="00686B13">
              <w:rPr>
                <w:rStyle w:val="Hyperlink"/>
                <w:rFonts w:ascii="Arial" w:hAnsi="Arial" w:cs="Arial"/>
                <w:noProof/>
              </w:rPr>
              <w:t>Introduction</w:t>
            </w:r>
            <w:r w:rsidR="00A6306C">
              <w:rPr>
                <w:noProof/>
                <w:webHidden/>
              </w:rPr>
              <w:tab/>
            </w:r>
            <w:r w:rsidR="00A6306C">
              <w:rPr>
                <w:noProof/>
                <w:webHidden/>
              </w:rPr>
              <w:fldChar w:fldCharType="begin"/>
            </w:r>
            <w:r w:rsidR="00A6306C">
              <w:rPr>
                <w:noProof/>
                <w:webHidden/>
              </w:rPr>
              <w:instrText xml:space="preserve"> PAGEREF _Toc233449495 \h </w:instrText>
            </w:r>
            <w:r w:rsidR="00A6306C">
              <w:rPr>
                <w:noProof/>
                <w:webHidden/>
              </w:rPr>
            </w:r>
            <w:r w:rsidR="00A6306C">
              <w:rPr>
                <w:noProof/>
                <w:webHidden/>
              </w:rPr>
              <w:fldChar w:fldCharType="separate"/>
            </w:r>
            <w:r w:rsidR="00A6306C">
              <w:rPr>
                <w:noProof/>
                <w:webHidden/>
              </w:rPr>
              <w:t>3</w:t>
            </w:r>
            <w:r w:rsidR="00A6306C">
              <w:rPr>
                <w:noProof/>
                <w:webHidden/>
              </w:rPr>
              <w:fldChar w:fldCharType="end"/>
            </w:r>
          </w:hyperlink>
        </w:p>
        <w:p w14:paraId="360CCD22" w14:textId="7C3139F4" w:rsidR="00A6306C" w:rsidRDefault="00A6306C" w:rsidP="00A6306C">
          <w:pPr>
            <w:pStyle w:val="TOC2"/>
            <w:tabs>
              <w:tab w:val="right" w:leader="dot" w:pos="9016"/>
            </w:tabs>
            <w:ind w:left="0"/>
            <w:rPr>
              <w:noProof/>
            </w:rPr>
          </w:pPr>
          <w:hyperlink w:anchor="_Toc233449496" w:history="1">
            <w:r w:rsidRPr="00686B13">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_Toc233449496 \h </w:instrText>
            </w:r>
            <w:r>
              <w:rPr>
                <w:noProof/>
                <w:webHidden/>
              </w:rPr>
            </w:r>
            <w:r>
              <w:rPr>
                <w:noProof/>
                <w:webHidden/>
              </w:rPr>
              <w:fldChar w:fldCharType="separate"/>
            </w:r>
            <w:r>
              <w:rPr>
                <w:noProof/>
                <w:webHidden/>
              </w:rPr>
              <w:t>4</w:t>
            </w:r>
            <w:r>
              <w:rPr>
                <w:noProof/>
                <w:webHidden/>
              </w:rPr>
              <w:fldChar w:fldCharType="end"/>
            </w:r>
          </w:hyperlink>
        </w:p>
        <w:p w14:paraId="24265E28" w14:textId="36524EDA" w:rsidR="00A6306C" w:rsidRDefault="00A6306C" w:rsidP="00A6306C">
          <w:pPr>
            <w:pStyle w:val="TOC2"/>
            <w:tabs>
              <w:tab w:val="right" w:leader="dot" w:pos="9016"/>
            </w:tabs>
            <w:ind w:left="0"/>
            <w:rPr>
              <w:noProof/>
            </w:rPr>
          </w:pPr>
          <w:hyperlink w:anchor="_Toc233449497" w:history="1">
            <w:r w:rsidRPr="00686B13">
              <w:rPr>
                <w:rStyle w:val="Hyperlink"/>
                <w:rFonts w:ascii="Arial" w:hAnsi="Arial" w:cs="Arial"/>
                <w:noProof/>
              </w:rPr>
              <w:t>Critical analysis and evaluation</w:t>
            </w:r>
            <w:r>
              <w:rPr>
                <w:noProof/>
                <w:webHidden/>
              </w:rPr>
              <w:tab/>
            </w:r>
            <w:r>
              <w:rPr>
                <w:noProof/>
                <w:webHidden/>
              </w:rPr>
              <w:fldChar w:fldCharType="begin"/>
            </w:r>
            <w:r>
              <w:rPr>
                <w:noProof/>
                <w:webHidden/>
              </w:rPr>
              <w:instrText xml:space="preserve"> PAGEREF _Toc233449497 \h </w:instrText>
            </w:r>
            <w:r>
              <w:rPr>
                <w:noProof/>
                <w:webHidden/>
              </w:rPr>
            </w:r>
            <w:r>
              <w:rPr>
                <w:noProof/>
                <w:webHidden/>
              </w:rPr>
              <w:fldChar w:fldCharType="separate"/>
            </w:r>
            <w:r>
              <w:rPr>
                <w:noProof/>
                <w:webHidden/>
              </w:rPr>
              <w:t>6</w:t>
            </w:r>
            <w:r>
              <w:rPr>
                <w:noProof/>
                <w:webHidden/>
              </w:rPr>
              <w:fldChar w:fldCharType="end"/>
            </w:r>
          </w:hyperlink>
        </w:p>
        <w:p w14:paraId="6EF6DEF9" w14:textId="5700EBA8" w:rsidR="00A6306C" w:rsidRDefault="00A6306C" w:rsidP="00A6306C">
          <w:pPr>
            <w:pStyle w:val="TOC3"/>
            <w:tabs>
              <w:tab w:val="right" w:leader="dot" w:pos="9016"/>
            </w:tabs>
            <w:ind w:left="0"/>
            <w:rPr>
              <w:noProof/>
            </w:rPr>
          </w:pPr>
          <w:hyperlink w:anchor="_Toc233449498" w:history="1">
            <w:r w:rsidRPr="00686B13">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_Toc233449498 \h </w:instrText>
            </w:r>
            <w:r>
              <w:rPr>
                <w:noProof/>
                <w:webHidden/>
              </w:rPr>
            </w:r>
            <w:r>
              <w:rPr>
                <w:noProof/>
                <w:webHidden/>
              </w:rPr>
              <w:fldChar w:fldCharType="separate"/>
            </w:r>
            <w:r>
              <w:rPr>
                <w:noProof/>
                <w:webHidden/>
              </w:rPr>
              <w:t>7</w:t>
            </w:r>
            <w:r>
              <w:rPr>
                <w:noProof/>
                <w:webHidden/>
              </w:rPr>
              <w:fldChar w:fldCharType="end"/>
            </w:r>
          </w:hyperlink>
        </w:p>
        <w:p w14:paraId="0FD4EA60" w14:textId="73279EFE" w:rsidR="00A6306C" w:rsidRDefault="00A6306C" w:rsidP="00A6306C">
          <w:pPr>
            <w:pStyle w:val="TOC3"/>
            <w:tabs>
              <w:tab w:val="right" w:leader="dot" w:pos="9016"/>
            </w:tabs>
            <w:ind w:left="0"/>
            <w:rPr>
              <w:noProof/>
            </w:rPr>
          </w:pPr>
          <w:hyperlink w:anchor="_Toc233449499" w:history="1">
            <w:r w:rsidRPr="00686B1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_Toc233449499 \h </w:instrText>
            </w:r>
            <w:r>
              <w:rPr>
                <w:noProof/>
                <w:webHidden/>
              </w:rPr>
            </w:r>
            <w:r>
              <w:rPr>
                <w:noProof/>
                <w:webHidden/>
              </w:rPr>
              <w:fldChar w:fldCharType="separate"/>
            </w:r>
            <w:r>
              <w:rPr>
                <w:noProof/>
                <w:webHidden/>
              </w:rPr>
              <w:t>8</w:t>
            </w:r>
            <w:r>
              <w:rPr>
                <w:noProof/>
                <w:webHidden/>
              </w:rPr>
              <w:fldChar w:fldCharType="end"/>
            </w:r>
          </w:hyperlink>
        </w:p>
        <w:p w14:paraId="028B31BC" w14:textId="76301859" w:rsidR="003B1E84" w:rsidRDefault="003B1E84">
          <w:r>
            <w:rPr>
              <w:b/>
              <w:bCs/>
              <w:noProof/>
            </w:rPr>
            <w:fldChar w:fldCharType="end"/>
          </w:r>
        </w:p>
      </w:sdtContent>
    </w:sdt>
    <w:p w14:paraId="18EBB2AC" w14:textId="77777777" w:rsidR="003B1E84" w:rsidRDefault="003B1E84" w:rsidP="003B1E84">
      <w:pPr>
        <w:spacing w:line="360" w:lineRule="auto"/>
        <w:jc w:val="center"/>
        <w:rPr>
          <w:rFonts w:ascii="Arial" w:hAnsi="Arial" w:cs="Arial"/>
          <w:sz w:val="44"/>
          <w:szCs w:val="44"/>
        </w:rPr>
      </w:pPr>
    </w:p>
    <w:p w14:paraId="066E9969" w14:textId="77777777" w:rsidR="003B1E84" w:rsidRDefault="003B1E84" w:rsidP="003B1E84">
      <w:pPr>
        <w:spacing w:line="360" w:lineRule="auto"/>
        <w:jc w:val="center"/>
        <w:rPr>
          <w:rFonts w:ascii="Arial" w:hAnsi="Arial" w:cs="Arial"/>
          <w:sz w:val="44"/>
          <w:szCs w:val="44"/>
        </w:rPr>
      </w:pPr>
    </w:p>
    <w:p w14:paraId="051A97D4" w14:textId="77777777" w:rsidR="003B1E84" w:rsidRDefault="003B1E84" w:rsidP="003B1E84">
      <w:pPr>
        <w:spacing w:line="360" w:lineRule="auto"/>
        <w:jc w:val="center"/>
        <w:rPr>
          <w:rFonts w:ascii="Arial" w:hAnsi="Arial" w:cs="Arial"/>
          <w:sz w:val="44"/>
          <w:szCs w:val="44"/>
        </w:rPr>
      </w:pPr>
    </w:p>
    <w:p w14:paraId="61C8EB0E" w14:textId="77777777" w:rsidR="003B1E84" w:rsidRDefault="003B1E84" w:rsidP="003B1E84">
      <w:pPr>
        <w:spacing w:line="360" w:lineRule="auto"/>
        <w:jc w:val="center"/>
        <w:rPr>
          <w:rFonts w:ascii="Arial" w:hAnsi="Arial" w:cs="Arial"/>
          <w:sz w:val="44"/>
          <w:szCs w:val="44"/>
        </w:rPr>
      </w:pPr>
    </w:p>
    <w:p w14:paraId="19F79531" w14:textId="77777777" w:rsidR="003B1E84" w:rsidRDefault="003B1E84" w:rsidP="003B1E84">
      <w:pPr>
        <w:spacing w:line="360" w:lineRule="auto"/>
        <w:jc w:val="center"/>
        <w:rPr>
          <w:rFonts w:ascii="Arial" w:hAnsi="Arial" w:cs="Arial"/>
          <w:sz w:val="44"/>
          <w:szCs w:val="44"/>
        </w:rPr>
      </w:pPr>
    </w:p>
    <w:p w14:paraId="467CC264" w14:textId="77777777" w:rsidR="003B1E84" w:rsidRDefault="003B1E84" w:rsidP="003B1E84">
      <w:pPr>
        <w:spacing w:line="360" w:lineRule="auto"/>
        <w:jc w:val="center"/>
        <w:rPr>
          <w:rFonts w:ascii="Arial" w:hAnsi="Arial" w:cs="Arial"/>
          <w:sz w:val="44"/>
          <w:szCs w:val="44"/>
        </w:rPr>
      </w:pPr>
    </w:p>
    <w:p w14:paraId="467B9ACB" w14:textId="77777777" w:rsidR="003B1E84" w:rsidRDefault="003B1E84" w:rsidP="003B1E84">
      <w:pPr>
        <w:spacing w:line="360" w:lineRule="auto"/>
        <w:jc w:val="center"/>
        <w:rPr>
          <w:rFonts w:ascii="Arial" w:hAnsi="Arial" w:cs="Arial"/>
          <w:sz w:val="44"/>
          <w:szCs w:val="44"/>
        </w:rPr>
      </w:pPr>
    </w:p>
    <w:p w14:paraId="651938AD" w14:textId="77777777" w:rsidR="003B1E84" w:rsidRDefault="003B1E84" w:rsidP="003B1E84">
      <w:pPr>
        <w:spacing w:line="360" w:lineRule="auto"/>
        <w:jc w:val="center"/>
        <w:rPr>
          <w:rFonts w:ascii="Arial" w:hAnsi="Arial" w:cs="Arial"/>
          <w:sz w:val="44"/>
          <w:szCs w:val="44"/>
        </w:rPr>
      </w:pPr>
    </w:p>
    <w:p w14:paraId="0646983E" w14:textId="77777777" w:rsidR="003B1E84" w:rsidRDefault="003B1E84" w:rsidP="003B1E84">
      <w:pPr>
        <w:spacing w:line="360" w:lineRule="auto"/>
        <w:jc w:val="center"/>
        <w:rPr>
          <w:rFonts w:ascii="Arial" w:hAnsi="Arial" w:cs="Arial"/>
          <w:sz w:val="44"/>
          <w:szCs w:val="44"/>
        </w:rPr>
      </w:pPr>
    </w:p>
    <w:p w14:paraId="2B68D865" w14:textId="77777777" w:rsidR="003B1E84" w:rsidRDefault="003B1E84" w:rsidP="003B1E84">
      <w:pPr>
        <w:spacing w:line="360" w:lineRule="auto"/>
        <w:jc w:val="center"/>
        <w:rPr>
          <w:rFonts w:ascii="Arial" w:hAnsi="Arial" w:cs="Arial"/>
          <w:sz w:val="44"/>
          <w:szCs w:val="44"/>
        </w:rPr>
      </w:pPr>
    </w:p>
    <w:p w14:paraId="2F0DC358" w14:textId="77777777" w:rsidR="003B1E84" w:rsidRDefault="003B1E84" w:rsidP="00A6306C">
      <w:pPr>
        <w:spacing w:line="360" w:lineRule="auto"/>
        <w:rPr>
          <w:rFonts w:ascii="Arial" w:hAnsi="Arial" w:cs="Arial"/>
          <w:sz w:val="44"/>
          <w:szCs w:val="44"/>
        </w:rPr>
      </w:pPr>
    </w:p>
    <w:p w14:paraId="66FEAAEA" w14:textId="496E7486" w:rsidR="003B1E84" w:rsidRDefault="003B1E84" w:rsidP="003B1E84">
      <w:pPr>
        <w:pStyle w:val="Heading1"/>
        <w:rPr>
          <w:rFonts w:ascii="Arial" w:hAnsi="Arial" w:cs="Arial"/>
          <w:sz w:val="28"/>
          <w:szCs w:val="28"/>
        </w:rPr>
      </w:pPr>
      <w:bookmarkStart w:id="0" w:name="_Toc233449495"/>
      <w:r w:rsidRPr="003B1E84">
        <w:rPr>
          <w:rFonts w:ascii="Arial" w:hAnsi="Arial" w:cs="Arial"/>
          <w:sz w:val="28"/>
          <w:szCs w:val="28"/>
        </w:rPr>
        <w:lastRenderedPageBreak/>
        <w:t>Introduction</w:t>
      </w:r>
      <w:bookmarkEnd w:id="0"/>
    </w:p>
    <w:p w14:paraId="507C650B" w14:textId="5204BFC9" w:rsidR="003B1E84" w:rsidRDefault="00FF15C6" w:rsidP="003B1E84">
      <w:pPr>
        <w:spacing w:line="360" w:lineRule="auto"/>
        <w:jc w:val="both"/>
        <w:rPr>
          <w:rFonts w:ascii="Arial" w:hAnsi="Arial" w:cs="Arial"/>
        </w:rPr>
      </w:pPr>
      <w:r>
        <w:rPr>
          <w:rFonts w:ascii="Arial" w:hAnsi="Arial" w:cs="Arial"/>
        </w:rPr>
        <w:t>Costa Coffee began in London in 1971, when Sergio and Bruno Costa established the business. It later became recognised for its Italian-inspired coffee blend and its presence as a high-street café brand (Costa Coffee, 2026). Costa is now part of The Coca-Cola Company, after being purchased from Whitbread in 2019 (The Coca-Cola Company, 2019).</w:t>
      </w:r>
    </w:p>
    <w:p w14:paraId="26543DA0" w14:textId="15FB716B" w:rsidR="003B1E84" w:rsidRDefault="00FF15C6" w:rsidP="003B1E84">
      <w:pPr>
        <w:spacing w:line="360" w:lineRule="auto"/>
        <w:jc w:val="both"/>
        <w:rPr>
          <w:rFonts w:ascii="Arial" w:hAnsi="Arial" w:cs="Arial"/>
        </w:rPr>
      </w:pPr>
      <w:r>
        <w:rPr>
          <w:rFonts w:ascii="Arial" w:hAnsi="Arial" w:cs="Arial"/>
        </w:rPr>
        <w:t xml:space="preserve">This report uses the PESTLE framework to analyse Costa Coffee’s current business situation. PESTLE considers the </w:t>
      </w:r>
      <w:r w:rsidR="00A83005">
        <w:rPr>
          <w:rFonts w:ascii="Arial" w:hAnsi="Arial" w:cs="Arial"/>
        </w:rPr>
        <w:t>key external factors, including political, economic, social, technological, legal and environmental influences, that affect</w:t>
      </w:r>
      <w:r>
        <w:rPr>
          <w:rFonts w:ascii="Arial" w:hAnsi="Arial" w:cs="Arial"/>
        </w:rPr>
        <w:t xml:space="preserve"> an organisation’s wider external environment </w:t>
      </w:r>
      <w:r w:rsidR="003B1E84">
        <w:rPr>
          <w:rFonts w:ascii="Arial" w:hAnsi="Arial" w:cs="Arial"/>
        </w:rPr>
        <w:t xml:space="preserve"> (Johnson et al., 2020). This model is appropriate because Costa’s marketing decisions are affected by changing consumer behaviour, cost pressures, technological development, regulation and sustainability expectations. As Kotler et al. (2020) argue, marketing decisions must be based on a clear understanding of the external environment, rather than only on internal organisational strengths. </w:t>
      </w:r>
    </w:p>
    <w:p w14:paraId="128812EB" w14:textId="77777777" w:rsidR="003B1E84" w:rsidRDefault="003B1E84" w:rsidP="003B1E84">
      <w:pPr>
        <w:spacing w:line="360" w:lineRule="auto"/>
        <w:jc w:val="both"/>
        <w:rPr>
          <w:rFonts w:ascii="Arial" w:hAnsi="Arial" w:cs="Arial"/>
        </w:rPr>
      </w:pPr>
    </w:p>
    <w:p w14:paraId="08CD765E" w14:textId="77777777" w:rsidR="003B1E84" w:rsidRDefault="003B1E84" w:rsidP="003B1E84">
      <w:pPr>
        <w:spacing w:line="360" w:lineRule="auto"/>
        <w:jc w:val="both"/>
        <w:rPr>
          <w:rFonts w:ascii="Arial" w:hAnsi="Arial" w:cs="Arial"/>
        </w:rPr>
      </w:pPr>
    </w:p>
    <w:p w14:paraId="14501254" w14:textId="77777777" w:rsidR="003B1E84" w:rsidRDefault="003B1E84" w:rsidP="003B1E84">
      <w:pPr>
        <w:spacing w:line="360" w:lineRule="auto"/>
        <w:jc w:val="both"/>
        <w:rPr>
          <w:rFonts w:ascii="Arial" w:hAnsi="Arial" w:cs="Arial"/>
        </w:rPr>
      </w:pPr>
    </w:p>
    <w:p w14:paraId="365FDAE8" w14:textId="77777777" w:rsidR="003B1E84" w:rsidRDefault="003B1E84" w:rsidP="003B1E84">
      <w:pPr>
        <w:spacing w:line="360" w:lineRule="auto"/>
        <w:jc w:val="both"/>
        <w:rPr>
          <w:rFonts w:ascii="Arial" w:hAnsi="Arial" w:cs="Arial"/>
        </w:rPr>
      </w:pPr>
    </w:p>
    <w:p w14:paraId="269057BF" w14:textId="77777777" w:rsidR="003B1E84" w:rsidRDefault="003B1E84" w:rsidP="003B1E84">
      <w:pPr>
        <w:spacing w:line="360" w:lineRule="auto"/>
        <w:jc w:val="both"/>
        <w:rPr>
          <w:rFonts w:ascii="Arial" w:hAnsi="Arial" w:cs="Arial"/>
        </w:rPr>
      </w:pPr>
    </w:p>
    <w:p w14:paraId="6166C9D8" w14:textId="77777777" w:rsidR="003B1E84" w:rsidRDefault="003B1E84" w:rsidP="003B1E84">
      <w:pPr>
        <w:spacing w:line="360" w:lineRule="auto"/>
        <w:jc w:val="both"/>
        <w:rPr>
          <w:rFonts w:ascii="Arial" w:hAnsi="Arial" w:cs="Arial"/>
        </w:rPr>
      </w:pPr>
    </w:p>
    <w:p w14:paraId="07306BDF" w14:textId="77777777" w:rsidR="003B1E84" w:rsidRDefault="003B1E84" w:rsidP="003B1E84">
      <w:pPr>
        <w:spacing w:line="360" w:lineRule="auto"/>
        <w:jc w:val="both"/>
        <w:rPr>
          <w:rFonts w:ascii="Arial" w:hAnsi="Arial" w:cs="Arial"/>
        </w:rPr>
      </w:pPr>
    </w:p>
    <w:p w14:paraId="0B6600F3" w14:textId="77777777" w:rsidR="003B1E84" w:rsidRDefault="003B1E84" w:rsidP="003B1E84">
      <w:pPr>
        <w:spacing w:line="360" w:lineRule="auto"/>
        <w:jc w:val="both"/>
        <w:rPr>
          <w:rFonts w:ascii="Arial" w:hAnsi="Arial" w:cs="Arial"/>
        </w:rPr>
      </w:pPr>
    </w:p>
    <w:p w14:paraId="07768603" w14:textId="77777777" w:rsidR="003B1E84" w:rsidRDefault="003B1E84" w:rsidP="003B1E84">
      <w:pPr>
        <w:spacing w:line="360" w:lineRule="auto"/>
        <w:jc w:val="both"/>
        <w:rPr>
          <w:rFonts w:ascii="Arial" w:hAnsi="Arial" w:cs="Arial"/>
        </w:rPr>
      </w:pPr>
    </w:p>
    <w:p w14:paraId="3B847996" w14:textId="77777777" w:rsidR="003B1E84" w:rsidRDefault="003B1E84" w:rsidP="003B1E84">
      <w:pPr>
        <w:spacing w:line="360" w:lineRule="auto"/>
        <w:jc w:val="both"/>
        <w:rPr>
          <w:rFonts w:ascii="Arial" w:hAnsi="Arial" w:cs="Arial"/>
        </w:rPr>
      </w:pPr>
    </w:p>
    <w:p w14:paraId="0537CE1F" w14:textId="77777777" w:rsidR="003B1E84" w:rsidRDefault="003B1E84" w:rsidP="003B1E84">
      <w:pPr>
        <w:spacing w:line="360" w:lineRule="auto"/>
        <w:jc w:val="both"/>
        <w:rPr>
          <w:rFonts w:ascii="Arial" w:hAnsi="Arial" w:cs="Arial"/>
        </w:rPr>
      </w:pPr>
    </w:p>
    <w:p w14:paraId="186FCB36" w14:textId="77777777" w:rsidR="002B2602" w:rsidRDefault="002B2602" w:rsidP="003B1E84">
      <w:pPr>
        <w:spacing w:line="360" w:lineRule="auto"/>
        <w:jc w:val="both"/>
        <w:rPr>
          <w:rFonts w:ascii="Arial" w:hAnsi="Arial" w:cs="Arial"/>
        </w:rPr>
      </w:pPr>
    </w:p>
    <w:p w14:paraId="692698D5" w14:textId="08C201F1" w:rsidR="000A77F9" w:rsidRPr="000A77F9" w:rsidRDefault="003B1E84" w:rsidP="000A77F9">
      <w:pPr>
        <w:pStyle w:val="Heading2"/>
        <w:rPr>
          <w:rFonts w:ascii="Arial" w:hAnsi="Arial" w:cs="Arial"/>
          <w:sz w:val="28"/>
          <w:szCs w:val="28"/>
        </w:rPr>
      </w:pPr>
      <w:bookmarkStart w:id="1" w:name="_Toc233449496"/>
      <w:r w:rsidRPr="003B1E84">
        <w:rPr>
          <w:rFonts w:ascii="Arial" w:hAnsi="Arial" w:cs="Arial"/>
          <w:sz w:val="28"/>
          <w:szCs w:val="28"/>
        </w:rPr>
        <w:lastRenderedPageBreak/>
        <w:t>PESTLE Analysis</w:t>
      </w:r>
      <w:bookmarkEnd w:id="1"/>
    </w:p>
    <w:p w14:paraId="16D3489B" w14:textId="5F7EAF27" w:rsidR="003B1E84" w:rsidRDefault="0093021D" w:rsidP="003B1E84">
      <w:pPr>
        <w:spacing w:line="360" w:lineRule="auto"/>
        <w:jc w:val="both"/>
        <w:rPr>
          <w:rFonts w:ascii="Arial" w:hAnsi="Arial" w:cs="Arial"/>
        </w:rPr>
      </w:pPr>
      <w:r w:rsidRPr="000A77F9">
        <w:rPr>
          <w:rFonts w:ascii="Arial" w:hAnsi="Arial" w:cs="Arial"/>
          <w:b/>
          <w:bCs/>
        </w:rPr>
        <w:t>Political factors</w:t>
      </w:r>
      <w:r>
        <w:rPr>
          <w:rFonts w:ascii="Arial" w:hAnsi="Arial" w:cs="Arial"/>
        </w:rPr>
        <w:t xml:space="preserve"> have a direct impact on Costa Coffee because the hospitality sector is labour-intensive and sensitive to government policy. In the UK, increase in the National Living Wage create higher employment costs for coffee shop operators. This is important for Costa because store-based service depends heavily on baristas, supervisors and customer-facing staff. Rising wage costs may reduce profit margins. From a marketing perspective, Costa must decide whether to pass higher costs to customers through price increases or protect customer loyalty through value promotions. Therefore, Costa should use targeted promotions and loyalty rewards rather than relying only on general discounting. </w:t>
      </w:r>
    </w:p>
    <w:p w14:paraId="796D318F" w14:textId="77777777" w:rsidR="000A77F9" w:rsidRDefault="000A77F9" w:rsidP="003B1E84">
      <w:pPr>
        <w:spacing w:line="360" w:lineRule="auto"/>
        <w:jc w:val="both"/>
        <w:rPr>
          <w:rFonts w:ascii="Arial" w:hAnsi="Arial" w:cs="Arial"/>
        </w:rPr>
      </w:pPr>
    </w:p>
    <w:p w14:paraId="40AA0CCD" w14:textId="3A8474CE" w:rsidR="0093021D" w:rsidRDefault="0093021D" w:rsidP="003B1E84">
      <w:pPr>
        <w:spacing w:line="360" w:lineRule="auto"/>
        <w:jc w:val="both"/>
        <w:rPr>
          <w:rFonts w:ascii="Arial" w:hAnsi="Arial" w:cs="Arial"/>
        </w:rPr>
      </w:pPr>
      <w:r w:rsidRPr="000A77F9">
        <w:rPr>
          <w:rFonts w:ascii="Arial" w:hAnsi="Arial" w:cs="Arial"/>
          <w:b/>
          <w:bCs/>
        </w:rPr>
        <w:t>Economic factors</w:t>
      </w:r>
      <w:r>
        <w:rPr>
          <w:rFonts w:ascii="Arial" w:hAnsi="Arial" w:cs="Arial"/>
        </w:rPr>
        <w:t xml:space="preserve"> </w:t>
      </w:r>
      <w:r w:rsidR="00FF15C6">
        <w:rPr>
          <w:rFonts w:ascii="Arial" w:hAnsi="Arial" w:cs="Arial"/>
        </w:rPr>
        <w:t>are also significant. The UK’s branded coffee shop sector has expanded steadily, but customers are becoming more careful about prices. World Coffee Portal (2026) reported that the market was worth £6.8 billion and included 12,313 outlets. Costa has the advantage of high brand recognition, although changing lifestyles mean that customers now expect healthier food options, as well as products that fit social, study and work routines.</w:t>
      </w:r>
      <w:r>
        <w:rPr>
          <w:rFonts w:ascii="Arial" w:hAnsi="Arial" w:cs="Arial"/>
        </w:rPr>
        <w:t>. Jobber and Ellis-Chadwick (2020) explain that price is not only source of revenue but also a signal of value. Costa’s challenge is to maintain its premium image while remaining affordable. This has implications for its marketing mix</w:t>
      </w:r>
      <w:r w:rsidR="007A362A">
        <w:rPr>
          <w:rFonts w:ascii="Arial" w:hAnsi="Arial" w:cs="Arial"/>
        </w:rPr>
        <w:t>.</w:t>
      </w:r>
    </w:p>
    <w:p w14:paraId="12AACA18" w14:textId="77777777" w:rsidR="000A77F9" w:rsidRDefault="000A77F9" w:rsidP="003B1E84">
      <w:pPr>
        <w:spacing w:line="360" w:lineRule="auto"/>
        <w:jc w:val="both"/>
        <w:rPr>
          <w:rFonts w:ascii="Arial" w:hAnsi="Arial" w:cs="Arial"/>
        </w:rPr>
      </w:pPr>
    </w:p>
    <w:p w14:paraId="5B2D43F7" w14:textId="5CC360D8" w:rsidR="0093021D" w:rsidRDefault="0093021D" w:rsidP="003B1E84">
      <w:pPr>
        <w:spacing w:line="360" w:lineRule="auto"/>
        <w:jc w:val="both"/>
        <w:rPr>
          <w:rFonts w:ascii="Arial" w:hAnsi="Arial" w:cs="Arial"/>
        </w:rPr>
      </w:pPr>
      <w:r w:rsidRPr="000A77F9">
        <w:rPr>
          <w:rFonts w:ascii="Arial" w:hAnsi="Arial" w:cs="Arial"/>
          <w:b/>
          <w:bCs/>
        </w:rPr>
        <w:t>Social factors</w:t>
      </w:r>
      <w:r>
        <w:rPr>
          <w:rFonts w:ascii="Arial" w:hAnsi="Arial" w:cs="Arial"/>
        </w:rPr>
        <w:t xml:space="preserve"> influence Costa’s product and brand decisions. Coffee shops are now used not only for drinks, but also as social, study and </w:t>
      </w:r>
      <w:r w:rsidR="007A362A">
        <w:rPr>
          <w:rFonts w:ascii="Arial" w:hAnsi="Arial" w:cs="Arial"/>
        </w:rPr>
        <w:t>workspace</w:t>
      </w:r>
      <w:r>
        <w:rPr>
          <w:rFonts w:ascii="Arial" w:hAnsi="Arial" w:cs="Arial"/>
        </w:rPr>
        <w:t>. This means Costa sells both a product and an experience. Kotler and Keller (2016) argue that successful brands create emotional as well as functional value. Costa benefits from strong brand familiarity, but changing lifestyles mean customers increasingly expect healthier food, plant-based alternatives, iced drinks, seasonal products and convenient take</w:t>
      </w:r>
      <w:r w:rsidR="007A362A">
        <w:rPr>
          <w:rFonts w:ascii="Arial" w:hAnsi="Arial" w:cs="Arial"/>
        </w:rPr>
        <w:t>a</w:t>
      </w:r>
      <w:r>
        <w:rPr>
          <w:rFonts w:ascii="Arial" w:hAnsi="Arial" w:cs="Arial"/>
        </w:rPr>
        <w:t xml:space="preserve">way options. Costa should therefore continue to develop menu innovation, including lower-sugar drinks, vegan options and limited-edition ranges, while maintaining the reliability associated with its core coffee offer. </w:t>
      </w:r>
    </w:p>
    <w:p w14:paraId="53682478" w14:textId="77777777" w:rsidR="000A77F9" w:rsidRDefault="000A77F9" w:rsidP="003B1E84">
      <w:pPr>
        <w:spacing w:line="360" w:lineRule="auto"/>
        <w:jc w:val="both"/>
        <w:rPr>
          <w:rFonts w:ascii="Arial" w:hAnsi="Arial" w:cs="Arial"/>
        </w:rPr>
      </w:pPr>
    </w:p>
    <w:p w14:paraId="3CBC7CDC" w14:textId="755FC5F7" w:rsidR="0093021D" w:rsidRDefault="00B1774A" w:rsidP="003B1E84">
      <w:pPr>
        <w:spacing w:line="360" w:lineRule="auto"/>
        <w:jc w:val="both"/>
        <w:rPr>
          <w:rFonts w:ascii="Arial" w:hAnsi="Arial" w:cs="Arial"/>
        </w:rPr>
      </w:pPr>
      <w:r w:rsidRPr="000A77F9">
        <w:rPr>
          <w:rFonts w:ascii="Arial" w:hAnsi="Arial" w:cs="Arial"/>
          <w:b/>
          <w:bCs/>
        </w:rPr>
        <w:lastRenderedPageBreak/>
        <w:t>Technological factors</w:t>
      </w:r>
      <w:r>
        <w:rPr>
          <w:rFonts w:ascii="Arial" w:hAnsi="Arial" w:cs="Arial"/>
        </w:rPr>
        <w:t xml:space="preserve"> are increasingly central to Costa’s marketing strategy. Digital ordering, loyalty apps, self-service machines and data-driven promotions affect how customers interact with coffee brands. Costa Club allows customers to collect rewards and encourages repeat purchasing. Chaffey and Ellis-Chadwick (2019) </w:t>
      </w:r>
      <w:r w:rsidR="00CD2647">
        <w:rPr>
          <w:rFonts w:ascii="Arial" w:hAnsi="Arial" w:cs="Arial"/>
        </w:rPr>
        <w:t>suggest that digital marketing helps businesses develop closer relationships with customers by using online tools, data and personalised communication</w:t>
      </w:r>
      <w:r>
        <w:rPr>
          <w:rFonts w:ascii="Arial" w:hAnsi="Arial" w:cs="Arial"/>
        </w:rPr>
        <w:t>. Costa can use customer data from its app to provide personalised offers, promote new products and encourage visits</w:t>
      </w:r>
      <w:r w:rsidR="000A77F9">
        <w:rPr>
          <w:rFonts w:ascii="Arial" w:hAnsi="Arial" w:cs="Arial"/>
        </w:rPr>
        <w:t xml:space="preserve">. </w:t>
      </w:r>
      <w:r>
        <w:rPr>
          <w:rFonts w:ascii="Arial" w:hAnsi="Arial" w:cs="Arial"/>
        </w:rPr>
        <w:t xml:space="preserve">Costa Express machines also expand the brand beyond traditional cafes by making Costa available in petrol stations, supermarkets and workplaces. </w:t>
      </w:r>
    </w:p>
    <w:p w14:paraId="438F52FA" w14:textId="77777777" w:rsidR="000A77F9" w:rsidRDefault="000A77F9" w:rsidP="003B1E84">
      <w:pPr>
        <w:spacing w:line="360" w:lineRule="auto"/>
        <w:jc w:val="both"/>
        <w:rPr>
          <w:rFonts w:ascii="Arial" w:hAnsi="Arial" w:cs="Arial"/>
        </w:rPr>
      </w:pPr>
    </w:p>
    <w:p w14:paraId="36BA29AB" w14:textId="2EA1F78F" w:rsidR="00B1774A" w:rsidRDefault="00B1774A" w:rsidP="003B1E84">
      <w:pPr>
        <w:spacing w:line="360" w:lineRule="auto"/>
        <w:jc w:val="both"/>
        <w:rPr>
          <w:rFonts w:ascii="Arial" w:hAnsi="Arial" w:cs="Arial"/>
        </w:rPr>
      </w:pPr>
      <w:r w:rsidRPr="000A77F9">
        <w:rPr>
          <w:rFonts w:ascii="Arial" w:hAnsi="Arial" w:cs="Arial"/>
          <w:b/>
          <w:bCs/>
        </w:rPr>
        <w:t>Legal factors</w:t>
      </w:r>
      <w:r>
        <w:rPr>
          <w:rFonts w:ascii="Arial" w:hAnsi="Arial" w:cs="Arial"/>
        </w:rPr>
        <w:t xml:space="preserve"> also affect Costa’s operations and marketing communications. Food businesses must comply with allergen labelling, food safety rules, employment law and data protection regulations. The Food Standards Agency requires businesses selling prepacked food for direct sale to provide full ingredient and allergen information (Food Standards Agency, 2021). This is important for Costa because it sells sandwiches, cakes and other food products alongside drinks. In addition, Costa’s loyalty app and digital marketing activity must comply with UK data protection rules. If customers believe their personal data is being misused, or if food information is unclear, brand trust may be damaged. Costa must therefore make legal compliance part of its customer experience and brand reputation strategy.</w:t>
      </w:r>
    </w:p>
    <w:p w14:paraId="7FEB19B5" w14:textId="77777777" w:rsidR="000A77F9" w:rsidRDefault="000A77F9" w:rsidP="003B1E84">
      <w:pPr>
        <w:spacing w:line="360" w:lineRule="auto"/>
        <w:jc w:val="both"/>
        <w:rPr>
          <w:rFonts w:ascii="Arial" w:hAnsi="Arial" w:cs="Arial"/>
        </w:rPr>
      </w:pPr>
    </w:p>
    <w:p w14:paraId="2E914752" w14:textId="19990446" w:rsidR="00B1774A" w:rsidRDefault="00B1774A" w:rsidP="003B1E84">
      <w:pPr>
        <w:spacing w:line="360" w:lineRule="auto"/>
        <w:jc w:val="both"/>
        <w:rPr>
          <w:rFonts w:ascii="Arial" w:hAnsi="Arial" w:cs="Arial"/>
        </w:rPr>
      </w:pPr>
      <w:r w:rsidRPr="000A77F9">
        <w:rPr>
          <w:rFonts w:ascii="Arial" w:hAnsi="Arial" w:cs="Arial"/>
          <w:b/>
          <w:bCs/>
        </w:rPr>
        <w:t>Environmental factors</w:t>
      </w:r>
      <w:r>
        <w:rPr>
          <w:rFonts w:ascii="Arial" w:hAnsi="Arial" w:cs="Arial"/>
        </w:rPr>
        <w:t xml:space="preserve"> are increasingly important in the coffee industry. Coffee production, packaging waste and carbon emissions all create reputational risks for large coffee chains. Costa states that it is working towards net zero by 2040 and is focusing on coffee sourcing, cups, packaging and emissions reduction (Costa Coffee, 2026). This has marketing implications because environmentally aware consumers may prefer brands that demonstrate responsible behaviour. However, sustainability claims must be credible. Since many coffee chains now promote sustainability, Costa should communicate measurable progress rather than general environmental claims. Reusable cup rewards, recyclable packaging and responsible sourcing should be made more visible within stores and digital marketing. </w:t>
      </w:r>
    </w:p>
    <w:p w14:paraId="61AB27C4" w14:textId="77777777" w:rsidR="00EA234E" w:rsidRDefault="00EA234E" w:rsidP="003B1E84">
      <w:pPr>
        <w:spacing w:line="360" w:lineRule="auto"/>
        <w:jc w:val="both"/>
        <w:rPr>
          <w:rFonts w:ascii="Arial" w:hAnsi="Arial" w:cs="Arial"/>
        </w:rPr>
      </w:pPr>
    </w:p>
    <w:p w14:paraId="097C88DA" w14:textId="22A60486" w:rsidR="00EA234E" w:rsidRDefault="00EA234E" w:rsidP="00EA234E">
      <w:pPr>
        <w:pStyle w:val="Heading2"/>
        <w:rPr>
          <w:rFonts w:ascii="Arial" w:hAnsi="Arial" w:cs="Arial"/>
          <w:sz w:val="28"/>
          <w:szCs w:val="28"/>
        </w:rPr>
      </w:pPr>
      <w:bookmarkStart w:id="2" w:name="_Toc233449497"/>
      <w:r w:rsidRPr="00EA234E">
        <w:rPr>
          <w:rFonts w:ascii="Arial" w:hAnsi="Arial" w:cs="Arial"/>
          <w:sz w:val="28"/>
          <w:szCs w:val="28"/>
        </w:rPr>
        <w:lastRenderedPageBreak/>
        <w:t>Critical analysis and evaluation</w:t>
      </w:r>
      <w:bookmarkEnd w:id="2"/>
    </w:p>
    <w:p w14:paraId="4570546B" w14:textId="4CAC3940" w:rsidR="00EA234E" w:rsidRDefault="00752ADB" w:rsidP="00EA234E">
      <w:pPr>
        <w:spacing w:line="360" w:lineRule="auto"/>
        <w:jc w:val="both"/>
        <w:rPr>
          <w:rFonts w:ascii="Arial" w:hAnsi="Arial" w:cs="Arial"/>
        </w:rPr>
      </w:pPr>
      <w:r>
        <w:rPr>
          <w:rFonts w:ascii="Arial" w:hAnsi="Arial" w:cs="Arial"/>
        </w:rPr>
        <w:t xml:space="preserve">Costa’s PESTLE analysis suggests that its main challenge is not awareness but protecting its competitive position in a changing market. Following Porter’s view that strategy creates a unique and valuable position, Costa should avoid competing mainly on price and instead emphasise quality, comfort, convenience and responsibility. </w:t>
      </w:r>
    </w:p>
    <w:p w14:paraId="5135B891" w14:textId="2A339089" w:rsidR="00752ADB" w:rsidRDefault="00752ADB" w:rsidP="00EA234E">
      <w:pPr>
        <w:spacing w:line="360" w:lineRule="auto"/>
        <w:jc w:val="both"/>
        <w:rPr>
          <w:rFonts w:ascii="Arial" w:hAnsi="Arial" w:cs="Arial"/>
        </w:rPr>
      </w:pPr>
      <w:r>
        <w:rPr>
          <w:rFonts w:ascii="Arial" w:hAnsi="Arial" w:cs="Arial"/>
        </w:rPr>
        <w:t>Political and economic pressures, including higher wage costs and price-sensitive customers, mean heavy discounting could damage margins and weaken quality perceptions. A stronger response is targeted value, such as breakfast bundles, student offers and personalised Costa Club rewards. Technology and sustainability also offer opportunities through Costa Club, Costa Express and environmental messaging, but these must be credible, transparent and data compliant. Coca-Cola’s 2024 coffee decline shows Costa must keep adapting its value proposition.</w:t>
      </w:r>
    </w:p>
    <w:p w14:paraId="5FCF4A1D" w14:textId="77777777" w:rsidR="00EA234E" w:rsidRDefault="00EA234E" w:rsidP="00EA234E">
      <w:pPr>
        <w:spacing w:line="360" w:lineRule="auto"/>
        <w:jc w:val="both"/>
        <w:rPr>
          <w:rFonts w:ascii="Arial" w:hAnsi="Arial" w:cs="Arial"/>
        </w:rPr>
      </w:pPr>
    </w:p>
    <w:p w14:paraId="77298402" w14:textId="77777777" w:rsidR="00EA234E" w:rsidRDefault="00EA234E" w:rsidP="00EA234E">
      <w:pPr>
        <w:spacing w:line="360" w:lineRule="auto"/>
        <w:jc w:val="both"/>
        <w:rPr>
          <w:rFonts w:ascii="Arial" w:hAnsi="Arial" w:cs="Arial"/>
        </w:rPr>
      </w:pPr>
    </w:p>
    <w:p w14:paraId="1914EAE6" w14:textId="77777777" w:rsidR="00EA234E" w:rsidRDefault="00EA234E" w:rsidP="00EA234E">
      <w:pPr>
        <w:spacing w:line="360" w:lineRule="auto"/>
        <w:jc w:val="both"/>
        <w:rPr>
          <w:rFonts w:ascii="Arial" w:hAnsi="Arial" w:cs="Arial"/>
        </w:rPr>
      </w:pPr>
    </w:p>
    <w:p w14:paraId="3691DD1E" w14:textId="77777777" w:rsidR="00EA234E" w:rsidRDefault="00EA234E" w:rsidP="00EA234E">
      <w:pPr>
        <w:spacing w:line="360" w:lineRule="auto"/>
        <w:jc w:val="both"/>
        <w:rPr>
          <w:rFonts w:ascii="Arial" w:hAnsi="Arial" w:cs="Arial"/>
        </w:rPr>
      </w:pPr>
    </w:p>
    <w:p w14:paraId="2998B6B2" w14:textId="77777777" w:rsidR="00EA234E" w:rsidRDefault="00EA234E" w:rsidP="00EA234E">
      <w:pPr>
        <w:spacing w:line="360" w:lineRule="auto"/>
        <w:jc w:val="both"/>
        <w:rPr>
          <w:rFonts w:ascii="Arial" w:hAnsi="Arial" w:cs="Arial"/>
        </w:rPr>
      </w:pPr>
    </w:p>
    <w:p w14:paraId="3148D4A6" w14:textId="77777777" w:rsidR="007A362A" w:rsidRDefault="007A362A" w:rsidP="00EA234E">
      <w:pPr>
        <w:spacing w:line="360" w:lineRule="auto"/>
        <w:jc w:val="both"/>
        <w:rPr>
          <w:rFonts w:ascii="Arial" w:hAnsi="Arial" w:cs="Arial"/>
        </w:rPr>
      </w:pPr>
    </w:p>
    <w:p w14:paraId="34D051B6" w14:textId="77777777" w:rsidR="007A362A" w:rsidRDefault="007A362A" w:rsidP="00EA234E">
      <w:pPr>
        <w:spacing w:line="360" w:lineRule="auto"/>
        <w:jc w:val="both"/>
        <w:rPr>
          <w:rFonts w:ascii="Arial" w:hAnsi="Arial" w:cs="Arial"/>
        </w:rPr>
      </w:pPr>
    </w:p>
    <w:p w14:paraId="1EFA6035" w14:textId="77777777" w:rsidR="007A362A" w:rsidRDefault="007A362A" w:rsidP="00EA234E">
      <w:pPr>
        <w:spacing w:line="360" w:lineRule="auto"/>
        <w:jc w:val="both"/>
        <w:rPr>
          <w:rFonts w:ascii="Arial" w:hAnsi="Arial" w:cs="Arial"/>
        </w:rPr>
      </w:pPr>
    </w:p>
    <w:p w14:paraId="0671E043" w14:textId="77777777" w:rsidR="007A362A" w:rsidRDefault="007A362A" w:rsidP="00EA234E">
      <w:pPr>
        <w:spacing w:line="360" w:lineRule="auto"/>
        <w:jc w:val="both"/>
        <w:rPr>
          <w:rFonts w:ascii="Arial" w:hAnsi="Arial" w:cs="Arial"/>
        </w:rPr>
      </w:pPr>
    </w:p>
    <w:p w14:paraId="1E1603FB" w14:textId="77777777" w:rsidR="007A362A" w:rsidRDefault="007A362A" w:rsidP="00EA234E">
      <w:pPr>
        <w:spacing w:line="360" w:lineRule="auto"/>
        <w:jc w:val="both"/>
        <w:rPr>
          <w:rFonts w:ascii="Arial" w:hAnsi="Arial" w:cs="Arial"/>
        </w:rPr>
      </w:pPr>
    </w:p>
    <w:p w14:paraId="6A39F7AC" w14:textId="77777777" w:rsidR="007A362A" w:rsidRDefault="007A362A" w:rsidP="00EA234E">
      <w:pPr>
        <w:spacing w:line="360" w:lineRule="auto"/>
        <w:jc w:val="both"/>
        <w:rPr>
          <w:rFonts w:ascii="Arial" w:hAnsi="Arial" w:cs="Arial"/>
        </w:rPr>
      </w:pPr>
    </w:p>
    <w:p w14:paraId="00A30105" w14:textId="77777777" w:rsidR="007A362A" w:rsidRDefault="007A362A" w:rsidP="00EA234E">
      <w:pPr>
        <w:spacing w:line="360" w:lineRule="auto"/>
        <w:jc w:val="both"/>
        <w:rPr>
          <w:rFonts w:ascii="Arial" w:hAnsi="Arial" w:cs="Arial"/>
        </w:rPr>
      </w:pPr>
    </w:p>
    <w:p w14:paraId="7109CCF7" w14:textId="77777777" w:rsidR="00652F31" w:rsidRDefault="00652F31" w:rsidP="00EA234E">
      <w:pPr>
        <w:spacing w:line="360" w:lineRule="auto"/>
        <w:jc w:val="both"/>
        <w:rPr>
          <w:rFonts w:ascii="Arial" w:hAnsi="Arial" w:cs="Arial"/>
        </w:rPr>
      </w:pPr>
    </w:p>
    <w:p w14:paraId="1640C66C" w14:textId="77777777" w:rsidR="00652F31" w:rsidRDefault="00652F31" w:rsidP="00EA234E">
      <w:pPr>
        <w:spacing w:line="360" w:lineRule="auto"/>
        <w:jc w:val="both"/>
        <w:rPr>
          <w:rFonts w:ascii="Arial" w:hAnsi="Arial" w:cs="Arial"/>
        </w:rPr>
      </w:pPr>
    </w:p>
    <w:p w14:paraId="1D0CF615" w14:textId="77777777" w:rsidR="00EA234E" w:rsidRDefault="00EA234E" w:rsidP="00EA234E">
      <w:pPr>
        <w:pStyle w:val="Heading3"/>
        <w:rPr>
          <w:rFonts w:ascii="Arial" w:hAnsi="Arial" w:cs="Arial"/>
        </w:rPr>
      </w:pPr>
      <w:bookmarkStart w:id="3" w:name="_Toc233449498"/>
      <w:r>
        <w:rPr>
          <w:rFonts w:ascii="Arial" w:hAnsi="Arial" w:cs="Arial"/>
        </w:rPr>
        <w:lastRenderedPageBreak/>
        <w:t>Conclusion and recommendations</w:t>
      </w:r>
      <w:bookmarkEnd w:id="3"/>
      <w:r>
        <w:rPr>
          <w:rFonts w:ascii="Arial" w:hAnsi="Arial" w:cs="Arial"/>
        </w:rPr>
        <w:t xml:space="preserve"> </w:t>
      </w:r>
    </w:p>
    <w:p w14:paraId="4BBCE7A1" w14:textId="664C842E" w:rsidR="00EA234E" w:rsidRDefault="00EA234E" w:rsidP="00EA234E">
      <w:pPr>
        <w:jc w:val="both"/>
        <w:rPr>
          <w:rFonts w:ascii="Arial" w:hAnsi="Arial" w:cs="Arial"/>
        </w:rPr>
      </w:pPr>
      <w:r>
        <w:rPr>
          <w:rFonts w:ascii="Arial" w:hAnsi="Arial" w:cs="Arial"/>
        </w:rPr>
        <w:t xml:space="preserve">In conclusion, Costa Coffee remains one of the UK’s leading coffee brands, but its external environment creates both opportunities and threats. </w:t>
      </w:r>
      <w:r w:rsidR="005D2061">
        <w:rPr>
          <w:rFonts w:ascii="Arial" w:hAnsi="Arial" w:cs="Arial"/>
        </w:rPr>
        <w:t>Cost-related pressures from political and economic factors create challenges for Costa, whereas developments in society and technology offer chances to improve products and build better customer relationships.</w:t>
      </w:r>
      <w:r>
        <w:rPr>
          <w:rFonts w:ascii="Arial" w:hAnsi="Arial" w:cs="Arial"/>
        </w:rPr>
        <w:t xml:space="preserve"> Legal and environmental factors also shape how Costa communicates with customers and protects its reputation.</w:t>
      </w:r>
    </w:p>
    <w:p w14:paraId="19E37C2F" w14:textId="72A01542" w:rsidR="00EA234E" w:rsidRDefault="00EA234E" w:rsidP="00EA234E">
      <w:pPr>
        <w:jc w:val="both"/>
        <w:rPr>
          <w:rFonts w:ascii="Arial" w:hAnsi="Arial" w:cs="Arial"/>
        </w:rPr>
      </w:pPr>
      <w:r>
        <w:rPr>
          <w:rFonts w:ascii="Arial" w:hAnsi="Arial" w:cs="Arial"/>
        </w:rPr>
        <w:t xml:space="preserve">Costa should follow four key recommendations. First, it should strengthen Costa Club by using personalised offers and value-based rewards. Second, it should maintain affordability thorough bundles rather than damaging the brand with excessive discounting. Third, it should continue investing in Costa Express and digital convenience. Finally, it should communicate sustainability progress more clearly and transparently. </w:t>
      </w:r>
    </w:p>
    <w:p w14:paraId="71ECD3DC" w14:textId="77777777" w:rsidR="001C08A5" w:rsidRDefault="001C08A5" w:rsidP="00EA234E">
      <w:pPr>
        <w:jc w:val="both"/>
        <w:rPr>
          <w:rFonts w:ascii="Arial" w:hAnsi="Arial" w:cs="Arial"/>
        </w:rPr>
      </w:pPr>
    </w:p>
    <w:p w14:paraId="0513E2F6" w14:textId="77777777" w:rsidR="001C08A5" w:rsidRDefault="001C08A5" w:rsidP="00EA234E">
      <w:pPr>
        <w:jc w:val="both"/>
        <w:rPr>
          <w:rFonts w:ascii="Arial" w:hAnsi="Arial" w:cs="Arial"/>
        </w:rPr>
      </w:pPr>
    </w:p>
    <w:p w14:paraId="21D97D10" w14:textId="77777777" w:rsidR="001C08A5" w:rsidRDefault="001C08A5" w:rsidP="00EA234E">
      <w:pPr>
        <w:jc w:val="both"/>
        <w:rPr>
          <w:rFonts w:ascii="Arial" w:hAnsi="Arial" w:cs="Arial"/>
        </w:rPr>
      </w:pPr>
    </w:p>
    <w:p w14:paraId="181662DF" w14:textId="77777777" w:rsidR="001C08A5" w:rsidRDefault="001C08A5" w:rsidP="00EA234E">
      <w:pPr>
        <w:jc w:val="both"/>
        <w:rPr>
          <w:rFonts w:ascii="Arial" w:hAnsi="Arial" w:cs="Arial"/>
        </w:rPr>
      </w:pPr>
    </w:p>
    <w:p w14:paraId="651B58B9" w14:textId="77777777" w:rsidR="001C08A5" w:rsidRDefault="001C08A5" w:rsidP="00EA234E">
      <w:pPr>
        <w:jc w:val="both"/>
        <w:rPr>
          <w:rFonts w:ascii="Arial" w:hAnsi="Arial" w:cs="Arial"/>
        </w:rPr>
      </w:pPr>
    </w:p>
    <w:p w14:paraId="39DFF397" w14:textId="77777777" w:rsidR="001C08A5" w:rsidRDefault="001C08A5" w:rsidP="00EA234E">
      <w:pPr>
        <w:jc w:val="both"/>
        <w:rPr>
          <w:rFonts w:ascii="Arial" w:hAnsi="Arial" w:cs="Arial"/>
        </w:rPr>
      </w:pPr>
    </w:p>
    <w:p w14:paraId="503B31A3" w14:textId="77777777" w:rsidR="001C08A5" w:rsidRDefault="001C08A5" w:rsidP="00EA234E">
      <w:pPr>
        <w:jc w:val="both"/>
        <w:rPr>
          <w:rFonts w:ascii="Arial" w:hAnsi="Arial" w:cs="Arial"/>
        </w:rPr>
      </w:pPr>
    </w:p>
    <w:p w14:paraId="40659349" w14:textId="77777777" w:rsidR="001C08A5" w:rsidRDefault="001C08A5" w:rsidP="00EA234E">
      <w:pPr>
        <w:jc w:val="both"/>
        <w:rPr>
          <w:rFonts w:ascii="Arial" w:hAnsi="Arial" w:cs="Arial"/>
        </w:rPr>
      </w:pPr>
    </w:p>
    <w:p w14:paraId="338F98C7" w14:textId="77777777" w:rsidR="001C08A5" w:rsidRDefault="001C08A5" w:rsidP="00EA234E">
      <w:pPr>
        <w:jc w:val="both"/>
        <w:rPr>
          <w:rFonts w:ascii="Arial" w:hAnsi="Arial" w:cs="Arial"/>
        </w:rPr>
      </w:pPr>
    </w:p>
    <w:p w14:paraId="352DA83E" w14:textId="77777777" w:rsidR="001C08A5" w:rsidRDefault="001C08A5" w:rsidP="00EA234E">
      <w:pPr>
        <w:jc w:val="both"/>
        <w:rPr>
          <w:rFonts w:ascii="Arial" w:hAnsi="Arial" w:cs="Arial"/>
        </w:rPr>
      </w:pPr>
    </w:p>
    <w:p w14:paraId="06598040" w14:textId="77777777" w:rsidR="001C08A5" w:rsidRDefault="001C08A5" w:rsidP="00EA234E">
      <w:pPr>
        <w:jc w:val="both"/>
        <w:rPr>
          <w:rFonts w:ascii="Arial" w:hAnsi="Arial" w:cs="Arial"/>
        </w:rPr>
      </w:pPr>
    </w:p>
    <w:p w14:paraId="50597ADF" w14:textId="77777777" w:rsidR="001C08A5" w:rsidRDefault="001C08A5" w:rsidP="00EA234E">
      <w:pPr>
        <w:jc w:val="both"/>
        <w:rPr>
          <w:rFonts w:ascii="Arial" w:hAnsi="Arial" w:cs="Arial"/>
        </w:rPr>
      </w:pPr>
    </w:p>
    <w:p w14:paraId="06470546" w14:textId="77777777" w:rsidR="001C08A5" w:rsidRDefault="001C08A5" w:rsidP="00EA234E">
      <w:pPr>
        <w:jc w:val="both"/>
        <w:rPr>
          <w:rFonts w:ascii="Arial" w:hAnsi="Arial" w:cs="Arial"/>
        </w:rPr>
      </w:pPr>
    </w:p>
    <w:p w14:paraId="7B77CFB7" w14:textId="77777777" w:rsidR="001C08A5" w:rsidRDefault="001C08A5" w:rsidP="00EA234E">
      <w:pPr>
        <w:jc w:val="both"/>
        <w:rPr>
          <w:rFonts w:ascii="Arial" w:hAnsi="Arial" w:cs="Arial"/>
        </w:rPr>
      </w:pPr>
    </w:p>
    <w:p w14:paraId="50833A25" w14:textId="77777777" w:rsidR="001C08A5" w:rsidRDefault="001C08A5" w:rsidP="00EA234E">
      <w:pPr>
        <w:jc w:val="both"/>
        <w:rPr>
          <w:rFonts w:ascii="Arial" w:hAnsi="Arial" w:cs="Arial"/>
        </w:rPr>
      </w:pPr>
    </w:p>
    <w:p w14:paraId="0CFD5B8B" w14:textId="77777777" w:rsidR="001C08A5" w:rsidRDefault="001C08A5" w:rsidP="00EA234E">
      <w:pPr>
        <w:jc w:val="both"/>
        <w:rPr>
          <w:rFonts w:ascii="Arial" w:hAnsi="Arial" w:cs="Arial"/>
        </w:rPr>
      </w:pPr>
    </w:p>
    <w:p w14:paraId="165FEACB" w14:textId="77777777" w:rsidR="001C08A5" w:rsidRDefault="001C08A5" w:rsidP="00EA234E">
      <w:pPr>
        <w:jc w:val="both"/>
        <w:rPr>
          <w:rFonts w:ascii="Arial" w:hAnsi="Arial" w:cs="Arial"/>
        </w:rPr>
      </w:pPr>
    </w:p>
    <w:p w14:paraId="58F147CA" w14:textId="77777777" w:rsidR="001C08A5" w:rsidRDefault="001C08A5" w:rsidP="00EA234E">
      <w:pPr>
        <w:jc w:val="both"/>
        <w:rPr>
          <w:rFonts w:ascii="Arial" w:hAnsi="Arial" w:cs="Arial"/>
        </w:rPr>
      </w:pPr>
    </w:p>
    <w:p w14:paraId="5268C508" w14:textId="77777777" w:rsidR="001C08A5" w:rsidRDefault="001C08A5" w:rsidP="00EA234E">
      <w:pPr>
        <w:jc w:val="both"/>
        <w:rPr>
          <w:rFonts w:ascii="Arial" w:hAnsi="Arial" w:cs="Arial"/>
        </w:rPr>
      </w:pPr>
    </w:p>
    <w:p w14:paraId="0D5DBE76" w14:textId="44EDD65E" w:rsidR="001C08A5" w:rsidRPr="00EA234E" w:rsidRDefault="001C08A5" w:rsidP="001C08A5">
      <w:pPr>
        <w:pStyle w:val="Heading3"/>
        <w:rPr>
          <w:rFonts w:ascii="Arial" w:hAnsi="Arial" w:cs="Arial"/>
        </w:rPr>
      </w:pPr>
      <w:bookmarkStart w:id="4" w:name="_Toc233449499"/>
      <w:r>
        <w:rPr>
          <w:rFonts w:ascii="Arial" w:hAnsi="Arial" w:cs="Arial"/>
        </w:rPr>
        <w:lastRenderedPageBreak/>
        <w:t>References</w:t>
      </w:r>
      <w:bookmarkEnd w:id="4"/>
    </w:p>
    <w:p w14:paraId="32E4BF6C"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Chaffey, D. and Ellis-Chadwick, F. (2019) </w:t>
      </w:r>
      <w:r w:rsidRPr="00652F31">
        <w:rPr>
          <w:rFonts w:ascii="Arial" w:eastAsia="Times New Roman" w:hAnsi="Arial" w:cs="Arial"/>
          <w:i/>
          <w:iCs/>
          <w:kern w:val="0"/>
          <w:lang w:eastAsia="en-GB"/>
          <w14:ligatures w14:val="none"/>
        </w:rPr>
        <w:t>Digital Marketing</w:t>
      </w:r>
      <w:r w:rsidRPr="00652F31">
        <w:rPr>
          <w:rFonts w:ascii="Arial" w:eastAsia="Times New Roman" w:hAnsi="Arial" w:cs="Arial"/>
          <w:kern w:val="0"/>
          <w:lang w:eastAsia="en-GB"/>
          <w14:ligatures w14:val="none"/>
        </w:rPr>
        <w:t>. 7th edn. Harlow: Pearson.</w:t>
      </w:r>
    </w:p>
    <w:p w14:paraId="0C907212"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Costa Coffee (2026) </w:t>
      </w:r>
      <w:r w:rsidRPr="00652F31">
        <w:rPr>
          <w:rFonts w:ascii="Arial" w:eastAsia="Times New Roman" w:hAnsi="Arial" w:cs="Arial"/>
          <w:i/>
          <w:iCs/>
          <w:kern w:val="0"/>
          <w:lang w:eastAsia="en-GB"/>
          <w14:ligatures w14:val="none"/>
        </w:rPr>
        <w:t>Our Story</w:t>
      </w:r>
      <w:r w:rsidRPr="00652F31">
        <w:rPr>
          <w:rFonts w:ascii="Arial" w:eastAsia="Times New Roman" w:hAnsi="Arial" w:cs="Arial"/>
          <w:kern w:val="0"/>
          <w:lang w:eastAsia="en-GB"/>
          <w14:ligatures w14:val="none"/>
        </w:rPr>
        <w:t>. Available at: https://www.costa.co.uk/our-coffee/our-story (Accessed: 24 June 2026).</w:t>
      </w:r>
    </w:p>
    <w:p w14:paraId="1C74DC3B" w14:textId="7F89D3C3"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Food Standards Agency (2021) </w:t>
      </w:r>
      <w:r w:rsidRPr="00652F31">
        <w:rPr>
          <w:rFonts w:ascii="Arial" w:eastAsia="Times New Roman" w:hAnsi="Arial" w:cs="Arial"/>
          <w:i/>
          <w:iCs/>
          <w:kern w:val="0"/>
          <w:lang w:eastAsia="en-GB"/>
          <w14:ligatures w14:val="none"/>
        </w:rPr>
        <w:t>Natasha’s Law: Allergen labelling changes for prepacked for direct sale food</w:t>
      </w:r>
      <w:r w:rsidRPr="00652F31">
        <w:rPr>
          <w:rFonts w:ascii="Arial" w:eastAsia="Times New Roman" w:hAnsi="Arial" w:cs="Arial"/>
          <w:kern w:val="0"/>
          <w:lang w:eastAsia="en-GB"/>
          <w14:ligatures w14:val="none"/>
        </w:rPr>
        <w:t xml:space="preserve">. Available at: </w:t>
      </w:r>
      <w:hyperlink r:id="rId8" w:tgtFrame="_new" w:history="1">
        <w:r w:rsidRPr="00652F31">
          <w:rPr>
            <w:rFonts w:ascii="Arial" w:eastAsia="Times New Roman" w:hAnsi="Arial" w:cs="Arial"/>
            <w:color w:val="0000FF"/>
            <w:kern w:val="0"/>
            <w:u w:val="single"/>
            <w:lang w:eastAsia="en-GB"/>
            <w14:ligatures w14:val="none"/>
          </w:rPr>
          <w:t>https://www.food.gov.uk</w:t>
        </w:r>
      </w:hyperlink>
      <w:r w:rsidRPr="00652F31">
        <w:rPr>
          <w:rFonts w:ascii="Arial" w:eastAsia="Times New Roman" w:hAnsi="Arial" w:cs="Arial"/>
          <w:kern w:val="0"/>
          <w:lang w:eastAsia="en-GB"/>
          <w14:ligatures w14:val="none"/>
        </w:rPr>
        <w:t xml:space="preserve"> (Accessed: 2</w:t>
      </w:r>
      <w:r>
        <w:rPr>
          <w:rFonts w:ascii="Arial" w:eastAsia="Times New Roman" w:hAnsi="Arial" w:cs="Arial"/>
          <w:kern w:val="0"/>
          <w:lang w:eastAsia="en-GB"/>
          <w14:ligatures w14:val="none"/>
        </w:rPr>
        <w:t>4</w:t>
      </w:r>
      <w:r w:rsidRPr="00652F31">
        <w:rPr>
          <w:rFonts w:ascii="Arial" w:eastAsia="Times New Roman" w:hAnsi="Arial" w:cs="Arial"/>
          <w:kern w:val="0"/>
          <w:lang w:eastAsia="en-GB"/>
          <w14:ligatures w14:val="none"/>
        </w:rPr>
        <w:t xml:space="preserve"> June 2026).</w:t>
      </w:r>
    </w:p>
    <w:p w14:paraId="4A31860B"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Jobber, D. and Ellis-Chadwick, F. (2020) </w:t>
      </w:r>
      <w:r w:rsidRPr="00652F31">
        <w:rPr>
          <w:rFonts w:ascii="Arial" w:eastAsia="Times New Roman" w:hAnsi="Arial" w:cs="Arial"/>
          <w:i/>
          <w:iCs/>
          <w:kern w:val="0"/>
          <w:lang w:eastAsia="en-GB"/>
          <w14:ligatures w14:val="none"/>
        </w:rPr>
        <w:t>Principles and Practice of Marketing</w:t>
      </w:r>
      <w:r w:rsidRPr="00652F31">
        <w:rPr>
          <w:rFonts w:ascii="Arial" w:eastAsia="Times New Roman" w:hAnsi="Arial" w:cs="Arial"/>
          <w:kern w:val="0"/>
          <w:lang w:eastAsia="en-GB"/>
          <w14:ligatures w14:val="none"/>
        </w:rPr>
        <w:t>. 9th edn. Maidenhead: McGraw-Hill Education.</w:t>
      </w:r>
    </w:p>
    <w:p w14:paraId="68F04031"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Johnson, G., Scholes, K., Whittington, R. and Angwin, D. (2020) </w:t>
      </w:r>
      <w:r w:rsidRPr="00652F31">
        <w:rPr>
          <w:rFonts w:ascii="Arial" w:eastAsia="Times New Roman" w:hAnsi="Arial" w:cs="Arial"/>
          <w:i/>
          <w:iCs/>
          <w:kern w:val="0"/>
          <w:lang w:eastAsia="en-GB"/>
          <w14:ligatures w14:val="none"/>
        </w:rPr>
        <w:t>Exploring Strategy</w:t>
      </w:r>
      <w:r w:rsidRPr="00652F31">
        <w:rPr>
          <w:rFonts w:ascii="Arial" w:eastAsia="Times New Roman" w:hAnsi="Arial" w:cs="Arial"/>
          <w:kern w:val="0"/>
          <w:lang w:eastAsia="en-GB"/>
          <w14:ligatures w14:val="none"/>
        </w:rPr>
        <w:t>. 12th edn. Harlow: Pearson.</w:t>
      </w:r>
    </w:p>
    <w:p w14:paraId="63DB7CBA"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Kotler, P. and Keller, K.L. (2016) </w:t>
      </w:r>
      <w:r w:rsidRPr="00652F31">
        <w:rPr>
          <w:rFonts w:ascii="Arial" w:eastAsia="Times New Roman" w:hAnsi="Arial" w:cs="Arial"/>
          <w:i/>
          <w:iCs/>
          <w:kern w:val="0"/>
          <w:lang w:eastAsia="en-GB"/>
          <w14:ligatures w14:val="none"/>
        </w:rPr>
        <w:t>Marketing Management</w:t>
      </w:r>
      <w:r w:rsidRPr="00652F31">
        <w:rPr>
          <w:rFonts w:ascii="Arial" w:eastAsia="Times New Roman" w:hAnsi="Arial" w:cs="Arial"/>
          <w:kern w:val="0"/>
          <w:lang w:eastAsia="en-GB"/>
          <w14:ligatures w14:val="none"/>
        </w:rPr>
        <w:t>. 15th Global edn. Harlow: Pearson.</w:t>
      </w:r>
    </w:p>
    <w:p w14:paraId="764CDF1B"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Kotler, P., Armstrong, G., Harris, L.C. and He, H. (2020) </w:t>
      </w:r>
      <w:r w:rsidRPr="00652F31">
        <w:rPr>
          <w:rFonts w:ascii="Arial" w:eastAsia="Times New Roman" w:hAnsi="Arial" w:cs="Arial"/>
          <w:i/>
          <w:iCs/>
          <w:kern w:val="0"/>
          <w:lang w:eastAsia="en-GB"/>
          <w14:ligatures w14:val="none"/>
        </w:rPr>
        <w:t>Principles of Marketing</w:t>
      </w:r>
      <w:r w:rsidRPr="00652F31">
        <w:rPr>
          <w:rFonts w:ascii="Arial" w:eastAsia="Times New Roman" w:hAnsi="Arial" w:cs="Arial"/>
          <w:kern w:val="0"/>
          <w:lang w:eastAsia="en-GB"/>
          <w14:ligatures w14:val="none"/>
        </w:rPr>
        <w:t>. 8th European edn. Harlow: Pearson.</w:t>
      </w:r>
    </w:p>
    <w:p w14:paraId="7E181274"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Porter, M.E. (1996) ‘What is Strategy?’, </w:t>
      </w:r>
      <w:r w:rsidRPr="00652F31">
        <w:rPr>
          <w:rFonts w:ascii="Arial" w:eastAsia="Times New Roman" w:hAnsi="Arial" w:cs="Arial"/>
          <w:i/>
          <w:iCs/>
          <w:kern w:val="0"/>
          <w:lang w:eastAsia="en-GB"/>
          <w14:ligatures w14:val="none"/>
        </w:rPr>
        <w:t>Harvard Business Review</w:t>
      </w:r>
      <w:r w:rsidRPr="00652F31">
        <w:rPr>
          <w:rFonts w:ascii="Arial" w:eastAsia="Times New Roman" w:hAnsi="Arial" w:cs="Arial"/>
          <w:kern w:val="0"/>
          <w:lang w:eastAsia="en-GB"/>
          <w14:ligatures w14:val="none"/>
        </w:rPr>
        <w:t>, 74(6), pp. 61–78.</w:t>
      </w:r>
    </w:p>
    <w:p w14:paraId="7C88F1E2" w14:textId="0D7187FD"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The Coca-Cola Company (2019) </w:t>
      </w:r>
      <w:r w:rsidRPr="00652F31">
        <w:rPr>
          <w:rFonts w:ascii="Arial" w:eastAsia="Times New Roman" w:hAnsi="Arial" w:cs="Arial"/>
          <w:i/>
          <w:iCs/>
          <w:kern w:val="0"/>
          <w:lang w:eastAsia="en-GB"/>
          <w14:ligatures w14:val="none"/>
        </w:rPr>
        <w:t>The Coca-Cola Company Completes Acquisition of Costa</w:t>
      </w:r>
      <w:r w:rsidRPr="00652F31">
        <w:rPr>
          <w:rFonts w:ascii="Arial" w:eastAsia="Times New Roman" w:hAnsi="Arial" w:cs="Arial"/>
          <w:kern w:val="0"/>
          <w:lang w:eastAsia="en-GB"/>
          <w14:ligatures w14:val="none"/>
        </w:rPr>
        <w:t xml:space="preserve">. Available at: </w:t>
      </w:r>
      <w:hyperlink r:id="rId9" w:tgtFrame="_new" w:history="1">
        <w:r w:rsidRPr="00652F31">
          <w:rPr>
            <w:rFonts w:ascii="Arial" w:eastAsia="Times New Roman" w:hAnsi="Arial" w:cs="Arial"/>
            <w:color w:val="0000FF"/>
            <w:kern w:val="0"/>
            <w:u w:val="single"/>
            <w:lang w:eastAsia="en-GB"/>
            <w14:ligatures w14:val="none"/>
          </w:rPr>
          <w:t>https://investors.coca-colacompany.com</w:t>
        </w:r>
      </w:hyperlink>
      <w:r w:rsidRPr="00652F31">
        <w:rPr>
          <w:rFonts w:ascii="Arial" w:eastAsia="Times New Roman" w:hAnsi="Arial" w:cs="Arial"/>
          <w:kern w:val="0"/>
          <w:lang w:eastAsia="en-GB"/>
          <w14:ligatures w14:val="none"/>
        </w:rPr>
        <w:t xml:space="preserve"> (Accessed: 2</w:t>
      </w:r>
      <w:r>
        <w:rPr>
          <w:rFonts w:ascii="Arial" w:eastAsia="Times New Roman" w:hAnsi="Arial" w:cs="Arial"/>
          <w:kern w:val="0"/>
          <w:lang w:eastAsia="en-GB"/>
          <w14:ligatures w14:val="none"/>
        </w:rPr>
        <w:t>5</w:t>
      </w:r>
      <w:r w:rsidRPr="00652F31">
        <w:rPr>
          <w:rFonts w:ascii="Arial" w:eastAsia="Times New Roman" w:hAnsi="Arial" w:cs="Arial"/>
          <w:kern w:val="0"/>
          <w:lang w:eastAsia="en-GB"/>
          <w14:ligatures w14:val="none"/>
        </w:rPr>
        <w:t xml:space="preserve"> June 2026).</w:t>
      </w:r>
    </w:p>
    <w:p w14:paraId="2CB47426" w14:textId="1655DE41"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The Coca-Cola Company (2025) </w:t>
      </w:r>
      <w:r w:rsidRPr="00652F31">
        <w:rPr>
          <w:rFonts w:ascii="Arial" w:eastAsia="Times New Roman" w:hAnsi="Arial" w:cs="Arial"/>
          <w:i/>
          <w:iCs/>
          <w:kern w:val="0"/>
          <w:lang w:eastAsia="en-GB"/>
          <w14:ligatures w14:val="none"/>
        </w:rPr>
        <w:t>Annual Report 2025</w:t>
      </w:r>
      <w:r w:rsidRPr="00652F31">
        <w:rPr>
          <w:rFonts w:ascii="Arial" w:eastAsia="Times New Roman" w:hAnsi="Arial" w:cs="Arial"/>
          <w:kern w:val="0"/>
          <w:lang w:eastAsia="en-GB"/>
          <w14:ligatures w14:val="none"/>
        </w:rPr>
        <w:t xml:space="preserve">. Available at: </w:t>
      </w:r>
      <w:hyperlink r:id="rId10" w:tgtFrame="_new" w:history="1">
        <w:r w:rsidRPr="00652F31">
          <w:rPr>
            <w:rFonts w:ascii="Arial" w:eastAsia="Times New Roman" w:hAnsi="Arial" w:cs="Arial"/>
            <w:color w:val="0000FF"/>
            <w:kern w:val="0"/>
            <w:u w:val="single"/>
            <w:lang w:eastAsia="en-GB"/>
            <w14:ligatures w14:val="none"/>
          </w:rPr>
          <w:t>https://investors.coca-colacompany.com</w:t>
        </w:r>
      </w:hyperlink>
      <w:r w:rsidRPr="00652F31">
        <w:rPr>
          <w:rFonts w:ascii="Arial" w:eastAsia="Times New Roman" w:hAnsi="Arial" w:cs="Arial"/>
          <w:kern w:val="0"/>
          <w:lang w:eastAsia="en-GB"/>
          <w14:ligatures w14:val="none"/>
        </w:rPr>
        <w:t xml:space="preserve"> (Accessed: 2</w:t>
      </w:r>
      <w:r>
        <w:rPr>
          <w:rFonts w:ascii="Arial" w:eastAsia="Times New Roman" w:hAnsi="Arial" w:cs="Arial"/>
          <w:kern w:val="0"/>
          <w:lang w:eastAsia="en-GB"/>
          <w14:ligatures w14:val="none"/>
        </w:rPr>
        <w:t>5</w:t>
      </w:r>
      <w:r w:rsidRPr="00652F31">
        <w:rPr>
          <w:rFonts w:ascii="Arial" w:eastAsia="Times New Roman" w:hAnsi="Arial" w:cs="Arial"/>
          <w:kern w:val="0"/>
          <w:lang w:eastAsia="en-GB"/>
          <w14:ligatures w14:val="none"/>
        </w:rPr>
        <w:t xml:space="preserve"> June 2026).</w:t>
      </w:r>
    </w:p>
    <w:p w14:paraId="21D891D3" w14:textId="77777777" w:rsidR="00652F31" w:rsidRPr="00652F31" w:rsidRDefault="00652F31" w:rsidP="00652F31">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652F31">
        <w:rPr>
          <w:rFonts w:ascii="Arial" w:eastAsia="Times New Roman" w:hAnsi="Arial" w:cs="Arial"/>
          <w:kern w:val="0"/>
          <w:lang w:eastAsia="en-GB"/>
          <w14:ligatures w14:val="none"/>
        </w:rPr>
        <w:t xml:space="preserve">World Coffee Portal (2026) </w:t>
      </w:r>
      <w:r w:rsidRPr="00652F31">
        <w:rPr>
          <w:rFonts w:ascii="Arial" w:eastAsia="Times New Roman" w:hAnsi="Arial" w:cs="Arial"/>
          <w:i/>
          <w:iCs/>
          <w:kern w:val="0"/>
          <w:lang w:eastAsia="en-GB"/>
          <w14:ligatures w14:val="none"/>
        </w:rPr>
        <w:t>Project Café UK 2026</w:t>
      </w:r>
      <w:r w:rsidRPr="00652F31">
        <w:rPr>
          <w:rFonts w:ascii="Arial" w:eastAsia="Times New Roman" w:hAnsi="Arial" w:cs="Arial"/>
          <w:kern w:val="0"/>
          <w:lang w:eastAsia="en-GB"/>
          <w14:ligatures w14:val="none"/>
        </w:rPr>
        <w:t>. London: Allegra World Coffee Portal.</w:t>
      </w:r>
    </w:p>
    <w:p w14:paraId="65A841E5" w14:textId="798CE359" w:rsidR="00EA234E" w:rsidRDefault="00EA234E" w:rsidP="00EA234E">
      <w:pPr>
        <w:spacing w:line="360" w:lineRule="auto"/>
        <w:jc w:val="both"/>
        <w:rPr>
          <w:rFonts w:ascii="Arial" w:hAnsi="Arial" w:cs="Arial"/>
        </w:rPr>
      </w:pPr>
    </w:p>
    <w:p w14:paraId="49211613" w14:textId="77777777" w:rsidR="00EA234E" w:rsidRPr="00EA234E" w:rsidRDefault="00EA234E" w:rsidP="00EA234E">
      <w:pPr>
        <w:spacing w:line="360" w:lineRule="auto"/>
        <w:jc w:val="both"/>
        <w:rPr>
          <w:rFonts w:ascii="Arial" w:hAnsi="Arial" w:cs="Arial"/>
        </w:rPr>
      </w:pPr>
    </w:p>
    <w:sectPr w:rsidR="00EA234E" w:rsidRPr="00EA234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11634" w14:textId="77777777" w:rsidR="005607DF" w:rsidRDefault="005607DF" w:rsidP="000A77F9">
      <w:pPr>
        <w:spacing w:after="0" w:line="240" w:lineRule="auto"/>
      </w:pPr>
      <w:r>
        <w:separator/>
      </w:r>
    </w:p>
  </w:endnote>
  <w:endnote w:type="continuationSeparator" w:id="0">
    <w:p w14:paraId="69B80FDE" w14:textId="77777777" w:rsidR="005607DF" w:rsidRDefault="005607DF" w:rsidP="000A7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752014"/>
      <w:docPartObj>
        <w:docPartGallery w:val="Page Numbers (Bottom of Page)"/>
        <w:docPartUnique/>
      </w:docPartObj>
    </w:sdtPr>
    <w:sdtContent>
      <w:p w14:paraId="08DD7BFE" w14:textId="775A94B8" w:rsidR="000A77F9" w:rsidRDefault="000A77F9">
        <w:pPr>
          <w:pStyle w:val="Footer"/>
          <w:jc w:val="center"/>
        </w:pPr>
        <w:r>
          <w:fldChar w:fldCharType="begin"/>
        </w:r>
        <w:r>
          <w:instrText>PAGE   \* MERGEFORMAT</w:instrText>
        </w:r>
        <w:r>
          <w:fldChar w:fldCharType="separate"/>
        </w:r>
        <w:r>
          <w:t>2</w:t>
        </w:r>
        <w:r>
          <w:fldChar w:fldCharType="end"/>
        </w:r>
      </w:p>
    </w:sdtContent>
  </w:sdt>
  <w:p w14:paraId="110C0E7E" w14:textId="77777777" w:rsidR="000A77F9" w:rsidRDefault="000A7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C2F6C" w14:textId="77777777" w:rsidR="005607DF" w:rsidRDefault="005607DF" w:rsidP="000A77F9">
      <w:pPr>
        <w:spacing w:after="0" w:line="240" w:lineRule="auto"/>
      </w:pPr>
      <w:r>
        <w:separator/>
      </w:r>
    </w:p>
  </w:footnote>
  <w:footnote w:type="continuationSeparator" w:id="0">
    <w:p w14:paraId="13B5B138" w14:textId="77777777" w:rsidR="005607DF" w:rsidRDefault="005607DF" w:rsidP="000A7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BCD"/>
    <w:multiLevelType w:val="hybridMultilevel"/>
    <w:tmpl w:val="CB062F8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FDA4B4D"/>
    <w:multiLevelType w:val="hybridMultilevel"/>
    <w:tmpl w:val="93EA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899988">
    <w:abstractNumId w:val="0"/>
  </w:num>
  <w:num w:numId="2" w16cid:durableId="223107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15"/>
    <w:rsid w:val="000A77F9"/>
    <w:rsid w:val="001C08A5"/>
    <w:rsid w:val="002B2602"/>
    <w:rsid w:val="00311934"/>
    <w:rsid w:val="003B1E84"/>
    <w:rsid w:val="00402BF1"/>
    <w:rsid w:val="00496C1A"/>
    <w:rsid w:val="004A7215"/>
    <w:rsid w:val="005607DF"/>
    <w:rsid w:val="005D2061"/>
    <w:rsid w:val="00652F31"/>
    <w:rsid w:val="00740C7E"/>
    <w:rsid w:val="00752ADB"/>
    <w:rsid w:val="007A362A"/>
    <w:rsid w:val="00822841"/>
    <w:rsid w:val="00822B8B"/>
    <w:rsid w:val="008C0025"/>
    <w:rsid w:val="0093021D"/>
    <w:rsid w:val="00A5544D"/>
    <w:rsid w:val="00A6306C"/>
    <w:rsid w:val="00A83005"/>
    <w:rsid w:val="00B02F67"/>
    <w:rsid w:val="00B1774A"/>
    <w:rsid w:val="00C6362C"/>
    <w:rsid w:val="00CD2647"/>
    <w:rsid w:val="00EA234E"/>
    <w:rsid w:val="00FF1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5D05E"/>
  <w15:chartTrackingRefBased/>
  <w15:docId w15:val="{C489463D-D6C9-45F8-A060-C2CA5B97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2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2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2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2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2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2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2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2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2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2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2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2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2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15"/>
    <w:rPr>
      <w:rFonts w:eastAsiaTheme="majorEastAsia" w:cstheme="majorBidi"/>
      <w:color w:val="272727" w:themeColor="text1" w:themeTint="D8"/>
    </w:rPr>
  </w:style>
  <w:style w:type="paragraph" w:styleId="Title">
    <w:name w:val="Title"/>
    <w:basedOn w:val="Normal"/>
    <w:next w:val="Normal"/>
    <w:link w:val="TitleChar"/>
    <w:uiPriority w:val="10"/>
    <w:qFormat/>
    <w:rsid w:val="004A72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2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15"/>
    <w:pPr>
      <w:spacing w:before="160"/>
      <w:jc w:val="center"/>
    </w:pPr>
    <w:rPr>
      <w:i/>
      <w:iCs/>
      <w:color w:val="404040" w:themeColor="text1" w:themeTint="BF"/>
    </w:rPr>
  </w:style>
  <w:style w:type="character" w:customStyle="1" w:styleId="QuoteChar">
    <w:name w:val="Quote Char"/>
    <w:basedOn w:val="DefaultParagraphFont"/>
    <w:link w:val="Quote"/>
    <w:uiPriority w:val="29"/>
    <w:rsid w:val="004A7215"/>
    <w:rPr>
      <w:i/>
      <w:iCs/>
      <w:color w:val="404040" w:themeColor="text1" w:themeTint="BF"/>
    </w:rPr>
  </w:style>
  <w:style w:type="paragraph" w:styleId="ListParagraph">
    <w:name w:val="List Paragraph"/>
    <w:basedOn w:val="Normal"/>
    <w:uiPriority w:val="34"/>
    <w:qFormat/>
    <w:rsid w:val="004A7215"/>
    <w:pPr>
      <w:ind w:left="720"/>
      <w:contextualSpacing/>
    </w:pPr>
  </w:style>
  <w:style w:type="character" w:styleId="IntenseEmphasis">
    <w:name w:val="Intense Emphasis"/>
    <w:basedOn w:val="DefaultParagraphFont"/>
    <w:uiPriority w:val="21"/>
    <w:qFormat/>
    <w:rsid w:val="004A7215"/>
    <w:rPr>
      <w:i/>
      <w:iCs/>
      <w:color w:val="0F4761" w:themeColor="accent1" w:themeShade="BF"/>
    </w:rPr>
  </w:style>
  <w:style w:type="paragraph" w:styleId="IntenseQuote">
    <w:name w:val="Intense Quote"/>
    <w:basedOn w:val="Normal"/>
    <w:next w:val="Normal"/>
    <w:link w:val="IntenseQuoteChar"/>
    <w:uiPriority w:val="30"/>
    <w:qFormat/>
    <w:rsid w:val="004A72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215"/>
    <w:rPr>
      <w:i/>
      <w:iCs/>
      <w:color w:val="0F4761" w:themeColor="accent1" w:themeShade="BF"/>
    </w:rPr>
  </w:style>
  <w:style w:type="character" w:styleId="IntenseReference">
    <w:name w:val="Intense Reference"/>
    <w:basedOn w:val="DefaultParagraphFont"/>
    <w:uiPriority w:val="32"/>
    <w:qFormat/>
    <w:rsid w:val="004A7215"/>
    <w:rPr>
      <w:b/>
      <w:bCs/>
      <w:smallCaps/>
      <w:color w:val="0F4761" w:themeColor="accent1" w:themeShade="BF"/>
      <w:spacing w:val="5"/>
    </w:rPr>
  </w:style>
  <w:style w:type="paragraph" w:styleId="TOCHeading">
    <w:name w:val="TOC Heading"/>
    <w:basedOn w:val="Heading1"/>
    <w:next w:val="Normal"/>
    <w:uiPriority w:val="39"/>
    <w:unhideWhenUsed/>
    <w:qFormat/>
    <w:rsid w:val="003B1E8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6306C"/>
    <w:pPr>
      <w:spacing w:after="100"/>
    </w:pPr>
  </w:style>
  <w:style w:type="paragraph" w:styleId="TOC2">
    <w:name w:val="toc 2"/>
    <w:basedOn w:val="Normal"/>
    <w:next w:val="Normal"/>
    <w:autoRedefine/>
    <w:uiPriority w:val="39"/>
    <w:unhideWhenUsed/>
    <w:rsid w:val="00A6306C"/>
    <w:pPr>
      <w:spacing w:after="100"/>
      <w:ind w:left="240"/>
    </w:pPr>
  </w:style>
  <w:style w:type="paragraph" w:styleId="TOC3">
    <w:name w:val="toc 3"/>
    <w:basedOn w:val="Normal"/>
    <w:next w:val="Normal"/>
    <w:autoRedefine/>
    <w:uiPriority w:val="39"/>
    <w:unhideWhenUsed/>
    <w:rsid w:val="00A6306C"/>
    <w:pPr>
      <w:spacing w:after="100"/>
      <w:ind w:left="480"/>
    </w:pPr>
  </w:style>
  <w:style w:type="character" w:styleId="Hyperlink">
    <w:name w:val="Hyperlink"/>
    <w:basedOn w:val="DefaultParagraphFont"/>
    <w:uiPriority w:val="99"/>
    <w:unhideWhenUsed/>
    <w:rsid w:val="00A6306C"/>
    <w:rPr>
      <w:color w:val="467886" w:themeColor="hyperlink"/>
      <w:u w:val="single"/>
    </w:rPr>
  </w:style>
  <w:style w:type="paragraph" w:customStyle="1" w:styleId="isselectedend">
    <w:name w:val="isselectedend"/>
    <w:basedOn w:val="Normal"/>
    <w:rsid w:val="00A630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A7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7F9"/>
  </w:style>
  <w:style w:type="paragraph" w:styleId="Footer">
    <w:name w:val="footer"/>
    <w:basedOn w:val="Normal"/>
    <w:link w:val="FooterChar"/>
    <w:uiPriority w:val="99"/>
    <w:unhideWhenUsed/>
    <w:rsid w:val="000A7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vestors.coca-colacompany.com" TargetMode="External"/><Relationship Id="rId4" Type="http://schemas.openxmlformats.org/officeDocument/2006/relationships/settings" Target="settings.xml"/><Relationship Id="rId9" Type="http://schemas.openxmlformats.org/officeDocument/2006/relationships/hyperlink" Target="https://investors.coca-colacompan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D62DB-22EC-41BA-8F76-D47F740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14</cp:revision>
  <dcterms:created xsi:type="dcterms:W3CDTF">2026-06-24T15:57:00Z</dcterms:created>
  <dcterms:modified xsi:type="dcterms:W3CDTF">2026-06-27T10:49:00Z</dcterms:modified>
</cp:coreProperties>
</file>