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0E6C7B" w14:textId="1AA7A000" w:rsidR="00E94AD1" w:rsidRPr="00E94AD1" w:rsidRDefault="00E94AD1" w:rsidP="00E94AD1">
      <w:pPr>
        <w:spacing w:before="0"/>
        <w:ind w:leftChars="397" w:left="953" w:firstLineChars="650" w:firstLine="2080"/>
        <w:rPr>
          <w:rFonts w:ascii="華康魏碑體" w:eastAsia="華康魏碑體" w:hAnsi="細明體" w:cs="細明體"/>
          <w:b/>
          <w:sz w:val="32"/>
          <w:szCs w:val="32"/>
        </w:rPr>
      </w:pPr>
      <w:r w:rsidRPr="00E94AD1">
        <w:rPr>
          <w:rFonts w:ascii="華康魏碑體" w:eastAsia="華康魏碑體" w:hAnsi="細明體" w:cs="細明體" w:hint="eastAsia"/>
          <w:b/>
          <w:sz w:val="32"/>
          <w:szCs w:val="32"/>
        </w:rPr>
        <w:t>鄭莊入許</w:t>
      </w:r>
      <w:r>
        <w:rPr>
          <w:rFonts w:ascii="華康魏碑體" w:eastAsia="華康魏碑體" w:hAnsi="細明體" w:cs="細明體" w:hint="eastAsia"/>
          <w:b/>
          <w:sz w:val="32"/>
          <w:szCs w:val="32"/>
        </w:rPr>
        <w:t xml:space="preserve"> </w:t>
      </w:r>
      <w:r w:rsidRPr="00E94AD1">
        <w:rPr>
          <w:rFonts w:ascii="華康魏碑體" w:eastAsia="華康魏碑體" w:hAnsi="細明體" w:cs="細明體" w:hint="eastAsia"/>
          <w:sz w:val="32"/>
          <w:szCs w:val="32"/>
        </w:rPr>
        <w:t>p</w:t>
      </w:r>
      <w:r w:rsidRPr="00E94AD1">
        <w:rPr>
          <w:rFonts w:ascii="華康魏碑體" w:eastAsia="華康魏碑體" w:hAnsi="細明體" w:cs="細明體"/>
          <w:sz w:val="32"/>
          <w:szCs w:val="32"/>
        </w:rPr>
        <w:t>72</w:t>
      </w:r>
    </w:p>
    <w:p w14:paraId="786484E5" w14:textId="77777777" w:rsidR="00E94AD1" w:rsidRPr="00E94AD1" w:rsidRDefault="00E94AD1" w:rsidP="00E94AD1">
      <w:pPr>
        <w:spacing w:before="0"/>
        <w:ind w:left="958" w:hangingChars="342" w:hanging="958"/>
        <w:rPr>
          <w:rFonts w:ascii="華康魏碑體" w:eastAsia="華康魏碑體" w:hAnsi="細明體" w:cs="細明體"/>
          <w:sz w:val="28"/>
          <w:szCs w:val="28"/>
        </w:rPr>
      </w:pPr>
      <w:r w:rsidRPr="00E94AD1">
        <w:rPr>
          <w:rFonts w:ascii="華康魏碑體" w:eastAsia="華康魏碑體" w:hAnsi="細明體" w:cs="細明體" w:hint="eastAsia"/>
          <w:sz w:val="28"/>
          <w:szCs w:val="28"/>
        </w:rPr>
        <w:t>布局：</w:t>
      </w:r>
    </w:p>
    <w:p w14:paraId="434B39B4" w14:textId="77777777" w:rsidR="00E94AD1" w:rsidRPr="00E94AD1" w:rsidRDefault="00E94AD1" w:rsidP="00E94AD1">
      <w:pPr>
        <w:numPr>
          <w:ilvl w:val="0"/>
          <w:numId w:val="2"/>
        </w:numPr>
        <w:spacing w:before="0"/>
        <w:rPr>
          <w:rFonts w:ascii="華康魏碑體" w:eastAsia="華康魏碑體" w:hAnsi="細明體" w:cs="細明體"/>
          <w:sz w:val="28"/>
          <w:szCs w:val="28"/>
        </w:rPr>
      </w:pPr>
      <w:r w:rsidRPr="00E94AD1">
        <w:rPr>
          <w:rFonts w:ascii="華康魏碑體" w:eastAsia="華康魏碑體" w:hAnsi="細明體" w:cs="細明體" w:hint="eastAsia"/>
          <w:sz w:val="28"/>
          <w:szCs w:val="28"/>
        </w:rPr>
        <w:t>外交</w:t>
      </w:r>
    </w:p>
    <w:p w14:paraId="37F1999D" w14:textId="77777777" w:rsidR="00E94AD1" w:rsidRPr="00E94AD1" w:rsidRDefault="00E94AD1" w:rsidP="00E94AD1">
      <w:pPr>
        <w:numPr>
          <w:ilvl w:val="0"/>
          <w:numId w:val="1"/>
        </w:numPr>
        <w:spacing w:before="0"/>
        <w:rPr>
          <w:rFonts w:ascii="華康魏碑體" w:eastAsia="華康魏碑體" w:hAnsi="細明體" w:cs="細明體"/>
          <w:sz w:val="28"/>
          <w:szCs w:val="28"/>
        </w:rPr>
      </w:pPr>
      <w:r w:rsidRPr="00E94AD1">
        <w:rPr>
          <w:rFonts w:ascii="華康魏碑體" w:eastAsia="華康魏碑體" w:hAnsi="細明體" w:cs="細明體" w:hint="eastAsia"/>
          <w:sz w:val="28"/>
          <w:szCs w:val="28"/>
        </w:rPr>
        <w:t>結魯</w:t>
      </w:r>
    </w:p>
    <w:p w14:paraId="4A9EF31A" w14:textId="77777777" w:rsidR="00E94AD1" w:rsidRPr="00E94AD1" w:rsidRDefault="00E94AD1" w:rsidP="00E94AD1">
      <w:pPr>
        <w:spacing w:before="0"/>
        <w:ind w:firstLineChars="128" w:firstLine="358"/>
        <w:rPr>
          <w:rFonts w:ascii="細明體" w:hAnsi="細明體" w:cs="細明體"/>
          <w:sz w:val="28"/>
          <w:szCs w:val="28"/>
        </w:rPr>
      </w:pPr>
      <w:r w:rsidRPr="00E94AD1">
        <w:rPr>
          <w:rFonts w:ascii="華康魏碑體" w:eastAsia="華康魏碑體" w:hAnsi="細明體" w:cs="細明體" w:hint="eastAsia"/>
          <w:sz w:val="28"/>
          <w:szCs w:val="28"/>
        </w:rPr>
        <w:t>A.與魯平</w:t>
      </w:r>
      <w:r w:rsidRPr="00E94AD1">
        <w:rPr>
          <w:rFonts w:ascii="細明體" w:hAnsi="細明體" w:cs="細明體" w:hint="eastAsia"/>
          <w:sz w:val="28"/>
          <w:szCs w:val="28"/>
        </w:rPr>
        <w:t xml:space="preserve"> P49</w:t>
      </w:r>
    </w:p>
    <w:p w14:paraId="4EE108D5" w14:textId="77777777" w:rsidR="00E94AD1" w:rsidRPr="00E94AD1" w:rsidRDefault="00E94AD1" w:rsidP="00E94AD1">
      <w:pPr>
        <w:spacing w:before="0"/>
        <w:ind w:firstLineChars="128" w:firstLine="358"/>
        <w:rPr>
          <w:rFonts w:ascii="細明體" w:hAnsi="細明體" w:cs="細明體"/>
          <w:sz w:val="28"/>
          <w:szCs w:val="28"/>
        </w:rPr>
      </w:pPr>
      <w:r w:rsidRPr="00E94AD1">
        <w:rPr>
          <w:rFonts w:ascii="華康魏碑體" w:eastAsia="華康魏碑體" w:hAnsi="細明體" w:cs="細明體" w:hint="eastAsia"/>
          <w:sz w:val="28"/>
          <w:szCs w:val="28"/>
        </w:rPr>
        <w:t>B.易田</w:t>
      </w:r>
      <w:r w:rsidRPr="00E94AD1">
        <w:rPr>
          <w:rFonts w:ascii="細明體" w:hAnsi="細明體" w:cs="細明體" w:hint="eastAsia"/>
          <w:sz w:val="28"/>
          <w:szCs w:val="28"/>
        </w:rPr>
        <w:t xml:space="preserve"> P58</w:t>
      </w:r>
    </w:p>
    <w:p w14:paraId="2A1CABCC" w14:textId="77777777" w:rsidR="00E94AD1" w:rsidRPr="00E94AD1" w:rsidRDefault="00E94AD1" w:rsidP="00E94AD1">
      <w:pPr>
        <w:spacing w:before="0"/>
        <w:ind w:firstLineChars="128" w:firstLine="358"/>
        <w:rPr>
          <w:rFonts w:ascii="細明體" w:hAnsi="細明體" w:cs="細明體"/>
          <w:sz w:val="28"/>
          <w:szCs w:val="28"/>
        </w:rPr>
      </w:pPr>
      <w:r w:rsidRPr="00E94AD1">
        <w:rPr>
          <w:rFonts w:ascii="華康魏碑體" w:eastAsia="華康魏碑體" w:hAnsi="細明體" w:cs="細明體" w:hint="eastAsia"/>
          <w:sz w:val="28"/>
          <w:szCs w:val="28"/>
        </w:rPr>
        <w:t>C.歸邑</w:t>
      </w:r>
      <w:r w:rsidRPr="00E94AD1">
        <w:rPr>
          <w:rFonts w:ascii="細明體" w:hAnsi="細明體" w:cs="細明體" w:hint="eastAsia"/>
          <w:sz w:val="28"/>
          <w:szCs w:val="28"/>
        </w:rPr>
        <w:t xml:space="preserve"> P68</w:t>
      </w:r>
    </w:p>
    <w:p w14:paraId="28F77179" w14:textId="77777777" w:rsidR="00E94AD1" w:rsidRPr="00E94AD1" w:rsidRDefault="00E94AD1" w:rsidP="00E94AD1">
      <w:pPr>
        <w:spacing w:before="0"/>
        <w:rPr>
          <w:rFonts w:ascii="細明體" w:hAnsi="細明體" w:cs="細明體"/>
          <w:sz w:val="28"/>
          <w:szCs w:val="28"/>
        </w:rPr>
      </w:pPr>
      <w:r w:rsidRPr="00E94AD1">
        <w:rPr>
          <w:rFonts w:ascii="華康魏碑體" w:eastAsia="華康魏碑體" w:hAnsi="細明體" w:cs="細明體" w:hint="eastAsia"/>
          <w:sz w:val="28"/>
          <w:szCs w:val="28"/>
        </w:rPr>
        <w:t>2.結齊</w:t>
      </w:r>
    </w:p>
    <w:p w14:paraId="37C909EC" w14:textId="77777777" w:rsidR="00E94AD1" w:rsidRPr="00E94AD1" w:rsidRDefault="00E94AD1" w:rsidP="00E94AD1">
      <w:pPr>
        <w:spacing w:before="0"/>
        <w:ind w:firstLineChars="128" w:firstLine="358"/>
        <w:rPr>
          <w:rFonts w:ascii="華康魏碑體" w:eastAsia="華康魏碑體" w:hAnsi="細明體" w:cs="細明體"/>
          <w:sz w:val="28"/>
          <w:szCs w:val="28"/>
        </w:rPr>
      </w:pPr>
      <w:r w:rsidRPr="00E94AD1">
        <w:rPr>
          <w:rFonts w:ascii="華康魏碑體" w:eastAsia="華康魏碑體" w:hAnsi="細明體" w:cs="細明體" w:hint="eastAsia"/>
          <w:sz w:val="28"/>
          <w:szCs w:val="28"/>
        </w:rPr>
        <w:t>以齊人朝王 P60</w:t>
      </w:r>
    </w:p>
    <w:p w14:paraId="368E69D8" w14:textId="77777777" w:rsidR="00E94AD1" w:rsidRPr="00E94AD1" w:rsidRDefault="00E94AD1" w:rsidP="00E94AD1">
      <w:pPr>
        <w:spacing w:before="0"/>
        <w:rPr>
          <w:rFonts w:ascii="華康魏碑體" w:eastAsia="華康魏碑體" w:hAnsi="細明體" w:cs="細明體"/>
          <w:sz w:val="28"/>
          <w:szCs w:val="28"/>
        </w:rPr>
      </w:pPr>
      <w:r w:rsidRPr="00E94AD1">
        <w:rPr>
          <w:rFonts w:ascii="華康魏碑體" w:eastAsia="華康魏碑體" w:hAnsi="細明體" w:cs="細明體" w:hint="eastAsia"/>
          <w:sz w:val="28"/>
          <w:szCs w:val="28"/>
        </w:rPr>
        <w:t>3.平宋、衛  P59</w:t>
      </w:r>
    </w:p>
    <w:p w14:paraId="107F4569" w14:textId="77777777" w:rsidR="00E94AD1" w:rsidRPr="00E94AD1" w:rsidRDefault="00E94AD1" w:rsidP="00E94AD1">
      <w:pPr>
        <w:spacing w:before="0"/>
        <w:rPr>
          <w:rFonts w:ascii="華康魏碑體" w:eastAsia="華康魏碑體" w:hAnsi="細明體" w:cs="細明體"/>
          <w:sz w:val="28"/>
          <w:szCs w:val="28"/>
        </w:rPr>
      </w:pPr>
      <w:r w:rsidRPr="00E94AD1">
        <w:rPr>
          <w:rFonts w:ascii="華康魏碑體" w:eastAsia="華康魏碑體" w:hAnsi="細明體" w:cs="細明體" w:hint="eastAsia"/>
          <w:sz w:val="28"/>
          <w:szCs w:val="28"/>
        </w:rPr>
        <w:t>二、武備</w:t>
      </w:r>
    </w:p>
    <w:p w14:paraId="7D967A9F" w14:textId="77777777" w:rsidR="00E94AD1" w:rsidRPr="00E94AD1" w:rsidRDefault="00E94AD1" w:rsidP="00E94AD1">
      <w:pPr>
        <w:spacing w:before="0"/>
        <w:rPr>
          <w:rFonts w:ascii="華康魏碑體" w:eastAsia="華康魏碑體" w:hAnsi="細明體" w:cs="細明體"/>
          <w:sz w:val="28"/>
          <w:szCs w:val="28"/>
        </w:rPr>
      </w:pPr>
      <w:r w:rsidRPr="00E94AD1">
        <w:rPr>
          <w:rFonts w:ascii="華康魏碑體" w:eastAsia="華康魏碑體" w:hAnsi="細明體" w:cs="細明體" w:hint="eastAsia"/>
          <w:sz w:val="28"/>
          <w:szCs w:val="28"/>
        </w:rPr>
        <w:t>1.敗戎師 P65</w:t>
      </w:r>
    </w:p>
    <w:p w14:paraId="10EB2FC8" w14:textId="77777777" w:rsidR="00E94AD1" w:rsidRPr="00E94AD1" w:rsidRDefault="00E94AD1" w:rsidP="00E94AD1">
      <w:pPr>
        <w:spacing w:before="0"/>
        <w:rPr>
          <w:rFonts w:ascii="細明體" w:hAnsi="細明體" w:cs="細明體"/>
          <w:sz w:val="28"/>
          <w:szCs w:val="28"/>
        </w:rPr>
      </w:pPr>
      <w:r w:rsidRPr="00E94AD1">
        <w:rPr>
          <w:rFonts w:ascii="華康魏碑體" w:eastAsia="華康魏碑體" w:hAnsi="細明體" w:cs="細明體" w:hint="eastAsia"/>
          <w:sz w:val="28"/>
          <w:szCs w:val="28"/>
        </w:rPr>
        <w:t>2.敗宋、衛</w:t>
      </w:r>
      <w:r w:rsidRPr="00E94AD1">
        <w:rPr>
          <w:rFonts w:ascii="細明體" w:hAnsi="細明體" w:cs="細明體" w:hint="eastAsia"/>
          <w:sz w:val="28"/>
          <w:szCs w:val="28"/>
        </w:rPr>
        <w:t xml:space="preserve"> P67</w:t>
      </w:r>
    </w:p>
    <w:p w14:paraId="2994D59D" w14:textId="77777777" w:rsidR="00E94AD1" w:rsidRPr="00577CCC" w:rsidRDefault="00E94AD1" w:rsidP="00E94AD1">
      <w:pPr>
        <w:spacing w:before="0"/>
        <w:ind w:firstLineChars="342" w:firstLine="958"/>
        <w:rPr>
          <w:rFonts w:ascii="標楷體" w:eastAsia="標楷體" w:hAnsi="標楷體" w:cs="細明體"/>
          <w:sz w:val="28"/>
          <w:szCs w:val="28"/>
        </w:rPr>
      </w:pPr>
      <w:r w:rsidRPr="00577CCC">
        <w:rPr>
          <w:rFonts w:ascii="標楷體" w:eastAsia="標楷體" w:hAnsi="標楷體" w:cs="細明體" w:hint="eastAsia"/>
          <w:sz w:val="28"/>
          <w:szCs w:val="28"/>
        </w:rPr>
        <w:t xml:space="preserve">  集評</w:t>
      </w:r>
    </w:p>
    <w:p w14:paraId="4DD3A63A" w14:textId="77777777" w:rsidR="00E94AD1" w:rsidRPr="007E151E" w:rsidRDefault="00E94AD1" w:rsidP="00E94AD1">
      <w:pPr>
        <w:spacing w:before="0"/>
        <w:rPr>
          <w:rFonts w:ascii="細明體" w:hAnsi="細明體" w:cs="細明體"/>
          <w:sz w:val="28"/>
          <w:szCs w:val="28"/>
        </w:rPr>
      </w:pPr>
      <w:r>
        <w:rPr>
          <w:rFonts w:ascii="華康魏碑體" w:eastAsia="華康魏碑體" w:hAnsi="細明體" w:cs="細明體" w:hint="eastAsia"/>
          <w:sz w:val="28"/>
          <w:szCs w:val="28"/>
        </w:rPr>
        <w:t>《會箋》：</w:t>
      </w:r>
    </w:p>
    <w:p w14:paraId="4B9CCFC5" w14:textId="77777777" w:rsidR="00E94AD1" w:rsidRPr="00E94AD1" w:rsidRDefault="00E94AD1" w:rsidP="00E94AD1">
      <w:pPr>
        <w:spacing w:before="0"/>
        <w:ind w:leftChars="300" w:left="720"/>
        <w:rPr>
          <w:rFonts w:ascii="標楷體" w:eastAsia="標楷體" w:hAnsi="標楷體" w:cs="細明體"/>
          <w:sz w:val="28"/>
          <w:szCs w:val="28"/>
        </w:rPr>
      </w:pPr>
      <w:r w:rsidRPr="00E94AD1">
        <w:rPr>
          <w:rFonts w:ascii="標楷體" w:eastAsia="標楷體" w:hAnsi="標楷體" w:cs="細明體" w:hint="eastAsia"/>
          <w:sz w:val="28"/>
          <w:szCs w:val="28"/>
        </w:rPr>
        <w:t>鄭伯爵，魯侯爵，鄭以王爵有尊卑之敘勞魯侯，故曰「勞王爵」，此舉謂奉王命，故以尊爵為名，使魯可受，以堅魯、宋之仇，且令魯感惠為己用也。</w:t>
      </w:r>
    </w:p>
    <w:p w14:paraId="59DB8418" w14:textId="77777777" w:rsidR="00E94AD1" w:rsidRDefault="00E94AD1" w:rsidP="00E94AD1">
      <w:pPr>
        <w:spacing w:before="0"/>
        <w:rPr>
          <w:rFonts w:ascii="華康魏碑體" w:eastAsia="華康魏碑體" w:hAnsi="細明體" w:cs="細明體"/>
          <w:sz w:val="28"/>
          <w:szCs w:val="28"/>
        </w:rPr>
      </w:pPr>
      <w:r>
        <w:rPr>
          <w:rFonts w:ascii="華康魏碑體" w:eastAsia="華康魏碑體" w:hAnsi="細明體" w:cs="細明體" w:hint="eastAsia"/>
          <w:sz w:val="28"/>
          <w:szCs w:val="28"/>
        </w:rPr>
        <w:t>吳闓生《左傳微》：</w:t>
      </w:r>
    </w:p>
    <w:p w14:paraId="55676A27" w14:textId="2BB1E071" w:rsidR="00E94AD1" w:rsidRDefault="00E94AD1" w:rsidP="00E94AD1">
      <w:pPr>
        <w:spacing w:before="0"/>
        <w:ind w:leftChars="300" w:left="720"/>
        <w:rPr>
          <w:rFonts w:ascii="標楷體" w:eastAsia="標楷體" w:hAnsi="標楷體" w:cs="細明體"/>
          <w:sz w:val="28"/>
          <w:szCs w:val="28"/>
        </w:rPr>
      </w:pPr>
      <w:r w:rsidRPr="00E94AD1">
        <w:rPr>
          <w:rFonts w:ascii="標楷體" w:eastAsia="標楷體" w:hAnsi="標楷體" w:cs="細明體" w:hint="eastAsia"/>
          <w:sz w:val="28"/>
          <w:szCs w:val="28"/>
        </w:rPr>
        <w:lastRenderedPageBreak/>
        <w:t>下文入許嫌逕直，故就爭車生一波，以起登城。</w:t>
      </w:r>
    </w:p>
    <w:p w14:paraId="61FC0A9E" w14:textId="72951271" w:rsidR="00E94AD1" w:rsidRDefault="00E94AD1" w:rsidP="00E94AD1">
      <w:pPr>
        <w:spacing w:before="0"/>
        <w:rPr>
          <w:rFonts w:ascii="標楷體" w:eastAsia="標楷體" w:hAnsi="標楷體" w:cs="細明體"/>
          <w:sz w:val="28"/>
          <w:szCs w:val="28"/>
        </w:rPr>
      </w:pPr>
      <w:r>
        <w:rPr>
          <w:rFonts w:ascii="標楷體" w:eastAsia="標楷體" w:hAnsi="標楷體" w:cs="細明體" w:hint="eastAsia"/>
          <w:sz w:val="28"/>
          <w:szCs w:val="28"/>
        </w:rPr>
        <w:t>《會箋》</w:t>
      </w:r>
    </w:p>
    <w:p w14:paraId="5BF1714F" w14:textId="2577864A" w:rsidR="00E94AD1" w:rsidRPr="00E94AD1" w:rsidRDefault="00E94AD1" w:rsidP="00E94AD1">
      <w:pPr>
        <w:spacing w:before="0"/>
        <w:ind w:leftChars="300" w:left="720"/>
        <w:rPr>
          <w:rFonts w:ascii="標楷體" w:eastAsia="標楷體" w:hAnsi="標楷體" w:cs="細明體"/>
          <w:sz w:val="28"/>
          <w:szCs w:val="28"/>
        </w:rPr>
      </w:pPr>
      <w:r>
        <w:rPr>
          <w:rFonts w:ascii="標楷體" w:eastAsia="標楷體" w:hAnsi="標楷體" w:cs="細明體"/>
          <w:sz w:val="28"/>
          <w:szCs w:val="28"/>
        </w:rPr>
        <w:t>與許叔對言</w:t>
      </w:r>
      <w:r>
        <w:rPr>
          <w:rFonts w:ascii="標楷體" w:eastAsia="標楷體" w:hAnsi="標楷體" w:cs="細明體" w:hint="eastAsia"/>
          <w:sz w:val="28"/>
          <w:szCs w:val="28"/>
        </w:rPr>
        <w:t>，口中有劍，如云苟有異心，則母弟猶且戮之，何有於許君之弟乎！</w:t>
      </w:r>
    </w:p>
    <w:p w14:paraId="7B604769" w14:textId="77777777" w:rsidR="00E94AD1" w:rsidRDefault="00E94AD1" w:rsidP="00E94AD1">
      <w:pPr>
        <w:spacing w:before="0"/>
        <w:ind w:left="958" w:hangingChars="342" w:hanging="958"/>
        <w:rPr>
          <w:rFonts w:ascii="華康魏碑體" w:eastAsia="華康魏碑體" w:hAnsi="細明體" w:cs="細明體"/>
          <w:sz w:val="28"/>
          <w:szCs w:val="28"/>
        </w:rPr>
      </w:pPr>
      <w:r>
        <w:rPr>
          <w:rFonts w:ascii="華康魏碑體" w:eastAsia="華康魏碑體" w:hAnsi="細明體" w:cs="細明體" w:hint="eastAsia"/>
          <w:sz w:val="28"/>
          <w:szCs w:val="28"/>
        </w:rPr>
        <w:t>韓席籌《左傳分國集注》：</w:t>
      </w:r>
    </w:p>
    <w:p w14:paraId="37A080E7" w14:textId="77777777" w:rsidR="00E94AD1" w:rsidRPr="00E94AD1" w:rsidRDefault="00E94AD1" w:rsidP="00E94AD1">
      <w:pPr>
        <w:spacing w:before="0"/>
        <w:ind w:leftChars="300" w:left="720"/>
        <w:rPr>
          <w:rFonts w:ascii="標楷體" w:eastAsia="標楷體" w:hAnsi="標楷體" w:cs="細明體"/>
          <w:sz w:val="28"/>
          <w:szCs w:val="28"/>
        </w:rPr>
      </w:pPr>
      <w:r w:rsidRPr="00E94AD1">
        <w:rPr>
          <w:rFonts w:ascii="標楷體" w:eastAsia="標楷體" w:hAnsi="標楷體" w:cs="細明體" w:hint="eastAsia"/>
          <w:sz w:val="28"/>
          <w:szCs w:val="28"/>
        </w:rPr>
        <w:t>甚矣哉，鄭莊之狡而多謀也，許近鄭，地小而弱，鄭莊垂涎久矣，乃會齊魯伐之，一舉而入其國都，齊魯遠處東海，不能踰曹涉衛而有許，莊公計之熟矣。然齊僖懼鄭之得許而遂強也，故先與魯，魯不受，乃予鄭人。鄭莊知有許為齊魯所忌，其處置之法何與近世列強用心相似也。使許叔居許東偏，以許治許，即不遽滅人國之法也。使公孫獲居許西偏，控其扼要，即設總監之法也。無滋他族實偪處此，以與我鄭國爭此土，即禁與第三國土地及訂立條約之法也。其曰無寘器用財賄於許，我死乃亟去之，即掩飾鄰國耳目，使不為藉口干涉之法也，嗚呼，侵略者之手法，古今如出一轍也。</w:t>
      </w:r>
    </w:p>
    <w:p w14:paraId="4C30AD52" w14:textId="7ECB05E1" w:rsidR="007C280C" w:rsidRDefault="007C280C">
      <w:pPr>
        <w:widowControl/>
        <w:adjustRightInd/>
        <w:spacing w:before="0" w:line="240" w:lineRule="auto"/>
        <w:textAlignment w:val="auto"/>
      </w:pPr>
      <w:r>
        <w:br w:type="page"/>
      </w:r>
    </w:p>
    <w:p w14:paraId="4DAD82DF" w14:textId="5C4BED83" w:rsidR="00C22A4A" w:rsidRDefault="0080287E">
      <w:r>
        <w:rPr>
          <w:rFonts w:ascii="細明體" w:hAnsi="細明體" w:cs="細明體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E39626" wp14:editId="325D9057">
                <wp:simplePos x="0" y="0"/>
                <wp:positionH relativeFrom="column">
                  <wp:posOffset>1857375</wp:posOffset>
                </wp:positionH>
                <wp:positionV relativeFrom="paragraph">
                  <wp:posOffset>200025</wp:posOffset>
                </wp:positionV>
                <wp:extent cx="314325" cy="314325"/>
                <wp:effectExtent l="19050" t="19050" r="28575" b="85725"/>
                <wp:wrapNone/>
                <wp:docPr id="4" name="語音泡泡: 橢圓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314325"/>
                        </a:xfrm>
                        <a:prstGeom prst="wedgeEllipseCallout">
                          <a:avLst/>
                        </a:prstGeom>
                        <a:solidFill>
                          <a:srgbClr val="FF0000">
                            <a:alpha val="27000"/>
                          </a:srgb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0C17FE" w14:textId="77777777" w:rsidR="0080287E" w:rsidRDefault="0080287E" w:rsidP="0080287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7E39626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語音泡泡: 橢圓形 4" o:spid="_x0000_s1026" type="#_x0000_t63" style="position:absolute;margin-left:146.25pt;margin-top:15.75pt;width:24.75pt;height:24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" adj="6300,24300" fillcolor="red" strokecolor="#70ad47 [3209]" strokeweight="1pt">
                <v:fill opacity="17733f"/>
                <v:textbox>
                  <w:txbxContent>
                    <w:p w14:paraId="2F0C17FE" w14:textId="77777777" w:rsidR="0080287E" w:rsidRDefault="0080287E" w:rsidP="0080287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bookmarkStart w:id="0" w:name="_GoBack"/>
      <w:r w:rsidR="007C280C" w:rsidRPr="00BB013B">
        <w:rPr>
          <w:rFonts w:ascii="細明體" w:hAnsi="細明體" w:cs="細明體"/>
          <w:noProof/>
          <w:sz w:val="28"/>
          <w:szCs w:val="28"/>
        </w:rPr>
        <w:drawing>
          <wp:inline distT="0" distB="0" distL="0" distR="0" wp14:anchorId="16011D11" wp14:editId="441A10A3">
            <wp:extent cx="5274310" cy="3942414"/>
            <wp:effectExtent l="0" t="0" r="2540" b="1270"/>
            <wp:docPr id="1" name="圖片 1" descr="馬車結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馬車結構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42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24E91717" w14:textId="6CE43864" w:rsidR="007C280C" w:rsidRDefault="007C280C">
      <w:r w:rsidRPr="00BB013B">
        <w:rPr>
          <w:rFonts w:ascii="細明體" w:hAnsi="細明體" w:cs="細明體"/>
          <w:noProof/>
          <w:sz w:val="28"/>
          <w:szCs w:val="28"/>
        </w:rPr>
        <w:drawing>
          <wp:inline distT="0" distB="0" distL="0" distR="0" wp14:anchorId="1F49DE91" wp14:editId="2279E177">
            <wp:extent cx="4714875" cy="3429000"/>
            <wp:effectExtent l="0" t="0" r="9525" b="0"/>
            <wp:docPr id="2" name="圖片 2" descr="弋與矛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弋與矛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875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545775" w14:textId="1527F801" w:rsidR="007C280C" w:rsidRDefault="007C280C">
      <w:r w:rsidRPr="00BB013B">
        <w:rPr>
          <w:rFonts w:ascii="細明體" w:hAnsi="細明體" w:cs="細明體"/>
          <w:noProof/>
          <w:sz w:val="28"/>
          <w:szCs w:val="28"/>
        </w:rPr>
        <w:lastRenderedPageBreak/>
        <w:drawing>
          <wp:inline distT="0" distB="0" distL="0" distR="0" wp14:anchorId="5FDB146B" wp14:editId="4C13DB63">
            <wp:extent cx="4886325" cy="3648075"/>
            <wp:effectExtent l="0" t="0" r="9525" b="9525"/>
            <wp:docPr id="3" name="圖片 3" descr="戟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戟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6325" cy="364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62071F" w14:textId="0A673886" w:rsidR="007C280C" w:rsidRDefault="007C280C"/>
    <w:p w14:paraId="45F05667" w14:textId="77777777" w:rsidR="007C280C" w:rsidRPr="007C280C" w:rsidRDefault="007C280C" w:rsidP="007C280C">
      <w:pPr>
        <w:jc w:val="center"/>
        <w:rPr>
          <w:rFonts w:ascii="華康正顏楷體W5" w:eastAsia="華康正顏楷體W5" w:hint="eastAsia"/>
          <w:b/>
          <w:sz w:val="28"/>
        </w:rPr>
      </w:pPr>
      <w:r w:rsidRPr="007C280C">
        <w:rPr>
          <w:rFonts w:ascii="華康正顏楷體W5" w:eastAsia="華康正顏楷體W5" w:hint="eastAsia"/>
          <w:b/>
          <w:sz w:val="32"/>
        </w:rPr>
        <w:t>鄭滅許始末</w:t>
      </w:r>
    </w:p>
    <w:p w14:paraId="302F77C0" w14:textId="77777777" w:rsidR="007C280C" w:rsidRPr="007C280C" w:rsidRDefault="007C280C" w:rsidP="007C280C">
      <w:pPr>
        <w:spacing w:before="0"/>
        <w:rPr>
          <w:rFonts w:ascii="細明體"/>
        </w:rPr>
      </w:pPr>
      <w:r w:rsidRPr="007C280C">
        <w:rPr>
          <w:rFonts w:ascii="細明體" w:hint="eastAsia"/>
        </w:rPr>
        <w:t>隱八年，鄭伯使宛來歸祊。庚寅，我入祊。</w:t>
      </w:r>
    </w:p>
    <w:p w14:paraId="2811BB6C" w14:textId="77777777" w:rsidR="007C280C" w:rsidRPr="007C280C" w:rsidRDefault="007C280C" w:rsidP="007C280C">
      <w:pPr>
        <w:spacing w:before="0"/>
        <w:rPr>
          <w:rFonts w:ascii="細明體"/>
        </w:rPr>
      </w:pPr>
      <w:r w:rsidRPr="007C280C">
        <w:rPr>
          <w:rFonts w:ascii="細明體" w:hint="eastAsia"/>
        </w:rPr>
        <w:t>隱八年，秋七月庚午，宋公、齊侯、衛侯盟于瓦屋。</w:t>
      </w:r>
    </w:p>
    <w:p w14:paraId="4B4FDA54" w14:textId="77777777" w:rsidR="007C280C" w:rsidRPr="007C280C" w:rsidRDefault="007C280C" w:rsidP="007C280C">
      <w:pPr>
        <w:spacing w:before="0"/>
        <w:ind w:left="482"/>
        <w:rPr>
          <w:rFonts w:ascii="華康中楷體" w:eastAsia="華康中楷體"/>
        </w:rPr>
      </w:pPr>
      <w:r w:rsidRPr="007C280C">
        <w:rPr>
          <w:rFonts w:ascii="華康中楷體" w:eastAsia="華康中楷體" w:hint="eastAsia"/>
        </w:rPr>
        <w:t>《左傳》云：齊人卒平宋、衛于鄭。盟于瓦屋，以釋東門之役，禮也。八月丙戌，鄭伯以齊人朝王，禮也。</w:t>
      </w:r>
    </w:p>
    <w:p w14:paraId="517795EA" w14:textId="77777777" w:rsidR="007C280C" w:rsidRPr="007C280C" w:rsidRDefault="007C280C" w:rsidP="007C280C">
      <w:pPr>
        <w:spacing w:before="0"/>
        <w:rPr>
          <w:rFonts w:ascii="細明體"/>
        </w:rPr>
      </w:pPr>
      <w:r w:rsidRPr="007C280C">
        <w:rPr>
          <w:rFonts w:ascii="細明體" w:hint="eastAsia"/>
        </w:rPr>
        <w:t>隱十年，六月壬戌，公敗宋師于菅。辛未，取郜。辛巳，取防。</w:t>
      </w:r>
    </w:p>
    <w:p w14:paraId="73BF2432" w14:textId="77777777" w:rsidR="007C280C" w:rsidRPr="007C280C" w:rsidRDefault="007C280C" w:rsidP="007C280C">
      <w:pPr>
        <w:spacing w:before="0"/>
        <w:rPr>
          <w:rFonts w:ascii="細明體"/>
        </w:rPr>
      </w:pPr>
      <w:r w:rsidRPr="007C280C">
        <w:rPr>
          <w:rFonts w:ascii="細明體" w:hint="eastAsia"/>
        </w:rPr>
        <w:t>隱十一年，公會鄭伯于時來。</w:t>
      </w:r>
    </w:p>
    <w:p w14:paraId="06DC8B7A" w14:textId="77777777" w:rsidR="007C280C" w:rsidRPr="007C280C" w:rsidRDefault="007C280C" w:rsidP="007C280C">
      <w:pPr>
        <w:spacing w:before="0"/>
        <w:rPr>
          <w:rFonts w:ascii="細明體"/>
        </w:rPr>
      </w:pPr>
      <w:r w:rsidRPr="007C280C">
        <w:rPr>
          <w:rFonts w:ascii="細明體" w:hint="eastAsia"/>
        </w:rPr>
        <w:t>隱十一年，公及齊侯、鄭伯入許。</w:t>
      </w:r>
    </w:p>
    <w:p w14:paraId="55DF7DCB" w14:textId="77777777" w:rsidR="007C280C" w:rsidRPr="007C280C" w:rsidRDefault="007C280C" w:rsidP="007C280C">
      <w:pPr>
        <w:spacing w:before="0"/>
        <w:ind w:left="482"/>
        <w:rPr>
          <w:rFonts w:ascii="細明體"/>
        </w:rPr>
      </w:pPr>
      <w:r w:rsidRPr="007C280C">
        <w:rPr>
          <w:rFonts w:ascii="華康中楷體" w:eastAsia="華康中楷體" w:hint="eastAsia"/>
        </w:rPr>
        <w:t>韓席疇云：甚矣哉鄭莊之狡而多謀也！許近鄭，地小而弱，鄭莊垂涎久矣，乃會齊魯伐之，一舉而入其國都。齊魯遠處東海，不能踰曹涉衛而有許，莊公計熟矣。然齊僖懼鄭之得許而遂強也，故先以與魯，魯不受，乃與鄭人。鄭莊知有許為齊魯所忌，其處置之法，……使許叔居許東偏，以許治許，即不遽滅人國之法也。使公孫獲居許西偏，控其扼要，即設總監</w:t>
      </w:r>
      <w:r w:rsidRPr="007C280C">
        <w:rPr>
          <w:rFonts w:ascii="華康中楷體" w:eastAsia="華康中楷體" w:hint="eastAsia"/>
        </w:rPr>
        <w:lastRenderedPageBreak/>
        <w:t>之法也。無滋他族，實偪處此，以與我鄭國爭此土，即禁與第三國土地及訂立條約之法也。其曰無寘器用財賄於許，我死乃亟去之，即掩飾鄰國耳目，使不得藉口干涉之法也。鳴呼！侵略者之手法，古今如出一轍也。許叔雖因鄭亂得入居位，而許終受鄭偪，一遷於葉，再遷於夷，三遷于析，卒為鄭所滅。鳴呼！莊公之用心何其狡，而計謀何其工也。</w:t>
      </w:r>
    </w:p>
    <w:p w14:paraId="79E9B09B" w14:textId="77777777" w:rsidR="007C280C" w:rsidRPr="007C280C" w:rsidRDefault="007C280C" w:rsidP="007C280C">
      <w:pPr>
        <w:spacing w:before="0"/>
        <w:rPr>
          <w:rFonts w:ascii="細明體"/>
        </w:rPr>
      </w:pPr>
      <w:r w:rsidRPr="007C280C">
        <w:rPr>
          <w:rFonts w:ascii="細明體" w:hint="eastAsia"/>
        </w:rPr>
        <w:t>桓十五年，許叔入于許。</w:t>
      </w:r>
    </w:p>
    <w:p w14:paraId="15291EAD" w14:textId="77777777" w:rsidR="007C280C" w:rsidRPr="007C280C" w:rsidRDefault="007C280C" w:rsidP="007C280C">
      <w:pPr>
        <w:spacing w:before="0"/>
        <w:ind w:left="482"/>
        <w:rPr>
          <w:rFonts w:ascii="細明體"/>
        </w:rPr>
      </w:pPr>
      <w:r w:rsidRPr="007C280C">
        <w:rPr>
          <w:rFonts w:ascii="華康中楷體" w:eastAsia="華康中楷體" w:hint="eastAsia"/>
        </w:rPr>
        <w:t>孔穎達云：言其自許東偏而入于許國，非從外國入也。鄭莊以十一年卒，今始入者，蓋鄭突不使其復。忽既得位，親仁善鄰，存許以德許人，冀其為己之援也。</w:t>
      </w:r>
    </w:p>
    <w:p w14:paraId="658A89C5" w14:textId="77777777" w:rsidR="007C280C" w:rsidRPr="007C280C" w:rsidRDefault="007C280C" w:rsidP="007C280C">
      <w:pPr>
        <w:spacing w:before="0"/>
        <w:rPr>
          <w:rFonts w:ascii="細明體"/>
        </w:rPr>
      </w:pPr>
      <w:r w:rsidRPr="007C280C">
        <w:rPr>
          <w:rFonts w:ascii="細明體" w:hint="eastAsia"/>
        </w:rPr>
        <w:t>莊二十九年，鄭人侵許。</w:t>
      </w:r>
    </w:p>
    <w:p w14:paraId="0ED429E1" w14:textId="77777777" w:rsidR="007C280C" w:rsidRPr="007C280C" w:rsidRDefault="007C280C" w:rsidP="007C280C">
      <w:pPr>
        <w:spacing w:before="0"/>
        <w:rPr>
          <w:rFonts w:ascii="細明體"/>
        </w:rPr>
      </w:pPr>
      <w:r w:rsidRPr="007C280C">
        <w:rPr>
          <w:rFonts w:ascii="細明體" w:hint="eastAsia"/>
        </w:rPr>
        <w:t>僖三十三年，晉人、陳人、鄭人伐許。</w:t>
      </w:r>
    </w:p>
    <w:p w14:paraId="7C575202" w14:textId="77777777" w:rsidR="007C280C" w:rsidRPr="007C280C" w:rsidRDefault="007C280C" w:rsidP="007C280C">
      <w:pPr>
        <w:spacing w:before="0"/>
        <w:ind w:left="482"/>
        <w:rPr>
          <w:rFonts w:ascii="細明體"/>
        </w:rPr>
      </w:pPr>
      <w:r w:rsidRPr="007C280C">
        <w:rPr>
          <w:rFonts w:ascii="華康中楷體" w:eastAsia="華康中楷體" w:hint="eastAsia"/>
        </w:rPr>
        <w:t>顧棟高云：許于春秋之世凡三變，齊桓之伯，許無役不從，至諸侯伐鄭，而楚子圍許以救鄭，許于中國親矣。逮晉文之興，許堅從楚，至合諸侯以討之而猶不服。故僖二十八年書諸侯遂圍許，與僖六年書諸侯遂救許，為書法之對照。蓋齊桓能服許，而急于赴義以救之，晉文不能服許，而窮兵黷武以圍之。觀兩遂之，而桓、文之優劣見矣。然此役之徵，許復從晉，兩列會盟。至遷葉以後，許始自絕于中國，雞澤不會，而盟會遂無復有許，于楚之猾夏無不從。此固鄭為之，亦由晉之不能懲鄭以庇許也。</w:t>
      </w:r>
    </w:p>
    <w:p w14:paraId="3CF21C8D" w14:textId="77777777" w:rsidR="007C280C" w:rsidRPr="007C280C" w:rsidRDefault="007C280C" w:rsidP="007C280C">
      <w:pPr>
        <w:spacing w:before="0"/>
        <w:rPr>
          <w:rFonts w:ascii="細明體"/>
        </w:rPr>
      </w:pPr>
      <w:r w:rsidRPr="007C280C">
        <w:rPr>
          <w:rFonts w:ascii="細明體" w:hint="eastAsia"/>
        </w:rPr>
        <w:t>成三年夏，鄭公子去疾帥師伐許。</w:t>
      </w:r>
    </w:p>
    <w:p w14:paraId="2F3E1096" w14:textId="77777777" w:rsidR="007C280C" w:rsidRPr="007C280C" w:rsidRDefault="007C280C" w:rsidP="007C280C">
      <w:pPr>
        <w:spacing w:before="0"/>
        <w:rPr>
          <w:rFonts w:ascii="細明體"/>
        </w:rPr>
      </w:pPr>
      <w:r w:rsidRPr="007C280C">
        <w:rPr>
          <w:rFonts w:ascii="細明體" w:hint="eastAsia"/>
        </w:rPr>
        <w:t>成三年冬十有一月，鄭伐許。</w:t>
      </w:r>
    </w:p>
    <w:p w14:paraId="7B0F0947" w14:textId="77777777" w:rsidR="007C280C" w:rsidRPr="007C280C" w:rsidRDefault="007C280C" w:rsidP="007C280C">
      <w:pPr>
        <w:spacing w:before="0"/>
        <w:rPr>
          <w:rFonts w:ascii="細明體"/>
        </w:rPr>
      </w:pPr>
      <w:r w:rsidRPr="007C280C">
        <w:rPr>
          <w:rFonts w:ascii="細明體" w:hint="eastAsia"/>
        </w:rPr>
        <w:t>成四年冬，鄭伯伐許。</w:t>
      </w:r>
    </w:p>
    <w:p w14:paraId="0AE3F13E" w14:textId="77777777" w:rsidR="007C280C" w:rsidRPr="007C280C" w:rsidRDefault="007C280C" w:rsidP="007C280C">
      <w:pPr>
        <w:spacing w:before="0"/>
        <w:rPr>
          <w:rFonts w:ascii="細明體"/>
        </w:rPr>
      </w:pPr>
      <w:r w:rsidRPr="007C280C">
        <w:rPr>
          <w:rFonts w:ascii="細明體" w:hint="eastAsia"/>
        </w:rPr>
        <w:t>成九年，鄭人圍許。</w:t>
      </w:r>
    </w:p>
    <w:p w14:paraId="65AA8228" w14:textId="77777777" w:rsidR="007C280C" w:rsidRPr="007C280C" w:rsidRDefault="007C280C" w:rsidP="007C280C">
      <w:pPr>
        <w:spacing w:before="0"/>
        <w:rPr>
          <w:rFonts w:ascii="細明體"/>
        </w:rPr>
      </w:pPr>
      <w:r w:rsidRPr="007C280C">
        <w:rPr>
          <w:rFonts w:ascii="細明體" w:hint="eastAsia"/>
        </w:rPr>
        <w:t>成十四年，鄭公子喜帥師伐許。</w:t>
      </w:r>
    </w:p>
    <w:p w14:paraId="59501FEE" w14:textId="77777777" w:rsidR="007C280C" w:rsidRPr="007C280C" w:rsidRDefault="007C280C" w:rsidP="007C280C">
      <w:pPr>
        <w:spacing w:before="0"/>
        <w:rPr>
          <w:rFonts w:ascii="細明體"/>
        </w:rPr>
      </w:pPr>
      <w:r w:rsidRPr="007C280C">
        <w:rPr>
          <w:rFonts w:ascii="細明體" w:hint="eastAsia"/>
        </w:rPr>
        <w:t>成十五年，許遷于葉。</w:t>
      </w:r>
    </w:p>
    <w:p w14:paraId="71E5E0C6" w14:textId="77777777" w:rsidR="007C280C" w:rsidRPr="007C280C" w:rsidRDefault="007C280C" w:rsidP="007C280C">
      <w:pPr>
        <w:spacing w:before="0"/>
        <w:ind w:left="482"/>
        <w:rPr>
          <w:rFonts w:ascii="細明體"/>
        </w:rPr>
      </w:pPr>
      <w:r w:rsidRPr="007C280C">
        <w:rPr>
          <w:rFonts w:ascii="華康中楷體" w:eastAsia="華康中楷體" w:hint="eastAsia"/>
        </w:rPr>
        <w:t>顧棟高云：許故地今為河南許州府，葉為今南陽府裕州葉縣，係楚方城外地。許既遷，而許之全境盡屬于鄭，鄭人謂之舊許是也。自遷葉以後，而</w:t>
      </w:r>
      <w:r w:rsidRPr="007C280C">
        <w:rPr>
          <w:rFonts w:ascii="華康中楷體" w:eastAsia="華康中楷體" w:hint="eastAsia"/>
        </w:rPr>
        <w:lastRenderedPageBreak/>
        <w:t>晉之盟會侵伐無許，楚之盟會侵伐無不有許矣。</w:t>
      </w:r>
    </w:p>
    <w:p w14:paraId="1AECFAAD" w14:textId="77777777" w:rsidR="007C280C" w:rsidRPr="007C280C" w:rsidRDefault="007C280C" w:rsidP="007C280C">
      <w:pPr>
        <w:spacing w:before="0"/>
        <w:rPr>
          <w:rFonts w:ascii="細明體"/>
        </w:rPr>
      </w:pPr>
      <w:r w:rsidRPr="007C280C">
        <w:rPr>
          <w:rFonts w:ascii="細明體" w:hint="eastAsia"/>
        </w:rPr>
        <w:t>襄十六年，叔老會鄭伯、晉荀偃、衛甯殖、宋人伐許。</w:t>
      </w:r>
    </w:p>
    <w:p w14:paraId="1059844F" w14:textId="77777777" w:rsidR="007C280C" w:rsidRPr="007C280C" w:rsidRDefault="007C280C" w:rsidP="007C280C">
      <w:pPr>
        <w:spacing w:before="0"/>
        <w:ind w:left="482"/>
        <w:rPr>
          <w:rFonts w:ascii="華康中楷體" w:eastAsia="華康中楷體"/>
        </w:rPr>
      </w:pPr>
      <w:r w:rsidRPr="007C280C">
        <w:rPr>
          <w:rFonts w:ascii="華康中楷體" w:eastAsia="華康中楷體" w:hint="eastAsia"/>
        </w:rPr>
        <w:t>《左傳》云：許男請遷于晉，諸侯遂遷許，許大夫不可，晉人歸諸侯。鄭子蟜聞將伐許，遂相鄭伯以從諸侯之師。</w:t>
      </w:r>
    </w:p>
    <w:p w14:paraId="55358CC9" w14:textId="77777777" w:rsidR="007C280C" w:rsidRPr="007C280C" w:rsidRDefault="007C280C" w:rsidP="007C280C">
      <w:pPr>
        <w:spacing w:before="0"/>
        <w:ind w:left="480"/>
        <w:rPr>
          <w:rFonts w:ascii="細明體"/>
        </w:rPr>
      </w:pPr>
      <w:r w:rsidRPr="007C280C">
        <w:rPr>
          <w:rFonts w:ascii="華康中楷體" w:eastAsia="華康中楷體" w:hint="eastAsia"/>
        </w:rPr>
        <w:t>顧棟高云：許男請遷于晉，蓋實有慕中國之心。許大夫不可，蓋料晉之不能庇許，而懼受鄭之魚肉也。許既違晉意，鄭遂借晉力以洩私憤，身自請行，恣其蹂踐，宜許之銜恨切骨而欲以死報也。</w:t>
      </w:r>
    </w:p>
    <w:p w14:paraId="0266DCCE" w14:textId="77777777" w:rsidR="007C280C" w:rsidRPr="007C280C" w:rsidRDefault="007C280C" w:rsidP="007C280C">
      <w:pPr>
        <w:spacing w:before="0"/>
        <w:rPr>
          <w:rFonts w:ascii="細明體"/>
        </w:rPr>
      </w:pPr>
      <w:r w:rsidRPr="007C280C">
        <w:rPr>
          <w:rFonts w:ascii="細明體" w:hint="eastAsia"/>
        </w:rPr>
        <w:t>襄二十六年八月壬午，許男甯卒于楚。</w:t>
      </w:r>
    </w:p>
    <w:p w14:paraId="3F317FE3" w14:textId="77777777" w:rsidR="007C280C" w:rsidRPr="007C280C" w:rsidRDefault="007C280C" w:rsidP="007C280C">
      <w:pPr>
        <w:spacing w:before="0"/>
        <w:ind w:left="482"/>
        <w:rPr>
          <w:rFonts w:ascii="細明體"/>
        </w:rPr>
      </w:pPr>
      <w:r w:rsidRPr="007C280C">
        <w:rPr>
          <w:rFonts w:ascii="華康中楷體" w:eastAsia="華康中楷體" w:hint="eastAsia"/>
        </w:rPr>
        <w:t>《左傳》云：許靈公如楚，請伐鄭，曰：「師不興，孤不歸矣。」八月，卒于楚，楚子曰：「不伐鄭，何以求諸侯？」</w:t>
      </w:r>
    </w:p>
    <w:p w14:paraId="6903F205" w14:textId="77777777" w:rsidR="007C280C" w:rsidRPr="007C280C" w:rsidRDefault="007C280C" w:rsidP="007C280C">
      <w:pPr>
        <w:spacing w:before="0"/>
        <w:rPr>
          <w:rFonts w:ascii="細明體"/>
        </w:rPr>
      </w:pPr>
      <w:r w:rsidRPr="007C280C">
        <w:rPr>
          <w:rFonts w:ascii="細明體" w:hint="eastAsia"/>
        </w:rPr>
        <w:t>昭九年，許遷于夷。</w:t>
      </w:r>
    </w:p>
    <w:p w14:paraId="57689064" w14:textId="77777777" w:rsidR="007C280C" w:rsidRPr="007C280C" w:rsidRDefault="007C280C" w:rsidP="007C280C">
      <w:pPr>
        <w:spacing w:before="0"/>
        <w:rPr>
          <w:rFonts w:ascii="細明體"/>
        </w:rPr>
      </w:pPr>
      <w:r w:rsidRPr="007C280C">
        <w:rPr>
          <w:rFonts w:ascii="細明體" w:hint="eastAsia"/>
        </w:rPr>
        <w:t>昭十八年，許遷于白羽。</w:t>
      </w:r>
    </w:p>
    <w:p w14:paraId="61783FB7" w14:textId="77777777" w:rsidR="007C280C" w:rsidRPr="007C280C" w:rsidRDefault="007C280C" w:rsidP="007C280C">
      <w:pPr>
        <w:spacing w:before="0"/>
        <w:ind w:left="482"/>
        <w:rPr>
          <w:rFonts w:ascii="細明體"/>
        </w:rPr>
      </w:pPr>
      <w:r w:rsidRPr="007C280C">
        <w:rPr>
          <w:rFonts w:ascii="華康中楷體" w:eastAsia="華康中楷體" w:hint="eastAsia"/>
        </w:rPr>
        <w:t>顧棟高云：昭十一年楚靈王滅蔡，遷六小國于荊山，許亦與焉。是許自夷而復遷于荊山矣。十三年平王立，復封陳、蔡，許亦復居于葉。十八年楚王子勝言于楚子曰：「許于鄭，仇敵也，而居楚地。葉在楚，方城外之蔽也。鄭欲伐許，許曰：『余舊國也。』鄭曰：『余俘邑也。』是楚喪矣。君盍遷許。」楚子使遷許于析，實白羽。</w:t>
      </w:r>
    </w:p>
    <w:p w14:paraId="5D314531" w14:textId="77777777" w:rsidR="007C280C" w:rsidRPr="007C280C" w:rsidRDefault="007C280C" w:rsidP="007C280C">
      <w:pPr>
        <w:spacing w:before="0"/>
        <w:rPr>
          <w:rFonts w:ascii="細明體"/>
        </w:rPr>
      </w:pPr>
      <w:r w:rsidRPr="007C280C">
        <w:rPr>
          <w:rFonts w:ascii="細明體" w:hint="eastAsia"/>
        </w:rPr>
        <w:t>定四年，許遷于容城。</w:t>
      </w:r>
    </w:p>
    <w:p w14:paraId="4638505A" w14:textId="77777777" w:rsidR="007C280C" w:rsidRPr="007C280C" w:rsidRDefault="007C280C" w:rsidP="007C280C">
      <w:pPr>
        <w:spacing w:before="0"/>
        <w:ind w:left="482"/>
        <w:rPr>
          <w:rFonts w:ascii="細明體"/>
        </w:rPr>
      </w:pPr>
      <w:r w:rsidRPr="007C280C">
        <w:rPr>
          <w:rFonts w:ascii="華康中楷體" w:eastAsia="華康中楷體" w:hint="eastAsia"/>
        </w:rPr>
        <w:t>王葆云：許四遷皆受楚令，經以自遷為文，蓋違鄭害而願遷也。</w:t>
      </w:r>
    </w:p>
    <w:p w14:paraId="796F6795" w14:textId="77777777" w:rsidR="007C280C" w:rsidRPr="007C280C" w:rsidRDefault="007C280C" w:rsidP="007C280C">
      <w:pPr>
        <w:spacing w:before="0"/>
        <w:rPr>
          <w:rFonts w:ascii="細明體"/>
        </w:rPr>
      </w:pPr>
      <w:r w:rsidRPr="007C280C">
        <w:rPr>
          <w:rFonts w:ascii="細明體" w:hint="eastAsia"/>
        </w:rPr>
        <w:t>定六年，鄭游速帥師滅許，以許男斯歸。</w:t>
      </w:r>
    </w:p>
    <w:p w14:paraId="41E5A5A2" w14:textId="77777777" w:rsidR="007C280C" w:rsidRPr="007C280C" w:rsidRDefault="007C280C" w:rsidP="007C280C">
      <w:pPr>
        <w:spacing w:before="0"/>
        <w:ind w:left="482"/>
        <w:rPr>
          <w:rFonts w:ascii="細明體"/>
        </w:rPr>
      </w:pPr>
      <w:r w:rsidRPr="007C280C">
        <w:rPr>
          <w:rFonts w:ascii="華康中楷體" w:eastAsia="華康中楷體" w:hint="eastAsia"/>
        </w:rPr>
        <w:t>李廉云：自隱十一年鄭入許，而齊、鄭之黨合，天下遂無王。自定六年鄭滅許，而齊、鄭之黨又合，天下遂無晉。</w:t>
      </w:r>
    </w:p>
    <w:p w14:paraId="220FFDE9" w14:textId="77777777" w:rsidR="007C280C" w:rsidRPr="007C280C" w:rsidRDefault="007C280C" w:rsidP="007C280C">
      <w:pPr>
        <w:spacing w:before="0"/>
        <w:rPr>
          <w:rFonts w:ascii="細明體"/>
        </w:rPr>
      </w:pPr>
      <w:r w:rsidRPr="007C280C">
        <w:rPr>
          <w:rFonts w:ascii="細明體" w:hint="eastAsia"/>
        </w:rPr>
        <w:t>哀元年，許男從楚子圍蔡。</w:t>
      </w:r>
    </w:p>
    <w:p w14:paraId="5A8CA71D" w14:textId="77777777" w:rsidR="007C280C" w:rsidRPr="007C280C" w:rsidRDefault="007C280C" w:rsidP="007C280C">
      <w:pPr>
        <w:spacing w:before="0"/>
        <w:ind w:leftChars="400" w:left="960"/>
        <w:rPr>
          <w:rFonts w:ascii="細明體" w:hAnsi="細明體" w:cs="細明體" w:hint="eastAsia"/>
          <w:sz w:val="28"/>
          <w:szCs w:val="28"/>
        </w:rPr>
      </w:pPr>
      <w:r w:rsidRPr="007C280C">
        <w:rPr>
          <w:rFonts w:ascii="華康中楷體" w:eastAsia="華康中楷體" w:hint="eastAsia"/>
        </w:rPr>
        <w:t>杜預云：蓋楚封之。</w:t>
      </w:r>
    </w:p>
    <w:p w14:paraId="34F032A0" w14:textId="60F3EAB6" w:rsidR="007C280C" w:rsidRPr="00E94AD1" w:rsidRDefault="007C280C" w:rsidP="007C280C">
      <w:pPr>
        <w:rPr>
          <w:rFonts w:hint="eastAsia"/>
        </w:rPr>
      </w:pPr>
      <w:r w:rsidRPr="007C280C">
        <w:rPr>
          <w:rFonts w:ascii="細明體" w:hAnsi="細明體" w:cs="細明體"/>
          <w:sz w:val="28"/>
          <w:szCs w:val="28"/>
        </w:rPr>
        <w:br w:type="page"/>
      </w:r>
    </w:p>
    <w:sectPr w:rsidR="007C280C" w:rsidRPr="00E94AD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EAA32E" w14:textId="77777777" w:rsidR="00163519" w:rsidRDefault="00163519" w:rsidP="00E94AD1">
      <w:pPr>
        <w:spacing w:before="0" w:line="240" w:lineRule="auto"/>
      </w:pPr>
      <w:r>
        <w:separator/>
      </w:r>
    </w:p>
  </w:endnote>
  <w:endnote w:type="continuationSeparator" w:id="0">
    <w:p w14:paraId="401DF0D9" w14:textId="77777777" w:rsidR="00163519" w:rsidRDefault="00163519" w:rsidP="00E94AD1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魏碑體">
    <w:altName w:val="微軟正黑體"/>
    <w:charset w:val="88"/>
    <w:family w:val="modern"/>
    <w:pitch w:val="fixed"/>
    <w:sig w:usb0="00000000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正顏楷體W5">
    <w:altName w:val="Microsoft JhengHei UI Light"/>
    <w:charset w:val="88"/>
    <w:family w:val="script"/>
    <w:pitch w:val="fixed"/>
    <w:sig w:usb0="00000000" w:usb1="28091800" w:usb2="00000016" w:usb3="00000000" w:csb0="00100000" w:csb1="00000000"/>
  </w:font>
  <w:font w:name="華康中楷體">
    <w:altName w:val="細明體"/>
    <w:charset w:val="88"/>
    <w:family w:val="modern"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D90ADA" w14:textId="77777777" w:rsidR="00163519" w:rsidRDefault="00163519" w:rsidP="00E94AD1">
      <w:pPr>
        <w:spacing w:before="0" w:line="240" w:lineRule="auto"/>
      </w:pPr>
      <w:r>
        <w:separator/>
      </w:r>
    </w:p>
  </w:footnote>
  <w:footnote w:type="continuationSeparator" w:id="0">
    <w:p w14:paraId="2395D99F" w14:textId="77777777" w:rsidR="00163519" w:rsidRDefault="00163519" w:rsidP="00E94AD1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0E4425"/>
    <w:multiLevelType w:val="hybridMultilevel"/>
    <w:tmpl w:val="E634F996"/>
    <w:lvl w:ilvl="0" w:tplc="3D1CBD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6BF30F9F"/>
    <w:multiLevelType w:val="hybridMultilevel"/>
    <w:tmpl w:val="172897C0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0133"/>
    <w:rsid w:val="000154B7"/>
    <w:rsid w:val="0007738B"/>
    <w:rsid w:val="000A6DF9"/>
    <w:rsid w:val="00163519"/>
    <w:rsid w:val="001C76BC"/>
    <w:rsid w:val="002C0E6B"/>
    <w:rsid w:val="002C63CE"/>
    <w:rsid w:val="006F4DAA"/>
    <w:rsid w:val="00750133"/>
    <w:rsid w:val="007C280C"/>
    <w:rsid w:val="0080287E"/>
    <w:rsid w:val="00B746A6"/>
    <w:rsid w:val="00C22A4A"/>
    <w:rsid w:val="00E94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C82B68C"/>
  <w15:chartTrackingRefBased/>
  <w15:docId w15:val="{388EA8C4-2BCB-4AD4-B512-F65117A2D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94AD1"/>
    <w:pPr>
      <w:widowControl w:val="0"/>
      <w:adjustRightInd w:val="0"/>
      <w:spacing w:before="120" w:line="360" w:lineRule="auto"/>
      <w:textAlignment w:val="baseline"/>
    </w:pPr>
    <w:rPr>
      <w:rFonts w:ascii="Times New Roman" w:eastAsia="細明體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94AD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E94AD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94AD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E94AD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6C7D4-E2C6-48D0-B11D-A22BF5432A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304</Words>
  <Characters>1735</Characters>
  <Application>Microsoft Office Word</Application>
  <DocSecurity>0</DocSecurity>
  <Lines>14</Lines>
  <Paragraphs>4</Paragraphs>
  <ScaleCrop>false</ScaleCrop>
  <Company/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5</cp:revision>
  <dcterms:created xsi:type="dcterms:W3CDTF">2022-08-20T23:14:00Z</dcterms:created>
  <dcterms:modified xsi:type="dcterms:W3CDTF">2022-08-25T05:20:00Z</dcterms:modified>
</cp:coreProperties>
</file>