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A45" w:rsidRDefault="008F0B88">
      <w:r>
        <w:rPr>
          <w:noProof/>
        </w:rPr>
        <w:drawing>
          <wp:inline distT="0" distB="0" distL="0" distR="0" wp14:anchorId="48965833" wp14:editId="4AC26A9A">
            <wp:extent cx="4483100" cy="1879600"/>
            <wp:effectExtent l="0" t="0" r="0" b="635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rcRect/>
                    <a:stretch>
                      <a:fillRect/>
                    </a:stretch>
                  </pic:blipFill>
                  <pic:spPr>
                    <a:xfrm>
                      <a:off x="0" y="0"/>
                      <a:ext cx="4483100" cy="1879600"/>
                    </a:xfrm>
                    <a:prstGeom prst="rect">
                      <a:avLst/>
                    </a:prstGeom>
                    <a:ln/>
                  </pic:spPr>
                </pic:pic>
              </a:graphicData>
            </a:graphic>
          </wp:inline>
        </w:drawing>
      </w:r>
    </w:p>
    <w:p w:rsidR="008F0B88" w:rsidRDefault="008F0B88" w:rsidP="008F0B88">
      <w:pPr>
        <w:shd w:val="clear" w:color="auto" w:fill="FFFFFF"/>
        <w:spacing w:line="360" w:lineRule="auto"/>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Lecturer Name: </w:t>
      </w:r>
      <w:r w:rsidR="00332DF9">
        <w:rPr>
          <w:rFonts w:ascii="Times New Roman" w:eastAsia="Times New Roman" w:hAnsi="Times New Roman" w:cs="Times New Roman"/>
          <w:b/>
          <w:sz w:val="36"/>
          <w:szCs w:val="36"/>
        </w:rPr>
        <w:t>Nadeem Mirza</w:t>
      </w:r>
    </w:p>
    <w:p w:rsidR="008F0B88" w:rsidRDefault="008F0B88" w:rsidP="008F0B88">
      <w:pPr>
        <w:shd w:val="clear" w:color="auto" w:fill="FFFFFF"/>
        <w:spacing w:line="360" w:lineRule="auto"/>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Student Name: </w:t>
      </w:r>
      <w:proofErr w:type="spellStart"/>
      <w:r w:rsidRPr="00AD424B">
        <w:rPr>
          <w:rFonts w:ascii="Times New Roman" w:eastAsia="Times New Roman" w:hAnsi="Times New Roman" w:cs="Times New Roman"/>
          <w:sz w:val="36"/>
          <w:szCs w:val="36"/>
        </w:rPr>
        <w:t>Varzari</w:t>
      </w:r>
      <w:proofErr w:type="spellEnd"/>
      <w:r w:rsidRPr="00AD424B">
        <w:rPr>
          <w:rFonts w:ascii="Times New Roman" w:eastAsia="Times New Roman" w:hAnsi="Times New Roman" w:cs="Times New Roman"/>
          <w:sz w:val="36"/>
          <w:szCs w:val="36"/>
        </w:rPr>
        <w:t xml:space="preserve"> Cristina</w:t>
      </w:r>
      <w:r>
        <w:rPr>
          <w:rFonts w:ascii="Times New Roman" w:eastAsia="Times New Roman" w:hAnsi="Times New Roman" w:cs="Times New Roman"/>
          <w:b/>
          <w:sz w:val="48"/>
          <w:szCs w:val="48"/>
        </w:rPr>
        <w:t xml:space="preserve"> </w:t>
      </w:r>
    </w:p>
    <w:p w:rsidR="008F0B88" w:rsidRDefault="008F0B88" w:rsidP="008F0B88">
      <w:pPr>
        <w:shd w:val="clear" w:color="auto" w:fill="FFFFFF"/>
        <w:spacing w:line="360" w:lineRule="auto"/>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Student ID: </w:t>
      </w:r>
      <w:r w:rsidRPr="00AD424B">
        <w:rPr>
          <w:rFonts w:ascii="Times New Roman" w:eastAsia="Times New Roman" w:hAnsi="Times New Roman" w:cs="Times New Roman"/>
          <w:b/>
          <w:sz w:val="36"/>
          <w:szCs w:val="36"/>
        </w:rPr>
        <w:t xml:space="preserve">2110951 </w:t>
      </w:r>
    </w:p>
    <w:p w:rsidR="008F0B88" w:rsidRDefault="008F0B88" w:rsidP="008F0B88">
      <w:pPr>
        <w:shd w:val="clear" w:color="auto" w:fill="FFFFFF"/>
        <w:spacing w:line="360" w:lineRule="auto"/>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Module </w:t>
      </w:r>
      <w:proofErr w:type="gramStart"/>
      <w:r>
        <w:rPr>
          <w:rFonts w:ascii="Times New Roman" w:eastAsia="Times New Roman" w:hAnsi="Times New Roman" w:cs="Times New Roman"/>
          <w:b/>
          <w:sz w:val="48"/>
          <w:szCs w:val="48"/>
        </w:rPr>
        <w:t>code :</w:t>
      </w:r>
      <w:proofErr w:type="gramEnd"/>
      <w:r>
        <w:rPr>
          <w:rFonts w:ascii="Times New Roman" w:eastAsia="Times New Roman" w:hAnsi="Times New Roman" w:cs="Times New Roman"/>
          <w:b/>
          <w:sz w:val="36"/>
          <w:szCs w:val="36"/>
        </w:rPr>
        <w:t xml:space="preserve"> LCBB4001</w:t>
      </w:r>
    </w:p>
    <w:p w:rsidR="008F0B88" w:rsidRDefault="008F0B88" w:rsidP="008F0B88">
      <w:pPr>
        <w:shd w:val="clear" w:color="auto" w:fill="FFFFFF"/>
        <w:spacing w:line="360" w:lineRule="auto"/>
        <w:rPr>
          <w:rFonts w:ascii="Times New Roman" w:eastAsia="Times New Roman" w:hAnsi="Times New Roman" w:cs="Times New Roman"/>
          <w:b/>
          <w:sz w:val="36"/>
          <w:szCs w:val="36"/>
        </w:rPr>
      </w:pPr>
      <w:r>
        <w:rPr>
          <w:rFonts w:ascii="Times New Roman" w:eastAsia="Times New Roman" w:hAnsi="Times New Roman" w:cs="Times New Roman"/>
          <w:b/>
          <w:sz w:val="48"/>
          <w:szCs w:val="48"/>
        </w:rPr>
        <w:t xml:space="preserve">Module Title: </w:t>
      </w:r>
      <w:r w:rsidR="00332DF9">
        <w:rPr>
          <w:rFonts w:ascii="Times New Roman" w:eastAsia="Times New Roman" w:hAnsi="Times New Roman" w:cs="Times New Roman"/>
          <w:b/>
          <w:sz w:val="36"/>
          <w:szCs w:val="36"/>
        </w:rPr>
        <w:t xml:space="preserve">Accounting Fundamentals </w:t>
      </w:r>
    </w:p>
    <w:p w:rsidR="008F0B88" w:rsidRDefault="008F0B88"/>
    <w:p w:rsidR="00332DF9" w:rsidRDefault="00332DF9"/>
    <w:p w:rsidR="00332DF9" w:rsidRDefault="00332DF9"/>
    <w:p w:rsidR="00332DF9" w:rsidRDefault="00332DF9"/>
    <w:p w:rsidR="00332DF9" w:rsidRDefault="00332DF9"/>
    <w:p w:rsidR="00332DF9" w:rsidRDefault="00332DF9"/>
    <w:p w:rsidR="00332DF9" w:rsidRDefault="00332DF9"/>
    <w:p w:rsidR="00332DF9" w:rsidRDefault="00332DF9"/>
    <w:p w:rsidR="00332DF9" w:rsidRDefault="00332DF9"/>
    <w:sdt>
      <w:sdtPr>
        <w:rPr>
          <w:rFonts w:ascii="Times New Roman" w:eastAsia="Calibri" w:hAnsi="Times New Roman" w:cs="Calibri"/>
          <w:color w:val="auto"/>
          <w:sz w:val="24"/>
          <w:szCs w:val="24"/>
          <w:lang w:eastAsia="en-GB"/>
        </w:rPr>
        <w:id w:val="-1697305107"/>
        <w:docPartObj>
          <w:docPartGallery w:val="Table of Contents"/>
          <w:docPartUnique/>
        </w:docPartObj>
      </w:sdtPr>
      <w:sdtEndPr>
        <w:rPr>
          <w:rFonts w:asciiTheme="minorHAnsi" w:eastAsiaTheme="minorHAnsi" w:hAnsiTheme="minorHAnsi" w:cstheme="minorBidi"/>
          <w:sz w:val="22"/>
          <w:szCs w:val="22"/>
          <w:lang w:eastAsia="en-US"/>
        </w:rPr>
      </w:sdtEndPr>
      <w:sdtContent>
        <w:p w:rsidR="00332DF9" w:rsidRDefault="00332DF9" w:rsidP="00332DF9">
          <w:pPr>
            <w:pStyle w:val="TOCHeading"/>
          </w:pPr>
          <w:r>
            <w:t>Table of Contents</w:t>
          </w:r>
        </w:p>
        <w:p w:rsidR="00332DF9" w:rsidRPr="00E55C1F" w:rsidRDefault="00332DF9" w:rsidP="00332DF9">
          <w:pPr>
            <w:pStyle w:val="TOC1"/>
            <w:tabs>
              <w:tab w:val="right" w:leader="dot" w:pos="9350"/>
            </w:tabs>
            <w:rPr>
              <w:rFonts w:cs="Times New Roman"/>
              <w:noProof/>
            </w:rPr>
          </w:pPr>
          <w:r w:rsidRPr="00E55C1F">
            <w:rPr>
              <w:rFonts w:cs="Times New Roman"/>
            </w:rPr>
            <w:fldChar w:fldCharType="begin"/>
          </w:r>
          <w:r w:rsidRPr="00E55C1F">
            <w:rPr>
              <w:rFonts w:cs="Times New Roman"/>
            </w:rPr>
            <w:instrText xml:space="preserve"> TOC \o "1-3" \h \z \u </w:instrText>
          </w:r>
          <w:r w:rsidRPr="00E55C1F">
            <w:rPr>
              <w:rFonts w:cs="Times New Roman"/>
            </w:rPr>
            <w:fldChar w:fldCharType="separate"/>
          </w:r>
          <w:hyperlink r:id="rId9" w:anchor="_Toc111817065" w:history="1">
            <w:r w:rsidRPr="00E55C1F">
              <w:rPr>
                <w:rStyle w:val="Hyperlink"/>
                <w:rFonts w:cs="Times New Roman"/>
                <w:noProof/>
              </w:rPr>
              <w:t>Question 1: Preparation of Income statement and Balance sheet</w:t>
            </w:r>
            <w:r w:rsidRPr="00E55C1F">
              <w:rPr>
                <w:rStyle w:val="Hyperlink"/>
                <w:rFonts w:cs="Times New Roman"/>
                <w:noProof/>
                <w:webHidden/>
              </w:rPr>
              <w:tab/>
            </w:r>
            <w:r w:rsidRPr="00E55C1F">
              <w:rPr>
                <w:rStyle w:val="Hyperlink"/>
                <w:rFonts w:cs="Times New Roman"/>
                <w:noProof/>
                <w:webHidden/>
              </w:rPr>
              <w:fldChar w:fldCharType="begin"/>
            </w:r>
            <w:r w:rsidRPr="00E55C1F">
              <w:rPr>
                <w:rStyle w:val="Hyperlink"/>
                <w:rFonts w:cs="Times New Roman"/>
                <w:noProof/>
                <w:webHidden/>
              </w:rPr>
              <w:instrText xml:space="preserve"> PAGEREF _Toc111817065 \h </w:instrText>
            </w:r>
            <w:r w:rsidRPr="00E55C1F">
              <w:rPr>
                <w:rStyle w:val="Hyperlink"/>
                <w:rFonts w:cs="Times New Roman"/>
                <w:noProof/>
                <w:webHidden/>
              </w:rPr>
            </w:r>
            <w:r w:rsidRPr="00E55C1F">
              <w:rPr>
                <w:rStyle w:val="Hyperlink"/>
                <w:rFonts w:cs="Times New Roman"/>
                <w:noProof/>
                <w:webHidden/>
              </w:rPr>
              <w:fldChar w:fldCharType="separate"/>
            </w:r>
            <w:r w:rsidRPr="00E55C1F">
              <w:rPr>
                <w:rStyle w:val="Hyperlink"/>
                <w:rFonts w:cs="Times New Roman"/>
                <w:noProof/>
                <w:webHidden/>
              </w:rPr>
              <w:t>3</w:t>
            </w:r>
            <w:r w:rsidRPr="00E55C1F">
              <w:rPr>
                <w:rStyle w:val="Hyperlink"/>
                <w:rFonts w:cs="Times New Roman"/>
                <w:noProof/>
                <w:webHidden/>
              </w:rPr>
              <w:fldChar w:fldCharType="end"/>
            </w:r>
          </w:hyperlink>
        </w:p>
        <w:p w:rsidR="00332DF9" w:rsidRPr="00E55C1F" w:rsidRDefault="00332DF9" w:rsidP="00332DF9">
          <w:pPr>
            <w:pStyle w:val="TOC1"/>
            <w:tabs>
              <w:tab w:val="right" w:leader="dot" w:pos="9350"/>
            </w:tabs>
            <w:rPr>
              <w:rFonts w:cs="Times New Roman"/>
              <w:noProof/>
            </w:rPr>
          </w:pPr>
          <w:hyperlink r:id="rId10" w:anchor="_Toc111817066" w:history="1">
            <w:r w:rsidRPr="00E55C1F">
              <w:rPr>
                <w:rStyle w:val="Hyperlink"/>
                <w:rFonts w:cs="Times New Roman"/>
                <w:noProof/>
              </w:rPr>
              <w:t>Question 2: Computation of Financial Ratios</w:t>
            </w:r>
            <w:r w:rsidRPr="00E55C1F">
              <w:rPr>
                <w:rStyle w:val="Hyperlink"/>
                <w:rFonts w:cs="Times New Roman"/>
                <w:noProof/>
                <w:webHidden/>
              </w:rPr>
              <w:tab/>
            </w:r>
            <w:r w:rsidRPr="00E55C1F">
              <w:rPr>
                <w:rStyle w:val="Hyperlink"/>
                <w:rFonts w:cs="Times New Roman"/>
                <w:noProof/>
                <w:webHidden/>
              </w:rPr>
              <w:fldChar w:fldCharType="begin"/>
            </w:r>
            <w:r w:rsidRPr="00E55C1F">
              <w:rPr>
                <w:rStyle w:val="Hyperlink"/>
                <w:rFonts w:cs="Times New Roman"/>
                <w:noProof/>
                <w:webHidden/>
              </w:rPr>
              <w:instrText xml:space="preserve"> PAGEREF _Toc111817066 \h </w:instrText>
            </w:r>
            <w:r w:rsidRPr="00E55C1F">
              <w:rPr>
                <w:rStyle w:val="Hyperlink"/>
                <w:rFonts w:cs="Times New Roman"/>
                <w:noProof/>
                <w:webHidden/>
              </w:rPr>
            </w:r>
            <w:r w:rsidRPr="00E55C1F">
              <w:rPr>
                <w:rStyle w:val="Hyperlink"/>
                <w:rFonts w:cs="Times New Roman"/>
                <w:noProof/>
                <w:webHidden/>
              </w:rPr>
              <w:fldChar w:fldCharType="separate"/>
            </w:r>
            <w:r w:rsidRPr="00E55C1F">
              <w:rPr>
                <w:rStyle w:val="Hyperlink"/>
                <w:rFonts w:cs="Times New Roman"/>
                <w:noProof/>
                <w:webHidden/>
              </w:rPr>
              <w:t>5</w:t>
            </w:r>
            <w:r w:rsidRPr="00E55C1F">
              <w:rPr>
                <w:rStyle w:val="Hyperlink"/>
                <w:rFonts w:cs="Times New Roman"/>
                <w:noProof/>
                <w:webHidden/>
              </w:rPr>
              <w:fldChar w:fldCharType="end"/>
            </w:r>
          </w:hyperlink>
        </w:p>
        <w:p w:rsidR="00332DF9" w:rsidRPr="00E55C1F" w:rsidRDefault="00332DF9" w:rsidP="00332DF9">
          <w:pPr>
            <w:pStyle w:val="TOC1"/>
            <w:tabs>
              <w:tab w:val="right" w:leader="dot" w:pos="9350"/>
            </w:tabs>
            <w:rPr>
              <w:rFonts w:cs="Times New Roman"/>
              <w:noProof/>
            </w:rPr>
          </w:pPr>
          <w:hyperlink r:id="rId11" w:anchor="_Toc111817067" w:history="1">
            <w:r w:rsidRPr="00E55C1F">
              <w:rPr>
                <w:rStyle w:val="Hyperlink"/>
                <w:rFonts w:cs="Times New Roman"/>
                <w:noProof/>
              </w:rPr>
              <w:t>Reference</w:t>
            </w:r>
            <w:r w:rsidRPr="00E55C1F">
              <w:rPr>
                <w:rStyle w:val="Hyperlink"/>
                <w:rFonts w:cs="Times New Roman"/>
                <w:noProof/>
                <w:webHidden/>
              </w:rPr>
              <w:tab/>
            </w:r>
            <w:r w:rsidR="008437D3">
              <w:rPr>
                <w:rStyle w:val="Hyperlink"/>
                <w:rFonts w:cs="Times New Roman"/>
                <w:noProof/>
                <w:webHidden/>
              </w:rPr>
              <w:t>11</w:t>
            </w:r>
          </w:hyperlink>
        </w:p>
        <w:p w:rsidR="00332DF9" w:rsidRDefault="00332DF9" w:rsidP="00332DF9">
          <w:r w:rsidRPr="00E55C1F">
            <w:rPr>
              <w:rFonts w:ascii="Times New Roman" w:hAnsi="Times New Roman" w:cs="Times New Roman"/>
              <w:b/>
              <w:bCs/>
              <w:noProof/>
              <w:sz w:val="24"/>
              <w:szCs w:val="24"/>
            </w:rPr>
            <w:fldChar w:fldCharType="end"/>
          </w:r>
        </w:p>
      </w:sdtContent>
    </w:sdt>
    <w:p w:rsidR="00332DF9" w:rsidRDefault="00332DF9" w:rsidP="00332DF9">
      <w:pPr>
        <w:spacing w:after="160" w:line="256" w:lineRule="auto"/>
        <w:rPr>
          <w:rFonts w:eastAsiaTheme="majorEastAsia" w:cstheme="majorBidi"/>
          <w:b/>
          <w:sz w:val="28"/>
          <w:szCs w:val="32"/>
        </w:rPr>
      </w:pPr>
      <w:r>
        <w:br w:type="page"/>
      </w:r>
      <w:bookmarkStart w:id="0" w:name="_GoBack"/>
      <w:bookmarkEnd w:id="0"/>
    </w:p>
    <w:p w:rsidR="00332DF9" w:rsidRDefault="00332DF9" w:rsidP="00332DF9">
      <w:pPr>
        <w:pStyle w:val="Heading1"/>
      </w:pPr>
      <w:bookmarkStart w:id="1" w:name="_Toc111817065"/>
      <w:r>
        <w:lastRenderedPageBreak/>
        <w:t>Question 1: Preparation of Income statement and Balance sheet</w:t>
      </w:r>
      <w:bookmarkEnd w:id="1"/>
      <w:r>
        <w:t xml:space="preserve"> </w:t>
      </w:r>
    </w:p>
    <w:p w:rsidR="00332DF9" w:rsidRDefault="00332DF9" w:rsidP="00332DF9">
      <w:pPr>
        <w:spacing w:after="160" w:line="256" w:lineRule="auto"/>
        <w:jc w:val="center"/>
        <w:rPr>
          <w:b/>
          <w:bCs/>
        </w:rPr>
      </w:pPr>
      <w:r>
        <w:rPr>
          <w:b/>
          <w:bCs/>
        </w:rPr>
        <w:t>Income statement of Wales plc</w:t>
      </w:r>
    </w:p>
    <w:tbl>
      <w:tblPr>
        <w:tblW w:w="5360" w:type="dxa"/>
        <w:jc w:val="center"/>
        <w:tblLook w:val="04A0" w:firstRow="1" w:lastRow="0" w:firstColumn="1" w:lastColumn="0" w:noHBand="0" w:noVBand="1"/>
      </w:tblPr>
      <w:tblGrid>
        <w:gridCol w:w="2760"/>
        <w:gridCol w:w="1300"/>
        <w:gridCol w:w="1300"/>
      </w:tblGrid>
      <w:tr w:rsidR="00332DF9" w:rsidTr="00332DF9">
        <w:trPr>
          <w:trHeight w:val="300"/>
          <w:jc w:val="center"/>
        </w:trPr>
        <w:tc>
          <w:tcPr>
            <w:tcW w:w="2760" w:type="dxa"/>
            <w:tcBorders>
              <w:top w:val="single" w:sz="4" w:space="0" w:color="4472C4"/>
              <w:left w:val="nil"/>
              <w:bottom w:val="single" w:sz="4" w:space="0" w:color="4472C4"/>
              <w:right w:val="nil"/>
            </w:tcBorders>
            <w:noWrap/>
            <w:vAlign w:val="bottom"/>
            <w:hideMark/>
          </w:tcPr>
          <w:p w:rsidR="00332DF9" w:rsidRDefault="00332DF9">
            <w:pPr>
              <w:spacing w:line="240" w:lineRule="auto"/>
              <w:jc w:val="center"/>
              <w:rPr>
                <w:rFonts w:ascii="Calibri" w:eastAsia="Times New Roman" w:hAnsi="Calibri" w:cs="Calibri"/>
                <w:b/>
                <w:bCs/>
                <w:i/>
                <w:iCs/>
                <w:color w:val="305496"/>
              </w:rPr>
            </w:pPr>
            <w:r>
              <w:rPr>
                <w:rFonts w:ascii="Calibri" w:eastAsia="Times New Roman" w:hAnsi="Calibri"/>
                <w:b/>
                <w:bCs/>
                <w:i/>
                <w:iCs/>
                <w:color w:val="305496"/>
              </w:rPr>
              <w:t>Particulars</w:t>
            </w:r>
          </w:p>
        </w:tc>
        <w:tc>
          <w:tcPr>
            <w:tcW w:w="1300" w:type="dxa"/>
            <w:tcBorders>
              <w:top w:val="single" w:sz="4" w:space="0" w:color="4472C4"/>
              <w:left w:val="nil"/>
              <w:bottom w:val="single" w:sz="4" w:space="0" w:color="4472C4"/>
              <w:right w:val="nil"/>
            </w:tcBorders>
            <w:noWrap/>
            <w:vAlign w:val="bottom"/>
            <w:hideMark/>
          </w:tcPr>
          <w:p w:rsidR="00332DF9" w:rsidRDefault="00332DF9">
            <w:pPr>
              <w:spacing w:line="240" w:lineRule="auto"/>
              <w:jc w:val="center"/>
              <w:rPr>
                <w:rFonts w:ascii="Calibri" w:eastAsia="Times New Roman" w:hAnsi="Calibri" w:cs="Calibri"/>
                <w:b/>
                <w:bCs/>
                <w:i/>
                <w:iCs/>
                <w:color w:val="305496"/>
              </w:rPr>
            </w:pPr>
            <w:r>
              <w:rPr>
                <w:rFonts w:ascii="Calibri" w:eastAsia="Times New Roman" w:hAnsi="Calibri"/>
                <w:b/>
                <w:bCs/>
                <w:i/>
                <w:iCs/>
                <w:color w:val="305496"/>
              </w:rPr>
              <w:t>Amount 2</w:t>
            </w:r>
          </w:p>
        </w:tc>
        <w:tc>
          <w:tcPr>
            <w:tcW w:w="1300" w:type="dxa"/>
            <w:tcBorders>
              <w:top w:val="single" w:sz="4" w:space="0" w:color="4472C4"/>
              <w:left w:val="nil"/>
              <w:bottom w:val="single" w:sz="4" w:space="0" w:color="4472C4"/>
              <w:right w:val="nil"/>
            </w:tcBorders>
            <w:noWrap/>
            <w:vAlign w:val="bottom"/>
            <w:hideMark/>
          </w:tcPr>
          <w:p w:rsidR="00332DF9" w:rsidRDefault="00332DF9">
            <w:pPr>
              <w:spacing w:line="240" w:lineRule="auto"/>
              <w:jc w:val="center"/>
              <w:rPr>
                <w:rFonts w:ascii="Calibri" w:eastAsia="Times New Roman" w:hAnsi="Calibri" w:cs="Calibri"/>
                <w:b/>
                <w:bCs/>
                <w:i/>
                <w:iCs/>
                <w:color w:val="305496"/>
              </w:rPr>
            </w:pPr>
            <w:r>
              <w:rPr>
                <w:rFonts w:ascii="Calibri" w:eastAsia="Times New Roman" w:hAnsi="Calibri"/>
                <w:b/>
                <w:bCs/>
                <w:i/>
                <w:iCs/>
                <w:color w:val="305496"/>
              </w:rPr>
              <w:t>Amount 3</w:t>
            </w:r>
          </w:p>
        </w:tc>
      </w:tr>
      <w:tr w:rsidR="00332DF9" w:rsidTr="00332DF9">
        <w:trPr>
          <w:trHeight w:val="300"/>
          <w:jc w:val="center"/>
        </w:trPr>
        <w:tc>
          <w:tcPr>
            <w:tcW w:w="2760" w:type="dxa"/>
            <w:shd w:val="clear" w:color="auto" w:fill="D9E1F2"/>
            <w:noWrap/>
            <w:vAlign w:val="bottom"/>
            <w:hideMark/>
          </w:tcPr>
          <w:p w:rsidR="00332DF9" w:rsidRDefault="00332DF9">
            <w:pPr>
              <w:spacing w:line="240" w:lineRule="auto"/>
              <w:jc w:val="center"/>
              <w:rPr>
                <w:rFonts w:ascii="Calibri" w:eastAsia="Times New Roman" w:hAnsi="Calibri" w:cs="Calibri"/>
                <w:color w:val="305496"/>
              </w:rPr>
            </w:pPr>
            <w:r>
              <w:rPr>
                <w:rFonts w:ascii="Calibri" w:eastAsia="Times New Roman" w:hAnsi="Calibri"/>
                <w:color w:val="305496"/>
              </w:rPr>
              <w:t>Sales</w:t>
            </w:r>
          </w:p>
        </w:tc>
        <w:tc>
          <w:tcPr>
            <w:tcW w:w="1300" w:type="dxa"/>
            <w:shd w:val="clear" w:color="auto" w:fill="D9E1F2"/>
            <w:noWrap/>
            <w:vAlign w:val="bottom"/>
            <w:hideMark/>
          </w:tcPr>
          <w:p w:rsidR="00332DF9" w:rsidRDefault="00332DF9">
            <w:pPr>
              <w:spacing w:line="240" w:lineRule="auto"/>
              <w:jc w:val="center"/>
              <w:rPr>
                <w:rFonts w:ascii="Calibri" w:eastAsia="Times New Roman" w:hAnsi="Calibri" w:cs="Calibri"/>
                <w:color w:val="305496"/>
              </w:rPr>
            </w:pPr>
            <w:r>
              <w:rPr>
                <w:rFonts w:ascii="Calibri" w:eastAsia="Times New Roman" w:hAnsi="Calibri"/>
                <w:color w:val="305496"/>
              </w:rPr>
              <w:t>800000</w:t>
            </w:r>
          </w:p>
        </w:tc>
        <w:tc>
          <w:tcPr>
            <w:tcW w:w="1300" w:type="dxa"/>
            <w:shd w:val="clear" w:color="auto" w:fill="D9E1F2"/>
            <w:noWrap/>
            <w:vAlign w:val="bottom"/>
            <w:hideMark/>
          </w:tcPr>
          <w:p w:rsidR="00332DF9" w:rsidRDefault="00332DF9">
            <w:pPr>
              <w:spacing w:line="256" w:lineRule="auto"/>
            </w:pPr>
          </w:p>
        </w:tc>
      </w:tr>
      <w:tr w:rsidR="00332DF9" w:rsidTr="00332DF9">
        <w:trPr>
          <w:trHeight w:val="300"/>
          <w:jc w:val="center"/>
        </w:trPr>
        <w:tc>
          <w:tcPr>
            <w:tcW w:w="2760" w:type="dxa"/>
            <w:noWrap/>
            <w:vAlign w:val="bottom"/>
            <w:hideMark/>
          </w:tcPr>
          <w:p w:rsidR="00332DF9" w:rsidRDefault="00332DF9">
            <w:pPr>
              <w:spacing w:line="240" w:lineRule="auto"/>
              <w:jc w:val="center"/>
              <w:rPr>
                <w:rFonts w:ascii="Calibri" w:eastAsia="Times New Roman" w:hAnsi="Calibri" w:cs="Calibri"/>
                <w:color w:val="305496"/>
              </w:rPr>
            </w:pPr>
            <w:r>
              <w:rPr>
                <w:rFonts w:ascii="Calibri" w:eastAsia="Times New Roman" w:hAnsi="Calibri"/>
                <w:color w:val="305496"/>
              </w:rPr>
              <w:t>Less: Credit sales</w:t>
            </w:r>
          </w:p>
        </w:tc>
        <w:tc>
          <w:tcPr>
            <w:tcW w:w="1300" w:type="dxa"/>
            <w:noWrap/>
            <w:vAlign w:val="bottom"/>
            <w:hideMark/>
          </w:tcPr>
          <w:p w:rsidR="00332DF9" w:rsidRDefault="00332DF9">
            <w:pPr>
              <w:spacing w:line="240" w:lineRule="auto"/>
              <w:jc w:val="center"/>
              <w:rPr>
                <w:rFonts w:ascii="Calibri" w:eastAsia="Times New Roman" w:hAnsi="Calibri" w:cs="Calibri"/>
                <w:color w:val="305496"/>
              </w:rPr>
            </w:pPr>
            <w:r>
              <w:rPr>
                <w:rFonts w:ascii="Calibri" w:eastAsia="Times New Roman" w:hAnsi="Calibri"/>
                <w:color w:val="305496"/>
              </w:rPr>
              <w:t>980</w:t>
            </w:r>
          </w:p>
        </w:tc>
        <w:tc>
          <w:tcPr>
            <w:tcW w:w="1300" w:type="dxa"/>
            <w:noWrap/>
            <w:vAlign w:val="bottom"/>
            <w:hideMark/>
          </w:tcPr>
          <w:p w:rsidR="00332DF9" w:rsidRDefault="00332DF9">
            <w:pPr>
              <w:spacing w:line="240" w:lineRule="auto"/>
              <w:jc w:val="center"/>
              <w:rPr>
                <w:rFonts w:ascii="Calibri" w:eastAsia="Times New Roman" w:hAnsi="Calibri" w:cs="Calibri"/>
                <w:color w:val="305496"/>
              </w:rPr>
            </w:pPr>
            <w:r>
              <w:rPr>
                <w:rFonts w:ascii="Calibri" w:eastAsia="Times New Roman" w:hAnsi="Calibri"/>
                <w:color w:val="305496"/>
              </w:rPr>
              <w:t>800980</w:t>
            </w:r>
          </w:p>
        </w:tc>
      </w:tr>
      <w:tr w:rsidR="00332DF9" w:rsidTr="00332DF9">
        <w:trPr>
          <w:trHeight w:val="300"/>
          <w:jc w:val="center"/>
        </w:trPr>
        <w:tc>
          <w:tcPr>
            <w:tcW w:w="2760" w:type="dxa"/>
            <w:shd w:val="clear" w:color="auto" w:fill="D9E1F2"/>
            <w:noWrap/>
            <w:vAlign w:val="bottom"/>
            <w:hideMark/>
          </w:tcPr>
          <w:p w:rsidR="00332DF9" w:rsidRDefault="00332DF9">
            <w:pPr>
              <w:spacing w:line="240" w:lineRule="auto"/>
              <w:jc w:val="center"/>
              <w:rPr>
                <w:rFonts w:ascii="Calibri" w:eastAsia="Times New Roman" w:hAnsi="Calibri" w:cs="Calibri"/>
                <w:color w:val="305496"/>
              </w:rPr>
            </w:pPr>
            <w:r>
              <w:rPr>
                <w:rFonts w:ascii="Calibri" w:eastAsia="Times New Roman" w:hAnsi="Calibri"/>
                <w:color w:val="305496"/>
              </w:rPr>
              <w:t xml:space="preserve">less: Cost </w:t>
            </w:r>
            <w:proofErr w:type="spellStart"/>
            <w:r>
              <w:rPr>
                <w:rFonts w:ascii="Calibri" w:eastAsia="Times New Roman" w:hAnsi="Calibri"/>
                <w:color w:val="305496"/>
              </w:rPr>
              <w:t>on</w:t>
            </w:r>
            <w:proofErr w:type="spellEnd"/>
            <w:r>
              <w:rPr>
                <w:rFonts w:ascii="Calibri" w:eastAsia="Times New Roman" w:hAnsi="Calibri"/>
                <w:color w:val="305496"/>
              </w:rPr>
              <w:t xml:space="preserve"> sales</w:t>
            </w:r>
          </w:p>
        </w:tc>
        <w:tc>
          <w:tcPr>
            <w:tcW w:w="1300" w:type="dxa"/>
            <w:shd w:val="clear" w:color="auto" w:fill="D9E1F2"/>
            <w:noWrap/>
            <w:vAlign w:val="bottom"/>
            <w:hideMark/>
          </w:tcPr>
          <w:p w:rsidR="00332DF9" w:rsidRDefault="00332DF9">
            <w:pPr>
              <w:spacing w:line="240" w:lineRule="auto"/>
              <w:jc w:val="center"/>
              <w:rPr>
                <w:rFonts w:ascii="Calibri" w:eastAsia="Times New Roman" w:hAnsi="Calibri" w:cs="Calibri"/>
                <w:color w:val="305496"/>
              </w:rPr>
            </w:pPr>
            <w:r>
              <w:rPr>
                <w:rFonts w:ascii="Calibri" w:eastAsia="Times New Roman" w:hAnsi="Calibri"/>
                <w:color w:val="305496"/>
              </w:rPr>
              <w:t>578650</w:t>
            </w:r>
          </w:p>
        </w:tc>
        <w:tc>
          <w:tcPr>
            <w:tcW w:w="1300" w:type="dxa"/>
            <w:shd w:val="clear" w:color="auto" w:fill="D9E1F2"/>
            <w:noWrap/>
            <w:vAlign w:val="bottom"/>
            <w:hideMark/>
          </w:tcPr>
          <w:p w:rsidR="00332DF9" w:rsidRDefault="00332DF9">
            <w:pPr>
              <w:spacing w:line="256" w:lineRule="auto"/>
            </w:pPr>
          </w:p>
        </w:tc>
      </w:tr>
      <w:tr w:rsidR="00332DF9" w:rsidTr="00332DF9">
        <w:trPr>
          <w:trHeight w:val="300"/>
          <w:jc w:val="center"/>
        </w:trPr>
        <w:tc>
          <w:tcPr>
            <w:tcW w:w="2760" w:type="dxa"/>
            <w:noWrap/>
            <w:vAlign w:val="bottom"/>
            <w:hideMark/>
          </w:tcPr>
          <w:p w:rsidR="00332DF9" w:rsidRDefault="00332DF9">
            <w:pPr>
              <w:spacing w:line="240" w:lineRule="auto"/>
              <w:jc w:val="center"/>
              <w:rPr>
                <w:rFonts w:ascii="Calibri" w:eastAsia="Times New Roman" w:hAnsi="Calibri" w:cs="Calibri"/>
                <w:b/>
                <w:bCs/>
                <w:i/>
                <w:iCs/>
                <w:color w:val="305496"/>
              </w:rPr>
            </w:pPr>
            <w:r>
              <w:rPr>
                <w:rFonts w:ascii="Calibri" w:eastAsia="Times New Roman" w:hAnsi="Calibri"/>
                <w:b/>
                <w:bCs/>
                <w:i/>
                <w:iCs/>
                <w:color w:val="305496"/>
              </w:rPr>
              <w:t>Gross loss</w:t>
            </w:r>
          </w:p>
        </w:tc>
        <w:tc>
          <w:tcPr>
            <w:tcW w:w="1300" w:type="dxa"/>
            <w:noWrap/>
            <w:vAlign w:val="bottom"/>
            <w:hideMark/>
          </w:tcPr>
          <w:p w:rsidR="00332DF9" w:rsidRDefault="00332DF9">
            <w:pPr>
              <w:spacing w:line="256" w:lineRule="auto"/>
            </w:pPr>
          </w:p>
        </w:tc>
        <w:tc>
          <w:tcPr>
            <w:tcW w:w="1300" w:type="dxa"/>
            <w:noWrap/>
            <w:vAlign w:val="bottom"/>
            <w:hideMark/>
          </w:tcPr>
          <w:p w:rsidR="00332DF9" w:rsidRDefault="00332DF9">
            <w:pPr>
              <w:spacing w:line="240" w:lineRule="auto"/>
              <w:jc w:val="center"/>
              <w:rPr>
                <w:rFonts w:ascii="Calibri" w:eastAsia="Times New Roman" w:hAnsi="Calibri" w:cs="Calibri"/>
                <w:color w:val="305496"/>
              </w:rPr>
            </w:pPr>
            <w:r>
              <w:rPr>
                <w:rFonts w:ascii="Calibri" w:eastAsia="Times New Roman" w:hAnsi="Calibri"/>
                <w:color w:val="305496"/>
              </w:rPr>
              <w:t>222330</w:t>
            </w:r>
          </w:p>
        </w:tc>
      </w:tr>
      <w:tr w:rsidR="00332DF9" w:rsidTr="00332DF9">
        <w:trPr>
          <w:trHeight w:val="300"/>
          <w:jc w:val="center"/>
        </w:trPr>
        <w:tc>
          <w:tcPr>
            <w:tcW w:w="2760" w:type="dxa"/>
            <w:shd w:val="clear" w:color="auto" w:fill="D9E1F2"/>
            <w:noWrap/>
            <w:vAlign w:val="bottom"/>
            <w:hideMark/>
          </w:tcPr>
          <w:p w:rsidR="00332DF9" w:rsidRDefault="00332DF9">
            <w:pPr>
              <w:spacing w:line="240" w:lineRule="auto"/>
              <w:jc w:val="center"/>
              <w:rPr>
                <w:rFonts w:ascii="Calibri" w:eastAsia="Times New Roman" w:hAnsi="Calibri" w:cs="Calibri"/>
                <w:b/>
                <w:bCs/>
                <w:i/>
                <w:iCs/>
                <w:color w:val="305496"/>
              </w:rPr>
            </w:pPr>
            <w:r>
              <w:rPr>
                <w:rFonts w:ascii="Calibri" w:eastAsia="Times New Roman" w:hAnsi="Calibri"/>
                <w:b/>
                <w:bCs/>
                <w:i/>
                <w:iCs/>
                <w:color w:val="305496"/>
              </w:rPr>
              <w:t>Less Expenses</w:t>
            </w:r>
          </w:p>
        </w:tc>
        <w:tc>
          <w:tcPr>
            <w:tcW w:w="1300" w:type="dxa"/>
            <w:shd w:val="clear" w:color="auto" w:fill="D9E1F2"/>
            <w:noWrap/>
            <w:vAlign w:val="bottom"/>
            <w:hideMark/>
          </w:tcPr>
          <w:p w:rsidR="00332DF9" w:rsidRDefault="00332DF9">
            <w:pPr>
              <w:spacing w:line="256" w:lineRule="auto"/>
            </w:pPr>
          </w:p>
        </w:tc>
        <w:tc>
          <w:tcPr>
            <w:tcW w:w="1300" w:type="dxa"/>
            <w:shd w:val="clear" w:color="auto" w:fill="D9E1F2"/>
            <w:noWrap/>
            <w:vAlign w:val="bottom"/>
            <w:hideMark/>
          </w:tcPr>
          <w:p w:rsidR="00332DF9" w:rsidRDefault="00332DF9">
            <w:pPr>
              <w:spacing w:line="256" w:lineRule="auto"/>
            </w:pPr>
          </w:p>
        </w:tc>
      </w:tr>
      <w:tr w:rsidR="00332DF9" w:rsidTr="00332DF9">
        <w:trPr>
          <w:trHeight w:val="300"/>
          <w:jc w:val="center"/>
        </w:trPr>
        <w:tc>
          <w:tcPr>
            <w:tcW w:w="2760" w:type="dxa"/>
            <w:noWrap/>
            <w:vAlign w:val="bottom"/>
            <w:hideMark/>
          </w:tcPr>
          <w:p w:rsidR="00332DF9" w:rsidRDefault="00332DF9">
            <w:pPr>
              <w:spacing w:line="240" w:lineRule="auto"/>
              <w:jc w:val="center"/>
              <w:rPr>
                <w:rFonts w:ascii="Calibri" w:eastAsia="Times New Roman" w:hAnsi="Calibri" w:cs="Calibri"/>
                <w:color w:val="305496"/>
              </w:rPr>
            </w:pPr>
            <w:r>
              <w:rPr>
                <w:rFonts w:ascii="Calibri" w:eastAsia="Times New Roman" w:hAnsi="Calibri"/>
                <w:color w:val="305496"/>
              </w:rPr>
              <w:t>Administrative expenses</w:t>
            </w:r>
          </w:p>
        </w:tc>
        <w:tc>
          <w:tcPr>
            <w:tcW w:w="1300" w:type="dxa"/>
            <w:noWrap/>
            <w:vAlign w:val="bottom"/>
            <w:hideMark/>
          </w:tcPr>
          <w:p w:rsidR="00332DF9" w:rsidRDefault="00332DF9">
            <w:pPr>
              <w:spacing w:line="240" w:lineRule="auto"/>
              <w:jc w:val="center"/>
              <w:rPr>
                <w:rFonts w:ascii="Calibri" w:eastAsia="Times New Roman" w:hAnsi="Calibri" w:cs="Calibri"/>
                <w:color w:val="305496"/>
              </w:rPr>
            </w:pPr>
            <w:r>
              <w:rPr>
                <w:rFonts w:ascii="Calibri" w:eastAsia="Times New Roman" w:hAnsi="Calibri"/>
                <w:color w:val="305496"/>
              </w:rPr>
              <w:t>2000</w:t>
            </w:r>
          </w:p>
        </w:tc>
        <w:tc>
          <w:tcPr>
            <w:tcW w:w="1300" w:type="dxa"/>
            <w:noWrap/>
            <w:vAlign w:val="bottom"/>
            <w:hideMark/>
          </w:tcPr>
          <w:p w:rsidR="00332DF9" w:rsidRDefault="00332DF9">
            <w:pPr>
              <w:spacing w:line="256" w:lineRule="auto"/>
            </w:pPr>
          </w:p>
        </w:tc>
      </w:tr>
      <w:tr w:rsidR="00332DF9" w:rsidTr="00332DF9">
        <w:trPr>
          <w:trHeight w:val="300"/>
          <w:jc w:val="center"/>
        </w:trPr>
        <w:tc>
          <w:tcPr>
            <w:tcW w:w="2760" w:type="dxa"/>
            <w:shd w:val="clear" w:color="auto" w:fill="D9E1F2"/>
            <w:noWrap/>
            <w:vAlign w:val="bottom"/>
            <w:hideMark/>
          </w:tcPr>
          <w:p w:rsidR="00332DF9" w:rsidRDefault="00332DF9">
            <w:pPr>
              <w:spacing w:line="240" w:lineRule="auto"/>
              <w:jc w:val="center"/>
              <w:rPr>
                <w:rFonts w:ascii="Calibri" w:eastAsia="Times New Roman" w:hAnsi="Calibri" w:cs="Calibri"/>
                <w:color w:val="305496"/>
              </w:rPr>
            </w:pPr>
            <w:r>
              <w:rPr>
                <w:rFonts w:ascii="Calibri" w:eastAsia="Times New Roman" w:hAnsi="Calibri"/>
                <w:color w:val="305496"/>
              </w:rPr>
              <w:t>Interest paid</w:t>
            </w:r>
          </w:p>
        </w:tc>
        <w:tc>
          <w:tcPr>
            <w:tcW w:w="1300" w:type="dxa"/>
            <w:shd w:val="clear" w:color="auto" w:fill="D9E1F2"/>
            <w:noWrap/>
            <w:vAlign w:val="bottom"/>
            <w:hideMark/>
          </w:tcPr>
          <w:p w:rsidR="00332DF9" w:rsidRDefault="00332DF9">
            <w:pPr>
              <w:spacing w:line="240" w:lineRule="auto"/>
              <w:jc w:val="center"/>
              <w:rPr>
                <w:rFonts w:ascii="Calibri" w:eastAsia="Times New Roman" w:hAnsi="Calibri" w:cs="Calibri"/>
                <w:color w:val="305496"/>
              </w:rPr>
            </w:pPr>
            <w:r>
              <w:rPr>
                <w:rFonts w:ascii="Calibri" w:eastAsia="Times New Roman" w:hAnsi="Calibri"/>
                <w:color w:val="305496"/>
              </w:rPr>
              <w:t>2000</w:t>
            </w:r>
          </w:p>
        </w:tc>
        <w:tc>
          <w:tcPr>
            <w:tcW w:w="1300" w:type="dxa"/>
            <w:shd w:val="clear" w:color="auto" w:fill="D9E1F2"/>
            <w:noWrap/>
            <w:vAlign w:val="bottom"/>
            <w:hideMark/>
          </w:tcPr>
          <w:p w:rsidR="00332DF9" w:rsidRDefault="00332DF9">
            <w:pPr>
              <w:spacing w:line="256" w:lineRule="auto"/>
            </w:pPr>
          </w:p>
        </w:tc>
      </w:tr>
      <w:tr w:rsidR="00332DF9" w:rsidTr="00332DF9">
        <w:trPr>
          <w:trHeight w:val="300"/>
          <w:jc w:val="center"/>
        </w:trPr>
        <w:tc>
          <w:tcPr>
            <w:tcW w:w="2760" w:type="dxa"/>
            <w:noWrap/>
            <w:vAlign w:val="bottom"/>
            <w:hideMark/>
          </w:tcPr>
          <w:p w:rsidR="00332DF9" w:rsidRDefault="00332DF9">
            <w:pPr>
              <w:spacing w:line="240" w:lineRule="auto"/>
              <w:jc w:val="center"/>
              <w:rPr>
                <w:rFonts w:ascii="Calibri" w:eastAsia="Times New Roman" w:hAnsi="Calibri" w:cs="Calibri"/>
                <w:color w:val="305496"/>
              </w:rPr>
            </w:pPr>
            <w:r>
              <w:rPr>
                <w:rFonts w:ascii="Calibri" w:eastAsia="Times New Roman" w:hAnsi="Calibri"/>
                <w:color w:val="305496"/>
              </w:rPr>
              <w:t>Directors remuneration</w:t>
            </w:r>
          </w:p>
        </w:tc>
        <w:tc>
          <w:tcPr>
            <w:tcW w:w="1300" w:type="dxa"/>
            <w:noWrap/>
            <w:vAlign w:val="bottom"/>
            <w:hideMark/>
          </w:tcPr>
          <w:p w:rsidR="00332DF9" w:rsidRDefault="00332DF9">
            <w:pPr>
              <w:spacing w:line="240" w:lineRule="auto"/>
              <w:jc w:val="center"/>
              <w:rPr>
                <w:rFonts w:ascii="Calibri" w:eastAsia="Times New Roman" w:hAnsi="Calibri" w:cs="Calibri"/>
                <w:color w:val="305496"/>
              </w:rPr>
            </w:pPr>
            <w:r>
              <w:rPr>
                <w:rFonts w:ascii="Calibri" w:eastAsia="Times New Roman" w:hAnsi="Calibri"/>
                <w:color w:val="305496"/>
              </w:rPr>
              <w:t>5000</w:t>
            </w:r>
          </w:p>
        </w:tc>
        <w:tc>
          <w:tcPr>
            <w:tcW w:w="1300" w:type="dxa"/>
            <w:noWrap/>
            <w:vAlign w:val="bottom"/>
            <w:hideMark/>
          </w:tcPr>
          <w:p w:rsidR="00332DF9" w:rsidRDefault="00332DF9">
            <w:pPr>
              <w:spacing w:line="256" w:lineRule="auto"/>
            </w:pPr>
          </w:p>
        </w:tc>
      </w:tr>
      <w:tr w:rsidR="00332DF9" w:rsidTr="00332DF9">
        <w:trPr>
          <w:trHeight w:val="300"/>
          <w:jc w:val="center"/>
        </w:trPr>
        <w:tc>
          <w:tcPr>
            <w:tcW w:w="2760" w:type="dxa"/>
            <w:shd w:val="clear" w:color="auto" w:fill="D9E1F2"/>
            <w:noWrap/>
            <w:vAlign w:val="bottom"/>
            <w:hideMark/>
          </w:tcPr>
          <w:p w:rsidR="00332DF9" w:rsidRDefault="00332DF9">
            <w:pPr>
              <w:spacing w:line="240" w:lineRule="auto"/>
              <w:jc w:val="center"/>
              <w:rPr>
                <w:rFonts w:ascii="Calibri" w:eastAsia="Times New Roman" w:hAnsi="Calibri" w:cs="Calibri"/>
                <w:color w:val="305496"/>
              </w:rPr>
            </w:pPr>
            <w:r>
              <w:rPr>
                <w:rFonts w:ascii="Calibri" w:eastAsia="Times New Roman" w:hAnsi="Calibri"/>
                <w:color w:val="305496"/>
              </w:rPr>
              <w:t>Commission</w:t>
            </w:r>
          </w:p>
        </w:tc>
        <w:tc>
          <w:tcPr>
            <w:tcW w:w="1300" w:type="dxa"/>
            <w:shd w:val="clear" w:color="auto" w:fill="D9E1F2"/>
            <w:noWrap/>
            <w:vAlign w:val="bottom"/>
            <w:hideMark/>
          </w:tcPr>
          <w:p w:rsidR="00332DF9" w:rsidRDefault="00332DF9">
            <w:pPr>
              <w:spacing w:line="240" w:lineRule="auto"/>
              <w:jc w:val="center"/>
              <w:rPr>
                <w:rFonts w:ascii="Calibri" w:eastAsia="Times New Roman" w:hAnsi="Calibri" w:cs="Calibri"/>
                <w:color w:val="305496"/>
              </w:rPr>
            </w:pPr>
            <w:r>
              <w:rPr>
                <w:rFonts w:ascii="Calibri" w:eastAsia="Times New Roman" w:hAnsi="Calibri"/>
                <w:color w:val="305496"/>
              </w:rPr>
              <w:t>3000</w:t>
            </w:r>
          </w:p>
        </w:tc>
        <w:tc>
          <w:tcPr>
            <w:tcW w:w="1300" w:type="dxa"/>
            <w:shd w:val="clear" w:color="auto" w:fill="D9E1F2"/>
            <w:noWrap/>
            <w:vAlign w:val="bottom"/>
            <w:hideMark/>
          </w:tcPr>
          <w:p w:rsidR="00332DF9" w:rsidRDefault="00332DF9">
            <w:pPr>
              <w:spacing w:line="256" w:lineRule="auto"/>
            </w:pPr>
          </w:p>
        </w:tc>
      </w:tr>
      <w:tr w:rsidR="00332DF9" w:rsidTr="00332DF9">
        <w:trPr>
          <w:trHeight w:val="300"/>
          <w:jc w:val="center"/>
        </w:trPr>
        <w:tc>
          <w:tcPr>
            <w:tcW w:w="2760" w:type="dxa"/>
            <w:noWrap/>
            <w:vAlign w:val="bottom"/>
            <w:hideMark/>
          </w:tcPr>
          <w:p w:rsidR="00332DF9" w:rsidRDefault="00332DF9">
            <w:pPr>
              <w:spacing w:line="240" w:lineRule="auto"/>
              <w:jc w:val="center"/>
              <w:rPr>
                <w:rFonts w:ascii="Calibri" w:eastAsia="Times New Roman" w:hAnsi="Calibri" w:cs="Calibri"/>
                <w:color w:val="305496"/>
              </w:rPr>
            </w:pPr>
            <w:r>
              <w:rPr>
                <w:rFonts w:ascii="Calibri" w:eastAsia="Times New Roman" w:hAnsi="Calibri"/>
                <w:color w:val="305496"/>
              </w:rPr>
              <w:t>Interest paid on debentures</w:t>
            </w:r>
          </w:p>
        </w:tc>
        <w:tc>
          <w:tcPr>
            <w:tcW w:w="1300" w:type="dxa"/>
            <w:noWrap/>
            <w:vAlign w:val="bottom"/>
            <w:hideMark/>
          </w:tcPr>
          <w:p w:rsidR="00332DF9" w:rsidRDefault="00332DF9">
            <w:pPr>
              <w:spacing w:line="240" w:lineRule="auto"/>
              <w:jc w:val="center"/>
              <w:rPr>
                <w:rFonts w:ascii="Calibri" w:eastAsia="Times New Roman" w:hAnsi="Calibri" w:cs="Calibri"/>
                <w:color w:val="305496"/>
              </w:rPr>
            </w:pPr>
            <w:r>
              <w:rPr>
                <w:rFonts w:ascii="Calibri" w:eastAsia="Times New Roman" w:hAnsi="Calibri"/>
                <w:color w:val="305496"/>
              </w:rPr>
              <w:t>4000</w:t>
            </w:r>
          </w:p>
        </w:tc>
        <w:tc>
          <w:tcPr>
            <w:tcW w:w="1300" w:type="dxa"/>
            <w:noWrap/>
            <w:vAlign w:val="bottom"/>
            <w:hideMark/>
          </w:tcPr>
          <w:p w:rsidR="00332DF9" w:rsidRDefault="00332DF9">
            <w:pPr>
              <w:spacing w:line="256" w:lineRule="auto"/>
            </w:pPr>
          </w:p>
        </w:tc>
      </w:tr>
      <w:tr w:rsidR="00332DF9" w:rsidTr="00332DF9">
        <w:trPr>
          <w:trHeight w:val="300"/>
          <w:jc w:val="center"/>
        </w:trPr>
        <w:tc>
          <w:tcPr>
            <w:tcW w:w="2760" w:type="dxa"/>
            <w:shd w:val="clear" w:color="auto" w:fill="D9E1F2"/>
            <w:noWrap/>
            <w:vAlign w:val="bottom"/>
            <w:hideMark/>
          </w:tcPr>
          <w:p w:rsidR="00332DF9" w:rsidRDefault="00332DF9">
            <w:pPr>
              <w:spacing w:line="240" w:lineRule="auto"/>
              <w:jc w:val="center"/>
              <w:rPr>
                <w:rFonts w:ascii="Calibri" w:eastAsia="Times New Roman" w:hAnsi="Calibri" w:cs="Calibri"/>
                <w:color w:val="305496"/>
              </w:rPr>
            </w:pPr>
            <w:r>
              <w:rPr>
                <w:rFonts w:ascii="Calibri" w:eastAsia="Times New Roman" w:hAnsi="Calibri"/>
                <w:color w:val="305496"/>
              </w:rPr>
              <w:t>Distribution costs</w:t>
            </w:r>
          </w:p>
        </w:tc>
        <w:tc>
          <w:tcPr>
            <w:tcW w:w="1300" w:type="dxa"/>
            <w:shd w:val="clear" w:color="auto" w:fill="D9E1F2"/>
            <w:noWrap/>
            <w:vAlign w:val="bottom"/>
            <w:hideMark/>
          </w:tcPr>
          <w:p w:rsidR="00332DF9" w:rsidRDefault="00332DF9">
            <w:pPr>
              <w:spacing w:line="240" w:lineRule="auto"/>
              <w:jc w:val="center"/>
              <w:rPr>
                <w:rFonts w:ascii="Calibri" w:eastAsia="Times New Roman" w:hAnsi="Calibri" w:cs="Calibri"/>
                <w:color w:val="305496"/>
              </w:rPr>
            </w:pPr>
            <w:r>
              <w:rPr>
                <w:rFonts w:ascii="Calibri" w:eastAsia="Times New Roman" w:hAnsi="Calibri"/>
                <w:color w:val="305496"/>
              </w:rPr>
              <w:t>28000</w:t>
            </w:r>
          </w:p>
        </w:tc>
        <w:tc>
          <w:tcPr>
            <w:tcW w:w="1300" w:type="dxa"/>
            <w:shd w:val="clear" w:color="auto" w:fill="D9E1F2"/>
            <w:noWrap/>
            <w:vAlign w:val="bottom"/>
            <w:hideMark/>
          </w:tcPr>
          <w:p w:rsidR="00332DF9" w:rsidRDefault="00332DF9">
            <w:pPr>
              <w:spacing w:line="240" w:lineRule="auto"/>
              <w:jc w:val="center"/>
              <w:rPr>
                <w:rFonts w:ascii="Calibri" w:eastAsia="Times New Roman" w:hAnsi="Calibri" w:cs="Calibri"/>
                <w:color w:val="305496"/>
              </w:rPr>
            </w:pPr>
            <w:r>
              <w:rPr>
                <w:rFonts w:ascii="Calibri" w:eastAsia="Times New Roman" w:hAnsi="Calibri"/>
                <w:color w:val="305496"/>
              </w:rPr>
              <w:t>44000</w:t>
            </w:r>
          </w:p>
        </w:tc>
      </w:tr>
      <w:tr w:rsidR="00332DF9" w:rsidTr="00332DF9">
        <w:trPr>
          <w:trHeight w:val="300"/>
          <w:jc w:val="center"/>
        </w:trPr>
        <w:tc>
          <w:tcPr>
            <w:tcW w:w="2760" w:type="dxa"/>
            <w:tcBorders>
              <w:top w:val="nil"/>
              <w:left w:val="nil"/>
              <w:bottom w:val="single" w:sz="4" w:space="0" w:color="4472C4"/>
              <w:right w:val="nil"/>
            </w:tcBorders>
            <w:noWrap/>
            <w:vAlign w:val="bottom"/>
            <w:hideMark/>
          </w:tcPr>
          <w:p w:rsidR="00332DF9" w:rsidRDefault="00332DF9">
            <w:pPr>
              <w:spacing w:line="240" w:lineRule="auto"/>
              <w:jc w:val="center"/>
              <w:rPr>
                <w:rFonts w:ascii="Calibri" w:eastAsia="Times New Roman" w:hAnsi="Calibri" w:cs="Calibri"/>
                <w:b/>
                <w:bCs/>
                <w:i/>
                <w:iCs/>
                <w:color w:val="305496"/>
              </w:rPr>
            </w:pPr>
            <w:r>
              <w:rPr>
                <w:rFonts w:ascii="Calibri" w:eastAsia="Times New Roman" w:hAnsi="Calibri"/>
                <w:b/>
                <w:bCs/>
                <w:i/>
                <w:iCs/>
                <w:color w:val="305496"/>
              </w:rPr>
              <w:t>Net Loss</w:t>
            </w:r>
          </w:p>
        </w:tc>
        <w:tc>
          <w:tcPr>
            <w:tcW w:w="1300" w:type="dxa"/>
            <w:tcBorders>
              <w:top w:val="nil"/>
              <w:left w:val="nil"/>
              <w:bottom w:val="single" w:sz="4" w:space="0" w:color="4472C4"/>
              <w:right w:val="nil"/>
            </w:tcBorders>
            <w:noWrap/>
            <w:vAlign w:val="bottom"/>
            <w:hideMark/>
          </w:tcPr>
          <w:p w:rsidR="00332DF9" w:rsidRDefault="00332DF9">
            <w:pPr>
              <w:spacing w:line="256" w:lineRule="auto"/>
            </w:pPr>
          </w:p>
        </w:tc>
        <w:tc>
          <w:tcPr>
            <w:tcW w:w="1300" w:type="dxa"/>
            <w:tcBorders>
              <w:top w:val="nil"/>
              <w:left w:val="nil"/>
              <w:bottom w:val="single" w:sz="4" w:space="0" w:color="4472C4"/>
              <w:right w:val="nil"/>
            </w:tcBorders>
            <w:noWrap/>
            <w:vAlign w:val="bottom"/>
            <w:hideMark/>
          </w:tcPr>
          <w:p w:rsidR="00332DF9" w:rsidRDefault="00332DF9">
            <w:pPr>
              <w:spacing w:line="240" w:lineRule="auto"/>
              <w:jc w:val="center"/>
              <w:rPr>
                <w:rFonts w:ascii="Calibri" w:eastAsia="Times New Roman" w:hAnsi="Calibri" w:cs="Calibri"/>
                <w:b/>
                <w:bCs/>
                <w:color w:val="305496"/>
              </w:rPr>
            </w:pPr>
            <w:r>
              <w:rPr>
                <w:rFonts w:ascii="Calibri" w:eastAsia="Times New Roman" w:hAnsi="Calibri"/>
                <w:b/>
                <w:bCs/>
                <w:color w:val="305496"/>
              </w:rPr>
              <w:t>178330</w:t>
            </w:r>
          </w:p>
        </w:tc>
      </w:tr>
    </w:tbl>
    <w:p w:rsidR="00332DF9" w:rsidRDefault="00332DF9" w:rsidP="00332DF9">
      <w:pPr>
        <w:spacing w:after="160" w:line="256" w:lineRule="auto"/>
        <w:rPr>
          <w:rFonts w:cs="Calibri"/>
          <w:b/>
          <w:bCs/>
          <w:lang w:eastAsia="en-GB"/>
        </w:rPr>
      </w:pPr>
    </w:p>
    <w:p w:rsidR="00332DF9" w:rsidRDefault="00332DF9" w:rsidP="00332DF9">
      <w:pPr>
        <w:spacing w:after="160" w:line="256" w:lineRule="auto"/>
        <w:jc w:val="center"/>
        <w:rPr>
          <w:b/>
          <w:bCs/>
        </w:rPr>
      </w:pPr>
      <w:r>
        <w:rPr>
          <w:b/>
          <w:bCs/>
        </w:rPr>
        <w:t>Balance sheet for Wales plc</w:t>
      </w:r>
    </w:p>
    <w:tbl>
      <w:tblPr>
        <w:tblW w:w="4740" w:type="dxa"/>
        <w:jc w:val="center"/>
        <w:tblLook w:val="04A0" w:firstRow="1" w:lastRow="0" w:firstColumn="1" w:lastColumn="0" w:noHBand="0" w:noVBand="1"/>
      </w:tblPr>
      <w:tblGrid>
        <w:gridCol w:w="2260"/>
        <w:gridCol w:w="1180"/>
        <w:gridCol w:w="1300"/>
      </w:tblGrid>
      <w:tr w:rsidR="00332DF9" w:rsidTr="00332DF9">
        <w:trPr>
          <w:trHeight w:val="300"/>
          <w:jc w:val="center"/>
        </w:trPr>
        <w:tc>
          <w:tcPr>
            <w:tcW w:w="2260" w:type="dxa"/>
            <w:tcBorders>
              <w:top w:val="single" w:sz="4" w:space="0" w:color="4472C4"/>
              <w:left w:val="nil"/>
              <w:bottom w:val="single" w:sz="4" w:space="0" w:color="4472C4"/>
              <w:right w:val="nil"/>
            </w:tcBorders>
            <w:noWrap/>
            <w:vAlign w:val="bottom"/>
            <w:hideMark/>
          </w:tcPr>
          <w:p w:rsidR="00332DF9" w:rsidRDefault="00332DF9">
            <w:pPr>
              <w:spacing w:line="240" w:lineRule="auto"/>
              <w:rPr>
                <w:rFonts w:ascii="Calibri" w:eastAsia="Times New Roman" w:hAnsi="Calibri" w:cs="Calibri"/>
                <w:b/>
                <w:bCs/>
                <w:i/>
                <w:iCs/>
                <w:color w:val="305496"/>
              </w:rPr>
            </w:pPr>
            <w:r>
              <w:rPr>
                <w:rFonts w:ascii="Calibri" w:eastAsia="Times New Roman" w:hAnsi="Calibri"/>
                <w:b/>
                <w:bCs/>
                <w:i/>
                <w:iCs/>
                <w:color w:val="305496"/>
              </w:rPr>
              <w:t>Particulars</w:t>
            </w:r>
          </w:p>
        </w:tc>
        <w:tc>
          <w:tcPr>
            <w:tcW w:w="1180" w:type="dxa"/>
            <w:tcBorders>
              <w:top w:val="single" w:sz="4" w:space="0" w:color="4472C4"/>
              <w:left w:val="nil"/>
              <w:bottom w:val="single" w:sz="4" w:space="0" w:color="4472C4"/>
              <w:right w:val="nil"/>
            </w:tcBorders>
            <w:noWrap/>
            <w:vAlign w:val="bottom"/>
            <w:hideMark/>
          </w:tcPr>
          <w:p w:rsidR="00332DF9" w:rsidRDefault="00332DF9">
            <w:pPr>
              <w:spacing w:line="240" w:lineRule="auto"/>
              <w:rPr>
                <w:rFonts w:ascii="Calibri" w:eastAsia="Times New Roman" w:hAnsi="Calibri" w:cs="Calibri"/>
                <w:b/>
                <w:bCs/>
                <w:i/>
                <w:iCs/>
                <w:color w:val="305496"/>
              </w:rPr>
            </w:pPr>
            <w:r>
              <w:rPr>
                <w:rFonts w:ascii="Calibri" w:eastAsia="Times New Roman" w:hAnsi="Calibri"/>
                <w:b/>
                <w:bCs/>
                <w:i/>
                <w:iCs/>
                <w:color w:val="305496"/>
              </w:rPr>
              <w:t xml:space="preserve">Amount </w:t>
            </w:r>
          </w:p>
        </w:tc>
        <w:tc>
          <w:tcPr>
            <w:tcW w:w="1300" w:type="dxa"/>
            <w:tcBorders>
              <w:top w:val="single" w:sz="4" w:space="0" w:color="4472C4"/>
              <w:left w:val="nil"/>
              <w:bottom w:val="single" w:sz="4" w:space="0" w:color="4472C4"/>
              <w:right w:val="nil"/>
            </w:tcBorders>
            <w:noWrap/>
            <w:vAlign w:val="bottom"/>
            <w:hideMark/>
          </w:tcPr>
          <w:p w:rsidR="00332DF9" w:rsidRDefault="00332DF9">
            <w:pPr>
              <w:spacing w:line="240" w:lineRule="auto"/>
              <w:rPr>
                <w:rFonts w:ascii="Calibri" w:eastAsia="Times New Roman" w:hAnsi="Calibri" w:cs="Calibri"/>
                <w:b/>
                <w:bCs/>
                <w:i/>
                <w:iCs/>
                <w:color w:val="305496"/>
              </w:rPr>
            </w:pPr>
            <w:r>
              <w:rPr>
                <w:rFonts w:ascii="Calibri" w:eastAsia="Times New Roman" w:hAnsi="Calibri"/>
                <w:b/>
                <w:bCs/>
                <w:i/>
                <w:iCs/>
                <w:color w:val="305496"/>
              </w:rPr>
              <w:t>Amount 2</w:t>
            </w:r>
          </w:p>
        </w:tc>
      </w:tr>
      <w:tr w:rsidR="00332DF9" w:rsidTr="00332DF9">
        <w:trPr>
          <w:trHeight w:val="300"/>
          <w:jc w:val="center"/>
        </w:trPr>
        <w:tc>
          <w:tcPr>
            <w:tcW w:w="2260" w:type="dxa"/>
            <w:shd w:val="clear" w:color="auto" w:fill="D9E1F2"/>
            <w:noWrap/>
            <w:vAlign w:val="bottom"/>
            <w:hideMark/>
          </w:tcPr>
          <w:p w:rsidR="00332DF9" w:rsidRDefault="00332DF9">
            <w:pPr>
              <w:spacing w:line="240" w:lineRule="auto"/>
              <w:rPr>
                <w:rFonts w:ascii="Calibri" w:eastAsia="Times New Roman" w:hAnsi="Calibri" w:cs="Calibri"/>
                <w:b/>
                <w:bCs/>
                <w:color w:val="305496"/>
              </w:rPr>
            </w:pPr>
            <w:r>
              <w:rPr>
                <w:rFonts w:ascii="Calibri" w:eastAsia="Times New Roman" w:hAnsi="Calibri"/>
                <w:b/>
                <w:bCs/>
                <w:color w:val="305496"/>
              </w:rPr>
              <w:t>Equity and Liabilities</w:t>
            </w:r>
          </w:p>
        </w:tc>
        <w:tc>
          <w:tcPr>
            <w:tcW w:w="1180" w:type="dxa"/>
            <w:shd w:val="clear" w:color="auto" w:fill="D9E1F2"/>
            <w:noWrap/>
            <w:vAlign w:val="bottom"/>
            <w:hideMark/>
          </w:tcPr>
          <w:p w:rsidR="00332DF9" w:rsidRDefault="00332DF9">
            <w:pPr>
              <w:spacing w:line="256" w:lineRule="auto"/>
            </w:pPr>
          </w:p>
        </w:tc>
        <w:tc>
          <w:tcPr>
            <w:tcW w:w="1300" w:type="dxa"/>
            <w:shd w:val="clear" w:color="auto" w:fill="D9E1F2"/>
            <w:noWrap/>
            <w:vAlign w:val="bottom"/>
            <w:hideMark/>
          </w:tcPr>
          <w:p w:rsidR="00332DF9" w:rsidRDefault="00332DF9">
            <w:pPr>
              <w:spacing w:line="256" w:lineRule="auto"/>
            </w:pPr>
          </w:p>
        </w:tc>
      </w:tr>
      <w:tr w:rsidR="00332DF9" w:rsidTr="00332DF9">
        <w:trPr>
          <w:trHeight w:val="300"/>
          <w:jc w:val="center"/>
        </w:trPr>
        <w:tc>
          <w:tcPr>
            <w:tcW w:w="2260" w:type="dxa"/>
            <w:noWrap/>
            <w:vAlign w:val="bottom"/>
            <w:hideMark/>
          </w:tcPr>
          <w:p w:rsidR="00332DF9" w:rsidRDefault="00332DF9">
            <w:pPr>
              <w:spacing w:line="240" w:lineRule="auto"/>
              <w:rPr>
                <w:rFonts w:ascii="Calibri" w:eastAsia="Times New Roman" w:hAnsi="Calibri" w:cs="Calibri"/>
                <w:b/>
                <w:bCs/>
                <w:color w:val="305496"/>
              </w:rPr>
            </w:pPr>
            <w:r>
              <w:rPr>
                <w:rFonts w:ascii="Calibri" w:eastAsia="Times New Roman" w:hAnsi="Calibri"/>
                <w:b/>
                <w:bCs/>
                <w:color w:val="305496"/>
              </w:rPr>
              <w:t xml:space="preserve">Shareholder's fund </w:t>
            </w:r>
          </w:p>
        </w:tc>
        <w:tc>
          <w:tcPr>
            <w:tcW w:w="1180" w:type="dxa"/>
            <w:noWrap/>
            <w:vAlign w:val="bottom"/>
            <w:hideMark/>
          </w:tcPr>
          <w:p w:rsidR="00332DF9" w:rsidRDefault="00332DF9">
            <w:pPr>
              <w:spacing w:line="256" w:lineRule="auto"/>
            </w:pPr>
          </w:p>
        </w:tc>
        <w:tc>
          <w:tcPr>
            <w:tcW w:w="1300" w:type="dxa"/>
            <w:noWrap/>
            <w:vAlign w:val="bottom"/>
            <w:hideMark/>
          </w:tcPr>
          <w:p w:rsidR="00332DF9" w:rsidRDefault="00332DF9">
            <w:pPr>
              <w:spacing w:line="256" w:lineRule="auto"/>
            </w:pPr>
          </w:p>
        </w:tc>
      </w:tr>
      <w:tr w:rsidR="00332DF9" w:rsidTr="00332DF9">
        <w:trPr>
          <w:trHeight w:val="300"/>
          <w:jc w:val="center"/>
        </w:trPr>
        <w:tc>
          <w:tcPr>
            <w:tcW w:w="2260" w:type="dxa"/>
            <w:shd w:val="clear" w:color="auto" w:fill="D9E1F2"/>
            <w:noWrap/>
            <w:vAlign w:val="bottom"/>
            <w:hideMark/>
          </w:tcPr>
          <w:p w:rsidR="00332DF9" w:rsidRDefault="00332DF9">
            <w:pPr>
              <w:spacing w:line="256" w:lineRule="auto"/>
            </w:pPr>
          </w:p>
        </w:tc>
        <w:tc>
          <w:tcPr>
            <w:tcW w:w="1180" w:type="dxa"/>
            <w:shd w:val="clear" w:color="auto" w:fill="D9E1F2"/>
            <w:noWrap/>
            <w:vAlign w:val="bottom"/>
            <w:hideMark/>
          </w:tcPr>
          <w:p w:rsidR="00332DF9" w:rsidRDefault="00332DF9">
            <w:pPr>
              <w:spacing w:line="256" w:lineRule="auto"/>
            </w:pPr>
          </w:p>
        </w:tc>
        <w:tc>
          <w:tcPr>
            <w:tcW w:w="1300" w:type="dxa"/>
            <w:shd w:val="clear" w:color="auto" w:fill="D9E1F2"/>
            <w:noWrap/>
            <w:vAlign w:val="bottom"/>
            <w:hideMark/>
          </w:tcPr>
          <w:p w:rsidR="00332DF9" w:rsidRDefault="00332DF9">
            <w:pPr>
              <w:spacing w:line="256" w:lineRule="auto"/>
            </w:pPr>
          </w:p>
        </w:tc>
      </w:tr>
      <w:tr w:rsidR="00332DF9" w:rsidTr="00332DF9">
        <w:trPr>
          <w:trHeight w:val="300"/>
          <w:jc w:val="center"/>
        </w:trPr>
        <w:tc>
          <w:tcPr>
            <w:tcW w:w="2260" w:type="dxa"/>
            <w:noWrap/>
            <w:vAlign w:val="bottom"/>
            <w:hideMark/>
          </w:tcPr>
          <w:p w:rsidR="00332DF9" w:rsidRDefault="00332DF9">
            <w:pPr>
              <w:spacing w:line="240" w:lineRule="auto"/>
              <w:rPr>
                <w:rFonts w:ascii="Calibri" w:eastAsia="Times New Roman" w:hAnsi="Calibri" w:cs="Calibri"/>
                <w:color w:val="305496"/>
              </w:rPr>
            </w:pPr>
            <w:r>
              <w:rPr>
                <w:rFonts w:ascii="Calibri" w:eastAsia="Times New Roman" w:hAnsi="Calibri"/>
                <w:color w:val="305496"/>
              </w:rPr>
              <w:t xml:space="preserve">Ordinary shares </w:t>
            </w:r>
          </w:p>
        </w:tc>
        <w:tc>
          <w:tcPr>
            <w:tcW w:w="1180" w:type="dxa"/>
            <w:noWrap/>
            <w:vAlign w:val="bottom"/>
            <w:hideMark/>
          </w:tcPr>
          <w:p w:rsidR="00332DF9" w:rsidRDefault="00332DF9">
            <w:pPr>
              <w:spacing w:line="256" w:lineRule="auto"/>
            </w:pPr>
          </w:p>
        </w:tc>
        <w:tc>
          <w:tcPr>
            <w:tcW w:w="1300" w:type="dxa"/>
            <w:noWrap/>
            <w:vAlign w:val="bottom"/>
            <w:hideMark/>
          </w:tcPr>
          <w:p w:rsidR="00332DF9" w:rsidRDefault="00332DF9">
            <w:pPr>
              <w:spacing w:line="240" w:lineRule="auto"/>
              <w:jc w:val="right"/>
              <w:rPr>
                <w:rFonts w:ascii="Calibri" w:eastAsia="Times New Roman" w:hAnsi="Calibri" w:cs="Calibri"/>
                <w:color w:val="305496"/>
              </w:rPr>
            </w:pPr>
            <w:r>
              <w:rPr>
                <w:rFonts w:ascii="Calibri" w:eastAsia="Times New Roman" w:hAnsi="Calibri"/>
                <w:color w:val="305496"/>
              </w:rPr>
              <w:t>400000</w:t>
            </w:r>
          </w:p>
        </w:tc>
      </w:tr>
      <w:tr w:rsidR="00332DF9" w:rsidTr="00332DF9">
        <w:trPr>
          <w:trHeight w:val="300"/>
          <w:jc w:val="center"/>
        </w:trPr>
        <w:tc>
          <w:tcPr>
            <w:tcW w:w="2260" w:type="dxa"/>
            <w:shd w:val="clear" w:color="auto" w:fill="D9E1F2"/>
            <w:noWrap/>
            <w:vAlign w:val="bottom"/>
            <w:hideMark/>
          </w:tcPr>
          <w:p w:rsidR="00332DF9" w:rsidRDefault="00332DF9">
            <w:pPr>
              <w:spacing w:line="240" w:lineRule="auto"/>
              <w:rPr>
                <w:rFonts w:ascii="Calibri" w:eastAsia="Times New Roman" w:hAnsi="Calibri" w:cs="Calibri"/>
                <w:color w:val="305496"/>
              </w:rPr>
            </w:pPr>
            <w:r>
              <w:rPr>
                <w:rFonts w:ascii="Calibri" w:eastAsia="Times New Roman" w:hAnsi="Calibri"/>
                <w:color w:val="305496"/>
              </w:rPr>
              <w:t>Preference share</w:t>
            </w:r>
          </w:p>
        </w:tc>
        <w:tc>
          <w:tcPr>
            <w:tcW w:w="1180" w:type="dxa"/>
            <w:shd w:val="clear" w:color="auto" w:fill="D9E1F2"/>
            <w:noWrap/>
            <w:vAlign w:val="bottom"/>
            <w:hideMark/>
          </w:tcPr>
          <w:p w:rsidR="00332DF9" w:rsidRDefault="00332DF9">
            <w:pPr>
              <w:spacing w:line="240" w:lineRule="auto"/>
              <w:jc w:val="right"/>
              <w:rPr>
                <w:rFonts w:ascii="Calibri" w:eastAsia="Times New Roman" w:hAnsi="Calibri" w:cs="Calibri"/>
                <w:color w:val="305496"/>
              </w:rPr>
            </w:pPr>
            <w:r>
              <w:rPr>
                <w:rFonts w:ascii="Calibri" w:eastAsia="Times New Roman" w:hAnsi="Calibri"/>
                <w:color w:val="305496"/>
              </w:rPr>
              <w:t>270000</w:t>
            </w:r>
          </w:p>
        </w:tc>
        <w:tc>
          <w:tcPr>
            <w:tcW w:w="1300" w:type="dxa"/>
            <w:shd w:val="clear" w:color="auto" w:fill="D9E1F2"/>
            <w:noWrap/>
            <w:vAlign w:val="bottom"/>
            <w:hideMark/>
          </w:tcPr>
          <w:p w:rsidR="00332DF9" w:rsidRDefault="00332DF9">
            <w:pPr>
              <w:spacing w:line="256" w:lineRule="auto"/>
            </w:pPr>
          </w:p>
        </w:tc>
      </w:tr>
      <w:tr w:rsidR="00332DF9" w:rsidTr="00332DF9">
        <w:trPr>
          <w:trHeight w:val="300"/>
          <w:jc w:val="center"/>
        </w:trPr>
        <w:tc>
          <w:tcPr>
            <w:tcW w:w="2260" w:type="dxa"/>
            <w:noWrap/>
            <w:vAlign w:val="bottom"/>
            <w:hideMark/>
          </w:tcPr>
          <w:p w:rsidR="00332DF9" w:rsidRDefault="00332DF9">
            <w:pPr>
              <w:spacing w:line="240" w:lineRule="auto"/>
              <w:rPr>
                <w:rFonts w:ascii="Calibri" w:eastAsia="Times New Roman" w:hAnsi="Calibri" w:cs="Calibri"/>
                <w:color w:val="305496"/>
              </w:rPr>
            </w:pPr>
            <w:r>
              <w:rPr>
                <w:rFonts w:ascii="Calibri" w:eastAsia="Times New Roman" w:hAnsi="Calibri"/>
                <w:color w:val="305496"/>
              </w:rPr>
              <w:t>Less: Net loss</w:t>
            </w:r>
          </w:p>
        </w:tc>
        <w:tc>
          <w:tcPr>
            <w:tcW w:w="1180" w:type="dxa"/>
            <w:noWrap/>
            <w:vAlign w:val="bottom"/>
            <w:hideMark/>
          </w:tcPr>
          <w:p w:rsidR="00332DF9" w:rsidRDefault="00332DF9">
            <w:pPr>
              <w:spacing w:line="240" w:lineRule="auto"/>
              <w:jc w:val="right"/>
              <w:rPr>
                <w:rFonts w:ascii="Calibri" w:eastAsia="Times New Roman" w:hAnsi="Calibri" w:cs="Calibri"/>
                <w:color w:val="305496"/>
              </w:rPr>
            </w:pPr>
            <w:r>
              <w:rPr>
                <w:rFonts w:ascii="Calibri" w:eastAsia="Times New Roman" w:hAnsi="Calibri"/>
                <w:color w:val="305496"/>
              </w:rPr>
              <w:t>178330</w:t>
            </w:r>
          </w:p>
        </w:tc>
        <w:tc>
          <w:tcPr>
            <w:tcW w:w="1300" w:type="dxa"/>
            <w:noWrap/>
            <w:vAlign w:val="bottom"/>
            <w:hideMark/>
          </w:tcPr>
          <w:p w:rsidR="00332DF9" w:rsidRDefault="00332DF9">
            <w:pPr>
              <w:spacing w:line="240" w:lineRule="auto"/>
              <w:jc w:val="right"/>
              <w:rPr>
                <w:rFonts w:ascii="Calibri" w:eastAsia="Times New Roman" w:hAnsi="Calibri" w:cs="Calibri"/>
                <w:color w:val="305496"/>
              </w:rPr>
            </w:pPr>
            <w:r>
              <w:rPr>
                <w:rFonts w:ascii="Calibri" w:eastAsia="Times New Roman" w:hAnsi="Calibri"/>
                <w:color w:val="305496"/>
              </w:rPr>
              <w:t>448330</w:t>
            </w:r>
          </w:p>
        </w:tc>
      </w:tr>
      <w:tr w:rsidR="00332DF9" w:rsidTr="00332DF9">
        <w:trPr>
          <w:trHeight w:val="300"/>
          <w:jc w:val="center"/>
        </w:trPr>
        <w:tc>
          <w:tcPr>
            <w:tcW w:w="2260" w:type="dxa"/>
            <w:shd w:val="clear" w:color="auto" w:fill="D9E1F2"/>
            <w:noWrap/>
            <w:vAlign w:val="bottom"/>
            <w:hideMark/>
          </w:tcPr>
          <w:p w:rsidR="00332DF9" w:rsidRDefault="00332DF9">
            <w:pPr>
              <w:spacing w:line="240" w:lineRule="auto"/>
              <w:rPr>
                <w:rFonts w:ascii="Calibri" w:eastAsia="Times New Roman" w:hAnsi="Calibri" w:cs="Calibri"/>
                <w:b/>
                <w:bCs/>
                <w:color w:val="305496"/>
              </w:rPr>
            </w:pPr>
            <w:r>
              <w:rPr>
                <w:rFonts w:ascii="Calibri" w:eastAsia="Times New Roman" w:hAnsi="Calibri"/>
                <w:b/>
                <w:bCs/>
                <w:color w:val="305496"/>
              </w:rPr>
              <w:t>Non-current liabilities</w:t>
            </w:r>
          </w:p>
        </w:tc>
        <w:tc>
          <w:tcPr>
            <w:tcW w:w="1180" w:type="dxa"/>
            <w:shd w:val="clear" w:color="auto" w:fill="D9E1F2"/>
            <w:noWrap/>
            <w:vAlign w:val="bottom"/>
            <w:hideMark/>
          </w:tcPr>
          <w:p w:rsidR="00332DF9" w:rsidRDefault="00332DF9">
            <w:pPr>
              <w:spacing w:line="256" w:lineRule="auto"/>
            </w:pPr>
          </w:p>
        </w:tc>
        <w:tc>
          <w:tcPr>
            <w:tcW w:w="1300" w:type="dxa"/>
            <w:shd w:val="clear" w:color="auto" w:fill="D9E1F2"/>
            <w:noWrap/>
            <w:vAlign w:val="bottom"/>
            <w:hideMark/>
          </w:tcPr>
          <w:p w:rsidR="00332DF9" w:rsidRDefault="00332DF9">
            <w:pPr>
              <w:spacing w:line="256" w:lineRule="auto"/>
            </w:pPr>
          </w:p>
        </w:tc>
      </w:tr>
      <w:tr w:rsidR="00332DF9" w:rsidTr="00332DF9">
        <w:trPr>
          <w:trHeight w:val="300"/>
          <w:jc w:val="center"/>
        </w:trPr>
        <w:tc>
          <w:tcPr>
            <w:tcW w:w="2260" w:type="dxa"/>
            <w:noWrap/>
            <w:vAlign w:val="bottom"/>
            <w:hideMark/>
          </w:tcPr>
          <w:p w:rsidR="00332DF9" w:rsidRDefault="00332DF9">
            <w:pPr>
              <w:spacing w:line="240" w:lineRule="auto"/>
              <w:rPr>
                <w:rFonts w:ascii="Calibri" w:eastAsia="Times New Roman" w:hAnsi="Calibri" w:cs="Calibri"/>
                <w:b/>
                <w:bCs/>
                <w:color w:val="305496"/>
              </w:rPr>
            </w:pPr>
            <w:r>
              <w:rPr>
                <w:rFonts w:ascii="Calibri" w:eastAsia="Times New Roman" w:hAnsi="Calibri"/>
                <w:b/>
                <w:bCs/>
                <w:color w:val="305496"/>
              </w:rPr>
              <w:t xml:space="preserve">Short-term borrowings </w:t>
            </w:r>
          </w:p>
        </w:tc>
        <w:tc>
          <w:tcPr>
            <w:tcW w:w="1180" w:type="dxa"/>
            <w:noWrap/>
            <w:vAlign w:val="bottom"/>
            <w:hideMark/>
          </w:tcPr>
          <w:p w:rsidR="00332DF9" w:rsidRDefault="00332DF9">
            <w:pPr>
              <w:spacing w:line="256" w:lineRule="auto"/>
            </w:pPr>
          </w:p>
        </w:tc>
        <w:tc>
          <w:tcPr>
            <w:tcW w:w="1300" w:type="dxa"/>
            <w:noWrap/>
            <w:vAlign w:val="bottom"/>
            <w:hideMark/>
          </w:tcPr>
          <w:p w:rsidR="00332DF9" w:rsidRDefault="00332DF9">
            <w:pPr>
              <w:spacing w:line="240" w:lineRule="auto"/>
              <w:jc w:val="right"/>
              <w:rPr>
                <w:rFonts w:ascii="Calibri" w:eastAsia="Times New Roman" w:hAnsi="Calibri" w:cs="Calibri"/>
                <w:color w:val="305496"/>
              </w:rPr>
            </w:pPr>
            <w:r>
              <w:rPr>
                <w:rFonts w:ascii="Calibri" w:eastAsia="Times New Roman" w:hAnsi="Calibri"/>
                <w:color w:val="305496"/>
              </w:rPr>
              <w:t>4000</w:t>
            </w:r>
          </w:p>
        </w:tc>
      </w:tr>
      <w:tr w:rsidR="00332DF9" w:rsidTr="00332DF9">
        <w:trPr>
          <w:trHeight w:val="300"/>
          <w:jc w:val="center"/>
        </w:trPr>
        <w:tc>
          <w:tcPr>
            <w:tcW w:w="2260" w:type="dxa"/>
            <w:shd w:val="clear" w:color="auto" w:fill="D9E1F2"/>
            <w:noWrap/>
            <w:vAlign w:val="bottom"/>
            <w:hideMark/>
          </w:tcPr>
          <w:p w:rsidR="00332DF9" w:rsidRDefault="00332DF9">
            <w:pPr>
              <w:spacing w:line="240" w:lineRule="auto"/>
              <w:rPr>
                <w:rFonts w:ascii="Calibri" w:eastAsia="Times New Roman" w:hAnsi="Calibri" w:cs="Calibri"/>
                <w:color w:val="305496"/>
              </w:rPr>
            </w:pPr>
            <w:r>
              <w:rPr>
                <w:rFonts w:ascii="Calibri" w:eastAsia="Times New Roman" w:hAnsi="Calibri"/>
                <w:color w:val="305496"/>
              </w:rPr>
              <w:t>Debentures 4%</w:t>
            </w:r>
          </w:p>
        </w:tc>
        <w:tc>
          <w:tcPr>
            <w:tcW w:w="1180" w:type="dxa"/>
            <w:shd w:val="clear" w:color="auto" w:fill="D9E1F2"/>
            <w:noWrap/>
            <w:vAlign w:val="bottom"/>
            <w:hideMark/>
          </w:tcPr>
          <w:p w:rsidR="00332DF9" w:rsidRDefault="00332DF9">
            <w:pPr>
              <w:spacing w:line="256" w:lineRule="auto"/>
            </w:pPr>
          </w:p>
        </w:tc>
        <w:tc>
          <w:tcPr>
            <w:tcW w:w="1300" w:type="dxa"/>
            <w:shd w:val="clear" w:color="auto" w:fill="D9E1F2"/>
            <w:noWrap/>
            <w:vAlign w:val="bottom"/>
            <w:hideMark/>
          </w:tcPr>
          <w:p w:rsidR="00332DF9" w:rsidRDefault="00332DF9">
            <w:pPr>
              <w:spacing w:line="240" w:lineRule="auto"/>
              <w:jc w:val="right"/>
              <w:rPr>
                <w:rFonts w:ascii="Calibri" w:eastAsia="Times New Roman" w:hAnsi="Calibri" w:cs="Calibri"/>
                <w:color w:val="305496"/>
              </w:rPr>
            </w:pPr>
            <w:r>
              <w:rPr>
                <w:rFonts w:ascii="Calibri" w:eastAsia="Times New Roman" w:hAnsi="Calibri"/>
                <w:color w:val="305496"/>
              </w:rPr>
              <w:t>4000</w:t>
            </w:r>
          </w:p>
        </w:tc>
      </w:tr>
      <w:tr w:rsidR="00332DF9" w:rsidTr="00332DF9">
        <w:trPr>
          <w:trHeight w:val="300"/>
          <w:jc w:val="center"/>
        </w:trPr>
        <w:tc>
          <w:tcPr>
            <w:tcW w:w="2260" w:type="dxa"/>
            <w:noWrap/>
            <w:vAlign w:val="bottom"/>
            <w:hideMark/>
          </w:tcPr>
          <w:p w:rsidR="00332DF9" w:rsidRDefault="00332DF9">
            <w:pPr>
              <w:spacing w:line="240" w:lineRule="auto"/>
              <w:rPr>
                <w:rFonts w:ascii="Calibri" w:eastAsia="Times New Roman" w:hAnsi="Calibri" w:cs="Calibri"/>
                <w:color w:val="305496"/>
              </w:rPr>
            </w:pPr>
            <w:r>
              <w:rPr>
                <w:rFonts w:ascii="Calibri" w:eastAsia="Times New Roman" w:hAnsi="Calibri"/>
                <w:color w:val="305496"/>
              </w:rPr>
              <w:lastRenderedPageBreak/>
              <w:t>Debentures</w:t>
            </w:r>
          </w:p>
        </w:tc>
        <w:tc>
          <w:tcPr>
            <w:tcW w:w="1180" w:type="dxa"/>
            <w:noWrap/>
            <w:vAlign w:val="bottom"/>
            <w:hideMark/>
          </w:tcPr>
          <w:p w:rsidR="00332DF9" w:rsidRDefault="00332DF9">
            <w:pPr>
              <w:spacing w:line="256" w:lineRule="auto"/>
            </w:pPr>
          </w:p>
        </w:tc>
        <w:tc>
          <w:tcPr>
            <w:tcW w:w="1300" w:type="dxa"/>
            <w:noWrap/>
            <w:vAlign w:val="bottom"/>
            <w:hideMark/>
          </w:tcPr>
          <w:p w:rsidR="00332DF9" w:rsidRDefault="00332DF9">
            <w:pPr>
              <w:spacing w:line="240" w:lineRule="auto"/>
              <w:jc w:val="right"/>
              <w:rPr>
                <w:rFonts w:ascii="Calibri" w:eastAsia="Times New Roman" w:hAnsi="Calibri" w:cs="Calibri"/>
                <w:color w:val="305496"/>
              </w:rPr>
            </w:pPr>
            <w:r>
              <w:rPr>
                <w:rFonts w:ascii="Calibri" w:eastAsia="Times New Roman" w:hAnsi="Calibri"/>
                <w:color w:val="305496"/>
              </w:rPr>
              <w:t>100000</w:t>
            </w:r>
          </w:p>
        </w:tc>
      </w:tr>
      <w:tr w:rsidR="00332DF9" w:rsidTr="00332DF9">
        <w:trPr>
          <w:trHeight w:val="300"/>
          <w:jc w:val="center"/>
        </w:trPr>
        <w:tc>
          <w:tcPr>
            <w:tcW w:w="2260" w:type="dxa"/>
            <w:shd w:val="clear" w:color="auto" w:fill="D9E1F2"/>
            <w:noWrap/>
            <w:vAlign w:val="bottom"/>
            <w:hideMark/>
          </w:tcPr>
          <w:p w:rsidR="00332DF9" w:rsidRDefault="00332DF9">
            <w:pPr>
              <w:spacing w:line="240" w:lineRule="auto"/>
              <w:rPr>
                <w:rFonts w:ascii="Calibri" w:eastAsia="Times New Roman" w:hAnsi="Calibri" w:cs="Calibri"/>
                <w:color w:val="305496"/>
              </w:rPr>
            </w:pPr>
            <w:r>
              <w:rPr>
                <w:rFonts w:ascii="Calibri" w:eastAsia="Times New Roman" w:hAnsi="Calibri"/>
                <w:color w:val="305496"/>
              </w:rPr>
              <w:t>Corporate tax</w:t>
            </w:r>
          </w:p>
        </w:tc>
        <w:tc>
          <w:tcPr>
            <w:tcW w:w="1180" w:type="dxa"/>
            <w:shd w:val="clear" w:color="auto" w:fill="D9E1F2"/>
            <w:noWrap/>
            <w:vAlign w:val="bottom"/>
            <w:hideMark/>
          </w:tcPr>
          <w:p w:rsidR="00332DF9" w:rsidRDefault="00332DF9">
            <w:pPr>
              <w:spacing w:line="256" w:lineRule="auto"/>
            </w:pPr>
          </w:p>
        </w:tc>
        <w:tc>
          <w:tcPr>
            <w:tcW w:w="1300" w:type="dxa"/>
            <w:shd w:val="clear" w:color="auto" w:fill="D9E1F2"/>
            <w:noWrap/>
            <w:vAlign w:val="bottom"/>
            <w:hideMark/>
          </w:tcPr>
          <w:p w:rsidR="00332DF9" w:rsidRDefault="00332DF9">
            <w:pPr>
              <w:spacing w:line="240" w:lineRule="auto"/>
              <w:jc w:val="right"/>
              <w:rPr>
                <w:rFonts w:ascii="Calibri" w:eastAsia="Times New Roman" w:hAnsi="Calibri" w:cs="Calibri"/>
                <w:color w:val="305496"/>
              </w:rPr>
            </w:pPr>
            <w:r>
              <w:rPr>
                <w:rFonts w:ascii="Calibri" w:eastAsia="Times New Roman" w:hAnsi="Calibri"/>
                <w:color w:val="305496"/>
              </w:rPr>
              <w:t>100000</w:t>
            </w:r>
          </w:p>
        </w:tc>
      </w:tr>
      <w:tr w:rsidR="00332DF9" w:rsidTr="00332DF9">
        <w:trPr>
          <w:trHeight w:val="300"/>
          <w:jc w:val="center"/>
        </w:trPr>
        <w:tc>
          <w:tcPr>
            <w:tcW w:w="2260" w:type="dxa"/>
            <w:noWrap/>
            <w:vAlign w:val="bottom"/>
            <w:hideMark/>
          </w:tcPr>
          <w:p w:rsidR="00332DF9" w:rsidRDefault="00332DF9">
            <w:pPr>
              <w:spacing w:line="240" w:lineRule="auto"/>
              <w:rPr>
                <w:rFonts w:ascii="Calibri" w:eastAsia="Times New Roman" w:hAnsi="Calibri" w:cs="Calibri"/>
                <w:b/>
                <w:bCs/>
                <w:color w:val="305496"/>
              </w:rPr>
            </w:pPr>
            <w:r>
              <w:rPr>
                <w:rFonts w:ascii="Calibri" w:eastAsia="Times New Roman" w:hAnsi="Calibri"/>
                <w:b/>
                <w:bCs/>
                <w:color w:val="305496"/>
              </w:rPr>
              <w:t xml:space="preserve">Current Liabilities </w:t>
            </w:r>
          </w:p>
        </w:tc>
        <w:tc>
          <w:tcPr>
            <w:tcW w:w="1180" w:type="dxa"/>
            <w:noWrap/>
            <w:vAlign w:val="bottom"/>
            <w:hideMark/>
          </w:tcPr>
          <w:p w:rsidR="00332DF9" w:rsidRDefault="00332DF9">
            <w:pPr>
              <w:spacing w:line="256" w:lineRule="auto"/>
            </w:pPr>
          </w:p>
        </w:tc>
        <w:tc>
          <w:tcPr>
            <w:tcW w:w="1300" w:type="dxa"/>
            <w:noWrap/>
            <w:vAlign w:val="bottom"/>
            <w:hideMark/>
          </w:tcPr>
          <w:p w:rsidR="00332DF9" w:rsidRDefault="00332DF9">
            <w:pPr>
              <w:spacing w:line="256" w:lineRule="auto"/>
            </w:pPr>
          </w:p>
        </w:tc>
      </w:tr>
      <w:tr w:rsidR="00332DF9" w:rsidTr="00332DF9">
        <w:trPr>
          <w:trHeight w:val="300"/>
          <w:jc w:val="center"/>
        </w:trPr>
        <w:tc>
          <w:tcPr>
            <w:tcW w:w="2260" w:type="dxa"/>
            <w:shd w:val="clear" w:color="auto" w:fill="D9E1F2"/>
            <w:noWrap/>
            <w:vAlign w:val="bottom"/>
            <w:hideMark/>
          </w:tcPr>
          <w:p w:rsidR="00332DF9" w:rsidRDefault="00332DF9">
            <w:pPr>
              <w:spacing w:line="240" w:lineRule="auto"/>
              <w:rPr>
                <w:rFonts w:ascii="Calibri" w:eastAsia="Times New Roman" w:hAnsi="Calibri" w:cs="Calibri"/>
                <w:color w:val="305496"/>
              </w:rPr>
            </w:pPr>
            <w:r>
              <w:rPr>
                <w:rFonts w:ascii="Calibri" w:eastAsia="Times New Roman" w:hAnsi="Calibri"/>
                <w:color w:val="305496"/>
              </w:rPr>
              <w:t>Outstanding Expenses</w:t>
            </w:r>
          </w:p>
        </w:tc>
        <w:tc>
          <w:tcPr>
            <w:tcW w:w="1180" w:type="dxa"/>
            <w:shd w:val="clear" w:color="auto" w:fill="D9E1F2"/>
            <w:noWrap/>
            <w:vAlign w:val="bottom"/>
            <w:hideMark/>
          </w:tcPr>
          <w:p w:rsidR="00332DF9" w:rsidRDefault="00332DF9">
            <w:pPr>
              <w:spacing w:line="256" w:lineRule="auto"/>
            </w:pPr>
          </w:p>
        </w:tc>
        <w:tc>
          <w:tcPr>
            <w:tcW w:w="1300" w:type="dxa"/>
            <w:shd w:val="clear" w:color="auto" w:fill="D9E1F2"/>
            <w:noWrap/>
            <w:vAlign w:val="bottom"/>
            <w:hideMark/>
          </w:tcPr>
          <w:p w:rsidR="00332DF9" w:rsidRDefault="00332DF9">
            <w:pPr>
              <w:spacing w:line="240" w:lineRule="auto"/>
              <w:jc w:val="right"/>
              <w:rPr>
                <w:rFonts w:ascii="Calibri" w:eastAsia="Times New Roman" w:hAnsi="Calibri" w:cs="Calibri"/>
                <w:color w:val="305496"/>
              </w:rPr>
            </w:pPr>
            <w:r>
              <w:rPr>
                <w:rFonts w:ascii="Calibri" w:eastAsia="Times New Roman" w:hAnsi="Calibri"/>
                <w:color w:val="305496"/>
              </w:rPr>
              <w:t>3000</w:t>
            </w:r>
          </w:p>
        </w:tc>
      </w:tr>
      <w:tr w:rsidR="00332DF9" w:rsidTr="00332DF9">
        <w:trPr>
          <w:trHeight w:val="300"/>
          <w:jc w:val="center"/>
        </w:trPr>
        <w:tc>
          <w:tcPr>
            <w:tcW w:w="2260" w:type="dxa"/>
            <w:noWrap/>
            <w:vAlign w:val="bottom"/>
            <w:hideMark/>
          </w:tcPr>
          <w:p w:rsidR="00332DF9" w:rsidRDefault="00332DF9">
            <w:pPr>
              <w:spacing w:line="240" w:lineRule="auto"/>
              <w:rPr>
                <w:rFonts w:ascii="Calibri" w:eastAsia="Times New Roman" w:hAnsi="Calibri" w:cs="Calibri"/>
                <w:color w:val="305496"/>
              </w:rPr>
            </w:pPr>
            <w:r>
              <w:rPr>
                <w:rFonts w:ascii="Calibri" w:eastAsia="Times New Roman" w:hAnsi="Calibri"/>
                <w:color w:val="305496"/>
              </w:rPr>
              <w:t xml:space="preserve">Trade Payables </w:t>
            </w:r>
          </w:p>
        </w:tc>
        <w:tc>
          <w:tcPr>
            <w:tcW w:w="1180" w:type="dxa"/>
            <w:noWrap/>
            <w:vAlign w:val="bottom"/>
            <w:hideMark/>
          </w:tcPr>
          <w:p w:rsidR="00332DF9" w:rsidRDefault="00332DF9">
            <w:pPr>
              <w:spacing w:line="256" w:lineRule="auto"/>
            </w:pPr>
          </w:p>
        </w:tc>
        <w:tc>
          <w:tcPr>
            <w:tcW w:w="1300" w:type="dxa"/>
            <w:noWrap/>
            <w:vAlign w:val="bottom"/>
            <w:hideMark/>
          </w:tcPr>
          <w:p w:rsidR="00332DF9" w:rsidRDefault="00332DF9">
            <w:pPr>
              <w:spacing w:line="240" w:lineRule="auto"/>
              <w:jc w:val="right"/>
              <w:rPr>
                <w:rFonts w:ascii="Calibri" w:eastAsia="Times New Roman" w:hAnsi="Calibri" w:cs="Calibri"/>
                <w:color w:val="305496"/>
              </w:rPr>
            </w:pPr>
            <w:r>
              <w:rPr>
                <w:rFonts w:ascii="Calibri" w:eastAsia="Times New Roman" w:hAnsi="Calibri"/>
                <w:color w:val="305496"/>
              </w:rPr>
              <w:t>171355</w:t>
            </w:r>
          </w:p>
        </w:tc>
      </w:tr>
      <w:tr w:rsidR="00332DF9" w:rsidTr="00332DF9">
        <w:trPr>
          <w:trHeight w:val="300"/>
          <w:jc w:val="center"/>
        </w:trPr>
        <w:tc>
          <w:tcPr>
            <w:tcW w:w="2260" w:type="dxa"/>
            <w:shd w:val="clear" w:color="auto" w:fill="D9E1F2"/>
            <w:noWrap/>
            <w:vAlign w:val="bottom"/>
            <w:hideMark/>
          </w:tcPr>
          <w:p w:rsidR="00332DF9" w:rsidRDefault="00332DF9">
            <w:pPr>
              <w:spacing w:line="240" w:lineRule="auto"/>
              <w:rPr>
                <w:rFonts w:ascii="Calibri" w:eastAsia="Times New Roman" w:hAnsi="Calibri" w:cs="Calibri"/>
                <w:b/>
                <w:bCs/>
                <w:color w:val="305496"/>
              </w:rPr>
            </w:pPr>
            <w:r>
              <w:rPr>
                <w:rFonts w:ascii="Calibri" w:eastAsia="Times New Roman" w:hAnsi="Calibri"/>
                <w:b/>
                <w:bCs/>
                <w:color w:val="305496"/>
              </w:rPr>
              <w:t>Total Liabilities</w:t>
            </w:r>
          </w:p>
        </w:tc>
        <w:tc>
          <w:tcPr>
            <w:tcW w:w="1180" w:type="dxa"/>
            <w:shd w:val="clear" w:color="auto" w:fill="D9E1F2"/>
            <w:noWrap/>
            <w:vAlign w:val="bottom"/>
            <w:hideMark/>
          </w:tcPr>
          <w:p w:rsidR="00332DF9" w:rsidRDefault="00332DF9">
            <w:pPr>
              <w:spacing w:line="256" w:lineRule="auto"/>
            </w:pPr>
          </w:p>
        </w:tc>
        <w:tc>
          <w:tcPr>
            <w:tcW w:w="1300" w:type="dxa"/>
            <w:shd w:val="clear" w:color="auto" w:fill="D9E1F2"/>
            <w:noWrap/>
            <w:vAlign w:val="bottom"/>
            <w:hideMark/>
          </w:tcPr>
          <w:p w:rsidR="00332DF9" w:rsidRDefault="00332DF9">
            <w:pPr>
              <w:spacing w:line="240" w:lineRule="auto"/>
              <w:jc w:val="right"/>
              <w:rPr>
                <w:rFonts w:ascii="Calibri" w:eastAsia="Times New Roman" w:hAnsi="Calibri" w:cs="Calibri"/>
                <w:b/>
                <w:bCs/>
                <w:color w:val="305496"/>
              </w:rPr>
            </w:pPr>
            <w:r>
              <w:rPr>
                <w:rFonts w:ascii="Calibri" w:eastAsia="Times New Roman" w:hAnsi="Calibri"/>
                <w:b/>
                <w:bCs/>
                <w:color w:val="305496"/>
              </w:rPr>
              <w:t>1230685</w:t>
            </w:r>
          </w:p>
        </w:tc>
      </w:tr>
      <w:tr w:rsidR="00332DF9" w:rsidTr="00332DF9">
        <w:trPr>
          <w:trHeight w:val="300"/>
          <w:jc w:val="center"/>
        </w:trPr>
        <w:tc>
          <w:tcPr>
            <w:tcW w:w="2260" w:type="dxa"/>
            <w:noWrap/>
            <w:vAlign w:val="bottom"/>
            <w:hideMark/>
          </w:tcPr>
          <w:p w:rsidR="00332DF9" w:rsidRDefault="00332DF9">
            <w:pPr>
              <w:spacing w:line="240" w:lineRule="auto"/>
              <w:rPr>
                <w:rFonts w:ascii="Calibri" w:eastAsia="Times New Roman" w:hAnsi="Calibri" w:cs="Calibri"/>
                <w:b/>
                <w:bCs/>
                <w:color w:val="305496"/>
              </w:rPr>
            </w:pPr>
            <w:r>
              <w:rPr>
                <w:rFonts w:ascii="Calibri" w:eastAsia="Times New Roman" w:hAnsi="Calibri"/>
                <w:b/>
                <w:bCs/>
                <w:color w:val="305496"/>
              </w:rPr>
              <w:t xml:space="preserve">Assets </w:t>
            </w:r>
          </w:p>
        </w:tc>
        <w:tc>
          <w:tcPr>
            <w:tcW w:w="1180" w:type="dxa"/>
            <w:noWrap/>
            <w:vAlign w:val="bottom"/>
            <w:hideMark/>
          </w:tcPr>
          <w:p w:rsidR="00332DF9" w:rsidRDefault="00332DF9">
            <w:pPr>
              <w:spacing w:line="256" w:lineRule="auto"/>
            </w:pPr>
          </w:p>
        </w:tc>
        <w:tc>
          <w:tcPr>
            <w:tcW w:w="1300" w:type="dxa"/>
            <w:noWrap/>
            <w:vAlign w:val="bottom"/>
            <w:hideMark/>
          </w:tcPr>
          <w:p w:rsidR="00332DF9" w:rsidRDefault="00332DF9">
            <w:pPr>
              <w:spacing w:line="256" w:lineRule="auto"/>
            </w:pPr>
          </w:p>
        </w:tc>
      </w:tr>
      <w:tr w:rsidR="00332DF9" w:rsidTr="00332DF9">
        <w:trPr>
          <w:trHeight w:val="300"/>
          <w:jc w:val="center"/>
        </w:trPr>
        <w:tc>
          <w:tcPr>
            <w:tcW w:w="2260" w:type="dxa"/>
            <w:shd w:val="clear" w:color="auto" w:fill="D9E1F2"/>
            <w:noWrap/>
            <w:vAlign w:val="bottom"/>
            <w:hideMark/>
          </w:tcPr>
          <w:p w:rsidR="00332DF9" w:rsidRDefault="00332DF9">
            <w:pPr>
              <w:spacing w:line="240" w:lineRule="auto"/>
              <w:rPr>
                <w:rFonts w:ascii="Calibri" w:eastAsia="Times New Roman" w:hAnsi="Calibri" w:cs="Calibri"/>
                <w:b/>
                <w:bCs/>
                <w:color w:val="305496"/>
              </w:rPr>
            </w:pPr>
            <w:r>
              <w:rPr>
                <w:rFonts w:ascii="Calibri" w:eastAsia="Times New Roman" w:hAnsi="Calibri"/>
                <w:b/>
                <w:bCs/>
                <w:color w:val="305496"/>
              </w:rPr>
              <w:t>Non-current assets</w:t>
            </w:r>
          </w:p>
        </w:tc>
        <w:tc>
          <w:tcPr>
            <w:tcW w:w="1180" w:type="dxa"/>
            <w:shd w:val="clear" w:color="auto" w:fill="D9E1F2"/>
            <w:noWrap/>
            <w:vAlign w:val="bottom"/>
            <w:hideMark/>
          </w:tcPr>
          <w:p w:rsidR="00332DF9" w:rsidRDefault="00332DF9">
            <w:pPr>
              <w:spacing w:line="256" w:lineRule="auto"/>
            </w:pPr>
          </w:p>
        </w:tc>
        <w:tc>
          <w:tcPr>
            <w:tcW w:w="1300" w:type="dxa"/>
            <w:shd w:val="clear" w:color="auto" w:fill="D9E1F2"/>
            <w:noWrap/>
            <w:vAlign w:val="bottom"/>
            <w:hideMark/>
          </w:tcPr>
          <w:p w:rsidR="00332DF9" w:rsidRDefault="00332DF9">
            <w:pPr>
              <w:spacing w:line="256" w:lineRule="auto"/>
            </w:pPr>
          </w:p>
        </w:tc>
      </w:tr>
      <w:tr w:rsidR="00332DF9" w:rsidTr="00332DF9">
        <w:trPr>
          <w:trHeight w:val="300"/>
          <w:jc w:val="center"/>
        </w:trPr>
        <w:tc>
          <w:tcPr>
            <w:tcW w:w="2260" w:type="dxa"/>
            <w:noWrap/>
            <w:vAlign w:val="bottom"/>
            <w:hideMark/>
          </w:tcPr>
          <w:p w:rsidR="00332DF9" w:rsidRDefault="00332DF9">
            <w:pPr>
              <w:spacing w:line="240" w:lineRule="auto"/>
              <w:rPr>
                <w:rFonts w:ascii="Calibri" w:eastAsia="Times New Roman" w:hAnsi="Calibri" w:cs="Calibri"/>
                <w:b/>
                <w:bCs/>
                <w:color w:val="305496"/>
              </w:rPr>
            </w:pPr>
            <w:r>
              <w:rPr>
                <w:rFonts w:ascii="Calibri" w:eastAsia="Times New Roman" w:hAnsi="Calibri"/>
                <w:b/>
                <w:bCs/>
                <w:color w:val="305496"/>
              </w:rPr>
              <w:t>Fixed Assets</w:t>
            </w:r>
          </w:p>
        </w:tc>
        <w:tc>
          <w:tcPr>
            <w:tcW w:w="1180" w:type="dxa"/>
            <w:noWrap/>
            <w:vAlign w:val="bottom"/>
            <w:hideMark/>
          </w:tcPr>
          <w:p w:rsidR="00332DF9" w:rsidRDefault="00332DF9">
            <w:pPr>
              <w:spacing w:line="256" w:lineRule="auto"/>
            </w:pPr>
          </w:p>
        </w:tc>
        <w:tc>
          <w:tcPr>
            <w:tcW w:w="1300" w:type="dxa"/>
            <w:noWrap/>
            <w:vAlign w:val="bottom"/>
            <w:hideMark/>
          </w:tcPr>
          <w:p w:rsidR="00332DF9" w:rsidRDefault="00332DF9">
            <w:pPr>
              <w:spacing w:line="256" w:lineRule="auto"/>
            </w:pPr>
          </w:p>
        </w:tc>
      </w:tr>
      <w:tr w:rsidR="00332DF9" w:rsidTr="00332DF9">
        <w:trPr>
          <w:trHeight w:val="300"/>
          <w:jc w:val="center"/>
        </w:trPr>
        <w:tc>
          <w:tcPr>
            <w:tcW w:w="2260" w:type="dxa"/>
            <w:shd w:val="clear" w:color="auto" w:fill="D9E1F2"/>
            <w:noWrap/>
            <w:vAlign w:val="bottom"/>
            <w:hideMark/>
          </w:tcPr>
          <w:p w:rsidR="00332DF9" w:rsidRDefault="00332DF9">
            <w:pPr>
              <w:spacing w:line="240" w:lineRule="auto"/>
              <w:rPr>
                <w:rFonts w:ascii="Calibri" w:eastAsia="Times New Roman" w:hAnsi="Calibri" w:cs="Calibri"/>
                <w:color w:val="305496"/>
              </w:rPr>
            </w:pPr>
            <w:r>
              <w:rPr>
                <w:rFonts w:ascii="Calibri" w:eastAsia="Times New Roman" w:hAnsi="Calibri"/>
                <w:color w:val="305496"/>
              </w:rPr>
              <w:t xml:space="preserve">Plant and </w:t>
            </w:r>
            <w:proofErr w:type="spellStart"/>
            <w:r>
              <w:rPr>
                <w:rFonts w:ascii="Calibri" w:eastAsia="Times New Roman" w:hAnsi="Calibri"/>
                <w:color w:val="305496"/>
              </w:rPr>
              <w:t>Equipments</w:t>
            </w:r>
            <w:proofErr w:type="spellEnd"/>
          </w:p>
        </w:tc>
        <w:tc>
          <w:tcPr>
            <w:tcW w:w="1180" w:type="dxa"/>
            <w:shd w:val="clear" w:color="auto" w:fill="D9E1F2"/>
            <w:noWrap/>
            <w:vAlign w:val="bottom"/>
            <w:hideMark/>
          </w:tcPr>
          <w:p w:rsidR="00332DF9" w:rsidRDefault="00332DF9">
            <w:pPr>
              <w:spacing w:line="256" w:lineRule="auto"/>
            </w:pPr>
          </w:p>
        </w:tc>
        <w:tc>
          <w:tcPr>
            <w:tcW w:w="1300" w:type="dxa"/>
            <w:shd w:val="clear" w:color="auto" w:fill="D9E1F2"/>
            <w:noWrap/>
            <w:vAlign w:val="bottom"/>
            <w:hideMark/>
          </w:tcPr>
          <w:p w:rsidR="00332DF9" w:rsidRDefault="00332DF9">
            <w:pPr>
              <w:spacing w:line="240" w:lineRule="auto"/>
              <w:jc w:val="right"/>
              <w:rPr>
                <w:rFonts w:ascii="Calibri" w:eastAsia="Times New Roman" w:hAnsi="Calibri" w:cs="Calibri"/>
                <w:color w:val="305496"/>
              </w:rPr>
            </w:pPr>
            <w:r>
              <w:rPr>
                <w:rFonts w:ascii="Calibri" w:eastAsia="Times New Roman" w:hAnsi="Calibri"/>
                <w:color w:val="305496"/>
              </w:rPr>
              <w:t>652730</w:t>
            </w:r>
          </w:p>
        </w:tc>
      </w:tr>
      <w:tr w:rsidR="00332DF9" w:rsidTr="00332DF9">
        <w:trPr>
          <w:trHeight w:val="300"/>
          <w:jc w:val="center"/>
        </w:trPr>
        <w:tc>
          <w:tcPr>
            <w:tcW w:w="2260" w:type="dxa"/>
            <w:noWrap/>
            <w:vAlign w:val="bottom"/>
            <w:hideMark/>
          </w:tcPr>
          <w:p w:rsidR="00332DF9" w:rsidRDefault="00332DF9">
            <w:pPr>
              <w:spacing w:line="240" w:lineRule="auto"/>
              <w:rPr>
                <w:rFonts w:ascii="Calibri" w:eastAsia="Times New Roman" w:hAnsi="Calibri" w:cs="Calibri"/>
                <w:b/>
                <w:bCs/>
                <w:color w:val="305496"/>
              </w:rPr>
            </w:pPr>
            <w:r>
              <w:rPr>
                <w:rFonts w:ascii="Calibri" w:eastAsia="Times New Roman" w:hAnsi="Calibri"/>
                <w:b/>
                <w:bCs/>
                <w:color w:val="305496"/>
              </w:rPr>
              <w:t>Current Assets</w:t>
            </w:r>
          </w:p>
        </w:tc>
        <w:tc>
          <w:tcPr>
            <w:tcW w:w="1180" w:type="dxa"/>
            <w:noWrap/>
            <w:vAlign w:val="bottom"/>
            <w:hideMark/>
          </w:tcPr>
          <w:p w:rsidR="00332DF9" w:rsidRDefault="00332DF9">
            <w:pPr>
              <w:spacing w:line="256" w:lineRule="auto"/>
            </w:pPr>
          </w:p>
        </w:tc>
        <w:tc>
          <w:tcPr>
            <w:tcW w:w="1300" w:type="dxa"/>
            <w:noWrap/>
            <w:vAlign w:val="bottom"/>
            <w:hideMark/>
          </w:tcPr>
          <w:p w:rsidR="00332DF9" w:rsidRDefault="00332DF9">
            <w:pPr>
              <w:spacing w:line="256" w:lineRule="auto"/>
            </w:pPr>
          </w:p>
        </w:tc>
      </w:tr>
      <w:tr w:rsidR="00332DF9" w:rsidTr="00332DF9">
        <w:trPr>
          <w:trHeight w:val="300"/>
          <w:jc w:val="center"/>
        </w:trPr>
        <w:tc>
          <w:tcPr>
            <w:tcW w:w="2260" w:type="dxa"/>
            <w:shd w:val="clear" w:color="auto" w:fill="D9E1F2"/>
            <w:noWrap/>
            <w:vAlign w:val="bottom"/>
            <w:hideMark/>
          </w:tcPr>
          <w:p w:rsidR="00332DF9" w:rsidRDefault="00332DF9">
            <w:pPr>
              <w:spacing w:line="240" w:lineRule="auto"/>
              <w:rPr>
                <w:rFonts w:ascii="Calibri" w:eastAsia="Times New Roman" w:hAnsi="Calibri" w:cs="Calibri"/>
                <w:color w:val="305496"/>
              </w:rPr>
            </w:pPr>
            <w:r>
              <w:rPr>
                <w:rFonts w:ascii="Calibri" w:eastAsia="Times New Roman" w:hAnsi="Calibri"/>
                <w:color w:val="305496"/>
              </w:rPr>
              <w:t xml:space="preserve">Trade receivables </w:t>
            </w:r>
          </w:p>
        </w:tc>
        <w:tc>
          <w:tcPr>
            <w:tcW w:w="1180" w:type="dxa"/>
            <w:shd w:val="clear" w:color="auto" w:fill="D9E1F2"/>
            <w:noWrap/>
            <w:vAlign w:val="bottom"/>
            <w:hideMark/>
          </w:tcPr>
          <w:p w:rsidR="00332DF9" w:rsidRDefault="00332DF9">
            <w:pPr>
              <w:spacing w:line="240" w:lineRule="auto"/>
              <w:jc w:val="right"/>
              <w:rPr>
                <w:rFonts w:ascii="Calibri" w:eastAsia="Times New Roman" w:hAnsi="Calibri" w:cs="Calibri"/>
                <w:color w:val="305496"/>
              </w:rPr>
            </w:pPr>
            <w:r>
              <w:rPr>
                <w:rFonts w:ascii="Calibri" w:eastAsia="Times New Roman" w:hAnsi="Calibri"/>
                <w:color w:val="305496"/>
              </w:rPr>
              <w:t>170125</w:t>
            </w:r>
          </w:p>
        </w:tc>
        <w:tc>
          <w:tcPr>
            <w:tcW w:w="1300" w:type="dxa"/>
            <w:shd w:val="clear" w:color="auto" w:fill="D9E1F2"/>
            <w:noWrap/>
            <w:vAlign w:val="bottom"/>
            <w:hideMark/>
          </w:tcPr>
          <w:p w:rsidR="00332DF9" w:rsidRDefault="00332DF9">
            <w:pPr>
              <w:spacing w:line="256" w:lineRule="auto"/>
            </w:pPr>
          </w:p>
        </w:tc>
      </w:tr>
      <w:tr w:rsidR="00332DF9" w:rsidTr="00332DF9">
        <w:trPr>
          <w:trHeight w:val="300"/>
          <w:jc w:val="center"/>
        </w:trPr>
        <w:tc>
          <w:tcPr>
            <w:tcW w:w="2260" w:type="dxa"/>
            <w:noWrap/>
            <w:vAlign w:val="bottom"/>
            <w:hideMark/>
          </w:tcPr>
          <w:p w:rsidR="00332DF9" w:rsidRDefault="00332DF9">
            <w:pPr>
              <w:spacing w:line="240" w:lineRule="auto"/>
              <w:rPr>
                <w:rFonts w:ascii="Calibri" w:eastAsia="Times New Roman" w:hAnsi="Calibri" w:cs="Calibri"/>
                <w:b/>
                <w:bCs/>
                <w:color w:val="305496"/>
              </w:rPr>
            </w:pPr>
            <w:r>
              <w:rPr>
                <w:rFonts w:ascii="Calibri" w:eastAsia="Times New Roman" w:hAnsi="Calibri"/>
                <w:b/>
                <w:bCs/>
                <w:color w:val="305496"/>
              </w:rPr>
              <w:t>Credit sales</w:t>
            </w:r>
          </w:p>
        </w:tc>
        <w:tc>
          <w:tcPr>
            <w:tcW w:w="1180" w:type="dxa"/>
            <w:noWrap/>
            <w:vAlign w:val="bottom"/>
            <w:hideMark/>
          </w:tcPr>
          <w:p w:rsidR="00332DF9" w:rsidRDefault="00332DF9">
            <w:pPr>
              <w:spacing w:line="240" w:lineRule="auto"/>
              <w:jc w:val="right"/>
              <w:rPr>
                <w:rFonts w:ascii="Calibri" w:eastAsia="Times New Roman" w:hAnsi="Calibri" w:cs="Calibri"/>
                <w:color w:val="305496"/>
              </w:rPr>
            </w:pPr>
            <w:r>
              <w:rPr>
                <w:rFonts w:ascii="Calibri" w:eastAsia="Times New Roman" w:hAnsi="Calibri"/>
                <w:color w:val="305496"/>
              </w:rPr>
              <w:t>980</w:t>
            </w:r>
          </w:p>
        </w:tc>
        <w:tc>
          <w:tcPr>
            <w:tcW w:w="1300" w:type="dxa"/>
            <w:noWrap/>
            <w:vAlign w:val="bottom"/>
            <w:hideMark/>
          </w:tcPr>
          <w:p w:rsidR="00332DF9" w:rsidRDefault="00332DF9">
            <w:pPr>
              <w:spacing w:line="240" w:lineRule="auto"/>
              <w:jc w:val="right"/>
              <w:rPr>
                <w:rFonts w:ascii="Calibri" w:eastAsia="Times New Roman" w:hAnsi="Calibri" w:cs="Calibri"/>
                <w:color w:val="305496"/>
              </w:rPr>
            </w:pPr>
            <w:r>
              <w:rPr>
                <w:rFonts w:ascii="Calibri" w:eastAsia="Times New Roman" w:hAnsi="Calibri"/>
                <w:color w:val="305496"/>
              </w:rPr>
              <w:t>171105</w:t>
            </w:r>
          </w:p>
        </w:tc>
      </w:tr>
      <w:tr w:rsidR="00332DF9" w:rsidTr="00332DF9">
        <w:trPr>
          <w:trHeight w:val="300"/>
          <w:jc w:val="center"/>
        </w:trPr>
        <w:tc>
          <w:tcPr>
            <w:tcW w:w="2260" w:type="dxa"/>
            <w:shd w:val="clear" w:color="auto" w:fill="D9E1F2"/>
            <w:noWrap/>
            <w:vAlign w:val="bottom"/>
            <w:hideMark/>
          </w:tcPr>
          <w:p w:rsidR="00332DF9" w:rsidRDefault="00332DF9">
            <w:pPr>
              <w:spacing w:line="240" w:lineRule="auto"/>
              <w:rPr>
                <w:rFonts w:ascii="Calibri" w:eastAsia="Times New Roman" w:hAnsi="Calibri" w:cs="Calibri"/>
                <w:color w:val="305496"/>
              </w:rPr>
            </w:pPr>
            <w:r>
              <w:rPr>
                <w:rFonts w:ascii="Calibri" w:eastAsia="Times New Roman" w:hAnsi="Calibri"/>
                <w:color w:val="305496"/>
              </w:rPr>
              <w:t xml:space="preserve">Cash and banks </w:t>
            </w:r>
          </w:p>
        </w:tc>
        <w:tc>
          <w:tcPr>
            <w:tcW w:w="1180" w:type="dxa"/>
            <w:shd w:val="clear" w:color="auto" w:fill="D9E1F2"/>
            <w:noWrap/>
            <w:vAlign w:val="bottom"/>
            <w:hideMark/>
          </w:tcPr>
          <w:p w:rsidR="00332DF9" w:rsidRDefault="00332DF9">
            <w:pPr>
              <w:spacing w:line="256" w:lineRule="auto"/>
            </w:pPr>
          </w:p>
        </w:tc>
        <w:tc>
          <w:tcPr>
            <w:tcW w:w="1300" w:type="dxa"/>
            <w:shd w:val="clear" w:color="auto" w:fill="D9E1F2"/>
            <w:noWrap/>
            <w:vAlign w:val="bottom"/>
            <w:hideMark/>
          </w:tcPr>
          <w:p w:rsidR="00332DF9" w:rsidRDefault="00332DF9">
            <w:pPr>
              <w:spacing w:line="240" w:lineRule="auto"/>
              <w:jc w:val="right"/>
              <w:rPr>
                <w:rFonts w:ascii="Calibri" w:eastAsia="Times New Roman" w:hAnsi="Calibri" w:cs="Calibri"/>
                <w:color w:val="305496"/>
              </w:rPr>
            </w:pPr>
            <w:r>
              <w:rPr>
                <w:rFonts w:ascii="Calibri" w:eastAsia="Times New Roman" w:hAnsi="Calibri"/>
                <w:color w:val="305496"/>
              </w:rPr>
              <w:t>76250</w:t>
            </w:r>
          </w:p>
        </w:tc>
      </w:tr>
      <w:tr w:rsidR="00332DF9" w:rsidTr="00332DF9">
        <w:trPr>
          <w:trHeight w:val="300"/>
          <w:jc w:val="center"/>
        </w:trPr>
        <w:tc>
          <w:tcPr>
            <w:tcW w:w="2260" w:type="dxa"/>
            <w:noWrap/>
            <w:vAlign w:val="bottom"/>
            <w:hideMark/>
          </w:tcPr>
          <w:p w:rsidR="00332DF9" w:rsidRDefault="00332DF9">
            <w:pPr>
              <w:spacing w:line="240" w:lineRule="auto"/>
              <w:rPr>
                <w:rFonts w:ascii="Calibri" w:eastAsia="Times New Roman" w:hAnsi="Calibri" w:cs="Calibri"/>
                <w:color w:val="305496"/>
              </w:rPr>
            </w:pPr>
            <w:r>
              <w:rPr>
                <w:rFonts w:ascii="Calibri" w:eastAsia="Times New Roman" w:hAnsi="Calibri"/>
                <w:color w:val="305496"/>
              </w:rPr>
              <w:t xml:space="preserve">Closing stock </w:t>
            </w:r>
          </w:p>
        </w:tc>
        <w:tc>
          <w:tcPr>
            <w:tcW w:w="1180" w:type="dxa"/>
            <w:noWrap/>
            <w:vAlign w:val="bottom"/>
            <w:hideMark/>
          </w:tcPr>
          <w:p w:rsidR="00332DF9" w:rsidRDefault="00332DF9">
            <w:pPr>
              <w:spacing w:line="256" w:lineRule="auto"/>
            </w:pPr>
          </w:p>
        </w:tc>
        <w:tc>
          <w:tcPr>
            <w:tcW w:w="1300" w:type="dxa"/>
            <w:noWrap/>
            <w:vAlign w:val="bottom"/>
            <w:hideMark/>
          </w:tcPr>
          <w:p w:rsidR="00332DF9" w:rsidRDefault="00332DF9">
            <w:pPr>
              <w:spacing w:line="240" w:lineRule="auto"/>
              <w:jc w:val="right"/>
              <w:rPr>
                <w:rFonts w:ascii="Calibri" w:eastAsia="Times New Roman" w:hAnsi="Calibri" w:cs="Calibri"/>
                <w:color w:val="305496"/>
              </w:rPr>
            </w:pPr>
            <w:r>
              <w:rPr>
                <w:rFonts w:ascii="Calibri" w:eastAsia="Times New Roman" w:hAnsi="Calibri"/>
                <w:color w:val="305496"/>
              </w:rPr>
              <w:t>330600</w:t>
            </w:r>
          </w:p>
        </w:tc>
      </w:tr>
      <w:tr w:rsidR="00332DF9" w:rsidTr="00332DF9">
        <w:trPr>
          <w:trHeight w:val="300"/>
          <w:jc w:val="center"/>
        </w:trPr>
        <w:tc>
          <w:tcPr>
            <w:tcW w:w="2260" w:type="dxa"/>
            <w:shd w:val="clear" w:color="auto" w:fill="D9E1F2"/>
            <w:noWrap/>
            <w:vAlign w:val="bottom"/>
            <w:hideMark/>
          </w:tcPr>
          <w:p w:rsidR="00332DF9" w:rsidRDefault="00332DF9">
            <w:pPr>
              <w:spacing w:line="256" w:lineRule="auto"/>
            </w:pPr>
          </w:p>
        </w:tc>
        <w:tc>
          <w:tcPr>
            <w:tcW w:w="1180" w:type="dxa"/>
            <w:shd w:val="clear" w:color="auto" w:fill="D9E1F2"/>
            <w:noWrap/>
            <w:vAlign w:val="bottom"/>
            <w:hideMark/>
          </w:tcPr>
          <w:p w:rsidR="00332DF9" w:rsidRDefault="00332DF9">
            <w:pPr>
              <w:spacing w:line="256" w:lineRule="auto"/>
            </w:pPr>
          </w:p>
        </w:tc>
        <w:tc>
          <w:tcPr>
            <w:tcW w:w="1300" w:type="dxa"/>
            <w:shd w:val="clear" w:color="auto" w:fill="D9E1F2"/>
            <w:noWrap/>
            <w:vAlign w:val="bottom"/>
            <w:hideMark/>
          </w:tcPr>
          <w:p w:rsidR="00332DF9" w:rsidRDefault="00332DF9">
            <w:pPr>
              <w:spacing w:line="256" w:lineRule="auto"/>
            </w:pPr>
          </w:p>
        </w:tc>
      </w:tr>
      <w:tr w:rsidR="00332DF9" w:rsidTr="00332DF9">
        <w:trPr>
          <w:trHeight w:val="300"/>
          <w:jc w:val="center"/>
        </w:trPr>
        <w:tc>
          <w:tcPr>
            <w:tcW w:w="2260" w:type="dxa"/>
            <w:tcBorders>
              <w:top w:val="nil"/>
              <w:left w:val="nil"/>
              <w:bottom w:val="single" w:sz="4" w:space="0" w:color="4472C4"/>
              <w:right w:val="nil"/>
            </w:tcBorders>
            <w:noWrap/>
            <w:vAlign w:val="bottom"/>
            <w:hideMark/>
          </w:tcPr>
          <w:p w:rsidR="00332DF9" w:rsidRDefault="00332DF9">
            <w:pPr>
              <w:spacing w:line="240" w:lineRule="auto"/>
              <w:rPr>
                <w:rFonts w:ascii="Calibri" w:eastAsia="Times New Roman" w:hAnsi="Calibri" w:cs="Calibri"/>
                <w:b/>
                <w:bCs/>
                <w:color w:val="305496"/>
              </w:rPr>
            </w:pPr>
            <w:r>
              <w:rPr>
                <w:rFonts w:ascii="Calibri" w:eastAsia="Times New Roman" w:hAnsi="Calibri"/>
                <w:b/>
                <w:bCs/>
                <w:color w:val="305496"/>
              </w:rPr>
              <w:t>Total Assets</w:t>
            </w:r>
          </w:p>
        </w:tc>
        <w:tc>
          <w:tcPr>
            <w:tcW w:w="1180" w:type="dxa"/>
            <w:tcBorders>
              <w:top w:val="nil"/>
              <w:left w:val="nil"/>
              <w:bottom w:val="single" w:sz="4" w:space="0" w:color="4472C4"/>
              <w:right w:val="nil"/>
            </w:tcBorders>
            <w:noWrap/>
            <w:vAlign w:val="bottom"/>
            <w:hideMark/>
          </w:tcPr>
          <w:p w:rsidR="00332DF9" w:rsidRDefault="00332DF9">
            <w:pPr>
              <w:spacing w:line="256" w:lineRule="auto"/>
            </w:pPr>
          </w:p>
        </w:tc>
        <w:tc>
          <w:tcPr>
            <w:tcW w:w="1300" w:type="dxa"/>
            <w:tcBorders>
              <w:top w:val="nil"/>
              <w:left w:val="nil"/>
              <w:bottom w:val="single" w:sz="4" w:space="0" w:color="4472C4"/>
              <w:right w:val="nil"/>
            </w:tcBorders>
            <w:noWrap/>
            <w:vAlign w:val="bottom"/>
            <w:hideMark/>
          </w:tcPr>
          <w:p w:rsidR="00332DF9" w:rsidRDefault="00332DF9">
            <w:pPr>
              <w:spacing w:line="240" w:lineRule="auto"/>
              <w:jc w:val="right"/>
              <w:rPr>
                <w:rFonts w:ascii="Calibri" w:eastAsia="Times New Roman" w:hAnsi="Calibri" w:cs="Calibri"/>
                <w:b/>
                <w:bCs/>
                <w:color w:val="305496"/>
              </w:rPr>
            </w:pPr>
            <w:r>
              <w:rPr>
                <w:rFonts w:ascii="Calibri" w:eastAsia="Times New Roman" w:hAnsi="Calibri"/>
                <w:b/>
                <w:bCs/>
                <w:color w:val="305496"/>
              </w:rPr>
              <w:t>1230685</w:t>
            </w:r>
          </w:p>
        </w:tc>
      </w:tr>
    </w:tbl>
    <w:p w:rsidR="00332DF9" w:rsidRDefault="00332DF9" w:rsidP="00332DF9">
      <w:pPr>
        <w:spacing w:after="160" w:line="256" w:lineRule="auto"/>
        <w:rPr>
          <w:rFonts w:cs="Calibri"/>
          <w:b/>
          <w:bCs/>
          <w:lang w:eastAsia="en-GB"/>
        </w:rPr>
      </w:pPr>
    </w:p>
    <w:p w:rsidR="00332DF9" w:rsidRDefault="00332DF9" w:rsidP="00332DF9">
      <w:pPr>
        <w:spacing w:after="160" w:line="256" w:lineRule="auto"/>
        <w:rPr>
          <w:b/>
          <w:bCs/>
        </w:rPr>
      </w:pPr>
      <w:r>
        <w:rPr>
          <w:b/>
          <w:bCs/>
        </w:rPr>
        <w:t>Evaluation of the income statement and balance sheet of Wales plc for the accounting year 2021</w:t>
      </w:r>
    </w:p>
    <w:p w:rsidR="00332DF9" w:rsidRPr="00E55C1F" w:rsidRDefault="00332DF9" w:rsidP="00332DF9">
      <w:pPr>
        <w:rPr>
          <w:rFonts w:ascii="Times New Roman" w:hAnsi="Times New Roman" w:cs="Times New Roman"/>
          <w:sz w:val="24"/>
          <w:szCs w:val="24"/>
        </w:rPr>
      </w:pPr>
      <w:r w:rsidRPr="00E55C1F">
        <w:rPr>
          <w:rFonts w:ascii="Times New Roman" w:hAnsi="Times New Roman" w:cs="Times New Roman"/>
          <w:sz w:val="24"/>
          <w:szCs w:val="24"/>
        </w:rPr>
        <w:t xml:space="preserve">Wales plc has suffered from the problem of acquiring a net loss of £ 178330 which means the company has a disability to use its resource for generating profit for the company. The sales of the company are reduced in 2021 due to the extreme competitors in the market. The indirect cost of Wales plc is continued according to the rate of inflation in the market.  The revenue of the company is decreased relating to its direct and indirect costs. Although, due to the increasing cost of Wales plc it does not increase its sales at the same level. The total assets and total liabilities of Wales plc are remained the same at the end of the accounting period. </w:t>
      </w:r>
      <w:r w:rsidRPr="00E55C1F">
        <w:rPr>
          <w:rFonts w:ascii="Times New Roman" w:hAnsi="Times New Roman" w:cs="Times New Roman"/>
          <w:sz w:val="24"/>
          <w:szCs w:val="24"/>
        </w:rPr>
        <w:br w:type="page"/>
      </w:r>
    </w:p>
    <w:p w:rsidR="00332DF9" w:rsidRDefault="00332DF9" w:rsidP="00332DF9">
      <w:pPr>
        <w:pStyle w:val="Heading1"/>
      </w:pPr>
      <w:bookmarkStart w:id="2" w:name="_Toc111817066"/>
      <w:r>
        <w:lastRenderedPageBreak/>
        <w:t>Question 2: Computation of Financial Ratios</w:t>
      </w:r>
      <w:bookmarkEnd w:id="2"/>
      <w:r>
        <w:t xml:space="preserve">  </w:t>
      </w:r>
    </w:p>
    <w:tbl>
      <w:tblPr>
        <w:tblStyle w:val="GridTable1LightAccent1"/>
        <w:tblW w:w="0" w:type="auto"/>
        <w:tblInd w:w="0" w:type="dxa"/>
        <w:tblLook w:val="04A0" w:firstRow="1" w:lastRow="0" w:firstColumn="1" w:lastColumn="0" w:noHBand="0" w:noVBand="1"/>
      </w:tblPr>
      <w:tblGrid>
        <w:gridCol w:w="3699"/>
        <w:gridCol w:w="991"/>
        <w:gridCol w:w="941"/>
      </w:tblGrid>
      <w:tr w:rsidR="00332DF9" w:rsidTr="00332DF9">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0" w:type="auto"/>
            <w:gridSpan w:val="3"/>
            <w:tcBorders>
              <w:top w:val="single" w:sz="4" w:space="0" w:color="B8CCE4" w:themeColor="accent1" w:themeTint="66"/>
              <w:left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color w:val="000000"/>
                <w:shd w:val="clear" w:color="auto" w:fill="DAEEF3"/>
              </w:rPr>
              <w:t>Calculation of Return on capital employed (ROCE)</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Particulars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2021 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2020</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Earnings before interest and tax (EBIT)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805 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699</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Total Asset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9,736 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10,087</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Current liabilities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2,511 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3,046</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Capital employed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7,225 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7,041</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ROCE= EBIT/ Capital employed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11.1419 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9.92757</w:t>
            </w:r>
          </w:p>
        </w:tc>
      </w:tr>
    </w:tbl>
    <w:p w:rsidR="00332DF9" w:rsidRDefault="00332DF9" w:rsidP="00332DF9">
      <w:pPr>
        <w:rPr>
          <w:rFonts w:cs="Calibri"/>
          <w:b/>
          <w:bCs/>
          <w:lang w:eastAsia="en-GB"/>
        </w:rPr>
      </w:pPr>
    </w:p>
    <w:tbl>
      <w:tblPr>
        <w:tblStyle w:val="GridTable1LightAccent1"/>
        <w:tblW w:w="0" w:type="auto"/>
        <w:tblInd w:w="0" w:type="dxa"/>
        <w:tblLook w:val="04A0" w:firstRow="1" w:lastRow="0" w:firstColumn="1" w:lastColumn="0" w:noHBand="0" w:noVBand="1"/>
      </w:tblPr>
      <w:tblGrid>
        <w:gridCol w:w="3659"/>
        <w:gridCol w:w="1102"/>
        <w:gridCol w:w="663"/>
      </w:tblGrid>
      <w:tr w:rsidR="00332DF9" w:rsidTr="00332DF9">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0" w:type="auto"/>
            <w:gridSpan w:val="3"/>
            <w:tcBorders>
              <w:top w:val="single" w:sz="4" w:space="0" w:color="B8CCE4" w:themeColor="accent1" w:themeTint="66"/>
              <w:left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color w:val="000000"/>
                <w:shd w:val="clear" w:color="auto" w:fill="DAEEF3"/>
              </w:rPr>
              <w:t>Calculation of Return on equity (ROE)</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Particulars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2021 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2020</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Net income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431 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366</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Shareholders’ equity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300 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300</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 xml:space="preserve">ROE= Net income/Shareholders Equity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1.436667 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1.22</w:t>
            </w:r>
          </w:p>
        </w:tc>
      </w:tr>
    </w:tbl>
    <w:p w:rsidR="00332DF9" w:rsidRDefault="00332DF9" w:rsidP="00332DF9">
      <w:pPr>
        <w:rPr>
          <w:rFonts w:cs="Calibri"/>
          <w:b/>
          <w:bCs/>
          <w:lang w:eastAsia="en-GB"/>
        </w:rPr>
      </w:pPr>
    </w:p>
    <w:p w:rsidR="00E55C1F" w:rsidRDefault="00E55C1F" w:rsidP="00332DF9">
      <w:pPr>
        <w:rPr>
          <w:rFonts w:cs="Calibri"/>
          <w:b/>
          <w:bCs/>
          <w:lang w:eastAsia="en-GB"/>
        </w:rPr>
      </w:pPr>
    </w:p>
    <w:p w:rsidR="00E55C1F" w:rsidRDefault="00E55C1F" w:rsidP="00332DF9">
      <w:pPr>
        <w:rPr>
          <w:rFonts w:cs="Calibri"/>
          <w:b/>
          <w:bCs/>
          <w:lang w:eastAsia="en-GB"/>
        </w:rPr>
      </w:pPr>
    </w:p>
    <w:tbl>
      <w:tblPr>
        <w:tblStyle w:val="GridTable1LightAccent1"/>
        <w:tblW w:w="0" w:type="auto"/>
        <w:tblInd w:w="0" w:type="dxa"/>
        <w:tblLook w:val="04A0" w:firstRow="1" w:lastRow="0" w:firstColumn="1" w:lastColumn="0" w:noHBand="0" w:noVBand="1"/>
      </w:tblPr>
      <w:tblGrid>
        <w:gridCol w:w="4399"/>
        <w:gridCol w:w="1132"/>
        <w:gridCol w:w="1053"/>
      </w:tblGrid>
      <w:tr w:rsidR="00332DF9" w:rsidTr="00332DF9">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0" w:type="auto"/>
            <w:gridSpan w:val="3"/>
            <w:tcBorders>
              <w:top w:val="single" w:sz="4" w:space="0" w:color="B8CCE4" w:themeColor="accent1" w:themeTint="66"/>
              <w:left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color w:val="000000"/>
                <w:shd w:val="clear" w:color="auto" w:fill="DAEEF3"/>
              </w:rPr>
              <w:t xml:space="preserve">Calculation of </w:t>
            </w:r>
            <w:proofErr w:type="spellStart"/>
            <w:r>
              <w:rPr>
                <w:rFonts w:eastAsia="Times New Roman" w:cs="Times New Roman"/>
                <w:color w:val="000000"/>
                <w:shd w:val="clear" w:color="auto" w:fill="DAEEF3"/>
              </w:rPr>
              <w:t>Earning</w:t>
            </w:r>
            <w:proofErr w:type="spellEnd"/>
            <w:r>
              <w:rPr>
                <w:rFonts w:eastAsia="Times New Roman" w:cs="Times New Roman"/>
                <w:color w:val="000000"/>
                <w:shd w:val="clear" w:color="auto" w:fill="DAEEF3"/>
              </w:rPr>
              <w:t xml:space="preserve"> per share</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Particulars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2021 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2020</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Net income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ind w:right="29"/>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431 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ind w:right="39"/>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366</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Outstanding shares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ind w:right="29"/>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300 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ind w:right="38"/>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300</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Average outstanding shares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ind w:right="29"/>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300 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ind w:right="38"/>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150</w:t>
            </w:r>
          </w:p>
        </w:tc>
      </w:tr>
      <w:tr w:rsidR="00332DF9" w:rsidTr="00332DF9">
        <w:trPr>
          <w:trHeight w:val="81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EPS= Net income/ Average outstanding shares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ind w:right="3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1.436667 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ind w:right="36"/>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2.44</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gridSpan w:val="3"/>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hAnsi="Times New Roman" w:cs="Calibri"/>
                <w:sz w:val="24"/>
                <w:szCs w:val="24"/>
              </w:rPr>
            </w:pPr>
            <w:r>
              <w:rPr>
                <w:shd w:val="clear" w:color="auto" w:fill="DAEEF3"/>
              </w:rPr>
              <w:lastRenderedPageBreak/>
              <w:t>Calculation of Net profit margin</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Particulars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2021 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2020</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Net profit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431 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366</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Total revenue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6738 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6441</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Net profit margin= (net profit /revenue) x 100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6.396557 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5.682347</w:t>
            </w:r>
          </w:p>
        </w:tc>
      </w:tr>
    </w:tbl>
    <w:p w:rsidR="00332DF9" w:rsidRDefault="00332DF9" w:rsidP="00332DF9">
      <w:pPr>
        <w:spacing w:after="240" w:line="240" w:lineRule="auto"/>
        <w:rPr>
          <w:rFonts w:eastAsia="Times New Roman" w:cs="Times New Roman"/>
        </w:rPr>
      </w:pPr>
    </w:p>
    <w:tbl>
      <w:tblPr>
        <w:tblStyle w:val="GridTable1LightAccent1"/>
        <w:tblW w:w="0" w:type="auto"/>
        <w:tblInd w:w="0" w:type="dxa"/>
        <w:tblLook w:val="04A0" w:firstRow="1" w:lastRow="0" w:firstColumn="1" w:lastColumn="0" w:noHBand="0" w:noVBand="1"/>
      </w:tblPr>
      <w:tblGrid>
        <w:gridCol w:w="4293"/>
        <w:gridCol w:w="1132"/>
        <w:gridCol w:w="1095"/>
      </w:tblGrid>
      <w:tr w:rsidR="00332DF9" w:rsidTr="00332DF9">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0" w:type="auto"/>
            <w:gridSpan w:val="3"/>
            <w:tcBorders>
              <w:top w:val="single" w:sz="4" w:space="0" w:color="B8CCE4" w:themeColor="accent1" w:themeTint="66"/>
              <w:left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color w:val="000000"/>
                <w:shd w:val="clear" w:color="auto" w:fill="DAEEF3"/>
              </w:rPr>
              <w:t>Calculation of Asset turnover</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Particulars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2021 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2020</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Total revenue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6738 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6441</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Total Asset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9,736 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10,087</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Average total asset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ind w:right="3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9911.5 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ind w:right="43"/>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5043.5</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Asset turnover= Revenue/average total asset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ind w:right="3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0.679816 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ind w:right="42"/>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1.277089</w:t>
            </w:r>
          </w:p>
        </w:tc>
      </w:tr>
    </w:tbl>
    <w:p w:rsidR="00332DF9" w:rsidRDefault="00332DF9" w:rsidP="00332DF9">
      <w:pPr>
        <w:spacing w:after="240" w:line="240" w:lineRule="auto"/>
        <w:rPr>
          <w:rFonts w:eastAsia="Times New Roman" w:cs="Times New Roman"/>
        </w:rPr>
      </w:pPr>
    </w:p>
    <w:p w:rsidR="00332DF9" w:rsidRDefault="00332DF9" w:rsidP="00332DF9">
      <w:pPr>
        <w:spacing w:line="240" w:lineRule="auto"/>
        <w:ind w:right="2892"/>
        <w:jc w:val="right"/>
        <w:rPr>
          <w:rFonts w:eastAsia="Times New Roman" w:cs="Times New Roman"/>
        </w:rPr>
      </w:pPr>
    </w:p>
    <w:tbl>
      <w:tblPr>
        <w:tblStyle w:val="GridTable1LightAccent1"/>
        <w:tblW w:w="0" w:type="auto"/>
        <w:tblInd w:w="0" w:type="dxa"/>
        <w:tblLayout w:type="fixed"/>
        <w:tblLook w:val="04A0" w:firstRow="1" w:lastRow="0" w:firstColumn="1" w:lastColumn="0" w:noHBand="0" w:noVBand="1"/>
      </w:tblPr>
      <w:tblGrid>
        <w:gridCol w:w="6176"/>
        <w:gridCol w:w="1109"/>
        <w:gridCol w:w="1530"/>
      </w:tblGrid>
      <w:tr w:rsidR="00332DF9" w:rsidTr="00332DF9">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8815" w:type="dxa"/>
            <w:gridSpan w:val="3"/>
            <w:tcBorders>
              <w:top w:val="single" w:sz="4" w:space="0" w:color="B8CCE4" w:themeColor="accent1" w:themeTint="66"/>
              <w:left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hAnsi="Times New Roman" w:cs="Calibri"/>
                <w:sz w:val="24"/>
                <w:szCs w:val="24"/>
              </w:rPr>
            </w:pPr>
            <w:r>
              <w:t xml:space="preserve">Calculation of </w:t>
            </w:r>
            <w:r>
              <w:rPr>
                <w:shd w:val="clear" w:color="auto" w:fill="DAEEF3"/>
              </w:rPr>
              <w:t>Stock holding days</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6176"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color w:val="000000"/>
                <w:sz w:val="24"/>
                <w:szCs w:val="24"/>
              </w:rPr>
            </w:pPr>
            <w:r>
              <w:rPr>
                <w:rFonts w:eastAsia="Times New Roman" w:cs="Times New Roman"/>
                <w:b w:val="0"/>
                <w:bCs w:val="0"/>
                <w:color w:val="000000"/>
              </w:rPr>
              <w:t>Particulars </w:t>
            </w:r>
          </w:p>
        </w:tc>
        <w:tc>
          <w:tcPr>
            <w:tcW w:w="1109"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eastAsia="Times New Roman" w:cs="Times New Roman"/>
                <w:color w:val="000000"/>
              </w:rPr>
              <w:t>2021</w:t>
            </w:r>
          </w:p>
        </w:tc>
        <w:tc>
          <w:tcPr>
            <w:tcW w:w="1530"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Calibri"/>
                <w:color w:val="000000"/>
                <w:sz w:val="24"/>
                <w:szCs w:val="24"/>
                <w:lang w:eastAsia="en-GB"/>
              </w:rPr>
            </w:pPr>
            <w:r>
              <w:rPr>
                <w:color w:val="000000"/>
              </w:rPr>
              <w:t>2020</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6176"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Closing stock </w:t>
            </w:r>
          </w:p>
        </w:tc>
        <w:tc>
          <w:tcPr>
            <w:tcW w:w="1109"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708</w:t>
            </w:r>
          </w:p>
        </w:tc>
        <w:tc>
          <w:tcPr>
            <w:tcW w:w="1530"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color w:val="000000"/>
              </w:rPr>
              <w:t>659</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6176"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Cost of goods sold </w:t>
            </w:r>
          </w:p>
        </w:tc>
        <w:tc>
          <w:tcPr>
            <w:tcW w:w="1109"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3235</w:t>
            </w:r>
          </w:p>
        </w:tc>
        <w:tc>
          <w:tcPr>
            <w:tcW w:w="1530"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color w:val="000000"/>
              </w:rPr>
              <w:t>3096</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6176"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Stock holding days= (Closing stock/cost of goods sold) x 365 </w:t>
            </w:r>
          </w:p>
        </w:tc>
        <w:tc>
          <w:tcPr>
            <w:tcW w:w="1109"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79.8825</w:t>
            </w:r>
          </w:p>
        </w:tc>
        <w:tc>
          <w:tcPr>
            <w:tcW w:w="1530"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pPr>
            <w:r>
              <w:rPr>
                <w:color w:val="000000"/>
              </w:rPr>
              <w:t>77.69218346</w:t>
            </w:r>
          </w:p>
        </w:tc>
      </w:tr>
    </w:tbl>
    <w:p w:rsidR="00332DF9" w:rsidRDefault="00332DF9" w:rsidP="00332DF9">
      <w:pPr>
        <w:rPr>
          <w:rFonts w:eastAsia="Calibri" w:cs="Calibri"/>
          <w:b/>
          <w:bCs/>
          <w:lang w:eastAsia="en-GB"/>
        </w:rPr>
      </w:pPr>
    </w:p>
    <w:p w:rsidR="00E55C1F" w:rsidRDefault="00E55C1F" w:rsidP="00332DF9">
      <w:pPr>
        <w:rPr>
          <w:rFonts w:eastAsia="Calibri" w:cs="Calibri"/>
          <w:b/>
          <w:bCs/>
          <w:lang w:eastAsia="en-GB"/>
        </w:rPr>
      </w:pPr>
    </w:p>
    <w:p w:rsidR="00E55C1F" w:rsidRDefault="00E55C1F" w:rsidP="00332DF9">
      <w:pPr>
        <w:rPr>
          <w:rFonts w:eastAsia="Calibri" w:cs="Calibri"/>
          <w:b/>
          <w:bCs/>
          <w:lang w:eastAsia="en-GB"/>
        </w:rPr>
      </w:pPr>
    </w:p>
    <w:p w:rsidR="00E55C1F" w:rsidRDefault="00E55C1F" w:rsidP="00332DF9">
      <w:pPr>
        <w:rPr>
          <w:rFonts w:eastAsia="Calibri" w:cs="Calibri"/>
          <w:b/>
          <w:bCs/>
          <w:lang w:eastAsia="en-GB"/>
        </w:rPr>
      </w:pPr>
    </w:p>
    <w:p w:rsidR="00E55C1F" w:rsidRDefault="00E55C1F" w:rsidP="00332DF9">
      <w:pPr>
        <w:rPr>
          <w:rFonts w:eastAsia="Calibri" w:cs="Calibri"/>
          <w:b/>
          <w:bCs/>
          <w:lang w:eastAsia="en-GB"/>
        </w:rPr>
      </w:pPr>
    </w:p>
    <w:p w:rsidR="00332DF9" w:rsidRDefault="00332DF9" w:rsidP="00332DF9">
      <w:pPr>
        <w:spacing w:line="240" w:lineRule="auto"/>
        <w:ind w:right="1903"/>
        <w:jc w:val="right"/>
        <w:rPr>
          <w:rFonts w:eastAsia="Times New Roman" w:cs="Times New Roman"/>
        </w:rPr>
      </w:pPr>
    </w:p>
    <w:tbl>
      <w:tblPr>
        <w:tblStyle w:val="GridTable1LightAccent1"/>
        <w:tblW w:w="0" w:type="auto"/>
        <w:tblInd w:w="0" w:type="dxa"/>
        <w:tblLook w:val="04A0" w:firstRow="1" w:lastRow="0" w:firstColumn="1" w:lastColumn="0" w:noHBand="0" w:noVBand="1"/>
      </w:tblPr>
      <w:tblGrid>
        <w:gridCol w:w="7248"/>
        <w:gridCol w:w="941"/>
        <w:gridCol w:w="1387"/>
      </w:tblGrid>
      <w:tr w:rsidR="00332DF9" w:rsidTr="00332DF9">
        <w:trPr>
          <w:cnfStyle w:val="100000000000" w:firstRow="1" w:lastRow="0" w:firstColumn="0" w:lastColumn="0" w:oddVBand="0" w:evenVBand="0" w:oddHBand="0"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0" w:type="auto"/>
            <w:gridSpan w:val="3"/>
            <w:tcBorders>
              <w:top w:val="single" w:sz="4" w:space="0" w:color="B8CCE4" w:themeColor="accent1" w:themeTint="66"/>
              <w:left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hAnsi="Times New Roman" w:cs="Calibri"/>
                <w:sz w:val="24"/>
                <w:szCs w:val="24"/>
              </w:rPr>
            </w:pPr>
            <w:r>
              <w:rPr>
                <w:shd w:val="clear" w:color="auto" w:fill="DAEEF3"/>
              </w:rPr>
              <w:t>Calculation of debtors' collection period</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Particulars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2021</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eastAsia="Times New Roman" w:cs="Times New Roman"/>
                <w:color w:val="000000"/>
              </w:rPr>
              <w:t>2020</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Amount owed by Debtors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1,249</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Pr>
                <w:rFonts w:ascii="Calibri" w:eastAsia="Times New Roman" w:hAnsi="Calibri"/>
                <w:color w:val="000000"/>
              </w:rPr>
              <w:t>1287</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credit sales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6,738</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Pr>
                <w:rFonts w:ascii="Calibri" w:eastAsia="Times New Roman" w:hAnsi="Calibri"/>
                <w:color w:val="000000"/>
              </w:rPr>
              <w:t>6441</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Debtors collection period= (Amount owed by debtor/annual credit sales) x 365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67.6588</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Pr>
                <w:rFonts w:ascii="Calibri" w:hAnsi="Calibri"/>
                <w:color w:val="000000"/>
              </w:rPr>
              <w:t>72.93199814</w:t>
            </w:r>
          </w:p>
        </w:tc>
      </w:tr>
    </w:tbl>
    <w:p w:rsidR="00332DF9" w:rsidRDefault="00332DF9" w:rsidP="00332DF9">
      <w:pPr>
        <w:rPr>
          <w:rFonts w:eastAsia="Calibri" w:cs="Calibri"/>
          <w:b/>
          <w:bCs/>
          <w:lang w:eastAsia="en-GB"/>
        </w:rPr>
      </w:pPr>
    </w:p>
    <w:tbl>
      <w:tblPr>
        <w:tblStyle w:val="GridTable1LightAccent1"/>
        <w:tblW w:w="0" w:type="auto"/>
        <w:tblInd w:w="0" w:type="dxa"/>
        <w:tblLook w:val="04A0" w:firstRow="1" w:lastRow="0" w:firstColumn="1" w:lastColumn="0" w:noHBand="0" w:noVBand="1"/>
      </w:tblPr>
      <w:tblGrid>
        <w:gridCol w:w="4392"/>
        <w:gridCol w:w="941"/>
        <w:gridCol w:w="1387"/>
      </w:tblGrid>
      <w:tr w:rsidR="00332DF9" w:rsidTr="00332DF9">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6502" w:type="dxa"/>
            <w:gridSpan w:val="3"/>
            <w:tcBorders>
              <w:top w:val="single" w:sz="4" w:space="0" w:color="B8CCE4" w:themeColor="accent1" w:themeTint="66"/>
              <w:left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shd w:val="clear" w:color="auto" w:fill="DAEEF3"/>
              </w:rPr>
              <w:t>Calculation of current ratio</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eastAsia="Times New Roman" w:cs="Times New Roman"/>
                <w:b w:val="0"/>
                <w:bCs w:val="0"/>
                <w:color w:val="000000"/>
              </w:rPr>
              <w:t>Particulars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2021</w:t>
            </w:r>
          </w:p>
        </w:tc>
        <w:tc>
          <w:tcPr>
            <w:tcW w:w="1201"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tcPr>
          <w:p w:rsidR="00332DF9" w:rsidRDefault="00332DF9">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pPr>
            <w:r>
              <w:rPr>
                <w:color w:val="000000"/>
              </w:rPr>
              <w:t>2020</w:t>
            </w:r>
          </w:p>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ascii="Calibri" w:eastAsia="Times New Roman" w:hAnsi="Calibri"/>
                <w:b w:val="0"/>
                <w:bCs w:val="0"/>
                <w:color w:val="000000"/>
              </w:rPr>
              <w:t>Current asset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9,736</w:t>
            </w:r>
          </w:p>
        </w:tc>
        <w:tc>
          <w:tcPr>
            <w:tcW w:w="1201"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Pr>
                <w:rFonts w:ascii="Calibri" w:hAnsi="Calibri"/>
                <w:color w:val="000000"/>
              </w:rPr>
              <w:t>10,087</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ascii="Calibri" w:eastAsia="Times New Roman" w:hAnsi="Calibri"/>
                <w:b w:val="0"/>
                <w:bCs w:val="0"/>
                <w:color w:val="000000"/>
              </w:rPr>
              <w:t>Current liabilities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2,511</w:t>
            </w:r>
          </w:p>
        </w:tc>
        <w:tc>
          <w:tcPr>
            <w:tcW w:w="1201"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tcPr>
          <w:p w:rsidR="00332DF9" w:rsidRDefault="00332DF9">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sz w:val="22"/>
                <w:szCs w:val="22"/>
              </w:rPr>
              <w:t>3,046</w:t>
            </w:r>
          </w:p>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rFonts w:ascii="Calibri" w:eastAsia="Times New Roman" w:hAnsi="Calibri"/>
                <w:b w:val="0"/>
                <w:bCs w:val="0"/>
                <w:color w:val="000000"/>
              </w:rPr>
              <w:t>Current ratio= current asset/ current liabilities </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Calibri" w:eastAsia="Times New Roman" w:hAnsi="Calibri"/>
                <w:color w:val="000000"/>
              </w:rPr>
              <w:t>3.87734</w:t>
            </w:r>
          </w:p>
        </w:tc>
        <w:tc>
          <w:tcPr>
            <w:tcW w:w="1201" w:type="dxa"/>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Pr>
                <w:rFonts w:ascii="Calibri" w:hAnsi="Calibri"/>
                <w:color w:val="000000"/>
              </w:rPr>
              <w:t>3.311556139</w:t>
            </w:r>
          </w:p>
        </w:tc>
      </w:tr>
    </w:tbl>
    <w:p w:rsidR="00332DF9" w:rsidRDefault="00332DF9" w:rsidP="00332DF9">
      <w:pPr>
        <w:rPr>
          <w:rFonts w:cs="Calibri"/>
          <w:b/>
          <w:bCs/>
          <w:lang w:eastAsia="en-GB"/>
        </w:rPr>
      </w:pPr>
    </w:p>
    <w:tbl>
      <w:tblPr>
        <w:tblStyle w:val="GridTable1LightAccent1"/>
        <w:tblW w:w="0" w:type="auto"/>
        <w:tblInd w:w="0" w:type="dxa"/>
        <w:tblLook w:val="04A0" w:firstRow="1" w:lastRow="0" w:firstColumn="1" w:lastColumn="0" w:noHBand="0" w:noVBand="1"/>
      </w:tblPr>
      <w:tblGrid>
        <w:gridCol w:w="5247"/>
        <w:gridCol w:w="982"/>
        <w:gridCol w:w="1428"/>
      </w:tblGrid>
      <w:tr w:rsidR="00332DF9" w:rsidTr="00332DF9">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0" w:type="auto"/>
            <w:gridSpan w:val="3"/>
            <w:tcBorders>
              <w:top w:val="single" w:sz="4" w:space="0" w:color="B8CCE4" w:themeColor="accent1" w:themeTint="66"/>
              <w:left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eastAsia="Times New Roman" w:hAnsi="Times New Roman" w:cs="Times New Roman"/>
                <w:sz w:val="24"/>
                <w:szCs w:val="24"/>
              </w:rPr>
            </w:pPr>
            <w:r>
              <w:rPr>
                <w:shd w:val="clear" w:color="auto" w:fill="DAEEF3"/>
              </w:rPr>
              <w:t>Calculation of gearing ratio</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hAnsi="Times New Roman" w:cs="Calibri"/>
                <w:sz w:val="24"/>
                <w:szCs w:val="24"/>
              </w:rPr>
            </w:pPr>
            <w:r>
              <w:rPr>
                <w:b w:val="0"/>
                <w:bCs w:val="0"/>
              </w:rPr>
              <w:t>Particulars</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2021</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eastAsia="Times New Roman" w:cs="Times New Roman"/>
                <w:color w:val="000000"/>
              </w:rPr>
              <w:t>2020</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hAnsi="Times New Roman" w:cs="Calibri"/>
                <w:sz w:val="24"/>
                <w:szCs w:val="24"/>
              </w:rPr>
            </w:pPr>
            <w:r>
              <w:rPr>
                <w:b w:val="0"/>
                <w:bCs w:val="0"/>
              </w:rPr>
              <w:t>Loans and borrowings</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ind w:right="41"/>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4137</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ind w:right="41"/>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eastAsia="Times New Roman" w:cs="Times New Roman"/>
                <w:color w:val="000000"/>
              </w:rPr>
              <w:t>4129</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hAnsi="Times New Roman" w:cs="Calibri"/>
                <w:sz w:val="24"/>
                <w:szCs w:val="24"/>
              </w:rPr>
            </w:pPr>
            <w:r>
              <w:rPr>
                <w:b w:val="0"/>
                <w:bCs w:val="0"/>
              </w:rPr>
              <w:t>Shareholder equity</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ind w:right="44"/>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3,088</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ind w:right="44"/>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eastAsia="Times New Roman" w:cs="Times New Roman"/>
                <w:color w:val="000000"/>
              </w:rPr>
              <w:t>2912</w:t>
            </w:r>
          </w:p>
        </w:tc>
      </w:tr>
      <w:tr w:rsidR="00332DF9" w:rsidTr="00332DF9">
        <w:trPr>
          <w:trHeight w:val="30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jc w:val="center"/>
              <w:rPr>
                <w:rFonts w:ascii="Times New Roman" w:hAnsi="Times New Roman" w:cs="Calibri"/>
                <w:sz w:val="24"/>
                <w:szCs w:val="24"/>
              </w:rPr>
            </w:pPr>
            <w:r>
              <w:rPr>
                <w:b w:val="0"/>
                <w:bCs w:val="0"/>
              </w:rPr>
              <w:t>Gearing ratio= loans and borrowings/shareholder equity</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ind w:right="41"/>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eastAsia="Times New Roman" w:cs="Times New Roman"/>
                <w:color w:val="000000"/>
              </w:rPr>
              <w:t>1.42067</w:t>
            </w:r>
          </w:p>
        </w:tc>
        <w:tc>
          <w:tcPr>
            <w:tcW w:w="0" w:type="auto"/>
            <w:tc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tcBorders>
            <w:hideMark/>
          </w:tcPr>
          <w:p w:rsidR="00332DF9" w:rsidRDefault="00332DF9">
            <w:pPr>
              <w:spacing w:line="480" w:lineRule="auto"/>
              <w:ind w:right="41"/>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color w:val="000000"/>
              </w:rPr>
              <w:t>1.417925824</w:t>
            </w:r>
          </w:p>
        </w:tc>
      </w:tr>
    </w:tbl>
    <w:p w:rsidR="00332DF9" w:rsidRDefault="00332DF9" w:rsidP="00332DF9">
      <w:pPr>
        <w:rPr>
          <w:rFonts w:cs="Calibri"/>
          <w:b/>
          <w:bCs/>
          <w:lang w:eastAsia="en-GB"/>
        </w:rPr>
      </w:pPr>
    </w:p>
    <w:tbl>
      <w:tblPr>
        <w:tblW w:w="0" w:type="auto"/>
        <w:tblLook w:val="04A0" w:firstRow="1" w:lastRow="0" w:firstColumn="1" w:lastColumn="0" w:noHBand="0" w:noVBand="1"/>
      </w:tblPr>
      <w:tblGrid>
        <w:gridCol w:w="3894"/>
        <w:gridCol w:w="1090"/>
        <w:gridCol w:w="1397"/>
      </w:tblGrid>
      <w:tr w:rsidR="00332DF9" w:rsidTr="00332DF9">
        <w:trPr>
          <w:trHeight w:val="305"/>
        </w:trPr>
        <w:tc>
          <w:tcPr>
            <w:tcW w:w="638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32DF9" w:rsidRDefault="00332DF9">
            <w:pPr>
              <w:spacing w:line="480" w:lineRule="auto"/>
              <w:jc w:val="center"/>
              <w:rPr>
                <w:rFonts w:ascii="Times New Roman" w:eastAsia="Times New Roman" w:hAnsi="Times New Roman" w:cs="Times New Roman"/>
                <w:b/>
                <w:bCs/>
                <w:sz w:val="24"/>
                <w:szCs w:val="24"/>
              </w:rPr>
            </w:pPr>
            <w:r>
              <w:rPr>
                <w:b/>
                <w:bCs/>
                <w:shd w:val="clear" w:color="auto" w:fill="DAEEF3"/>
              </w:rPr>
              <w:lastRenderedPageBreak/>
              <w:t>Calculation of interest cover</w:t>
            </w:r>
          </w:p>
        </w:tc>
      </w:tr>
      <w:tr w:rsidR="00332DF9" w:rsidTr="00332DF9">
        <w:trPr>
          <w:trHeight w:val="30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32DF9" w:rsidRDefault="00332DF9">
            <w:pPr>
              <w:spacing w:line="240" w:lineRule="auto"/>
              <w:jc w:val="center"/>
              <w:rPr>
                <w:rFonts w:ascii="Times New Roman" w:eastAsia="Times New Roman" w:hAnsi="Times New Roman" w:cs="Times New Roman"/>
                <w:sz w:val="24"/>
                <w:szCs w:val="24"/>
              </w:rPr>
            </w:pPr>
            <w:r>
              <w:rPr>
                <w:rFonts w:eastAsia="Times New Roman" w:cs="Times New Roman"/>
                <w:color w:val="000000"/>
              </w:rPr>
              <w:t>Particulars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32DF9" w:rsidRDefault="00332DF9">
            <w:pPr>
              <w:spacing w:line="240" w:lineRule="auto"/>
              <w:jc w:val="center"/>
              <w:rPr>
                <w:rFonts w:ascii="Times New Roman" w:eastAsia="Times New Roman" w:hAnsi="Times New Roman" w:cs="Times New Roman"/>
                <w:sz w:val="24"/>
                <w:szCs w:val="24"/>
              </w:rPr>
            </w:pPr>
            <w:r>
              <w:rPr>
                <w:rFonts w:eastAsia="Times New Roman" w:cs="Times New Roman"/>
                <w:color w:val="000000"/>
              </w:rPr>
              <w:t>2021</w:t>
            </w:r>
          </w:p>
        </w:tc>
        <w:tc>
          <w:tcPr>
            <w:tcW w:w="132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hideMark/>
          </w:tcPr>
          <w:p w:rsidR="00332DF9" w:rsidRDefault="00332DF9">
            <w:pPr>
              <w:spacing w:line="240" w:lineRule="auto"/>
              <w:jc w:val="center"/>
              <w:rPr>
                <w:rFonts w:ascii="Times New Roman" w:eastAsia="Times New Roman" w:hAnsi="Times New Roman" w:cs="Times New Roman"/>
                <w:color w:val="000000"/>
                <w:sz w:val="24"/>
                <w:szCs w:val="24"/>
              </w:rPr>
            </w:pPr>
            <w:r>
              <w:rPr>
                <w:rFonts w:eastAsia="Times New Roman" w:cs="Times New Roman"/>
                <w:color w:val="000000"/>
              </w:rPr>
              <w:t>2020</w:t>
            </w:r>
          </w:p>
        </w:tc>
      </w:tr>
      <w:tr w:rsidR="00332DF9" w:rsidTr="00332DF9">
        <w:trPr>
          <w:trHeight w:val="30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32DF9" w:rsidRDefault="00332DF9">
            <w:pPr>
              <w:spacing w:line="240" w:lineRule="auto"/>
              <w:jc w:val="center"/>
              <w:rPr>
                <w:rFonts w:ascii="Times New Roman" w:eastAsia="Times New Roman" w:hAnsi="Times New Roman" w:cs="Times New Roman"/>
                <w:sz w:val="24"/>
                <w:szCs w:val="24"/>
              </w:rPr>
            </w:pPr>
            <w:r>
              <w:rPr>
                <w:rFonts w:eastAsia="Times New Roman" w:cs="Times New Roman"/>
                <w:color w:val="000000"/>
              </w:rPr>
              <w:t>Earnings before interest and taxes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32DF9" w:rsidRDefault="00332DF9">
            <w:pPr>
              <w:spacing w:line="240" w:lineRule="auto"/>
              <w:jc w:val="center"/>
              <w:rPr>
                <w:rFonts w:ascii="Times New Roman" w:eastAsia="Times New Roman" w:hAnsi="Times New Roman" w:cs="Times New Roman"/>
                <w:sz w:val="24"/>
                <w:szCs w:val="24"/>
              </w:rPr>
            </w:pPr>
            <w:r>
              <w:rPr>
                <w:rFonts w:eastAsia="Times New Roman" w:cs="Times New Roman"/>
                <w:color w:val="000000"/>
              </w:rPr>
              <w:t>805</w:t>
            </w:r>
          </w:p>
        </w:tc>
        <w:tc>
          <w:tcPr>
            <w:tcW w:w="132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hideMark/>
          </w:tcPr>
          <w:p w:rsidR="00332DF9" w:rsidRDefault="00332DF9">
            <w:pPr>
              <w:spacing w:line="240" w:lineRule="auto"/>
              <w:jc w:val="center"/>
              <w:rPr>
                <w:rFonts w:ascii="Times New Roman" w:eastAsia="Times New Roman" w:hAnsi="Times New Roman" w:cs="Times New Roman"/>
                <w:color w:val="000000"/>
                <w:sz w:val="24"/>
                <w:szCs w:val="24"/>
              </w:rPr>
            </w:pPr>
            <w:r>
              <w:rPr>
                <w:rFonts w:eastAsia="Times New Roman" w:cs="Times New Roman"/>
                <w:color w:val="000000"/>
              </w:rPr>
              <w:t>699</w:t>
            </w:r>
          </w:p>
        </w:tc>
      </w:tr>
      <w:tr w:rsidR="00332DF9" w:rsidTr="00332DF9">
        <w:trPr>
          <w:trHeight w:val="30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32DF9" w:rsidRDefault="00332DF9">
            <w:pPr>
              <w:spacing w:line="240" w:lineRule="auto"/>
              <w:jc w:val="center"/>
              <w:rPr>
                <w:rFonts w:ascii="Times New Roman" w:eastAsia="Times New Roman" w:hAnsi="Times New Roman" w:cs="Times New Roman"/>
                <w:sz w:val="24"/>
                <w:szCs w:val="24"/>
              </w:rPr>
            </w:pPr>
            <w:r>
              <w:rPr>
                <w:rFonts w:eastAsia="Times New Roman" w:cs="Times New Roman"/>
                <w:color w:val="000000"/>
              </w:rPr>
              <w:t>Interest expenses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32DF9" w:rsidRDefault="00332DF9">
            <w:pPr>
              <w:spacing w:line="240" w:lineRule="auto"/>
              <w:jc w:val="center"/>
              <w:rPr>
                <w:rFonts w:ascii="Times New Roman" w:eastAsia="Times New Roman" w:hAnsi="Times New Roman" w:cs="Times New Roman"/>
                <w:sz w:val="24"/>
                <w:szCs w:val="24"/>
              </w:rPr>
            </w:pPr>
            <w:r>
              <w:rPr>
                <w:rFonts w:ascii="Calibri" w:eastAsia="Times New Roman" w:hAnsi="Calibri"/>
                <w:color w:val="000000"/>
              </w:rPr>
              <w:t>226</w:t>
            </w:r>
          </w:p>
        </w:tc>
        <w:tc>
          <w:tcPr>
            <w:tcW w:w="132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hideMark/>
          </w:tcPr>
          <w:p w:rsidR="00332DF9" w:rsidRDefault="00332DF9">
            <w:pPr>
              <w:spacing w:line="240" w:lineRule="auto"/>
              <w:jc w:val="center"/>
              <w:rPr>
                <w:rFonts w:ascii="Calibri" w:eastAsia="Times New Roman" w:hAnsi="Calibri" w:cs="Calibri"/>
                <w:color w:val="000000"/>
              </w:rPr>
            </w:pPr>
            <w:r>
              <w:rPr>
                <w:rFonts w:ascii="Calibri" w:eastAsia="Times New Roman" w:hAnsi="Calibri"/>
                <w:color w:val="000000"/>
              </w:rPr>
              <w:t>181</w:t>
            </w:r>
          </w:p>
        </w:tc>
      </w:tr>
      <w:tr w:rsidR="00332DF9" w:rsidTr="00332DF9">
        <w:trPr>
          <w:trHeight w:val="30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32DF9" w:rsidRDefault="00332DF9">
            <w:pPr>
              <w:spacing w:line="240" w:lineRule="auto"/>
              <w:jc w:val="center"/>
              <w:rPr>
                <w:rFonts w:ascii="Times New Roman" w:eastAsia="Times New Roman" w:hAnsi="Times New Roman" w:cs="Times New Roman"/>
                <w:sz w:val="24"/>
                <w:szCs w:val="24"/>
              </w:rPr>
            </w:pPr>
            <w:r>
              <w:rPr>
                <w:rFonts w:eastAsia="Times New Roman" w:cs="Times New Roman"/>
                <w:color w:val="000000"/>
              </w:rPr>
              <w:t>Interest cover= EBIT/Interest expenses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32DF9" w:rsidRDefault="00332DF9">
            <w:pPr>
              <w:spacing w:line="240" w:lineRule="auto"/>
              <w:jc w:val="center"/>
              <w:rPr>
                <w:rFonts w:ascii="Times New Roman" w:eastAsia="Times New Roman" w:hAnsi="Times New Roman" w:cs="Times New Roman"/>
                <w:sz w:val="24"/>
                <w:szCs w:val="24"/>
              </w:rPr>
            </w:pPr>
            <w:r>
              <w:rPr>
                <w:rFonts w:ascii="Calibri" w:eastAsia="Times New Roman" w:hAnsi="Calibri"/>
                <w:color w:val="000000"/>
              </w:rPr>
              <w:t>3.561947</w:t>
            </w:r>
          </w:p>
        </w:tc>
        <w:tc>
          <w:tcPr>
            <w:tcW w:w="132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hideMark/>
          </w:tcPr>
          <w:p w:rsidR="00332DF9" w:rsidRDefault="00332DF9">
            <w:pPr>
              <w:spacing w:line="240" w:lineRule="auto"/>
              <w:jc w:val="center"/>
              <w:rPr>
                <w:rFonts w:ascii="Calibri" w:eastAsia="Times New Roman" w:hAnsi="Calibri" w:cs="Calibri"/>
                <w:color w:val="000000"/>
              </w:rPr>
            </w:pPr>
            <w:r>
              <w:rPr>
                <w:rFonts w:ascii="Calibri" w:hAnsi="Calibri"/>
                <w:color w:val="000000"/>
              </w:rPr>
              <w:t>3.861878453</w:t>
            </w:r>
          </w:p>
        </w:tc>
      </w:tr>
    </w:tbl>
    <w:p w:rsidR="00332DF9" w:rsidRDefault="00332DF9" w:rsidP="00332DF9">
      <w:pPr>
        <w:rPr>
          <w:rFonts w:cs="Calibri"/>
          <w:b/>
          <w:bCs/>
          <w:lang w:eastAsia="en-GB"/>
        </w:rPr>
      </w:pPr>
    </w:p>
    <w:p w:rsidR="00332DF9" w:rsidRDefault="00332DF9" w:rsidP="00332DF9">
      <w:pPr>
        <w:rPr>
          <w:b/>
          <w:bCs/>
        </w:rPr>
      </w:pPr>
      <w:r>
        <w:rPr>
          <w:b/>
          <w:bCs/>
        </w:rPr>
        <w:t>Commenting on the financial performance of the company using ratio analysis</w:t>
      </w:r>
    </w:p>
    <w:p w:rsidR="00332DF9" w:rsidRDefault="00332DF9" w:rsidP="00332DF9">
      <w:pPr>
        <w:rPr>
          <w:b/>
          <w:bCs/>
        </w:rPr>
      </w:pPr>
      <w:r>
        <w:rPr>
          <w:b/>
          <w:bCs/>
        </w:rPr>
        <w:t>1. Return on capital employed</w:t>
      </w:r>
    </w:p>
    <w:p w:rsidR="00332DF9" w:rsidRPr="00E55C1F" w:rsidRDefault="00332DF9" w:rsidP="00332DF9">
      <w:pPr>
        <w:rPr>
          <w:rFonts w:ascii="Times New Roman" w:hAnsi="Times New Roman" w:cs="Times New Roman"/>
          <w:sz w:val="24"/>
          <w:szCs w:val="24"/>
        </w:rPr>
      </w:pPr>
      <w:r w:rsidRPr="00E55C1F">
        <w:rPr>
          <w:rFonts w:ascii="Times New Roman" w:hAnsi="Times New Roman" w:cs="Times New Roman"/>
          <w:sz w:val="24"/>
          <w:szCs w:val="24"/>
        </w:rPr>
        <w:t xml:space="preserve">The calculation of return on capital employed indicates to the profitability of the company after considering the amount of capital used in Sweets plc. This refers to the capacity of the company to </w:t>
      </w:r>
      <w:proofErr w:type="spellStart"/>
      <w:r w:rsidRPr="00E55C1F">
        <w:rPr>
          <w:rFonts w:ascii="Times New Roman" w:hAnsi="Times New Roman" w:cs="Times New Roman"/>
          <w:sz w:val="24"/>
          <w:szCs w:val="24"/>
        </w:rPr>
        <w:t>utilise</w:t>
      </w:r>
      <w:proofErr w:type="spellEnd"/>
      <w:r w:rsidRPr="00E55C1F">
        <w:rPr>
          <w:rFonts w:ascii="Times New Roman" w:hAnsi="Times New Roman" w:cs="Times New Roman"/>
          <w:sz w:val="24"/>
          <w:szCs w:val="24"/>
        </w:rPr>
        <w:t xml:space="preserve"> the capital that assisted to generate profit through its business activity. The ratio of return on capital employed is continuously increased in 2021 to </w:t>
      </w:r>
      <w:r w:rsidRPr="00E55C1F">
        <w:rPr>
          <w:rFonts w:ascii="Times New Roman" w:eastAsia="Times New Roman" w:hAnsi="Times New Roman" w:cs="Times New Roman"/>
          <w:color w:val="000000"/>
          <w:sz w:val="24"/>
          <w:szCs w:val="24"/>
        </w:rPr>
        <w:t>11.1419 </w:t>
      </w:r>
      <w:r w:rsidRPr="00E55C1F">
        <w:rPr>
          <w:rFonts w:ascii="Times New Roman" w:hAnsi="Times New Roman" w:cs="Times New Roman"/>
          <w:sz w:val="24"/>
          <w:szCs w:val="24"/>
        </w:rPr>
        <w:t xml:space="preserve">from </w:t>
      </w:r>
      <w:r w:rsidRPr="00E55C1F">
        <w:rPr>
          <w:rFonts w:ascii="Times New Roman" w:eastAsia="Times New Roman" w:hAnsi="Times New Roman" w:cs="Times New Roman"/>
          <w:color w:val="000000"/>
          <w:sz w:val="24"/>
          <w:szCs w:val="24"/>
        </w:rPr>
        <w:t>9.92757</w:t>
      </w:r>
      <w:r w:rsidRPr="00E55C1F">
        <w:rPr>
          <w:rFonts w:ascii="Times New Roman" w:hAnsi="Times New Roman" w:cs="Times New Roman"/>
          <w:sz w:val="24"/>
          <w:szCs w:val="24"/>
        </w:rPr>
        <w:t xml:space="preserve">. It also reflects the way the Sweets plc increases its business profit in an efficient manner.  </w:t>
      </w:r>
    </w:p>
    <w:p w:rsidR="00332DF9" w:rsidRDefault="00332DF9" w:rsidP="00332DF9">
      <w:pPr>
        <w:rPr>
          <w:b/>
          <w:bCs/>
        </w:rPr>
      </w:pPr>
      <w:r>
        <w:rPr>
          <w:b/>
          <w:bCs/>
        </w:rPr>
        <w:t>2. Return on equity</w:t>
      </w:r>
    </w:p>
    <w:p w:rsidR="00332DF9" w:rsidRPr="00E55C1F" w:rsidRDefault="00332DF9" w:rsidP="00332DF9">
      <w:pPr>
        <w:rPr>
          <w:rFonts w:ascii="Times New Roman" w:hAnsi="Times New Roman" w:cs="Times New Roman"/>
          <w:sz w:val="24"/>
          <w:szCs w:val="24"/>
        </w:rPr>
      </w:pPr>
      <w:r w:rsidRPr="00E55C1F">
        <w:rPr>
          <w:rFonts w:ascii="Times New Roman" w:hAnsi="Times New Roman" w:cs="Times New Roman"/>
          <w:sz w:val="24"/>
          <w:szCs w:val="24"/>
        </w:rPr>
        <w:t xml:space="preserve">The return on equity reflects the effectiveness of Sweets plc that relates to the equity. It indicates the ability of the company to use the shareholder money for generating the profit. The ratio continuously increased in 2021 to 1.436667 from 1.22 in 2019. This means Sweets plc increases the efficiency of itself for </w:t>
      </w:r>
      <w:proofErr w:type="spellStart"/>
      <w:r w:rsidRPr="00E55C1F">
        <w:rPr>
          <w:rFonts w:ascii="Times New Roman" w:hAnsi="Times New Roman" w:cs="Times New Roman"/>
          <w:sz w:val="24"/>
          <w:szCs w:val="24"/>
        </w:rPr>
        <w:t>utilising</w:t>
      </w:r>
      <w:proofErr w:type="spellEnd"/>
      <w:r w:rsidRPr="00E55C1F">
        <w:rPr>
          <w:rFonts w:ascii="Times New Roman" w:hAnsi="Times New Roman" w:cs="Times New Roman"/>
          <w:sz w:val="24"/>
          <w:szCs w:val="24"/>
        </w:rPr>
        <w:t xml:space="preserve"> the shareholder money for the company's benefit (</w:t>
      </w:r>
      <w:r w:rsidRPr="00E55C1F">
        <w:rPr>
          <w:rFonts w:ascii="Times New Roman" w:hAnsi="Times New Roman" w:cs="Times New Roman"/>
          <w:sz w:val="24"/>
          <w:szCs w:val="24"/>
          <w:shd w:val="clear" w:color="auto" w:fill="FFFFFF"/>
        </w:rPr>
        <w:t>Almira</w:t>
      </w:r>
      <w:r w:rsidRPr="00E55C1F">
        <w:rPr>
          <w:rFonts w:ascii="Times New Roman" w:hAnsi="Times New Roman" w:cs="Times New Roman"/>
          <w:sz w:val="24"/>
          <w:szCs w:val="24"/>
        </w:rPr>
        <w:t xml:space="preserve"> </w:t>
      </w:r>
      <w:r w:rsidRPr="00E55C1F">
        <w:rPr>
          <w:rFonts w:ascii="Times New Roman" w:hAnsi="Times New Roman" w:cs="Times New Roman"/>
          <w:sz w:val="24"/>
          <w:szCs w:val="24"/>
          <w:shd w:val="clear" w:color="auto" w:fill="FFFFFF"/>
        </w:rPr>
        <w:t xml:space="preserve">and </w:t>
      </w:r>
      <w:proofErr w:type="spellStart"/>
      <w:r w:rsidRPr="00E55C1F">
        <w:rPr>
          <w:rFonts w:ascii="Times New Roman" w:hAnsi="Times New Roman" w:cs="Times New Roman"/>
          <w:sz w:val="24"/>
          <w:szCs w:val="24"/>
          <w:shd w:val="clear" w:color="auto" w:fill="FFFFFF"/>
        </w:rPr>
        <w:t>Wiagustini</w:t>
      </w:r>
      <w:proofErr w:type="spellEnd"/>
      <w:r w:rsidRPr="00E55C1F">
        <w:rPr>
          <w:rFonts w:ascii="Times New Roman" w:hAnsi="Times New Roman" w:cs="Times New Roman"/>
          <w:sz w:val="24"/>
          <w:szCs w:val="24"/>
        </w:rPr>
        <w:t xml:space="preserve">, </w:t>
      </w:r>
      <w:r w:rsidRPr="00E55C1F">
        <w:rPr>
          <w:rFonts w:ascii="Times New Roman" w:hAnsi="Times New Roman" w:cs="Times New Roman"/>
          <w:sz w:val="24"/>
          <w:szCs w:val="24"/>
          <w:shd w:val="clear" w:color="auto" w:fill="FFFFFF"/>
        </w:rPr>
        <w:t>2020</w:t>
      </w:r>
      <w:r w:rsidRPr="00E55C1F">
        <w:rPr>
          <w:rFonts w:ascii="Times New Roman" w:hAnsi="Times New Roman" w:cs="Times New Roman"/>
          <w:sz w:val="24"/>
          <w:szCs w:val="24"/>
        </w:rPr>
        <w:t xml:space="preserve">, </w:t>
      </w:r>
      <w:r w:rsidRPr="00E55C1F">
        <w:rPr>
          <w:rFonts w:ascii="Times New Roman" w:hAnsi="Times New Roman" w:cs="Times New Roman"/>
          <w:sz w:val="24"/>
          <w:szCs w:val="24"/>
          <w:shd w:val="clear" w:color="auto" w:fill="FFFFFF"/>
        </w:rPr>
        <w:t>p.1069</w:t>
      </w:r>
      <w:r w:rsidRPr="00E55C1F">
        <w:rPr>
          <w:rFonts w:ascii="Times New Roman" w:hAnsi="Times New Roman" w:cs="Times New Roman"/>
          <w:sz w:val="24"/>
          <w:szCs w:val="24"/>
        </w:rPr>
        <w:t xml:space="preserve">). </w:t>
      </w:r>
    </w:p>
    <w:p w:rsidR="00332DF9" w:rsidRDefault="00332DF9" w:rsidP="00332DF9">
      <w:pPr>
        <w:rPr>
          <w:b/>
          <w:bCs/>
        </w:rPr>
      </w:pPr>
      <w:r>
        <w:rPr>
          <w:b/>
          <w:bCs/>
        </w:rPr>
        <w:t>3. Earnings per share</w:t>
      </w:r>
    </w:p>
    <w:p w:rsidR="00332DF9" w:rsidRPr="00E55C1F" w:rsidRDefault="00332DF9" w:rsidP="00332DF9">
      <w:pPr>
        <w:rPr>
          <w:rFonts w:ascii="Times New Roman" w:hAnsi="Times New Roman" w:cs="Times New Roman"/>
          <w:sz w:val="24"/>
          <w:szCs w:val="24"/>
        </w:rPr>
      </w:pPr>
      <w:r w:rsidRPr="00E55C1F">
        <w:rPr>
          <w:rFonts w:ascii="Times New Roman" w:hAnsi="Times New Roman" w:cs="Times New Roman"/>
          <w:sz w:val="24"/>
          <w:szCs w:val="24"/>
        </w:rPr>
        <w:t xml:space="preserve">Earnings per share indicate the income per outstanding share of a company at a financial year. It helps to determine the price of stocks of Sweets plc and also interprets the profitability of the company. The earnings per share decreased in 2021 to 1.436667 from 2.44. This means Sweets plc faces problems in making money through its business activity.  </w:t>
      </w:r>
    </w:p>
    <w:p w:rsidR="008437D3" w:rsidRDefault="008437D3" w:rsidP="00332DF9">
      <w:pPr>
        <w:rPr>
          <w:b/>
          <w:bCs/>
        </w:rPr>
      </w:pPr>
    </w:p>
    <w:p w:rsidR="008437D3" w:rsidRDefault="008437D3" w:rsidP="00332DF9">
      <w:pPr>
        <w:rPr>
          <w:b/>
          <w:bCs/>
        </w:rPr>
      </w:pPr>
    </w:p>
    <w:p w:rsidR="008437D3" w:rsidRDefault="008437D3" w:rsidP="00332DF9">
      <w:pPr>
        <w:rPr>
          <w:b/>
          <w:bCs/>
        </w:rPr>
      </w:pPr>
    </w:p>
    <w:p w:rsidR="00332DF9" w:rsidRDefault="00332DF9" w:rsidP="00332DF9">
      <w:pPr>
        <w:rPr>
          <w:b/>
          <w:bCs/>
        </w:rPr>
      </w:pPr>
      <w:r>
        <w:rPr>
          <w:b/>
          <w:bCs/>
        </w:rPr>
        <w:lastRenderedPageBreak/>
        <w:t xml:space="preserve">4. Net profit margin </w:t>
      </w:r>
    </w:p>
    <w:p w:rsidR="00332DF9" w:rsidRPr="008437D3" w:rsidRDefault="00332DF9" w:rsidP="00332DF9">
      <w:pPr>
        <w:rPr>
          <w:rFonts w:ascii="Times New Roman" w:hAnsi="Times New Roman" w:cs="Times New Roman"/>
          <w:sz w:val="24"/>
          <w:szCs w:val="24"/>
        </w:rPr>
      </w:pPr>
      <w:r w:rsidRPr="008437D3">
        <w:rPr>
          <w:rFonts w:ascii="Times New Roman" w:hAnsi="Times New Roman" w:cs="Times New Roman"/>
          <w:sz w:val="24"/>
          <w:szCs w:val="24"/>
        </w:rPr>
        <w:t xml:space="preserve">Net profit margin shows the amount of money that Sweets plc </w:t>
      </w:r>
      <w:proofErr w:type="gramStart"/>
      <w:r w:rsidRPr="008437D3">
        <w:rPr>
          <w:rFonts w:ascii="Times New Roman" w:hAnsi="Times New Roman" w:cs="Times New Roman"/>
          <w:sz w:val="24"/>
          <w:szCs w:val="24"/>
        </w:rPr>
        <w:t>company</w:t>
      </w:r>
      <w:proofErr w:type="gramEnd"/>
      <w:r w:rsidRPr="008437D3">
        <w:rPr>
          <w:rFonts w:ascii="Times New Roman" w:hAnsi="Times New Roman" w:cs="Times New Roman"/>
          <w:sz w:val="24"/>
          <w:szCs w:val="24"/>
        </w:rPr>
        <w:t xml:space="preserve"> generate after considering all types of the indirect cost of the business. This company increased its net profit margin to 6.396557 from 5.682347 in 2021. This shows the company focuses on controlling the indirect cost of production to increase the net profit for this accounting period.</w:t>
      </w:r>
    </w:p>
    <w:p w:rsidR="00332DF9" w:rsidRDefault="00332DF9" w:rsidP="00332DF9">
      <w:pPr>
        <w:rPr>
          <w:b/>
          <w:bCs/>
        </w:rPr>
      </w:pPr>
      <w:r>
        <w:rPr>
          <w:b/>
          <w:bCs/>
        </w:rPr>
        <w:t>5. Assets turnover</w:t>
      </w:r>
    </w:p>
    <w:p w:rsidR="00332DF9" w:rsidRPr="008437D3" w:rsidRDefault="00332DF9" w:rsidP="00332DF9">
      <w:pPr>
        <w:rPr>
          <w:rFonts w:ascii="Times New Roman" w:hAnsi="Times New Roman" w:cs="Times New Roman"/>
          <w:sz w:val="24"/>
          <w:szCs w:val="24"/>
        </w:rPr>
      </w:pPr>
      <w:r w:rsidRPr="008437D3">
        <w:rPr>
          <w:rFonts w:ascii="Times New Roman" w:hAnsi="Times New Roman" w:cs="Times New Roman"/>
          <w:sz w:val="24"/>
          <w:szCs w:val="24"/>
        </w:rPr>
        <w:t xml:space="preserve">The assets turnover ratio indicates the way the company use its assets like fixed and current assets to earn profit and generate sales in a financial period. This calculation indicates the ratio is decreased to 0.679816 from 1.277089 in 2021.  It means the company is unable to </w:t>
      </w:r>
      <w:proofErr w:type="spellStart"/>
      <w:r w:rsidRPr="008437D3">
        <w:rPr>
          <w:rFonts w:ascii="Times New Roman" w:hAnsi="Times New Roman" w:cs="Times New Roman"/>
          <w:sz w:val="24"/>
          <w:szCs w:val="24"/>
        </w:rPr>
        <w:t>utilise</w:t>
      </w:r>
      <w:proofErr w:type="spellEnd"/>
      <w:r w:rsidRPr="008437D3">
        <w:rPr>
          <w:rFonts w:ascii="Times New Roman" w:hAnsi="Times New Roman" w:cs="Times New Roman"/>
          <w:sz w:val="24"/>
          <w:szCs w:val="24"/>
        </w:rPr>
        <w:t xml:space="preserve"> the assets for generating the revenue for Sweets plc in this financial year (</w:t>
      </w:r>
      <w:proofErr w:type="spellStart"/>
      <w:r w:rsidRPr="008437D3">
        <w:rPr>
          <w:rFonts w:ascii="Times New Roman" w:hAnsi="Times New Roman" w:cs="Times New Roman"/>
          <w:sz w:val="24"/>
          <w:szCs w:val="24"/>
          <w:shd w:val="clear" w:color="auto" w:fill="FFFFFF"/>
        </w:rPr>
        <w:t>Jufrizen</w:t>
      </w:r>
      <w:proofErr w:type="spellEnd"/>
      <w:r w:rsidRPr="008437D3">
        <w:rPr>
          <w:rFonts w:ascii="Times New Roman" w:hAnsi="Times New Roman" w:cs="Times New Roman"/>
          <w:sz w:val="24"/>
          <w:szCs w:val="24"/>
        </w:rPr>
        <w:t xml:space="preserve"> </w:t>
      </w:r>
      <w:r w:rsidRPr="008437D3">
        <w:rPr>
          <w:rFonts w:ascii="Times New Roman" w:hAnsi="Times New Roman" w:cs="Times New Roman"/>
          <w:sz w:val="24"/>
          <w:szCs w:val="24"/>
          <w:shd w:val="clear" w:color="auto" w:fill="FFFFFF"/>
        </w:rPr>
        <w:t>and Sari</w:t>
      </w:r>
      <w:r w:rsidRPr="008437D3">
        <w:rPr>
          <w:rFonts w:ascii="Times New Roman" w:hAnsi="Times New Roman" w:cs="Times New Roman"/>
          <w:sz w:val="24"/>
          <w:szCs w:val="24"/>
        </w:rPr>
        <w:t xml:space="preserve">, </w:t>
      </w:r>
      <w:r w:rsidRPr="008437D3">
        <w:rPr>
          <w:rFonts w:ascii="Times New Roman" w:hAnsi="Times New Roman" w:cs="Times New Roman"/>
          <w:sz w:val="24"/>
          <w:szCs w:val="24"/>
          <w:shd w:val="clear" w:color="auto" w:fill="FFFFFF"/>
        </w:rPr>
        <w:t>2019</w:t>
      </w:r>
      <w:r w:rsidRPr="008437D3">
        <w:rPr>
          <w:rFonts w:ascii="Times New Roman" w:hAnsi="Times New Roman" w:cs="Times New Roman"/>
          <w:sz w:val="24"/>
          <w:szCs w:val="24"/>
        </w:rPr>
        <w:t xml:space="preserve">, </w:t>
      </w:r>
      <w:r w:rsidRPr="008437D3">
        <w:rPr>
          <w:rFonts w:ascii="Times New Roman" w:hAnsi="Times New Roman" w:cs="Times New Roman"/>
          <w:sz w:val="24"/>
          <w:szCs w:val="24"/>
          <w:shd w:val="clear" w:color="auto" w:fill="FFFFFF"/>
        </w:rPr>
        <w:t>pp.156-191</w:t>
      </w:r>
      <w:r w:rsidRPr="008437D3">
        <w:rPr>
          <w:rFonts w:ascii="Times New Roman" w:hAnsi="Times New Roman" w:cs="Times New Roman"/>
          <w:sz w:val="24"/>
          <w:szCs w:val="24"/>
        </w:rPr>
        <w:t xml:space="preserve">). </w:t>
      </w:r>
    </w:p>
    <w:p w:rsidR="00332DF9" w:rsidRDefault="00332DF9" w:rsidP="00332DF9">
      <w:pPr>
        <w:rPr>
          <w:b/>
          <w:bCs/>
        </w:rPr>
      </w:pPr>
      <w:r>
        <w:rPr>
          <w:b/>
          <w:bCs/>
        </w:rPr>
        <w:t xml:space="preserve">6. </w:t>
      </w:r>
      <w:proofErr w:type="gramStart"/>
      <w:r>
        <w:rPr>
          <w:b/>
          <w:bCs/>
        </w:rPr>
        <w:t>stock</w:t>
      </w:r>
      <w:proofErr w:type="gramEnd"/>
      <w:r>
        <w:rPr>
          <w:b/>
          <w:bCs/>
        </w:rPr>
        <w:t xml:space="preserve"> holding days</w:t>
      </w:r>
    </w:p>
    <w:p w:rsidR="00332DF9" w:rsidRPr="008437D3" w:rsidRDefault="00332DF9" w:rsidP="00332DF9">
      <w:pPr>
        <w:rPr>
          <w:rFonts w:ascii="Times New Roman" w:hAnsi="Times New Roman" w:cs="Times New Roman"/>
          <w:sz w:val="24"/>
          <w:szCs w:val="24"/>
        </w:rPr>
      </w:pPr>
      <w:r w:rsidRPr="008437D3">
        <w:rPr>
          <w:rFonts w:ascii="Times New Roman" w:hAnsi="Times New Roman" w:cs="Times New Roman"/>
          <w:sz w:val="24"/>
          <w:szCs w:val="24"/>
        </w:rPr>
        <w:t xml:space="preserve">The stock holding days indicate the number of days that the business needs to rotate the stocks in the operations. </w:t>
      </w:r>
      <w:proofErr w:type="gramStart"/>
      <w:r w:rsidRPr="008437D3">
        <w:rPr>
          <w:rFonts w:ascii="Times New Roman" w:hAnsi="Times New Roman" w:cs="Times New Roman"/>
          <w:sz w:val="24"/>
          <w:szCs w:val="24"/>
        </w:rPr>
        <w:t>the</w:t>
      </w:r>
      <w:proofErr w:type="gramEnd"/>
      <w:r w:rsidRPr="008437D3">
        <w:rPr>
          <w:rFonts w:ascii="Times New Roman" w:hAnsi="Times New Roman" w:cs="Times New Roman"/>
          <w:sz w:val="24"/>
          <w:szCs w:val="24"/>
        </w:rPr>
        <w:t xml:space="preserve"> number of holding days increased in 2021 to 79.8825 from 77.69218346. This means Sweets plc face problem while increasing its efficiency level that help to enhance the total sales and rotate the stock days.  </w:t>
      </w:r>
    </w:p>
    <w:p w:rsidR="00332DF9" w:rsidRDefault="00332DF9" w:rsidP="00332DF9">
      <w:pPr>
        <w:rPr>
          <w:b/>
          <w:bCs/>
        </w:rPr>
      </w:pPr>
      <w:r>
        <w:rPr>
          <w:b/>
          <w:bCs/>
        </w:rPr>
        <w:t>7. Debtor collection period</w:t>
      </w:r>
    </w:p>
    <w:p w:rsidR="00332DF9" w:rsidRPr="008437D3" w:rsidRDefault="00332DF9" w:rsidP="00332DF9">
      <w:pPr>
        <w:rPr>
          <w:rFonts w:ascii="Times New Roman" w:hAnsi="Times New Roman" w:cs="Times New Roman"/>
          <w:sz w:val="24"/>
          <w:szCs w:val="24"/>
        </w:rPr>
      </w:pPr>
      <w:r w:rsidRPr="008437D3">
        <w:rPr>
          <w:rFonts w:ascii="Times New Roman" w:hAnsi="Times New Roman" w:cs="Times New Roman"/>
          <w:sz w:val="24"/>
          <w:szCs w:val="24"/>
        </w:rPr>
        <w:t>This debtor collection period illustrates the days that the company take while collect the payments from the debtors. It continuously decreased to 67.6588 from 72.93199814 in 2021. This means the company increases its efficiency while collecting payments from the debtors by setting rules and regulations.</w:t>
      </w:r>
    </w:p>
    <w:p w:rsidR="00332DF9" w:rsidRDefault="00332DF9" w:rsidP="00332DF9">
      <w:pPr>
        <w:rPr>
          <w:b/>
          <w:bCs/>
        </w:rPr>
      </w:pPr>
      <w:r>
        <w:rPr>
          <w:b/>
          <w:bCs/>
        </w:rPr>
        <w:t>8. Current ratio</w:t>
      </w:r>
    </w:p>
    <w:p w:rsidR="00332DF9" w:rsidRPr="008437D3" w:rsidRDefault="00332DF9" w:rsidP="00332DF9">
      <w:pPr>
        <w:rPr>
          <w:rFonts w:ascii="Times New Roman" w:hAnsi="Times New Roman" w:cs="Times New Roman"/>
          <w:sz w:val="24"/>
          <w:szCs w:val="24"/>
        </w:rPr>
      </w:pPr>
      <w:r w:rsidRPr="008437D3">
        <w:rPr>
          <w:rFonts w:ascii="Times New Roman" w:hAnsi="Times New Roman" w:cs="Times New Roman"/>
          <w:sz w:val="24"/>
          <w:szCs w:val="24"/>
        </w:rPr>
        <w:t>This current ratio indicates the ability of the company to pay off its short-term liability during an accounting period. Sweets plc increased the current ratio to 3.87734 from 3.311556139</w:t>
      </w:r>
      <w:r w:rsidRPr="008437D3">
        <w:rPr>
          <w:rFonts w:ascii="Times New Roman" w:hAnsi="Times New Roman" w:cs="Times New Roman"/>
          <w:color w:val="000000"/>
          <w:sz w:val="24"/>
          <w:szCs w:val="24"/>
        </w:rPr>
        <w:t xml:space="preserve"> in 2021 and </w:t>
      </w:r>
      <w:r w:rsidRPr="008437D3">
        <w:rPr>
          <w:rFonts w:ascii="Times New Roman" w:hAnsi="Times New Roman" w:cs="Times New Roman"/>
          <w:sz w:val="24"/>
          <w:szCs w:val="24"/>
        </w:rPr>
        <w:t>it refers to the liquidity of the company in the financial year</w:t>
      </w:r>
      <w:sdt>
        <w:sdtPr>
          <w:rPr>
            <w:rFonts w:ascii="Times New Roman" w:hAnsi="Times New Roman" w:cs="Times New Roman"/>
            <w:sz w:val="24"/>
            <w:szCs w:val="24"/>
          </w:rPr>
          <w:id w:val="1096135144"/>
          <w:citation/>
        </w:sdtPr>
        <w:sdtContent>
          <w:r w:rsidRPr="008437D3">
            <w:rPr>
              <w:rFonts w:ascii="Times New Roman" w:hAnsi="Times New Roman" w:cs="Times New Roman"/>
              <w:sz w:val="24"/>
              <w:szCs w:val="24"/>
            </w:rPr>
            <w:fldChar w:fldCharType="begin"/>
          </w:r>
          <w:r w:rsidRPr="008437D3">
            <w:rPr>
              <w:rFonts w:ascii="Times New Roman" w:hAnsi="Times New Roman" w:cs="Times New Roman"/>
              <w:sz w:val="24"/>
              <w:szCs w:val="24"/>
            </w:rPr>
            <w:instrText xml:space="preserve"> CITATION acc2218 \l 1033 </w:instrText>
          </w:r>
          <w:r w:rsidRPr="008437D3">
            <w:rPr>
              <w:rFonts w:ascii="Times New Roman" w:hAnsi="Times New Roman" w:cs="Times New Roman"/>
              <w:sz w:val="24"/>
              <w:szCs w:val="24"/>
            </w:rPr>
            <w:fldChar w:fldCharType="separate"/>
          </w:r>
          <w:r w:rsidRPr="008437D3">
            <w:rPr>
              <w:rFonts w:ascii="Times New Roman" w:hAnsi="Times New Roman" w:cs="Times New Roman"/>
              <w:noProof/>
              <w:sz w:val="24"/>
              <w:szCs w:val="24"/>
            </w:rPr>
            <w:t xml:space="preserve"> (accountingtools, 2022)</w:t>
          </w:r>
          <w:r w:rsidRPr="008437D3">
            <w:rPr>
              <w:rFonts w:ascii="Times New Roman" w:hAnsi="Times New Roman" w:cs="Times New Roman"/>
              <w:sz w:val="24"/>
              <w:szCs w:val="24"/>
            </w:rPr>
            <w:fldChar w:fldCharType="end"/>
          </w:r>
        </w:sdtContent>
      </w:sdt>
      <w:r w:rsidRPr="008437D3">
        <w:rPr>
          <w:rFonts w:ascii="Times New Roman" w:hAnsi="Times New Roman" w:cs="Times New Roman"/>
          <w:sz w:val="24"/>
          <w:szCs w:val="24"/>
        </w:rPr>
        <w:t>.</w:t>
      </w:r>
    </w:p>
    <w:p w:rsidR="00332DF9" w:rsidRDefault="00332DF9" w:rsidP="00332DF9">
      <w:pPr>
        <w:rPr>
          <w:b/>
          <w:bCs/>
        </w:rPr>
      </w:pPr>
      <w:r>
        <w:rPr>
          <w:b/>
          <w:bCs/>
        </w:rPr>
        <w:t>9. Gearing ratio</w:t>
      </w:r>
    </w:p>
    <w:p w:rsidR="00332DF9" w:rsidRPr="008437D3" w:rsidRDefault="00332DF9" w:rsidP="00332DF9">
      <w:pPr>
        <w:rPr>
          <w:rFonts w:ascii="Times New Roman" w:hAnsi="Times New Roman" w:cs="Times New Roman"/>
          <w:color w:val="000000"/>
          <w:sz w:val="24"/>
          <w:szCs w:val="24"/>
        </w:rPr>
      </w:pPr>
      <w:r w:rsidRPr="008437D3">
        <w:rPr>
          <w:rFonts w:ascii="Times New Roman" w:hAnsi="Times New Roman" w:cs="Times New Roman"/>
          <w:sz w:val="24"/>
          <w:szCs w:val="24"/>
        </w:rPr>
        <w:t xml:space="preserve">The calculation of the gearing ratio indicates the contrast of shareholders' equity relating to the company debt to understand the amount of leverage and financial stability. The ratio is increased to </w:t>
      </w:r>
      <w:r w:rsidRPr="008437D3">
        <w:rPr>
          <w:rFonts w:ascii="Times New Roman" w:eastAsia="Times New Roman" w:hAnsi="Times New Roman" w:cs="Times New Roman"/>
          <w:color w:val="000000"/>
          <w:sz w:val="24"/>
          <w:szCs w:val="24"/>
        </w:rPr>
        <w:t>1.42067 from</w:t>
      </w:r>
      <w:r w:rsidRPr="008437D3">
        <w:rPr>
          <w:rFonts w:ascii="Times New Roman" w:hAnsi="Times New Roman" w:cs="Times New Roman"/>
          <w:sz w:val="24"/>
          <w:szCs w:val="24"/>
        </w:rPr>
        <w:t xml:space="preserve"> </w:t>
      </w:r>
      <w:r w:rsidRPr="008437D3">
        <w:rPr>
          <w:rFonts w:ascii="Times New Roman" w:hAnsi="Times New Roman" w:cs="Times New Roman"/>
          <w:color w:val="000000"/>
          <w:sz w:val="24"/>
          <w:szCs w:val="24"/>
        </w:rPr>
        <w:t>1.417925824 in 2021 for Sweets plc. It indicates the number of operations that are funded by the debt versus the shareholder’s fund</w:t>
      </w:r>
      <w:sdt>
        <w:sdtPr>
          <w:rPr>
            <w:rFonts w:ascii="Times New Roman" w:hAnsi="Times New Roman" w:cs="Times New Roman"/>
            <w:color w:val="000000"/>
            <w:sz w:val="24"/>
            <w:szCs w:val="24"/>
          </w:rPr>
          <w:id w:val="2096354693"/>
          <w:citation/>
        </w:sdtPr>
        <w:sdtContent>
          <w:r w:rsidRPr="008437D3">
            <w:rPr>
              <w:rFonts w:ascii="Times New Roman" w:hAnsi="Times New Roman" w:cs="Times New Roman"/>
              <w:color w:val="000000"/>
              <w:sz w:val="24"/>
              <w:szCs w:val="24"/>
            </w:rPr>
            <w:fldChar w:fldCharType="begin"/>
          </w:r>
          <w:r w:rsidRPr="008437D3">
            <w:rPr>
              <w:rFonts w:ascii="Times New Roman" w:hAnsi="Times New Roman" w:cs="Times New Roman"/>
              <w:color w:val="000000"/>
              <w:sz w:val="24"/>
              <w:szCs w:val="24"/>
            </w:rPr>
            <w:instrText xml:space="preserve"> CITATION acc2219 \l 1033 </w:instrText>
          </w:r>
          <w:r w:rsidRPr="008437D3">
            <w:rPr>
              <w:rFonts w:ascii="Times New Roman" w:hAnsi="Times New Roman" w:cs="Times New Roman"/>
              <w:color w:val="000000"/>
              <w:sz w:val="24"/>
              <w:szCs w:val="24"/>
            </w:rPr>
            <w:fldChar w:fldCharType="separate"/>
          </w:r>
          <w:r w:rsidRPr="008437D3">
            <w:rPr>
              <w:rFonts w:ascii="Times New Roman" w:hAnsi="Times New Roman" w:cs="Times New Roman"/>
              <w:noProof/>
              <w:color w:val="000000"/>
              <w:sz w:val="24"/>
              <w:szCs w:val="24"/>
            </w:rPr>
            <w:t xml:space="preserve"> (accountingtools, 2022)</w:t>
          </w:r>
          <w:r w:rsidRPr="008437D3">
            <w:rPr>
              <w:rFonts w:ascii="Times New Roman" w:hAnsi="Times New Roman" w:cs="Times New Roman"/>
              <w:color w:val="000000"/>
              <w:sz w:val="24"/>
              <w:szCs w:val="24"/>
            </w:rPr>
            <w:fldChar w:fldCharType="end"/>
          </w:r>
        </w:sdtContent>
      </w:sdt>
      <w:r w:rsidRPr="008437D3">
        <w:rPr>
          <w:rFonts w:ascii="Times New Roman" w:hAnsi="Times New Roman" w:cs="Times New Roman"/>
          <w:color w:val="000000"/>
          <w:sz w:val="24"/>
          <w:szCs w:val="24"/>
        </w:rPr>
        <w:t xml:space="preserve">. </w:t>
      </w:r>
    </w:p>
    <w:p w:rsidR="008437D3" w:rsidRDefault="008437D3" w:rsidP="00332DF9">
      <w:pPr>
        <w:rPr>
          <w:b/>
          <w:bCs/>
          <w:color w:val="000000"/>
        </w:rPr>
      </w:pPr>
    </w:p>
    <w:p w:rsidR="008437D3" w:rsidRDefault="008437D3" w:rsidP="00332DF9">
      <w:pPr>
        <w:rPr>
          <w:b/>
          <w:bCs/>
          <w:color w:val="000000"/>
        </w:rPr>
      </w:pPr>
    </w:p>
    <w:p w:rsidR="00332DF9" w:rsidRDefault="00332DF9" w:rsidP="00332DF9">
      <w:pPr>
        <w:rPr>
          <w:b/>
          <w:bCs/>
          <w:color w:val="000000"/>
        </w:rPr>
      </w:pPr>
      <w:r>
        <w:rPr>
          <w:b/>
          <w:bCs/>
          <w:color w:val="000000"/>
        </w:rPr>
        <w:lastRenderedPageBreak/>
        <w:t>10. Interest cover ratio</w:t>
      </w:r>
    </w:p>
    <w:p w:rsidR="00332DF9" w:rsidRPr="008437D3" w:rsidRDefault="00332DF9" w:rsidP="008437D3">
      <w:pPr>
        <w:rPr>
          <w:rFonts w:ascii="Times New Roman" w:hAnsi="Times New Roman" w:cs="Times New Roman"/>
          <w:color w:val="000000"/>
          <w:sz w:val="24"/>
          <w:szCs w:val="24"/>
        </w:rPr>
      </w:pPr>
      <w:r w:rsidRPr="008437D3">
        <w:rPr>
          <w:rFonts w:ascii="Times New Roman" w:hAnsi="Times New Roman" w:cs="Times New Roman"/>
          <w:color w:val="000000"/>
          <w:sz w:val="24"/>
          <w:szCs w:val="24"/>
        </w:rPr>
        <w:t xml:space="preserve">The interest coverage ratio indicated the possibility of the company paying its interest against its outstanding debt. It decreased </w:t>
      </w:r>
      <w:r w:rsidRPr="008437D3">
        <w:rPr>
          <w:rFonts w:ascii="Times New Roman" w:hAnsi="Times New Roman" w:cs="Times New Roman"/>
          <w:sz w:val="24"/>
          <w:szCs w:val="24"/>
        </w:rPr>
        <w:t>in 2021 to 3.561947 from 3.861878453</w:t>
      </w:r>
      <w:r w:rsidRPr="008437D3">
        <w:rPr>
          <w:rFonts w:ascii="Times New Roman" w:hAnsi="Times New Roman" w:cs="Times New Roman"/>
          <w:color w:val="000000"/>
          <w:sz w:val="24"/>
          <w:szCs w:val="24"/>
        </w:rPr>
        <w:t xml:space="preserve"> from Sweets plc. This means the </w:t>
      </w:r>
      <w:proofErr w:type="gramStart"/>
      <w:r w:rsidRPr="008437D3">
        <w:rPr>
          <w:rFonts w:ascii="Times New Roman" w:hAnsi="Times New Roman" w:cs="Times New Roman"/>
          <w:color w:val="000000"/>
          <w:sz w:val="24"/>
          <w:szCs w:val="24"/>
        </w:rPr>
        <w:t>company face</w:t>
      </w:r>
      <w:proofErr w:type="gramEnd"/>
      <w:r w:rsidRPr="008437D3">
        <w:rPr>
          <w:rFonts w:ascii="Times New Roman" w:hAnsi="Times New Roman" w:cs="Times New Roman"/>
          <w:color w:val="000000"/>
          <w:sz w:val="24"/>
          <w:szCs w:val="24"/>
        </w:rPr>
        <w:t xml:space="preserve"> the problem while paying its interests against the outstanding debt</w:t>
      </w:r>
      <w:sdt>
        <w:sdtPr>
          <w:rPr>
            <w:rFonts w:ascii="Times New Roman" w:hAnsi="Times New Roman" w:cs="Times New Roman"/>
            <w:color w:val="000000"/>
            <w:sz w:val="24"/>
            <w:szCs w:val="24"/>
          </w:rPr>
          <w:id w:val="150803618"/>
          <w:citation/>
        </w:sdtPr>
        <w:sdtContent>
          <w:r w:rsidRPr="008437D3">
            <w:rPr>
              <w:rFonts w:ascii="Times New Roman" w:hAnsi="Times New Roman" w:cs="Times New Roman"/>
              <w:color w:val="000000"/>
              <w:sz w:val="24"/>
              <w:szCs w:val="24"/>
            </w:rPr>
            <w:fldChar w:fldCharType="begin"/>
          </w:r>
          <w:r w:rsidRPr="008437D3">
            <w:rPr>
              <w:rFonts w:ascii="Times New Roman" w:hAnsi="Times New Roman" w:cs="Times New Roman"/>
              <w:color w:val="000000"/>
              <w:sz w:val="24"/>
              <w:szCs w:val="24"/>
            </w:rPr>
            <w:instrText xml:space="preserve"> CITATION acc2217 \l 1033 </w:instrText>
          </w:r>
          <w:r w:rsidRPr="008437D3">
            <w:rPr>
              <w:rFonts w:ascii="Times New Roman" w:hAnsi="Times New Roman" w:cs="Times New Roman"/>
              <w:color w:val="000000"/>
              <w:sz w:val="24"/>
              <w:szCs w:val="24"/>
            </w:rPr>
            <w:fldChar w:fldCharType="separate"/>
          </w:r>
          <w:r w:rsidRPr="008437D3">
            <w:rPr>
              <w:rFonts w:ascii="Times New Roman" w:hAnsi="Times New Roman" w:cs="Times New Roman"/>
              <w:noProof/>
              <w:color w:val="000000"/>
              <w:sz w:val="24"/>
              <w:szCs w:val="24"/>
            </w:rPr>
            <w:t xml:space="preserve"> (accountingtools, 2022)</w:t>
          </w:r>
          <w:r w:rsidRPr="008437D3">
            <w:rPr>
              <w:rFonts w:ascii="Times New Roman" w:hAnsi="Times New Roman" w:cs="Times New Roman"/>
              <w:color w:val="000000"/>
              <w:sz w:val="24"/>
              <w:szCs w:val="24"/>
            </w:rPr>
            <w:fldChar w:fldCharType="end"/>
          </w:r>
        </w:sdtContent>
      </w:sdt>
      <w:r w:rsidRPr="008437D3">
        <w:rPr>
          <w:rFonts w:ascii="Times New Roman" w:hAnsi="Times New Roman" w:cs="Times New Roman"/>
          <w:color w:val="000000"/>
          <w:sz w:val="24"/>
          <w:szCs w:val="24"/>
        </w:rPr>
        <w:t xml:space="preserve">. </w:t>
      </w:r>
      <w:r>
        <w:rPr>
          <w:color w:val="000000"/>
        </w:rPr>
        <w:br w:type="page"/>
      </w:r>
    </w:p>
    <w:p w:rsidR="00332DF9" w:rsidRDefault="00332DF9" w:rsidP="00332DF9">
      <w:pPr>
        <w:pStyle w:val="Heading1"/>
      </w:pPr>
      <w:bookmarkStart w:id="3" w:name="_Toc111817067"/>
      <w:r>
        <w:lastRenderedPageBreak/>
        <w:t>Reference</w:t>
      </w:r>
      <w:bookmarkEnd w:id="3"/>
    </w:p>
    <w:p w:rsidR="00332DF9" w:rsidRPr="008437D3" w:rsidRDefault="00332DF9" w:rsidP="00332DF9">
      <w:pPr>
        <w:rPr>
          <w:rFonts w:ascii="Times New Roman" w:hAnsi="Times New Roman" w:cs="Times New Roman"/>
          <w:sz w:val="24"/>
          <w:szCs w:val="24"/>
        </w:rPr>
      </w:pPr>
      <w:proofErr w:type="spellStart"/>
      <w:proofErr w:type="gramStart"/>
      <w:r w:rsidRPr="008437D3">
        <w:rPr>
          <w:rFonts w:ascii="Times New Roman" w:hAnsi="Times New Roman" w:cs="Times New Roman"/>
          <w:sz w:val="24"/>
          <w:szCs w:val="24"/>
        </w:rPr>
        <w:t>accountingtools</w:t>
      </w:r>
      <w:proofErr w:type="spellEnd"/>
      <w:proofErr w:type="gramEnd"/>
      <w:r w:rsidRPr="008437D3">
        <w:rPr>
          <w:rFonts w:ascii="Times New Roman" w:hAnsi="Times New Roman" w:cs="Times New Roman"/>
          <w:sz w:val="24"/>
          <w:szCs w:val="24"/>
        </w:rPr>
        <w:t xml:space="preserve">, (2022). </w:t>
      </w:r>
      <w:proofErr w:type="gramStart"/>
      <w:r w:rsidRPr="008437D3">
        <w:rPr>
          <w:rFonts w:ascii="Times New Roman" w:hAnsi="Times New Roman" w:cs="Times New Roman"/>
          <w:sz w:val="24"/>
          <w:szCs w:val="24"/>
        </w:rPr>
        <w:t>Current ratio analysis.</w:t>
      </w:r>
      <w:proofErr w:type="gramEnd"/>
      <w:r w:rsidRPr="008437D3">
        <w:rPr>
          <w:rFonts w:ascii="Times New Roman" w:hAnsi="Times New Roman" w:cs="Times New Roman"/>
          <w:sz w:val="24"/>
          <w:szCs w:val="24"/>
        </w:rPr>
        <w:t xml:space="preserve"> [Online] Available at: https://www.accountingtools.com/articles/current-ratio-analysis.html</w:t>
      </w:r>
    </w:p>
    <w:p w:rsidR="00332DF9" w:rsidRPr="008437D3" w:rsidRDefault="00332DF9" w:rsidP="00332DF9">
      <w:pPr>
        <w:rPr>
          <w:rFonts w:ascii="Times New Roman" w:hAnsi="Times New Roman" w:cs="Times New Roman"/>
          <w:sz w:val="24"/>
          <w:szCs w:val="24"/>
        </w:rPr>
      </w:pPr>
      <w:proofErr w:type="spellStart"/>
      <w:proofErr w:type="gramStart"/>
      <w:r w:rsidRPr="008437D3">
        <w:rPr>
          <w:rFonts w:ascii="Times New Roman" w:hAnsi="Times New Roman" w:cs="Times New Roman"/>
          <w:sz w:val="24"/>
          <w:szCs w:val="24"/>
        </w:rPr>
        <w:t>accountingtools</w:t>
      </w:r>
      <w:proofErr w:type="spellEnd"/>
      <w:proofErr w:type="gramEnd"/>
      <w:r w:rsidRPr="008437D3">
        <w:rPr>
          <w:rFonts w:ascii="Times New Roman" w:hAnsi="Times New Roman" w:cs="Times New Roman"/>
          <w:sz w:val="24"/>
          <w:szCs w:val="24"/>
        </w:rPr>
        <w:t xml:space="preserve">, (2022). </w:t>
      </w:r>
      <w:proofErr w:type="gramStart"/>
      <w:r w:rsidRPr="008437D3">
        <w:rPr>
          <w:rFonts w:ascii="Times New Roman" w:hAnsi="Times New Roman" w:cs="Times New Roman"/>
          <w:sz w:val="24"/>
          <w:szCs w:val="24"/>
        </w:rPr>
        <w:t>Gearing ratio definition.</w:t>
      </w:r>
      <w:proofErr w:type="gramEnd"/>
      <w:r w:rsidRPr="008437D3">
        <w:rPr>
          <w:rFonts w:ascii="Times New Roman" w:hAnsi="Times New Roman" w:cs="Times New Roman"/>
          <w:sz w:val="24"/>
          <w:szCs w:val="24"/>
        </w:rPr>
        <w:t xml:space="preserve"> [Online] Available at: https://www.accountingtools.com/articles/gearing-ratio#:~:text=The%20gearing%20ratio%20measures%20the,can%20lead%20to%20financial%20difficulties.</w:t>
      </w:r>
    </w:p>
    <w:p w:rsidR="00332DF9" w:rsidRPr="008437D3" w:rsidRDefault="00332DF9" w:rsidP="00332DF9">
      <w:pPr>
        <w:rPr>
          <w:rFonts w:ascii="Times New Roman" w:hAnsi="Times New Roman" w:cs="Times New Roman"/>
          <w:sz w:val="24"/>
          <w:szCs w:val="24"/>
        </w:rPr>
      </w:pPr>
      <w:proofErr w:type="spellStart"/>
      <w:proofErr w:type="gramStart"/>
      <w:r w:rsidRPr="008437D3">
        <w:rPr>
          <w:rFonts w:ascii="Times New Roman" w:hAnsi="Times New Roman" w:cs="Times New Roman"/>
          <w:sz w:val="24"/>
          <w:szCs w:val="24"/>
        </w:rPr>
        <w:t>accountingtools</w:t>
      </w:r>
      <w:proofErr w:type="spellEnd"/>
      <w:proofErr w:type="gramEnd"/>
      <w:r w:rsidRPr="008437D3">
        <w:rPr>
          <w:rFonts w:ascii="Times New Roman" w:hAnsi="Times New Roman" w:cs="Times New Roman"/>
          <w:sz w:val="24"/>
          <w:szCs w:val="24"/>
        </w:rPr>
        <w:t xml:space="preserve">, (2022). </w:t>
      </w:r>
      <w:proofErr w:type="gramStart"/>
      <w:r w:rsidRPr="008437D3">
        <w:rPr>
          <w:rFonts w:ascii="Times New Roman" w:hAnsi="Times New Roman" w:cs="Times New Roman"/>
          <w:sz w:val="24"/>
          <w:szCs w:val="24"/>
        </w:rPr>
        <w:t>Interest coverage ratio definition.</w:t>
      </w:r>
      <w:proofErr w:type="gramEnd"/>
      <w:r w:rsidRPr="008437D3">
        <w:rPr>
          <w:rFonts w:ascii="Times New Roman" w:hAnsi="Times New Roman" w:cs="Times New Roman"/>
          <w:sz w:val="24"/>
          <w:szCs w:val="24"/>
        </w:rPr>
        <w:t xml:space="preserve"> [Online] Available at: https://www.accountingtools.com/articles/interest-coverage-ratio</w:t>
      </w:r>
    </w:p>
    <w:p w:rsidR="00332DF9" w:rsidRPr="008437D3" w:rsidRDefault="00332DF9" w:rsidP="00332DF9">
      <w:pPr>
        <w:rPr>
          <w:rFonts w:ascii="Times New Roman" w:hAnsi="Times New Roman" w:cs="Times New Roman"/>
          <w:sz w:val="24"/>
          <w:szCs w:val="24"/>
          <w:shd w:val="clear" w:color="auto" w:fill="FFFFFF"/>
        </w:rPr>
      </w:pPr>
      <w:r w:rsidRPr="008437D3">
        <w:rPr>
          <w:rFonts w:ascii="Times New Roman" w:hAnsi="Times New Roman" w:cs="Times New Roman"/>
          <w:sz w:val="24"/>
          <w:szCs w:val="24"/>
          <w:shd w:val="clear" w:color="auto" w:fill="FFFFFF"/>
        </w:rPr>
        <w:t xml:space="preserve">Almira, N.P.A.K. and </w:t>
      </w:r>
      <w:proofErr w:type="spellStart"/>
      <w:r w:rsidRPr="008437D3">
        <w:rPr>
          <w:rFonts w:ascii="Times New Roman" w:hAnsi="Times New Roman" w:cs="Times New Roman"/>
          <w:sz w:val="24"/>
          <w:szCs w:val="24"/>
          <w:shd w:val="clear" w:color="auto" w:fill="FFFFFF"/>
        </w:rPr>
        <w:t>Wiagustini</w:t>
      </w:r>
      <w:proofErr w:type="spellEnd"/>
      <w:r w:rsidRPr="008437D3">
        <w:rPr>
          <w:rFonts w:ascii="Times New Roman" w:hAnsi="Times New Roman" w:cs="Times New Roman"/>
          <w:sz w:val="24"/>
          <w:szCs w:val="24"/>
          <w:shd w:val="clear" w:color="auto" w:fill="FFFFFF"/>
        </w:rPr>
        <w:t xml:space="preserve">, N.L.P., (2020). Return on asset, return on equity, </w:t>
      </w:r>
      <w:proofErr w:type="spellStart"/>
      <w:r w:rsidRPr="008437D3">
        <w:rPr>
          <w:rFonts w:ascii="Times New Roman" w:hAnsi="Times New Roman" w:cs="Times New Roman"/>
          <w:sz w:val="24"/>
          <w:szCs w:val="24"/>
          <w:shd w:val="clear" w:color="auto" w:fill="FFFFFF"/>
        </w:rPr>
        <w:t>dan</w:t>
      </w:r>
      <w:proofErr w:type="spellEnd"/>
      <w:r w:rsidRPr="008437D3">
        <w:rPr>
          <w:rFonts w:ascii="Times New Roman" w:hAnsi="Times New Roman" w:cs="Times New Roman"/>
          <w:sz w:val="24"/>
          <w:szCs w:val="24"/>
          <w:shd w:val="clear" w:color="auto" w:fill="FFFFFF"/>
        </w:rPr>
        <w:t xml:space="preserve"> earning per share </w:t>
      </w:r>
      <w:proofErr w:type="spellStart"/>
      <w:r w:rsidRPr="008437D3">
        <w:rPr>
          <w:rFonts w:ascii="Times New Roman" w:hAnsi="Times New Roman" w:cs="Times New Roman"/>
          <w:sz w:val="24"/>
          <w:szCs w:val="24"/>
          <w:shd w:val="clear" w:color="auto" w:fill="FFFFFF"/>
        </w:rPr>
        <w:t>berpengaruh</w:t>
      </w:r>
      <w:proofErr w:type="spellEnd"/>
      <w:r w:rsidRPr="008437D3">
        <w:rPr>
          <w:rFonts w:ascii="Times New Roman" w:hAnsi="Times New Roman" w:cs="Times New Roman"/>
          <w:sz w:val="24"/>
          <w:szCs w:val="24"/>
          <w:shd w:val="clear" w:color="auto" w:fill="FFFFFF"/>
        </w:rPr>
        <w:t xml:space="preserve"> </w:t>
      </w:r>
      <w:proofErr w:type="spellStart"/>
      <w:r w:rsidRPr="008437D3">
        <w:rPr>
          <w:rFonts w:ascii="Times New Roman" w:hAnsi="Times New Roman" w:cs="Times New Roman"/>
          <w:sz w:val="24"/>
          <w:szCs w:val="24"/>
          <w:shd w:val="clear" w:color="auto" w:fill="FFFFFF"/>
        </w:rPr>
        <w:t>terhadap</w:t>
      </w:r>
      <w:proofErr w:type="spellEnd"/>
      <w:r w:rsidRPr="008437D3">
        <w:rPr>
          <w:rFonts w:ascii="Times New Roman" w:hAnsi="Times New Roman" w:cs="Times New Roman"/>
          <w:sz w:val="24"/>
          <w:szCs w:val="24"/>
          <w:shd w:val="clear" w:color="auto" w:fill="FFFFFF"/>
        </w:rPr>
        <w:t xml:space="preserve"> return </w:t>
      </w:r>
      <w:proofErr w:type="spellStart"/>
      <w:r w:rsidRPr="008437D3">
        <w:rPr>
          <w:rFonts w:ascii="Times New Roman" w:hAnsi="Times New Roman" w:cs="Times New Roman"/>
          <w:sz w:val="24"/>
          <w:szCs w:val="24"/>
          <w:shd w:val="clear" w:color="auto" w:fill="FFFFFF"/>
        </w:rPr>
        <w:t>saham</w:t>
      </w:r>
      <w:proofErr w:type="spellEnd"/>
      <w:r w:rsidRPr="008437D3">
        <w:rPr>
          <w:rFonts w:ascii="Times New Roman" w:hAnsi="Times New Roman" w:cs="Times New Roman"/>
          <w:sz w:val="24"/>
          <w:szCs w:val="24"/>
          <w:shd w:val="clear" w:color="auto" w:fill="FFFFFF"/>
        </w:rPr>
        <w:t>. </w:t>
      </w:r>
      <w:r w:rsidRPr="008437D3">
        <w:rPr>
          <w:rFonts w:ascii="Times New Roman" w:hAnsi="Times New Roman" w:cs="Times New Roman"/>
          <w:i/>
          <w:iCs/>
          <w:sz w:val="24"/>
          <w:szCs w:val="24"/>
          <w:shd w:val="clear" w:color="auto" w:fill="FFFFFF"/>
        </w:rPr>
        <w:t>E-</w:t>
      </w:r>
      <w:proofErr w:type="spellStart"/>
      <w:r w:rsidRPr="008437D3">
        <w:rPr>
          <w:rFonts w:ascii="Times New Roman" w:hAnsi="Times New Roman" w:cs="Times New Roman"/>
          <w:i/>
          <w:iCs/>
          <w:sz w:val="24"/>
          <w:szCs w:val="24"/>
          <w:shd w:val="clear" w:color="auto" w:fill="FFFFFF"/>
        </w:rPr>
        <w:t>Jurnal</w:t>
      </w:r>
      <w:proofErr w:type="spellEnd"/>
      <w:r w:rsidRPr="008437D3">
        <w:rPr>
          <w:rFonts w:ascii="Times New Roman" w:hAnsi="Times New Roman" w:cs="Times New Roman"/>
          <w:i/>
          <w:iCs/>
          <w:sz w:val="24"/>
          <w:szCs w:val="24"/>
          <w:shd w:val="clear" w:color="auto" w:fill="FFFFFF"/>
        </w:rPr>
        <w:t xml:space="preserve"> </w:t>
      </w:r>
      <w:proofErr w:type="spellStart"/>
      <w:r w:rsidRPr="008437D3">
        <w:rPr>
          <w:rFonts w:ascii="Times New Roman" w:hAnsi="Times New Roman" w:cs="Times New Roman"/>
          <w:i/>
          <w:iCs/>
          <w:sz w:val="24"/>
          <w:szCs w:val="24"/>
          <w:shd w:val="clear" w:color="auto" w:fill="FFFFFF"/>
        </w:rPr>
        <w:t>Manajemen</w:t>
      </w:r>
      <w:proofErr w:type="spellEnd"/>
      <w:r w:rsidRPr="008437D3">
        <w:rPr>
          <w:rFonts w:ascii="Times New Roman" w:hAnsi="Times New Roman" w:cs="Times New Roman"/>
          <w:i/>
          <w:iCs/>
          <w:sz w:val="24"/>
          <w:szCs w:val="24"/>
          <w:shd w:val="clear" w:color="auto" w:fill="FFFFFF"/>
        </w:rPr>
        <w:t xml:space="preserve"> </w:t>
      </w:r>
      <w:proofErr w:type="spellStart"/>
      <w:r w:rsidRPr="008437D3">
        <w:rPr>
          <w:rFonts w:ascii="Times New Roman" w:hAnsi="Times New Roman" w:cs="Times New Roman"/>
          <w:i/>
          <w:iCs/>
          <w:sz w:val="24"/>
          <w:szCs w:val="24"/>
          <w:shd w:val="clear" w:color="auto" w:fill="FFFFFF"/>
        </w:rPr>
        <w:t>Universitas</w:t>
      </w:r>
      <w:proofErr w:type="spellEnd"/>
      <w:r w:rsidRPr="008437D3">
        <w:rPr>
          <w:rFonts w:ascii="Times New Roman" w:hAnsi="Times New Roman" w:cs="Times New Roman"/>
          <w:i/>
          <w:iCs/>
          <w:sz w:val="24"/>
          <w:szCs w:val="24"/>
          <w:shd w:val="clear" w:color="auto" w:fill="FFFFFF"/>
        </w:rPr>
        <w:t xml:space="preserve"> </w:t>
      </w:r>
      <w:proofErr w:type="spellStart"/>
      <w:r w:rsidRPr="008437D3">
        <w:rPr>
          <w:rFonts w:ascii="Times New Roman" w:hAnsi="Times New Roman" w:cs="Times New Roman"/>
          <w:i/>
          <w:iCs/>
          <w:sz w:val="24"/>
          <w:szCs w:val="24"/>
          <w:shd w:val="clear" w:color="auto" w:fill="FFFFFF"/>
        </w:rPr>
        <w:t>Udayana</w:t>
      </w:r>
      <w:proofErr w:type="spellEnd"/>
      <w:r w:rsidRPr="008437D3">
        <w:rPr>
          <w:rFonts w:ascii="Times New Roman" w:hAnsi="Times New Roman" w:cs="Times New Roman"/>
          <w:sz w:val="24"/>
          <w:szCs w:val="24"/>
          <w:shd w:val="clear" w:color="auto" w:fill="FFFFFF"/>
        </w:rPr>
        <w:t>, </w:t>
      </w:r>
      <w:r w:rsidRPr="008437D3">
        <w:rPr>
          <w:rFonts w:ascii="Times New Roman" w:hAnsi="Times New Roman" w:cs="Times New Roman"/>
          <w:i/>
          <w:iCs/>
          <w:sz w:val="24"/>
          <w:szCs w:val="24"/>
          <w:shd w:val="clear" w:color="auto" w:fill="FFFFFF"/>
        </w:rPr>
        <w:t>9</w:t>
      </w:r>
      <w:r w:rsidRPr="008437D3">
        <w:rPr>
          <w:rFonts w:ascii="Times New Roman" w:hAnsi="Times New Roman" w:cs="Times New Roman"/>
          <w:sz w:val="24"/>
          <w:szCs w:val="24"/>
          <w:shd w:val="clear" w:color="auto" w:fill="FFFFFF"/>
        </w:rPr>
        <w:t>(3), p.1069.</w:t>
      </w:r>
    </w:p>
    <w:p w:rsidR="00332DF9" w:rsidRPr="008437D3" w:rsidRDefault="00332DF9" w:rsidP="00332DF9">
      <w:pPr>
        <w:rPr>
          <w:rFonts w:ascii="Times New Roman" w:hAnsi="Times New Roman" w:cs="Times New Roman"/>
          <w:sz w:val="24"/>
          <w:szCs w:val="24"/>
          <w:shd w:val="clear" w:color="auto" w:fill="FFFFFF"/>
        </w:rPr>
      </w:pPr>
      <w:proofErr w:type="spellStart"/>
      <w:proofErr w:type="gramStart"/>
      <w:r w:rsidRPr="008437D3">
        <w:rPr>
          <w:rFonts w:ascii="Times New Roman" w:hAnsi="Times New Roman" w:cs="Times New Roman"/>
          <w:sz w:val="24"/>
          <w:szCs w:val="24"/>
          <w:shd w:val="clear" w:color="auto" w:fill="FFFFFF"/>
        </w:rPr>
        <w:t>Jufrizen</w:t>
      </w:r>
      <w:proofErr w:type="spellEnd"/>
      <w:r w:rsidRPr="008437D3">
        <w:rPr>
          <w:rFonts w:ascii="Times New Roman" w:hAnsi="Times New Roman" w:cs="Times New Roman"/>
          <w:sz w:val="24"/>
          <w:szCs w:val="24"/>
          <w:shd w:val="clear" w:color="auto" w:fill="FFFFFF"/>
        </w:rPr>
        <w:t>, J. and Sari, M., (2019).</w:t>
      </w:r>
      <w:proofErr w:type="gramEnd"/>
      <w:r w:rsidRPr="008437D3">
        <w:rPr>
          <w:rFonts w:ascii="Times New Roman" w:hAnsi="Times New Roman" w:cs="Times New Roman"/>
          <w:sz w:val="24"/>
          <w:szCs w:val="24"/>
          <w:shd w:val="clear" w:color="auto" w:fill="FFFFFF"/>
        </w:rPr>
        <w:t xml:space="preserve"> </w:t>
      </w:r>
      <w:proofErr w:type="spellStart"/>
      <w:proofErr w:type="gramStart"/>
      <w:r w:rsidRPr="008437D3">
        <w:rPr>
          <w:rFonts w:ascii="Times New Roman" w:hAnsi="Times New Roman" w:cs="Times New Roman"/>
          <w:sz w:val="24"/>
          <w:szCs w:val="24"/>
          <w:shd w:val="clear" w:color="auto" w:fill="FFFFFF"/>
        </w:rPr>
        <w:t>Pengaruh</w:t>
      </w:r>
      <w:proofErr w:type="spellEnd"/>
      <w:r w:rsidRPr="008437D3">
        <w:rPr>
          <w:rFonts w:ascii="Times New Roman" w:hAnsi="Times New Roman" w:cs="Times New Roman"/>
          <w:sz w:val="24"/>
          <w:szCs w:val="24"/>
          <w:shd w:val="clear" w:color="auto" w:fill="FFFFFF"/>
        </w:rPr>
        <w:t xml:space="preserve"> Current Ratio, Debt to Equity Ratio </w:t>
      </w:r>
      <w:proofErr w:type="spellStart"/>
      <w:r w:rsidRPr="008437D3">
        <w:rPr>
          <w:rFonts w:ascii="Times New Roman" w:hAnsi="Times New Roman" w:cs="Times New Roman"/>
          <w:sz w:val="24"/>
          <w:szCs w:val="24"/>
          <w:shd w:val="clear" w:color="auto" w:fill="FFFFFF"/>
        </w:rPr>
        <w:t>dan</w:t>
      </w:r>
      <w:proofErr w:type="spellEnd"/>
      <w:r w:rsidRPr="008437D3">
        <w:rPr>
          <w:rFonts w:ascii="Times New Roman" w:hAnsi="Times New Roman" w:cs="Times New Roman"/>
          <w:sz w:val="24"/>
          <w:szCs w:val="24"/>
          <w:shd w:val="clear" w:color="auto" w:fill="FFFFFF"/>
        </w:rPr>
        <w:t xml:space="preserve"> Firm Size </w:t>
      </w:r>
      <w:proofErr w:type="spellStart"/>
      <w:r w:rsidRPr="008437D3">
        <w:rPr>
          <w:rFonts w:ascii="Times New Roman" w:hAnsi="Times New Roman" w:cs="Times New Roman"/>
          <w:sz w:val="24"/>
          <w:szCs w:val="24"/>
          <w:shd w:val="clear" w:color="auto" w:fill="FFFFFF"/>
        </w:rPr>
        <w:t>terhadap</w:t>
      </w:r>
      <w:proofErr w:type="spellEnd"/>
      <w:r w:rsidRPr="008437D3">
        <w:rPr>
          <w:rFonts w:ascii="Times New Roman" w:hAnsi="Times New Roman" w:cs="Times New Roman"/>
          <w:sz w:val="24"/>
          <w:szCs w:val="24"/>
          <w:shd w:val="clear" w:color="auto" w:fill="FFFFFF"/>
        </w:rPr>
        <w:t xml:space="preserve"> Return on Equity.</w:t>
      </w:r>
      <w:proofErr w:type="gramEnd"/>
      <w:r w:rsidRPr="008437D3">
        <w:rPr>
          <w:rFonts w:ascii="Times New Roman" w:hAnsi="Times New Roman" w:cs="Times New Roman"/>
          <w:sz w:val="24"/>
          <w:szCs w:val="24"/>
          <w:shd w:val="clear" w:color="auto" w:fill="FFFFFF"/>
        </w:rPr>
        <w:t> </w:t>
      </w:r>
      <w:proofErr w:type="spellStart"/>
      <w:r w:rsidRPr="008437D3">
        <w:rPr>
          <w:rFonts w:ascii="Times New Roman" w:hAnsi="Times New Roman" w:cs="Times New Roman"/>
          <w:i/>
          <w:iCs/>
          <w:sz w:val="24"/>
          <w:szCs w:val="24"/>
          <w:shd w:val="clear" w:color="auto" w:fill="FFFFFF"/>
        </w:rPr>
        <w:t>Jurnal</w:t>
      </w:r>
      <w:proofErr w:type="spellEnd"/>
      <w:r w:rsidRPr="008437D3">
        <w:rPr>
          <w:rFonts w:ascii="Times New Roman" w:hAnsi="Times New Roman" w:cs="Times New Roman"/>
          <w:i/>
          <w:iCs/>
          <w:sz w:val="24"/>
          <w:szCs w:val="24"/>
          <w:shd w:val="clear" w:color="auto" w:fill="FFFFFF"/>
        </w:rPr>
        <w:t xml:space="preserve"> </w:t>
      </w:r>
      <w:proofErr w:type="spellStart"/>
      <w:r w:rsidRPr="008437D3">
        <w:rPr>
          <w:rFonts w:ascii="Times New Roman" w:hAnsi="Times New Roman" w:cs="Times New Roman"/>
          <w:i/>
          <w:iCs/>
          <w:sz w:val="24"/>
          <w:szCs w:val="24"/>
          <w:shd w:val="clear" w:color="auto" w:fill="FFFFFF"/>
        </w:rPr>
        <w:t>Riset</w:t>
      </w:r>
      <w:proofErr w:type="spellEnd"/>
      <w:r w:rsidRPr="008437D3">
        <w:rPr>
          <w:rFonts w:ascii="Times New Roman" w:hAnsi="Times New Roman" w:cs="Times New Roman"/>
          <w:i/>
          <w:iCs/>
          <w:sz w:val="24"/>
          <w:szCs w:val="24"/>
          <w:shd w:val="clear" w:color="auto" w:fill="FFFFFF"/>
        </w:rPr>
        <w:t xml:space="preserve"> </w:t>
      </w:r>
      <w:proofErr w:type="spellStart"/>
      <w:r w:rsidRPr="008437D3">
        <w:rPr>
          <w:rFonts w:ascii="Times New Roman" w:hAnsi="Times New Roman" w:cs="Times New Roman"/>
          <w:i/>
          <w:iCs/>
          <w:sz w:val="24"/>
          <w:szCs w:val="24"/>
          <w:shd w:val="clear" w:color="auto" w:fill="FFFFFF"/>
        </w:rPr>
        <w:t>Akuntansi</w:t>
      </w:r>
      <w:proofErr w:type="spellEnd"/>
      <w:r w:rsidRPr="008437D3">
        <w:rPr>
          <w:rFonts w:ascii="Times New Roman" w:hAnsi="Times New Roman" w:cs="Times New Roman"/>
          <w:i/>
          <w:iCs/>
          <w:sz w:val="24"/>
          <w:szCs w:val="24"/>
          <w:shd w:val="clear" w:color="auto" w:fill="FFFFFF"/>
        </w:rPr>
        <w:t xml:space="preserve">: </w:t>
      </w:r>
      <w:proofErr w:type="spellStart"/>
      <w:r w:rsidRPr="008437D3">
        <w:rPr>
          <w:rFonts w:ascii="Times New Roman" w:hAnsi="Times New Roman" w:cs="Times New Roman"/>
          <w:i/>
          <w:iCs/>
          <w:sz w:val="24"/>
          <w:szCs w:val="24"/>
          <w:shd w:val="clear" w:color="auto" w:fill="FFFFFF"/>
        </w:rPr>
        <w:t>Aksioma</w:t>
      </w:r>
      <w:proofErr w:type="spellEnd"/>
      <w:r w:rsidRPr="008437D3">
        <w:rPr>
          <w:rFonts w:ascii="Times New Roman" w:hAnsi="Times New Roman" w:cs="Times New Roman"/>
          <w:sz w:val="24"/>
          <w:szCs w:val="24"/>
          <w:shd w:val="clear" w:color="auto" w:fill="FFFFFF"/>
        </w:rPr>
        <w:t>, </w:t>
      </w:r>
      <w:r w:rsidRPr="008437D3">
        <w:rPr>
          <w:rFonts w:ascii="Times New Roman" w:hAnsi="Times New Roman" w:cs="Times New Roman"/>
          <w:i/>
          <w:iCs/>
          <w:sz w:val="24"/>
          <w:szCs w:val="24"/>
          <w:shd w:val="clear" w:color="auto" w:fill="FFFFFF"/>
        </w:rPr>
        <w:t>18</w:t>
      </w:r>
      <w:r w:rsidRPr="008437D3">
        <w:rPr>
          <w:rFonts w:ascii="Times New Roman" w:hAnsi="Times New Roman" w:cs="Times New Roman"/>
          <w:sz w:val="24"/>
          <w:szCs w:val="24"/>
          <w:shd w:val="clear" w:color="auto" w:fill="FFFFFF"/>
        </w:rPr>
        <w:t>(1), pp.156-191.</w:t>
      </w:r>
    </w:p>
    <w:p w:rsidR="00332DF9" w:rsidRDefault="00332DF9" w:rsidP="00332DF9">
      <w:r>
        <w:t xml:space="preserve">       </w:t>
      </w:r>
    </w:p>
    <w:p w:rsidR="00332DF9" w:rsidRDefault="00332DF9" w:rsidP="00332DF9"/>
    <w:p w:rsidR="00332DF9" w:rsidRDefault="00332DF9" w:rsidP="00332DF9">
      <w:r>
        <w:tab/>
      </w:r>
    </w:p>
    <w:p w:rsidR="00332DF9" w:rsidRDefault="00332DF9" w:rsidP="00332DF9">
      <w:r>
        <w:t xml:space="preserve">   </w:t>
      </w:r>
    </w:p>
    <w:p w:rsidR="00332DF9" w:rsidRDefault="00332DF9" w:rsidP="00332DF9">
      <w:r>
        <w:t xml:space="preserve">     </w:t>
      </w:r>
    </w:p>
    <w:p w:rsidR="00332DF9" w:rsidRDefault="00332DF9" w:rsidP="00332DF9">
      <w:r>
        <w:t xml:space="preserve">    </w:t>
      </w:r>
      <w:r>
        <w:rPr>
          <w:b/>
          <w:bCs/>
        </w:rPr>
        <w:t xml:space="preserve"> </w:t>
      </w:r>
    </w:p>
    <w:p w:rsidR="00332DF9" w:rsidRDefault="00332DF9" w:rsidP="00332DF9">
      <w:pPr>
        <w:pStyle w:val="ListParagraph"/>
        <w:rPr>
          <w:b/>
          <w:bCs/>
        </w:rPr>
      </w:pPr>
    </w:p>
    <w:p w:rsidR="00332DF9" w:rsidRDefault="00332DF9" w:rsidP="00332DF9">
      <w:pPr>
        <w:rPr>
          <w:b/>
          <w:bCs/>
        </w:rPr>
      </w:pPr>
    </w:p>
    <w:p w:rsidR="00332DF9" w:rsidRDefault="00332DF9"/>
    <w:sectPr w:rsidR="00332DF9" w:rsidSect="00332DF9">
      <w:footerReference w:type="default" r:id="rId1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79D" w:rsidRDefault="0012479D" w:rsidP="00332DF9">
      <w:pPr>
        <w:spacing w:after="0" w:line="240" w:lineRule="auto"/>
      </w:pPr>
      <w:r>
        <w:separator/>
      </w:r>
    </w:p>
  </w:endnote>
  <w:endnote w:type="continuationSeparator" w:id="0">
    <w:p w:rsidR="0012479D" w:rsidRDefault="0012479D" w:rsidP="00332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6646074"/>
      <w:docPartObj>
        <w:docPartGallery w:val="Page Numbers (Bottom of Page)"/>
        <w:docPartUnique/>
      </w:docPartObj>
    </w:sdtPr>
    <w:sdtEndPr>
      <w:rPr>
        <w:noProof/>
      </w:rPr>
    </w:sdtEndPr>
    <w:sdtContent>
      <w:p w:rsidR="00332DF9" w:rsidRDefault="00332DF9">
        <w:pPr>
          <w:pStyle w:val="Footer"/>
          <w:jc w:val="right"/>
        </w:pPr>
        <w:r>
          <w:fldChar w:fldCharType="begin"/>
        </w:r>
        <w:r>
          <w:instrText xml:space="preserve"> PAGE   \* MERGEFORMAT </w:instrText>
        </w:r>
        <w:r>
          <w:fldChar w:fldCharType="separate"/>
        </w:r>
        <w:r w:rsidR="008437D3">
          <w:rPr>
            <w:noProof/>
          </w:rPr>
          <w:t>11</w:t>
        </w:r>
        <w:r>
          <w:rPr>
            <w:noProof/>
          </w:rPr>
          <w:fldChar w:fldCharType="end"/>
        </w:r>
      </w:p>
    </w:sdtContent>
  </w:sdt>
  <w:p w:rsidR="00332DF9" w:rsidRDefault="00332D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79D" w:rsidRDefault="0012479D" w:rsidP="00332DF9">
      <w:pPr>
        <w:spacing w:after="0" w:line="240" w:lineRule="auto"/>
      </w:pPr>
      <w:r>
        <w:separator/>
      </w:r>
    </w:p>
  </w:footnote>
  <w:footnote w:type="continuationSeparator" w:id="0">
    <w:p w:rsidR="0012479D" w:rsidRDefault="0012479D" w:rsidP="00332D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DBE"/>
    <w:rsid w:val="00076DBE"/>
    <w:rsid w:val="0012479D"/>
    <w:rsid w:val="00332DF9"/>
    <w:rsid w:val="008437D3"/>
    <w:rsid w:val="008F0B88"/>
    <w:rsid w:val="00D30A45"/>
    <w:rsid w:val="00E55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32DF9"/>
    <w:pPr>
      <w:keepNext/>
      <w:keepLines/>
      <w:spacing w:before="240" w:after="0" w:line="480" w:lineRule="auto"/>
      <w:jc w:val="both"/>
      <w:outlineLvl w:val="0"/>
    </w:pPr>
    <w:rPr>
      <w:rFonts w:ascii="Times New Roman" w:eastAsiaTheme="majorEastAsia" w:hAnsi="Times New Roman" w:cstheme="majorBidi"/>
      <w:b/>
      <w:sz w:val="28"/>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0B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B88"/>
    <w:rPr>
      <w:rFonts w:ascii="Tahoma" w:hAnsi="Tahoma" w:cs="Tahoma"/>
      <w:sz w:val="16"/>
      <w:szCs w:val="16"/>
    </w:rPr>
  </w:style>
  <w:style w:type="character" w:customStyle="1" w:styleId="Heading1Char">
    <w:name w:val="Heading 1 Char"/>
    <w:basedOn w:val="DefaultParagraphFont"/>
    <w:link w:val="Heading1"/>
    <w:uiPriority w:val="9"/>
    <w:rsid w:val="00332DF9"/>
    <w:rPr>
      <w:rFonts w:ascii="Times New Roman" w:eastAsiaTheme="majorEastAsia" w:hAnsi="Times New Roman" w:cstheme="majorBidi"/>
      <w:b/>
      <w:sz w:val="28"/>
      <w:szCs w:val="32"/>
      <w:lang w:eastAsia="en-GB"/>
    </w:rPr>
  </w:style>
  <w:style w:type="character" w:styleId="Hyperlink">
    <w:name w:val="Hyperlink"/>
    <w:basedOn w:val="DefaultParagraphFont"/>
    <w:uiPriority w:val="99"/>
    <w:semiHidden/>
    <w:unhideWhenUsed/>
    <w:rsid w:val="00332DF9"/>
    <w:rPr>
      <w:color w:val="0000FF" w:themeColor="hyperlink"/>
      <w:u w:val="single"/>
    </w:rPr>
  </w:style>
  <w:style w:type="paragraph" w:styleId="NormalWeb">
    <w:name w:val="Normal (Web)"/>
    <w:basedOn w:val="Normal"/>
    <w:uiPriority w:val="99"/>
    <w:unhideWhenUsed/>
    <w:rsid w:val="00332DF9"/>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semiHidden/>
    <w:unhideWhenUsed/>
    <w:rsid w:val="00332DF9"/>
    <w:pPr>
      <w:spacing w:after="100" w:line="480" w:lineRule="auto"/>
      <w:jc w:val="both"/>
    </w:pPr>
    <w:rPr>
      <w:rFonts w:ascii="Times New Roman" w:eastAsia="Calibri" w:hAnsi="Times New Roman" w:cs="Calibri"/>
      <w:sz w:val="24"/>
      <w:szCs w:val="24"/>
      <w:lang w:eastAsia="en-GB"/>
    </w:rPr>
  </w:style>
  <w:style w:type="paragraph" w:styleId="ListParagraph">
    <w:name w:val="List Paragraph"/>
    <w:basedOn w:val="Normal"/>
    <w:uiPriority w:val="34"/>
    <w:qFormat/>
    <w:rsid w:val="00332DF9"/>
    <w:pPr>
      <w:spacing w:after="0" w:line="480" w:lineRule="auto"/>
      <w:ind w:left="720"/>
      <w:contextualSpacing/>
      <w:jc w:val="both"/>
    </w:pPr>
    <w:rPr>
      <w:rFonts w:ascii="Times New Roman" w:eastAsia="Calibri" w:hAnsi="Times New Roman" w:cs="Calibri"/>
      <w:sz w:val="24"/>
      <w:szCs w:val="24"/>
      <w:lang w:eastAsia="en-GB"/>
    </w:rPr>
  </w:style>
  <w:style w:type="paragraph" w:styleId="TOCHeading">
    <w:name w:val="TOC Heading"/>
    <w:basedOn w:val="Heading1"/>
    <w:next w:val="Normal"/>
    <w:uiPriority w:val="39"/>
    <w:semiHidden/>
    <w:unhideWhenUsed/>
    <w:qFormat/>
    <w:rsid w:val="00332DF9"/>
    <w:pPr>
      <w:spacing w:line="256" w:lineRule="auto"/>
      <w:jc w:val="left"/>
      <w:outlineLvl w:val="9"/>
    </w:pPr>
    <w:rPr>
      <w:rFonts w:asciiTheme="majorHAnsi" w:hAnsiTheme="majorHAnsi"/>
      <w:b w:val="0"/>
      <w:color w:val="365F91" w:themeColor="accent1" w:themeShade="BF"/>
      <w:sz w:val="32"/>
      <w:lang w:eastAsia="en-US"/>
    </w:rPr>
  </w:style>
  <w:style w:type="table" w:customStyle="1" w:styleId="GridTable1LightAccent1">
    <w:name w:val="Grid Table 1 Light Accent 1"/>
    <w:basedOn w:val="TableNormal"/>
    <w:uiPriority w:val="46"/>
    <w:rsid w:val="00332DF9"/>
    <w:pPr>
      <w:spacing w:after="0" w:line="240" w:lineRule="auto"/>
    </w:pPr>
    <w:rPr>
      <w:rFonts w:eastAsia="Calibri"/>
    </w:rPr>
    <w:tblPr>
      <w:tblStyleRowBandSize w:val="1"/>
      <w:tblStyleColBandSize w:val="1"/>
      <w:tblInd w:w="0" w:type="nil"/>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332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2DF9"/>
  </w:style>
  <w:style w:type="paragraph" w:styleId="Footer">
    <w:name w:val="footer"/>
    <w:basedOn w:val="Normal"/>
    <w:link w:val="FooterChar"/>
    <w:uiPriority w:val="99"/>
    <w:unhideWhenUsed/>
    <w:rsid w:val="00332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2DF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32DF9"/>
    <w:pPr>
      <w:keepNext/>
      <w:keepLines/>
      <w:spacing w:before="240" w:after="0" w:line="480" w:lineRule="auto"/>
      <w:jc w:val="both"/>
      <w:outlineLvl w:val="0"/>
    </w:pPr>
    <w:rPr>
      <w:rFonts w:ascii="Times New Roman" w:eastAsiaTheme="majorEastAsia" w:hAnsi="Times New Roman" w:cstheme="majorBidi"/>
      <w:b/>
      <w:sz w:val="28"/>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0B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B88"/>
    <w:rPr>
      <w:rFonts w:ascii="Tahoma" w:hAnsi="Tahoma" w:cs="Tahoma"/>
      <w:sz w:val="16"/>
      <w:szCs w:val="16"/>
    </w:rPr>
  </w:style>
  <w:style w:type="character" w:customStyle="1" w:styleId="Heading1Char">
    <w:name w:val="Heading 1 Char"/>
    <w:basedOn w:val="DefaultParagraphFont"/>
    <w:link w:val="Heading1"/>
    <w:uiPriority w:val="9"/>
    <w:rsid w:val="00332DF9"/>
    <w:rPr>
      <w:rFonts w:ascii="Times New Roman" w:eastAsiaTheme="majorEastAsia" w:hAnsi="Times New Roman" w:cstheme="majorBidi"/>
      <w:b/>
      <w:sz w:val="28"/>
      <w:szCs w:val="32"/>
      <w:lang w:eastAsia="en-GB"/>
    </w:rPr>
  </w:style>
  <w:style w:type="character" w:styleId="Hyperlink">
    <w:name w:val="Hyperlink"/>
    <w:basedOn w:val="DefaultParagraphFont"/>
    <w:uiPriority w:val="99"/>
    <w:semiHidden/>
    <w:unhideWhenUsed/>
    <w:rsid w:val="00332DF9"/>
    <w:rPr>
      <w:color w:val="0000FF" w:themeColor="hyperlink"/>
      <w:u w:val="single"/>
    </w:rPr>
  </w:style>
  <w:style w:type="paragraph" w:styleId="NormalWeb">
    <w:name w:val="Normal (Web)"/>
    <w:basedOn w:val="Normal"/>
    <w:uiPriority w:val="99"/>
    <w:unhideWhenUsed/>
    <w:rsid w:val="00332DF9"/>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semiHidden/>
    <w:unhideWhenUsed/>
    <w:rsid w:val="00332DF9"/>
    <w:pPr>
      <w:spacing w:after="100" w:line="480" w:lineRule="auto"/>
      <w:jc w:val="both"/>
    </w:pPr>
    <w:rPr>
      <w:rFonts w:ascii="Times New Roman" w:eastAsia="Calibri" w:hAnsi="Times New Roman" w:cs="Calibri"/>
      <w:sz w:val="24"/>
      <w:szCs w:val="24"/>
      <w:lang w:eastAsia="en-GB"/>
    </w:rPr>
  </w:style>
  <w:style w:type="paragraph" w:styleId="ListParagraph">
    <w:name w:val="List Paragraph"/>
    <w:basedOn w:val="Normal"/>
    <w:uiPriority w:val="34"/>
    <w:qFormat/>
    <w:rsid w:val="00332DF9"/>
    <w:pPr>
      <w:spacing w:after="0" w:line="480" w:lineRule="auto"/>
      <w:ind w:left="720"/>
      <w:contextualSpacing/>
      <w:jc w:val="both"/>
    </w:pPr>
    <w:rPr>
      <w:rFonts w:ascii="Times New Roman" w:eastAsia="Calibri" w:hAnsi="Times New Roman" w:cs="Calibri"/>
      <w:sz w:val="24"/>
      <w:szCs w:val="24"/>
      <w:lang w:eastAsia="en-GB"/>
    </w:rPr>
  </w:style>
  <w:style w:type="paragraph" w:styleId="TOCHeading">
    <w:name w:val="TOC Heading"/>
    <w:basedOn w:val="Heading1"/>
    <w:next w:val="Normal"/>
    <w:uiPriority w:val="39"/>
    <w:semiHidden/>
    <w:unhideWhenUsed/>
    <w:qFormat/>
    <w:rsid w:val="00332DF9"/>
    <w:pPr>
      <w:spacing w:line="256" w:lineRule="auto"/>
      <w:jc w:val="left"/>
      <w:outlineLvl w:val="9"/>
    </w:pPr>
    <w:rPr>
      <w:rFonts w:asciiTheme="majorHAnsi" w:hAnsiTheme="majorHAnsi"/>
      <w:b w:val="0"/>
      <w:color w:val="365F91" w:themeColor="accent1" w:themeShade="BF"/>
      <w:sz w:val="32"/>
      <w:lang w:eastAsia="en-US"/>
    </w:rPr>
  </w:style>
  <w:style w:type="table" w:customStyle="1" w:styleId="GridTable1LightAccent1">
    <w:name w:val="Grid Table 1 Light Accent 1"/>
    <w:basedOn w:val="TableNormal"/>
    <w:uiPriority w:val="46"/>
    <w:rsid w:val="00332DF9"/>
    <w:pPr>
      <w:spacing w:after="0" w:line="240" w:lineRule="auto"/>
    </w:pPr>
    <w:rPr>
      <w:rFonts w:eastAsia="Calibri"/>
    </w:rPr>
    <w:tblPr>
      <w:tblStyleRowBandSize w:val="1"/>
      <w:tblStyleColBandSize w:val="1"/>
      <w:tblInd w:w="0" w:type="nil"/>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332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2DF9"/>
  </w:style>
  <w:style w:type="paragraph" w:styleId="Footer">
    <w:name w:val="footer"/>
    <w:basedOn w:val="Normal"/>
    <w:link w:val="FooterChar"/>
    <w:uiPriority w:val="99"/>
    <w:unhideWhenUsed/>
    <w:rsid w:val="00332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2D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1415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varza\Downloads\CRISTINA%20VARZARI_(Accounting%20Fundamentals).edited.docx" TargetMode="External"/><Relationship Id="rId5" Type="http://schemas.openxmlformats.org/officeDocument/2006/relationships/webSettings" Target="webSettings.xml"/><Relationship Id="rId10" Type="http://schemas.openxmlformats.org/officeDocument/2006/relationships/hyperlink" Target="file:///C:\Users\varza\Downloads\CRISTINA%20VARZARI_(Accounting%20Fundamentals).edited.docx" TargetMode="External"/><Relationship Id="rId4" Type="http://schemas.openxmlformats.org/officeDocument/2006/relationships/settings" Target="settings.xml"/><Relationship Id="rId9" Type="http://schemas.openxmlformats.org/officeDocument/2006/relationships/hyperlink" Target="file:///C:\Users\varza\Downloads\CRISTINA%20VARZARI_(Accounting%20Fundamentals).edited.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17459-A387-41F3-A969-EA467C234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11</Pages>
  <Words>1436</Words>
  <Characters>8188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v</dc:creator>
  <cp:keywords/>
  <dc:description/>
  <cp:lastModifiedBy>a v</cp:lastModifiedBy>
  <cp:revision>2</cp:revision>
  <dcterms:created xsi:type="dcterms:W3CDTF">2022-08-30T09:57:00Z</dcterms:created>
  <dcterms:modified xsi:type="dcterms:W3CDTF">2022-08-30T10:32:00Z</dcterms:modified>
</cp:coreProperties>
</file>