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7DF4E" w14:textId="77777777" w:rsidR="0034215B" w:rsidRDefault="0034215B" w:rsidP="0034215B">
      <w:pPr>
        <w:pStyle w:val="Title"/>
        <w:jc w:val="center"/>
        <w:rPr>
          <w:rFonts w:eastAsia="Times New Roman"/>
          <w:lang w:val="en-US"/>
        </w:rPr>
      </w:pPr>
    </w:p>
    <w:p w14:paraId="45521E28" w14:textId="77F52420" w:rsidR="00D04644" w:rsidRPr="00D04644" w:rsidRDefault="00D04644" w:rsidP="0034215B">
      <w:pPr>
        <w:pStyle w:val="Title"/>
        <w:jc w:val="center"/>
        <w:rPr>
          <w:rFonts w:eastAsia="Times New Roman"/>
          <w:lang w:val="en-US"/>
        </w:rPr>
      </w:pPr>
      <w:r w:rsidRPr="00D04644">
        <w:rPr>
          <w:rFonts w:eastAsia="Times New Roman"/>
          <w:lang w:val="en-US"/>
        </w:rPr>
        <w:t>A comparison of the marketing methods of two multinational hotel brands</w:t>
      </w:r>
    </w:p>
    <w:p w14:paraId="7A5BB54D"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2B4743D5"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68021BC4" w14:textId="77777777" w:rsidR="00D04644" w:rsidRPr="00D04644" w:rsidRDefault="00D04644" w:rsidP="00D04644">
      <w:pPr>
        <w:spacing w:after="200" w:line="276" w:lineRule="auto"/>
        <w:rPr>
          <w:rFonts w:ascii="Calibri" w:eastAsia="Calibri" w:hAnsi="Calibri" w:cs="Times New Roman"/>
          <w:lang w:val="en-US"/>
        </w:rPr>
      </w:pPr>
    </w:p>
    <w:p w14:paraId="33F022CB" w14:textId="77777777" w:rsidR="00D04644" w:rsidRPr="00D04644" w:rsidRDefault="00D04644" w:rsidP="00D04644">
      <w:pPr>
        <w:spacing w:after="200" w:line="276" w:lineRule="auto"/>
        <w:rPr>
          <w:rFonts w:ascii="Calibri" w:eastAsia="Calibri" w:hAnsi="Calibri" w:cs="Times New Roman"/>
          <w:lang w:val="en-US"/>
        </w:rPr>
      </w:pPr>
    </w:p>
    <w:p w14:paraId="1E739180" w14:textId="77777777" w:rsidR="00D04644" w:rsidRPr="00C375EA" w:rsidRDefault="00D04644" w:rsidP="00D04644">
      <w:pPr>
        <w:spacing w:after="200" w:line="276" w:lineRule="auto"/>
        <w:rPr>
          <w:rFonts w:ascii="Arial" w:eastAsia="Calibri" w:hAnsi="Arial" w:cs="Arial"/>
          <w:lang w:val="en-US"/>
        </w:rPr>
      </w:pPr>
      <w:r w:rsidRPr="00C375EA">
        <w:rPr>
          <w:rFonts w:ascii="Arial" w:eastAsia="Calibri" w:hAnsi="Arial" w:cs="Arial"/>
          <w:lang w:val="en-US"/>
        </w:rPr>
        <w:t>Sylwia Anna Smardzewska</w:t>
      </w:r>
    </w:p>
    <w:p w14:paraId="52A1A77A" w14:textId="77777777" w:rsidR="00D04644" w:rsidRPr="00C375EA" w:rsidRDefault="00D04644" w:rsidP="00D04644">
      <w:pPr>
        <w:spacing w:after="200" w:line="276" w:lineRule="auto"/>
        <w:rPr>
          <w:rFonts w:ascii="Arial" w:eastAsia="Calibri" w:hAnsi="Arial" w:cs="Arial"/>
          <w:lang w:val="en-US"/>
        </w:rPr>
      </w:pPr>
      <w:r w:rsidRPr="00C375EA">
        <w:rPr>
          <w:rFonts w:ascii="Arial" w:eastAsia="Calibri" w:hAnsi="Arial" w:cs="Arial"/>
          <w:lang w:val="en-US"/>
        </w:rPr>
        <w:t>2240770</w:t>
      </w:r>
    </w:p>
    <w:p w14:paraId="1EA2D434" w14:textId="77777777" w:rsidR="00D04644" w:rsidRPr="00C375EA" w:rsidRDefault="00D04644" w:rsidP="00D04644">
      <w:pPr>
        <w:spacing w:after="200" w:line="276" w:lineRule="auto"/>
        <w:rPr>
          <w:rFonts w:ascii="Arial" w:eastAsia="Calibri" w:hAnsi="Arial" w:cs="Arial"/>
          <w:bCs/>
          <w:lang w:val="en-US"/>
        </w:rPr>
      </w:pPr>
      <w:r w:rsidRPr="00C375EA">
        <w:rPr>
          <w:rFonts w:ascii="Arial" w:eastAsia="Calibri" w:hAnsi="Arial" w:cs="Arial"/>
          <w:bCs/>
          <w:lang w:val="en-US"/>
        </w:rPr>
        <w:t>Marketing Essentials BMIH4005</w:t>
      </w:r>
    </w:p>
    <w:p w14:paraId="67B3A368" w14:textId="77777777" w:rsidR="00D04644" w:rsidRPr="00C375EA" w:rsidRDefault="00D04644" w:rsidP="00D04644">
      <w:pPr>
        <w:spacing w:after="200" w:line="276" w:lineRule="auto"/>
        <w:rPr>
          <w:rFonts w:ascii="Arial" w:eastAsia="Calibri" w:hAnsi="Arial" w:cs="Arial"/>
          <w:lang w:val="en-US"/>
        </w:rPr>
      </w:pPr>
      <w:r w:rsidRPr="00C375EA">
        <w:rPr>
          <w:rFonts w:ascii="Arial" w:eastAsia="Calibri" w:hAnsi="Arial" w:cs="Arial"/>
          <w:lang w:val="en-US"/>
        </w:rPr>
        <w:t>Dale Clarke</w:t>
      </w:r>
    </w:p>
    <w:p w14:paraId="7190C8C9" w14:textId="3C5232AB" w:rsidR="00D04644" w:rsidRPr="00C375EA" w:rsidRDefault="00D04644" w:rsidP="00D04644">
      <w:pPr>
        <w:spacing w:after="200" w:line="276" w:lineRule="auto"/>
        <w:rPr>
          <w:rFonts w:ascii="Arial" w:eastAsia="Calibri" w:hAnsi="Arial" w:cs="Arial"/>
          <w:lang w:val="en-US"/>
        </w:rPr>
      </w:pPr>
      <w:r w:rsidRPr="00C375EA">
        <w:rPr>
          <w:rFonts w:ascii="Arial" w:eastAsia="Calibri" w:hAnsi="Arial" w:cs="Arial"/>
          <w:lang w:val="en-US"/>
        </w:rPr>
        <w:t>Word count: 15</w:t>
      </w:r>
      <w:r w:rsidR="00C375EA" w:rsidRPr="00C375EA">
        <w:rPr>
          <w:rFonts w:ascii="Arial" w:eastAsia="Calibri" w:hAnsi="Arial" w:cs="Arial"/>
          <w:lang w:val="en-US"/>
        </w:rPr>
        <w:t>77</w:t>
      </w:r>
    </w:p>
    <w:p w14:paraId="5A73B876" w14:textId="77777777" w:rsidR="00D04644" w:rsidRPr="00C375EA" w:rsidRDefault="00D04644" w:rsidP="00D04644">
      <w:pPr>
        <w:spacing w:after="200" w:line="276" w:lineRule="auto"/>
        <w:rPr>
          <w:rFonts w:ascii="Arial" w:eastAsia="Calibri" w:hAnsi="Arial" w:cs="Arial"/>
          <w:lang w:val="en-US"/>
        </w:rPr>
      </w:pPr>
    </w:p>
    <w:p w14:paraId="24786102"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392E50E9"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40E2C38D"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5674C7F2" w14:textId="77777777" w:rsidR="00D04644" w:rsidRDefault="00D04644" w:rsidP="00D04644">
      <w:pPr>
        <w:spacing w:after="200" w:line="480" w:lineRule="auto"/>
        <w:jc w:val="both"/>
        <w:rPr>
          <w:rFonts w:ascii="Times New Roman" w:eastAsia="Calibri" w:hAnsi="Times New Roman" w:cs="Times New Roman"/>
          <w:sz w:val="24"/>
          <w:szCs w:val="24"/>
          <w:lang w:val="en-US"/>
        </w:rPr>
      </w:pPr>
    </w:p>
    <w:p w14:paraId="142CF60D" w14:textId="77777777" w:rsidR="00D04644" w:rsidRDefault="00D04644" w:rsidP="00D04644">
      <w:pPr>
        <w:spacing w:after="200" w:line="480" w:lineRule="auto"/>
        <w:jc w:val="both"/>
        <w:rPr>
          <w:rFonts w:ascii="Times New Roman" w:eastAsia="Calibri" w:hAnsi="Times New Roman" w:cs="Times New Roman"/>
          <w:sz w:val="24"/>
          <w:szCs w:val="24"/>
          <w:lang w:val="en-US"/>
        </w:rPr>
      </w:pPr>
    </w:p>
    <w:p w14:paraId="30407B54" w14:textId="77777777" w:rsidR="00D04644" w:rsidRDefault="00D04644" w:rsidP="00D04644">
      <w:pPr>
        <w:spacing w:after="200" w:line="480" w:lineRule="auto"/>
        <w:jc w:val="both"/>
        <w:rPr>
          <w:rFonts w:ascii="Times New Roman" w:eastAsia="Calibri" w:hAnsi="Times New Roman" w:cs="Times New Roman"/>
          <w:sz w:val="24"/>
          <w:szCs w:val="24"/>
          <w:lang w:val="en-US"/>
        </w:rPr>
      </w:pPr>
    </w:p>
    <w:p w14:paraId="7A4E2FE9" w14:textId="77777777" w:rsidR="00D04644" w:rsidRDefault="00D04644" w:rsidP="00D04644">
      <w:pPr>
        <w:spacing w:after="200" w:line="480" w:lineRule="auto"/>
        <w:jc w:val="both"/>
        <w:rPr>
          <w:rFonts w:ascii="Times New Roman" w:eastAsia="Calibri" w:hAnsi="Times New Roman" w:cs="Times New Roman"/>
          <w:sz w:val="24"/>
          <w:szCs w:val="24"/>
          <w:lang w:val="en-US"/>
        </w:rPr>
      </w:pPr>
    </w:p>
    <w:p w14:paraId="165BC488"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592772F1" w14:textId="77777777" w:rsidR="00D04644" w:rsidRPr="00D04644" w:rsidRDefault="00D04644" w:rsidP="00D04644">
      <w:pPr>
        <w:spacing w:after="200" w:line="480" w:lineRule="auto"/>
        <w:jc w:val="both"/>
        <w:rPr>
          <w:rFonts w:ascii="Times New Roman" w:eastAsia="Calibri" w:hAnsi="Times New Roman" w:cs="Times New Roman"/>
          <w:sz w:val="24"/>
          <w:szCs w:val="24"/>
          <w:lang w:val="en-US"/>
        </w:rPr>
      </w:pPr>
    </w:p>
    <w:p w14:paraId="59717432" w14:textId="6551A91D"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lastRenderedPageBreak/>
        <w:t xml:space="preserve">Numerous hotel chains exist, each focusing on a different customer base (Tsai, Song, &amp; Wong, 2009). This paper aims to examine and contrast the advertising campaigns of two well-known hotel chains: Six Senses and Holiday Inn. While Holiday Inn uses popular tactics with millennials (IHG, 2017), Six Senses markets itself as a premium brand appealing to well-off middle-aged people (IHG, 2019). The internal and exterior surroundings of the brands will be analyzed and contrasted using the SWOT and PESTLE frameworks in this study. The marketing mix will also evaluate the companies' products, pricing, distribution, and advertising approaches. Lastly, segmentation, targeting, and positioning will be employed to </w:t>
      </w:r>
      <w:r w:rsidR="00197D26" w:rsidRPr="0007055A">
        <w:rPr>
          <w:rFonts w:ascii="Arial" w:eastAsia="Calibri" w:hAnsi="Arial" w:cs="Arial"/>
          <w:sz w:val="24"/>
          <w:szCs w:val="24"/>
          <w:lang w:val="en-US"/>
        </w:rPr>
        <w:t>scrutinize</w:t>
      </w:r>
      <w:r w:rsidRPr="0007055A">
        <w:rPr>
          <w:rFonts w:ascii="Arial" w:eastAsia="Calibri" w:hAnsi="Arial" w:cs="Arial"/>
          <w:sz w:val="24"/>
          <w:szCs w:val="24"/>
          <w:lang w:val="en-US"/>
        </w:rPr>
        <w:t xml:space="preserve"> the customer focus of the brands. The present article aims to elucidate the diverse characteristics of the hospitality industry, along with the distinct marketing strategies that Six Senses and Holiday Inn employ to cater to their respective customer bases. This comprehensive analysis enables us to evaluate the validity of our thesis and identify any unexpected similarities or disparities in the promotional tactics employed by the brands.</w:t>
      </w:r>
    </w:p>
    <w:p w14:paraId="70838A89" w14:textId="49D9AA25"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Undertaking a situational analysis of Six Senses and Holiday Inn is imperative in comprehending the marketing strategies employed by both organizations. This essay will evaluate each brand's internal and external opportunities and threats (SWOT). </w:t>
      </w:r>
      <w:r w:rsidR="009E439D" w:rsidRPr="0007055A">
        <w:rPr>
          <w:rFonts w:ascii="Arial" w:eastAsia="Calibri" w:hAnsi="Arial" w:cs="Arial"/>
          <w:sz w:val="24"/>
          <w:szCs w:val="24"/>
          <w:lang w:val="en-US"/>
        </w:rPr>
        <w:t>The external context within which these brands function will be analyzed</w:t>
      </w:r>
      <w:r w:rsidRPr="0007055A">
        <w:rPr>
          <w:rFonts w:ascii="Arial" w:eastAsia="Calibri" w:hAnsi="Arial" w:cs="Arial"/>
          <w:sz w:val="24"/>
          <w:szCs w:val="24"/>
          <w:lang w:val="en-US"/>
        </w:rPr>
        <w:t xml:space="preserve"> to better understand the Political, Economic, Sociocultural, Technological, Environmental, and Legal (PESTLE) factors.</w:t>
      </w:r>
    </w:p>
    <w:p w14:paraId="0166AAF3" w14:textId="77777777"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Bowie et al. (2017) have identified several notable features of Six Senses, including its environmentally sustainable architecture, personalized guest services, and health-focused activities. Nevertheless, the substantial expense limits its consumer demographic. The potential advantages for the brand stem from the increasing desire for luxurious travel experiences in areas such as Asia and the Middle East. Nonetheless, the market for high-end travel is characterized by intense rivalry, and any economic downturns potentially adversely impact the demand for Six Senses' offerings.</w:t>
      </w:r>
    </w:p>
    <w:p w14:paraId="5AB8E572" w14:textId="77777777"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According to Kotler et al. (2020), the Holiday Inn, a mid-range hotel chain, can appeal to a wide range of customers due to its globally recognized brand and extensive presence. The perceived assets of the brand include its reliability in terms of quality and the favorable quality-to-price ratio it provides. Numerous subsidiary firms operating under the Holiday Inn brand could cause confusion among consumers, while the brand's perceived deficiency in uniqueness could be a disadvantage. Potential branding strategies involve leveraging the growing trend toward immersive travel experiences and implementing novel approaches to enhance customer satisfaction (Dwivedi et al., 2021). Holiday Inn faces challenges from domestic and international hotel enterprises, in addition to the increasing prevalence of alternative lodging options such as Airbnb (The Economist, 2020) (</w:t>
      </w:r>
      <w:proofErr w:type="spellStart"/>
      <w:r w:rsidRPr="0007055A">
        <w:rPr>
          <w:rFonts w:ascii="Arial" w:eastAsia="Calibri" w:hAnsi="Arial" w:cs="Arial"/>
          <w:sz w:val="24"/>
          <w:szCs w:val="24"/>
          <w:lang w:val="en-US"/>
        </w:rPr>
        <w:t>Glusac</w:t>
      </w:r>
      <w:proofErr w:type="spellEnd"/>
      <w:r w:rsidRPr="0007055A">
        <w:rPr>
          <w:rFonts w:ascii="Arial" w:eastAsia="Calibri" w:hAnsi="Arial" w:cs="Arial"/>
          <w:sz w:val="24"/>
          <w:szCs w:val="24"/>
          <w:lang w:val="en-US"/>
        </w:rPr>
        <w:t>, 2020).</w:t>
      </w:r>
    </w:p>
    <w:p w14:paraId="024736F6" w14:textId="77777777"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lastRenderedPageBreak/>
        <w:t>The PESTLE analysis reveals that Six Senses and Holiday Inn are subject to external factors beyond their purview. Both corporations encounter political challenges due to variations in regulations, trade policies, and geopolitical concerns across different regions (Morrison, 2016). According to Jobber and Ellis-Chadwick (2020), luxury firms such as Six Senses are highly susceptible to economic downturns due to various factors, including fluctuations in currency rates, inflation, and evolving economic conditions. Both enterprises must adapt to the evolving preferences of their target demographics. Six Senses has effectively accomplished this by incorporating sustainable practices and health-oriented offerings into its merchandise (Six Senses, 2022).</w:t>
      </w:r>
    </w:p>
    <w:p w14:paraId="01143391" w14:textId="77777777"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To enhance operational efficiency, customer satisfaction and maintain a competitive edge, businesses must adopt digital transformation. Both corporations are susceptible to the impact of environmental factors such as climate change and natural disasters. However, Six Senses' implementation of eco-friendly practices potentially mitigates the resort's ecological footprint (Six Senses, 2023). </w:t>
      </w:r>
    </w:p>
    <w:p w14:paraId="7F0AFDFE" w14:textId="77777777"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Kotler et al. (2020) have established a robust association between the marketing mix and the efficacy of a brand's marketing approach. The marketing mix is comprised of seven key elements, commonly referred to as the 7 Ps. These elements include Product, Price, Place, Promotion, People, Process, and Physical Evidence. The subsequent paragraph will compare the marketing strategies employed by Six Senses and Holiday Inn.</w:t>
      </w:r>
    </w:p>
    <w:p w14:paraId="63BEF293" w14:textId="45B8F6DF"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According to Bowie et al. (2017), Six Senses targets affluent travelers seeking unique and exceptional experiences by offering luxurious accommodations, wellness amenities, and personalized attention. In contrast, Holiday Inn </w:t>
      </w:r>
      <w:r w:rsidR="000256F0" w:rsidRPr="0007055A">
        <w:rPr>
          <w:rFonts w:ascii="Arial" w:eastAsia="Calibri" w:hAnsi="Arial" w:cs="Arial"/>
          <w:sz w:val="24"/>
          <w:szCs w:val="24"/>
          <w:lang w:val="en-US"/>
        </w:rPr>
        <w:t>efforts</w:t>
      </w:r>
      <w:r w:rsidRPr="0007055A">
        <w:rPr>
          <w:rFonts w:ascii="Arial" w:eastAsia="Calibri" w:hAnsi="Arial" w:cs="Arial"/>
          <w:sz w:val="24"/>
          <w:szCs w:val="24"/>
          <w:lang w:val="en-US"/>
        </w:rPr>
        <w:t xml:space="preserve"> to appeal to a broader range of customers by upholding a consistent level of quality throughout its hotel chain while simultaneously offering competitive pricing (Kotler et al., 2020).</w:t>
      </w:r>
    </w:p>
    <w:p w14:paraId="2F6CE16C" w14:textId="77777777"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The Six Senses brand maintains a premium pricing strategy, consistent with its upscale image, which entails elevated room rates and supplementary charges for its luxurious amenities (Jobber &amp; Ellis-Chadwick, 2020). Kotler et al. (2020) assert that Holiday Inn employs a pricing strategy to attract budget-conscious holidaymakers.</w:t>
      </w:r>
    </w:p>
    <w:p w14:paraId="7F10B4E9" w14:textId="77777777" w:rsidR="00D04644" w:rsidRPr="0007055A" w:rsidRDefault="00D04644" w:rsidP="00DF4629">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Bowie et al. (2017) assert that Six Senses significantly emphasizes its commitment to sustainability and unique experiential offerings, primarily by operating in remote and exotic locations. According to Kotler et al. (2020), Holiday Inn exhibits a greater degree of market saturation in both urban and suburban areas relative to its competitors.</w:t>
      </w:r>
    </w:p>
    <w:p w14:paraId="3EF95631" w14:textId="0E6439B6"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According to Jobber and Ellis-Chadwick (2020), Six Senses leverages digital marketing, public relations, and strategic alliances to </w:t>
      </w:r>
      <w:r w:rsidR="00DF4629" w:rsidRPr="00DF4629">
        <w:rPr>
          <w:rFonts w:ascii="Arial" w:eastAsia="Calibri" w:hAnsi="Arial" w:cs="Arial"/>
          <w:sz w:val="24"/>
          <w:szCs w:val="24"/>
          <w:lang w:val="en-US"/>
        </w:rPr>
        <w:t>exploit its unique high-end eco-resort position</w:t>
      </w:r>
      <w:r w:rsidRPr="0007055A">
        <w:rPr>
          <w:rFonts w:ascii="Arial" w:eastAsia="Calibri" w:hAnsi="Arial" w:cs="Arial"/>
          <w:sz w:val="24"/>
          <w:szCs w:val="24"/>
          <w:lang w:val="en-US"/>
        </w:rPr>
        <w:t xml:space="preserve">. Holiday Inn leverages its established brand by employing digital </w:t>
      </w:r>
      <w:r w:rsidRPr="0007055A">
        <w:rPr>
          <w:rFonts w:ascii="Arial" w:eastAsia="Calibri" w:hAnsi="Arial" w:cs="Arial"/>
          <w:sz w:val="24"/>
          <w:szCs w:val="24"/>
          <w:lang w:val="en-US"/>
        </w:rPr>
        <w:lastRenderedPageBreak/>
        <w:t>platforms, customer loyalty programs, and traditional advertising methods, as noted by Smith and Zook (2020).</w:t>
      </w:r>
    </w:p>
    <w:p w14:paraId="7E6C5FE7" w14:textId="77777777"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According to Bowie et al. (2017), both companies emphasize the value of their employees due to their crucial contribution to delivering exceptional customer service. Six Senses emphasizes imparting personalized attention through employee training to cater to a diverse customer base. At the same time, Holiday Inn prioritizes the provision of friendly and hospitable service (Kotler et al., 2020).</w:t>
      </w:r>
    </w:p>
    <w:p w14:paraId="1EA81369" w14:textId="77777777"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Process According to Jobber and Ellis-Chadwick (2020), Six Senses provides guests with a seamless and noteworthy experience that prioritizes sustainability and personalized attention, starting from the booking process and extending until check-out. Holiday Inn employs technological solutions to establish uniform procedures throughout its hotels, thereby enhancing its customer service (Chaffey &amp; Ellis-Chadwick, 2019)</w:t>
      </w:r>
    </w:p>
    <w:p w14:paraId="30FD6B9A" w14:textId="77777777"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According to Bowie et al. (2017), Six Senses is substantiated by empirical evidence, such as its upscale residences that employ environmentally sustainable construction techniques to attain ecological equilibrium. According to Kotler et al. (2020), a standardized design language exists across all Holiday Inn establishments, immediately distinguishing them from their clientele.</w:t>
      </w:r>
    </w:p>
    <w:p w14:paraId="0515BF3A" w14:textId="77777777"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Marketers must notice the significance of segmentation, targeting, and positioning in their strategic planning. Six Senses and Holiday Inn target distinct customer segments, and their positioning and targeting strategies differ significantly.</w:t>
      </w:r>
    </w:p>
    <w:p w14:paraId="2E55C41A" w14:textId="77777777"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According to the findings obtained through the </w:t>
      </w:r>
      <w:proofErr w:type="spellStart"/>
      <w:r w:rsidRPr="0007055A">
        <w:rPr>
          <w:rFonts w:ascii="Arial" w:eastAsia="Calibri" w:hAnsi="Arial" w:cs="Arial"/>
          <w:sz w:val="24"/>
          <w:szCs w:val="24"/>
          <w:lang w:val="en-US"/>
        </w:rPr>
        <w:t>SimilarWeb</w:t>
      </w:r>
      <w:proofErr w:type="spellEnd"/>
      <w:r w:rsidRPr="0007055A">
        <w:rPr>
          <w:rFonts w:ascii="Arial" w:eastAsia="Calibri" w:hAnsi="Arial" w:cs="Arial"/>
          <w:sz w:val="24"/>
          <w:szCs w:val="24"/>
          <w:lang w:val="en-US"/>
        </w:rPr>
        <w:t xml:space="preserve"> platform, it has been determined that a significant proportion of Six Senses' customer base comprises affluent, middle-aged individuals who prioritize luxurious and sustainable travel experiences. On the contrary, Holiday Inn targets a relatively younger and more budget-conscious demographic, prioritizing convenience and flexibility (Hotel Business, 2019). The Six Senses brand has established itself as a high-end chain of eco-resorts that provides distinctive and lasting impressions to guests. The properties affiliated with this brand are renowned for their selectiveness and the unique locales in which they are typically situated. In contrast, Holiday Inn positions itself as a hotel chain that provides affordable accommodations with contemporary amenities in convenient areas.</w:t>
      </w:r>
    </w:p>
    <w:p w14:paraId="2B50DD7B" w14:textId="77777777"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Six Senses employs a specialized targeting strategy focusing on affluent tourists who prioritize uniqueness and luxury and are willing to allocate a higher budget for such experiences. However, Holiday Inn adopts a focused strategy, specifically targeting budget-conscious travelers who prioritize convenient access to major transportation routes. Six Senses and Holiday Inn employ unique marketing mixes that align with their respective positioning objectives. The Six Senses brand is renowned for its high-end amenities prioritizing luxury, hospitality, and ecological </w:t>
      </w:r>
      <w:r w:rsidRPr="0007055A">
        <w:rPr>
          <w:rFonts w:ascii="Arial" w:eastAsia="Calibri" w:hAnsi="Arial" w:cs="Arial"/>
          <w:sz w:val="24"/>
          <w:szCs w:val="24"/>
          <w:lang w:val="en-US"/>
        </w:rPr>
        <w:lastRenderedPageBreak/>
        <w:t>stewardship. Holiday Inn prioritizes providing cost-effective rates, convenient accessibility, and amenities suitable for families with children.</w:t>
      </w:r>
    </w:p>
    <w:p w14:paraId="584D8ED3" w14:textId="1E8F5AC5"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The luxury brand Six Senses </w:t>
      </w:r>
      <w:r w:rsidR="009E439D" w:rsidRPr="0007055A">
        <w:rPr>
          <w:rFonts w:ascii="Arial" w:eastAsia="Calibri" w:hAnsi="Arial" w:cs="Arial"/>
          <w:sz w:val="24"/>
          <w:szCs w:val="24"/>
          <w:lang w:val="en-US"/>
        </w:rPr>
        <w:t>provides</w:t>
      </w:r>
      <w:r w:rsidRPr="0007055A">
        <w:rPr>
          <w:rFonts w:ascii="Arial" w:eastAsia="Calibri" w:hAnsi="Arial" w:cs="Arial"/>
          <w:sz w:val="24"/>
          <w:szCs w:val="24"/>
          <w:lang w:val="en-US"/>
        </w:rPr>
        <w:t xml:space="preserve"> guests with a unique and comprehensive wellness experience—the brand advocates for environmental sustainability, wellness, and intercultural awareness. The corporation's lodging and recreational facilities are intentionally fashioned to embody the surrounding ecology, traditions, and gastronomy, furnishing guests with an unforgettable and authentic vacation. The hospitality industry's increasing demand for sustainable and eco-friendly practices is among the challenges Six Senses must confront.</w:t>
      </w:r>
    </w:p>
    <w:p w14:paraId="326D1802" w14:textId="77777777"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In contrast, Holiday Inn is a brand that offers accommodations at a more affordable price point, appealing to individuals who are mindful of their vacation expenses. The fundamental principles that underlie the brand's ethos are reliability, uncomplicatedness, and uniformity. Holiday Inn aims to ensure uniformity in the customer experience across all its hotels in different parts of the world. Holiday Inn faces contemporary challenges such as the emergence of internet-based travel agencies, the growing demand for personalized guest experiences, and the impact of technological advancements on the hospitality industry.</w:t>
      </w:r>
    </w:p>
    <w:p w14:paraId="1E3ED906" w14:textId="73CA4008"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 xml:space="preserve">The present essay has conducted a comparative analysis of the advertising strategies employed by Six Senses and Holiday Inn, two prominent hotel chains. The examination of endogenous and exogenous determinants, marketing mix, and segmentation, targeting, and positioning tactics has substantiated that Holiday Inn employs approaches that are attractive to youthful </w:t>
      </w:r>
      <w:r w:rsidR="005148C8" w:rsidRPr="0007055A">
        <w:rPr>
          <w:rFonts w:ascii="Arial" w:eastAsia="Calibri" w:hAnsi="Arial" w:cs="Arial"/>
          <w:sz w:val="24"/>
          <w:szCs w:val="24"/>
          <w:lang w:val="en-US"/>
        </w:rPr>
        <w:t>people</w:t>
      </w:r>
      <w:r w:rsidRPr="0007055A">
        <w:rPr>
          <w:rFonts w:ascii="Arial" w:eastAsia="Calibri" w:hAnsi="Arial" w:cs="Arial"/>
          <w:sz w:val="24"/>
          <w:szCs w:val="24"/>
          <w:lang w:val="en-US"/>
        </w:rPr>
        <w:t>, whereas Six Senses concentrates on affluent elderly demographics.</w:t>
      </w:r>
    </w:p>
    <w:p w14:paraId="6C187BEA" w14:textId="7EDC21AC" w:rsidR="00D04644" w:rsidRPr="0007055A" w:rsidRDefault="00D04644" w:rsidP="009029CA">
      <w:pPr>
        <w:spacing w:after="200" w:line="276" w:lineRule="auto"/>
        <w:ind w:firstLine="720"/>
        <w:rPr>
          <w:rFonts w:ascii="Arial" w:eastAsia="Calibri" w:hAnsi="Arial" w:cs="Arial"/>
          <w:sz w:val="24"/>
          <w:szCs w:val="24"/>
          <w:lang w:val="en-US"/>
        </w:rPr>
      </w:pPr>
      <w:r w:rsidRPr="0007055A">
        <w:rPr>
          <w:rFonts w:ascii="Arial" w:eastAsia="Calibri" w:hAnsi="Arial" w:cs="Arial"/>
          <w:sz w:val="24"/>
          <w:szCs w:val="24"/>
          <w:lang w:val="en-US"/>
        </w:rPr>
        <w:t>An examination of the industry reveals that it is highly competitive and that both enterprises must grapple with variables such as evolving consumer preferences and advancements in technology. In contrast</w:t>
      </w:r>
      <w:r w:rsidR="00C375EA" w:rsidRPr="00C375EA">
        <w:rPr>
          <w:rFonts w:ascii="Arial" w:eastAsia="Calibri" w:hAnsi="Arial" w:cs="Arial"/>
          <w:sz w:val="24"/>
          <w:szCs w:val="24"/>
          <w:lang w:val="en-US"/>
        </w:rPr>
        <w:t>, as the marketing mix analysis establishes, the Holiday Inn brand efforts to appeal to a wider demographic by providing relatively lower prices and more conventional amenities</w:t>
      </w:r>
      <w:r w:rsidRPr="0007055A">
        <w:rPr>
          <w:rFonts w:ascii="Arial" w:eastAsia="Calibri" w:hAnsi="Arial" w:cs="Arial"/>
          <w:sz w:val="24"/>
          <w:szCs w:val="24"/>
          <w:lang w:val="en-US"/>
        </w:rPr>
        <w:t>. Six Senses targets a more affluent customer base by implementing higher pricing strategies and offering more luxurious facilities. The segmentation, targeting, and positioning analysis findings indicate that Six Senses targets high-end customers who value personalized and unique experiences, whereas Holiday Inn targets cost-conscious travelers who prioritize reasonable prices while maintaining convenience and comfort.</w:t>
      </w:r>
    </w:p>
    <w:p w14:paraId="5DBDEE2F" w14:textId="77777777" w:rsidR="004451F0" w:rsidRPr="0007055A" w:rsidRDefault="004451F0" w:rsidP="00D04644">
      <w:pPr>
        <w:spacing w:after="200" w:line="480" w:lineRule="auto"/>
        <w:jc w:val="both"/>
        <w:outlineLvl w:val="0"/>
        <w:rPr>
          <w:rFonts w:ascii="Arial" w:eastAsia="Calibri" w:hAnsi="Arial" w:cs="Arial"/>
          <w:b/>
          <w:bCs/>
          <w:sz w:val="24"/>
          <w:szCs w:val="24"/>
          <w:lang w:val="en-US"/>
        </w:rPr>
      </w:pPr>
    </w:p>
    <w:p w14:paraId="2E89FF3A" w14:textId="77777777" w:rsidR="004451F0" w:rsidRPr="0007055A" w:rsidRDefault="004451F0" w:rsidP="00D04644">
      <w:pPr>
        <w:spacing w:after="200" w:line="480" w:lineRule="auto"/>
        <w:jc w:val="both"/>
        <w:outlineLvl w:val="0"/>
        <w:rPr>
          <w:rFonts w:ascii="Arial" w:eastAsia="Calibri" w:hAnsi="Arial" w:cs="Arial"/>
          <w:b/>
          <w:bCs/>
          <w:sz w:val="24"/>
          <w:szCs w:val="24"/>
          <w:lang w:val="en-US"/>
        </w:rPr>
      </w:pPr>
    </w:p>
    <w:p w14:paraId="51857088" w14:textId="77777777" w:rsidR="004451F0" w:rsidRPr="0007055A" w:rsidRDefault="004451F0" w:rsidP="00D04644">
      <w:pPr>
        <w:spacing w:after="200" w:line="480" w:lineRule="auto"/>
        <w:jc w:val="both"/>
        <w:outlineLvl w:val="0"/>
        <w:rPr>
          <w:rFonts w:ascii="Arial" w:eastAsia="Calibri" w:hAnsi="Arial" w:cs="Arial"/>
          <w:b/>
          <w:bCs/>
          <w:sz w:val="24"/>
          <w:szCs w:val="24"/>
          <w:lang w:val="en-US"/>
        </w:rPr>
      </w:pPr>
    </w:p>
    <w:p w14:paraId="7A76A085" w14:textId="77777777" w:rsidR="004451F0" w:rsidRPr="0007055A" w:rsidRDefault="004451F0" w:rsidP="00D04644">
      <w:pPr>
        <w:spacing w:after="200" w:line="480" w:lineRule="auto"/>
        <w:jc w:val="both"/>
        <w:outlineLvl w:val="0"/>
        <w:rPr>
          <w:rFonts w:ascii="Arial" w:eastAsia="Calibri" w:hAnsi="Arial" w:cs="Arial"/>
          <w:b/>
          <w:bCs/>
          <w:sz w:val="24"/>
          <w:szCs w:val="24"/>
          <w:lang w:val="en-US"/>
        </w:rPr>
      </w:pPr>
    </w:p>
    <w:p w14:paraId="4B3F71E1" w14:textId="77777777" w:rsidR="0007055A" w:rsidRDefault="0007055A" w:rsidP="00D04644">
      <w:pPr>
        <w:spacing w:after="200" w:line="480" w:lineRule="auto"/>
        <w:jc w:val="both"/>
        <w:outlineLvl w:val="0"/>
        <w:rPr>
          <w:rFonts w:ascii="Arial" w:eastAsia="Calibri" w:hAnsi="Arial" w:cs="Arial"/>
          <w:b/>
          <w:bCs/>
          <w:sz w:val="24"/>
          <w:szCs w:val="24"/>
          <w:lang w:val="en-US"/>
        </w:rPr>
      </w:pPr>
    </w:p>
    <w:p w14:paraId="6558F8A4" w14:textId="1BBD6103" w:rsidR="00D04644" w:rsidRPr="0007055A" w:rsidRDefault="00D04644" w:rsidP="00D04644">
      <w:pPr>
        <w:spacing w:after="200" w:line="480" w:lineRule="auto"/>
        <w:jc w:val="both"/>
        <w:outlineLvl w:val="0"/>
        <w:rPr>
          <w:rFonts w:ascii="Arial" w:eastAsia="Calibri" w:hAnsi="Arial" w:cs="Arial"/>
          <w:b/>
          <w:bCs/>
          <w:sz w:val="24"/>
          <w:szCs w:val="24"/>
          <w:lang w:val="en-US"/>
        </w:rPr>
      </w:pPr>
      <w:r w:rsidRPr="0007055A">
        <w:rPr>
          <w:rFonts w:ascii="Arial" w:eastAsia="Calibri" w:hAnsi="Arial" w:cs="Arial"/>
          <w:b/>
          <w:bCs/>
          <w:sz w:val="24"/>
          <w:szCs w:val="24"/>
          <w:lang w:val="en-US"/>
        </w:rPr>
        <w:t>References</w:t>
      </w:r>
    </w:p>
    <w:p w14:paraId="2147A710"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t xml:space="preserve">Buttle, F., Bowie, D., Brookes, M. and </w:t>
      </w:r>
      <w:proofErr w:type="spellStart"/>
      <w:r w:rsidRPr="0007055A">
        <w:rPr>
          <w:rFonts w:ascii="Arial" w:eastAsia="Calibri" w:hAnsi="Arial" w:cs="Arial"/>
          <w:sz w:val="24"/>
          <w:szCs w:val="24"/>
          <w:shd w:val="clear" w:color="auto" w:fill="FFFFFF"/>
          <w:lang w:val="en-US"/>
        </w:rPr>
        <w:t>Mariussen</w:t>
      </w:r>
      <w:proofErr w:type="spellEnd"/>
      <w:r w:rsidRPr="0007055A">
        <w:rPr>
          <w:rFonts w:ascii="Arial" w:eastAsia="Calibri" w:hAnsi="Arial" w:cs="Arial"/>
          <w:sz w:val="24"/>
          <w:szCs w:val="24"/>
          <w:shd w:val="clear" w:color="auto" w:fill="FFFFFF"/>
          <w:lang w:val="en-US"/>
        </w:rPr>
        <w:t>, A., 2017. </w:t>
      </w:r>
      <w:r w:rsidRPr="0007055A">
        <w:rPr>
          <w:rFonts w:ascii="Arial" w:eastAsia="Calibri" w:hAnsi="Arial" w:cs="Arial"/>
          <w:i/>
          <w:iCs/>
          <w:sz w:val="24"/>
          <w:szCs w:val="24"/>
          <w:shd w:val="clear" w:color="auto" w:fill="FFFFFF"/>
          <w:lang w:val="en-US"/>
        </w:rPr>
        <w:t>Hospitality Marketing</w:t>
      </w:r>
      <w:r w:rsidRPr="0007055A">
        <w:rPr>
          <w:rFonts w:ascii="Arial" w:eastAsia="Calibri" w:hAnsi="Arial" w:cs="Arial"/>
          <w:sz w:val="24"/>
          <w:szCs w:val="24"/>
          <w:shd w:val="clear" w:color="auto" w:fill="FFFFFF"/>
          <w:lang w:val="en-US"/>
        </w:rPr>
        <w:t>. Taylor &amp; Francis.</w:t>
      </w:r>
    </w:p>
    <w:p w14:paraId="54E0D17A"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t>Chaffey, D, and Ellis- Chadwick, F., 2019. Digital Marketing. 7th ed, Pearsons, London.</w:t>
      </w:r>
    </w:p>
    <w:p w14:paraId="4FD105CB" w14:textId="07A33D59"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Dwivedi, Y.K., </w:t>
      </w:r>
      <w:proofErr w:type="spellStart"/>
      <w:r w:rsidRPr="0007055A">
        <w:rPr>
          <w:rFonts w:ascii="Arial" w:eastAsia="Times New Roman" w:hAnsi="Arial" w:cs="Arial"/>
          <w:kern w:val="0"/>
          <w:sz w:val="24"/>
          <w:szCs w:val="24"/>
          <w:lang w:val="en-US"/>
          <w14:ligatures w14:val="none"/>
        </w:rPr>
        <w:t>Ismagilova</w:t>
      </w:r>
      <w:proofErr w:type="spellEnd"/>
      <w:r w:rsidRPr="0007055A">
        <w:rPr>
          <w:rFonts w:ascii="Arial" w:eastAsia="Times New Roman" w:hAnsi="Arial" w:cs="Arial"/>
          <w:kern w:val="0"/>
          <w:sz w:val="24"/>
          <w:szCs w:val="24"/>
          <w:lang w:val="en-US"/>
          <w14:ligatures w14:val="none"/>
        </w:rPr>
        <w:t xml:space="preserve">, E., Hughes, D.L., Carlson, J., </w:t>
      </w:r>
      <w:proofErr w:type="spellStart"/>
      <w:r w:rsidRPr="0007055A">
        <w:rPr>
          <w:rFonts w:ascii="Arial" w:eastAsia="Times New Roman" w:hAnsi="Arial" w:cs="Arial"/>
          <w:kern w:val="0"/>
          <w:sz w:val="24"/>
          <w:szCs w:val="24"/>
          <w:lang w:val="en-US"/>
          <w14:ligatures w14:val="none"/>
        </w:rPr>
        <w:t>Filieri</w:t>
      </w:r>
      <w:proofErr w:type="spellEnd"/>
      <w:r w:rsidRPr="0007055A">
        <w:rPr>
          <w:rFonts w:ascii="Arial" w:eastAsia="Times New Roman" w:hAnsi="Arial" w:cs="Arial"/>
          <w:kern w:val="0"/>
          <w:sz w:val="24"/>
          <w:szCs w:val="24"/>
          <w:lang w:val="en-US"/>
          <w14:ligatures w14:val="none"/>
        </w:rPr>
        <w:t xml:space="preserve">, R., Jacobson, J., Jain, V., </w:t>
      </w:r>
      <w:proofErr w:type="spellStart"/>
      <w:r w:rsidRPr="0007055A">
        <w:rPr>
          <w:rFonts w:ascii="Arial" w:eastAsia="Times New Roman" w:hAnsi="Arial" w:cs="Arial"/>
          <w:kern w:val="0"/>
          <w:sz w:val="24"/>
          <w:szCs w:val="24"/>
          <w:lang w:val="en-US"/>
          <w14:ligatures w14:val="none"/>
        </w:rPr>
        <w:t>Karjaluoto</w:t>
      </w:r>
      <w:proofErr w:type="spellEnd"/>
      <w:r w:rsidRPr="0007055A">
        <w:rPr>
          <w:rFonts w:ascii="Arial" w:eastAsia="Times New Roman" w:hAnsi="Arial" w:cs="Arial"/>
          <w:kern w:val="0"/>
          <w:sz w:val="24"/>
          <w:szCs w:val="24"/>
          <w:lang w:val="en-US"/>
          <w14:ligatures w14:val="none"/>
        </w:rPr>
        <w:t xml:space="preserve">, H., </w:t>
      </w:r>
      <w:proofErr w:type="spellStart"/>
      <w:r w:rsidRPr="0007055A">
        <w:rPr>
          <w:rFonts w:ascii="Arial" w:eastAsia="Times New Roman" w:hAnsi="Arial" w:cs="Arial"/>
          <w:kern w:val="0"/>
          <w:sz w:val="24"/>
          <w:szCs w:val="24"/>
          <w:lang w:val="en-US"/>
          <w14:ligatures w14:val="none"/>
        </w:rPr>
        <w:t>Kefi</w:t>
      </w:r>
      <w:proofErr w:type="spellEnd"/>
      <w:r w:rsidRPr="0007055A">
        <w:rPr>
          <w:rFonts w:ascii="Arial" w:eastAsia="Times New Roman" w:hAnsi="Arial" w:cs="Arial"/>
          <w:kern w:val="0"/>
          <w:sz w:val="24"/>
          <w:szCs w:val="24"/>
          <w:lang w:val="en-US"/>
          <w14:ligatures w14:val="none"/>
        </w:rPr>
        <w:t xml:space="preserve">, H., Krishen, A.S., Kumar, V., Rahman, M.M., Raman, R., </w:t>
      </w:r>
      <w:proofErr w:type="spellStart"/>
      <w:r w:rsidRPr="0007055A">
        <w:rPr>
          <w:rFonts w:ascii="Arial" w:eastAsia="Times New Roman" w:hAnsi="Arial" w:cs="Arial"/>
          <w:kern w:val="0"/>
          <w:sz w:val="24"/>
          <w:szCs w:val="24"/>
          <w:lang w:val="en-US"/>
          <w14:ligatures w14:val="none"/>
        </w:rPr>
        <w:t>Rauschnabel</w:t>
      </w:r>
      <w:proofErr w:type="spellEnd"/>
      <w:r w:rsidRPr="0007055A">
        <w:rPr>
          <w:rFonts w:ascii="Arial" w:eastAsia="Times New Roman" w:hAnsi="Arial" w:cs="Arial"/>
          <w:kern w:val="0"/>
          <w:sz w:val="24"/>
          <w:szCs w:val="24"/>
          <w:lang w:val="en-US"/>
          <w14:ligatures w14:val="none"/>
        </w:rPr>
        <w:t xml:space="preserve">, P.A., Rowley, J., Salo, J., Tran, G.A. and Wang, Y., 2021. Setting the Future of Digital and Social Media Marketing Research: Perspectives and Research Propositions. </w:t>
      </w:r>
      <w:r w:rsidRPr="0007055A">
        <w:rPr>
          <w:rFonts w:ascii="Arial" w:eastAsia="Times New Roman" w:hAnsi="Arial" w:cs="Arial"/>
          <w:i/>
          <w:iCs/>
          <w:kern w:val="0"/>
          <w:sz w:val="24"/>
          <w:szCs w:val="24"/>
          <w:lang w:val="en-US"/>
          <w14:ligatures w14:val="none"/>
        </w:rPr>
        <w:t>International Journal of Information Management</w:t>
      </w:r>
      <w:r w:rsidRPr="0007055A">
        <w:rPr>
          <w:rFonts w:ascii="Arial" w:eastAsia="Times New Roman" w:hAnsi="Arial" w:cs="Arial"/>
          <w:kern w:val="0"/>
          <w:sz w:val="24"/>
          <w:szCs w:val="24"/>
          <w:lang w:val="en-US"/>
          <w14:ligatures w14:val="none"/>
        </w:rPr>
        <w:t xml:space="preserve">, [online] 59(1), pp.1–37. </w:t>
      </w:r>
    </w:p>
    <w:p w14:paraId="20D819BC" w14:textId="70845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proofErr w:type="spellStart"/>
      <w:r w:rsidRPr="0007055A">
        <w:rPr>
          <w:rFonts w:ascii="Arial" w:eastAsia="Times New Roman" w:hAnsi="Arial" w:cs="Arial"/>
          <w:kern w:val="0"/>
          <w:sz w:val="24"/>
          <w:szCs w:val="24"/>
          <w:lang w:val="en-US"/>
          <w14:ligatures w14:val="none"/>
        </w:rPr>
        <w:t>Glusac</w:t>
      </w:r>
      <w:proofErr w:type="spellEnd"/>
      <w:r w:rsidRPr="0007055A">
        <w:rPr>
          <w:rFonts w:ascii="Arial" w:eastAsia="Times New Roman" w:hAnsi="Arial" w:cs="Arial"/>
          <w:kern w:val="0"/>
          <w:sz w:val="24"/>
          <w:szCs w:val="24"/>
          <w:lang w:val="en-US"/>
          <w14:ligatures w14:val="none"/>
        </w:rPr>
        <w:t xml:space="preserve">, E., 2020. The Future of Airbnb. </w:t>
      </w:r>
      <w:r w:rsidRPr="0007055A">
        <w:rPr>
          <w:rFonts w:ascii="Arial" w:eastAsia="Times New Roman" w:hAnsi="Arial" w:cs="Arial"/>
          <w:i/>
          <w:iCs/>
          <w:kern w:val="0"/>
          <w:sz w:val="24"/>
          <w:szCs w:val="24"/>
          <w:lang w:val="en-US"/>
          <w14:ligatures w14:val="none"/>
        </w:rPr>
        <w:t>The New York Times</w:t>
      </w:r>
      <w:r w:rsidRPr="0007055A">
        <w:rPr>
          <w:rFonts w:ascii="Arial" w:eastAsia="Times New Roman" w:hAnsi="Arial" w:cs="Arial"/>
          <w:kern w:val="0"/>
          <w:sz w:val="24"/>
          <w:szCs w:val="24"/>
          <w:lang w:val="en-US"/>
          <w14:ligatures w14:val="none"/>
        </w:rPr>
        <w:t>. [online] 24 Sep. Available at: https://www.nytimes.com/2020/09/24/travel/airbnb-pandemic.html</w:t>
      </w:r>
    </w:p>
    <w:p w14:paraId="1D6004BC"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Hotel Business (2019). </w:t>
      </w:r>
      <w:r w:rsidRPr="0007055A">
        <w:rPr>
          <w:rFonts w:ascii="Arial" w:eastAsia="Times New Roman" w:hAnsi="Arial" w:cs="Arial"/>
          <w:i/>
          <w:iCs/>
          <w:kern w:val="0"/>
          <w:sz w:val="24"/>
          <w:szCs w:val="24"/>
          <w:lang w:val="en-US"/>
          <w14:ligatures w14:val="none"/>
        </w:rPr>
        <w:t>IHG Unites Holiday Inn Brands in Marketing Campaign</w:t>
      </w:r>
      <w:r w:rsidRPr="0007055A">
        <w:rPr>
          <w:rFonts w:ascii="Arial" w:eastAsia="Times New Roman" w:hAnsi="Arial" w:cs="Arial"/>
          <w:kern w:val="0"/>
          <w:sz w:val="24"/>
          <w:szCs w:val="24"/>
          <w:lang w:val="en-US"/>
          <w14:ligatures w14:val="none"/>
        </w:rPr>
        <w:t>. [online] Available at: https://hotelbusiness.com/ihg-unites-holiday-inn-brands-in-marketing-campaign/.</w:t>
      </w:r>
    </w:p>
    <w:p w14:paraId="07A2660F"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IHG (2017). </w:t>
      </w:r>
      <w:r w:rsidRPr="0007055A">
        <w:rPr>
          <w:rFonts w:ascii="Arial" w:eastAsia="Times New Roman" w:hAnsi="Arial" w:cs="Arial"/>
          <w:i/>
          <w:iCs/>
          <w:kern w:val="0"/>
          <w:sz w:val="24"/>
          <w:szCs w:val="24"/>
          <w:lang w:val="en-US"/>
          <w14:ligatures w14:val="none"/>
        </w:rPr>
        <w:t>Targeted portfolio Strategic Model Strategic Report</w:t>
      </w:r>
      <w:r w:rsidRPr="0007055A">
        <w:rPr>
          <w:rFonts w:ascii="Arial" w:eastAsia="Times New Roman" w:hAnsi="Arial" w:cs="Arial"/>
          <w:kern w:val="0"/>
          <w:sz w:val="24"/>
          <w:szCs w:val="24"/>
          <w:lang w:val="en-US"/>
          <w14:ligatures w14:val="none"/>
        </w:rPr>
        <w:t>. [online] Available at: https://www.ihgplc.com/en/-/media/A2A04D08E267489893914E5E01279F56.ashx.</w:t>
      </w:r>
    </w:p>
    <w:p w14:paraId="7C32050B"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IHG (2019). </w:t>
      </w:r>
      <w:r w:rsidRPr="0007055A">
        <w:rPr>
          <w:rFonts w:ascii="Arial" w:eastAsia="Times New Roman" w:hAnsi="Arial" w:cs="Arial"/>
          <w:i/>
          <w:iCs/>
          <w:kern w:val="0"/>
          <w:sz w:val="24"/>
          <w:szCs w:val="24"/>
          <w:lang w:val="en-US"/>
          <w14:ligatures w14:val="none"/>
        </w:rPr>
        <w:t>Our Strategy</w:t>
      </w:r>
      <w:r w:rsidRPr="0007055A">
        <w:rPr>
          <w:rFonts w:ascii="Arial" w:eastAsia="Times New Roman" w:hAnsi="Arial" w:cs="Arial"/>
          <w:kern w:val="0"/>
          <w:sz w:val="24"/>
          <w:szCs w:val="24"/>
          <w:lang w:val="en-US"/>
          <w14:ligatures w14:val="none"/>
        </w:rPr>
        <w:t>. [online] InterContinental Hotels Group PLC. Available at: https://www.ihgplc.com/en/about-us/our-strategy.</w:t>
      </w:r>
    </w:p>
    <w:p w14:paraId="25F86EA9"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lastRenderedPageBreak/>
        <w:t>Jobber, D. and Ellis-Chadwick, F., 2020. Principles and practice of marketing. 9th ed. London:</w:t>
      </w:r>
    </w:p>
    <w:p w14:paraId="46BA0004"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t>Kotler, P., Armstrong, G., Harris, L. and He, H., 2020. Principles of marketing. 8th European ed, London: Pearson Education Limited.</w:t>
      </w:r>
    </w:p>
    <w:p w14:paraId="689F8340" w14:textId="4EA3B303"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Morrison, K., 2016. Politics Comes to the Holiday Inn. </w:t>
      </w:r>
      <w:r w:rsidRPr="0007055A">
        <w:rPr>
          <w:rFonts w:ascii="Arial" w:eastAsia="Times New Roman" w:hAnsi="Arial" w:cs="Arial"/>
          <w:i/>
          <w:iCs/>
          <w:kern w:val="0"/>
          <w:sz w:val="24"/>
          <w:szCs w:val="24"/>
          <w:lang w:val="en-US"/>
          <w14:ligatures w14:val="none"/>
        </w:rPr>
        <w:t>Sarajevo’s Holiday Inn on the Frontline of Politics and War</w:t>
      </w:r>
      <w:r w:rsidRPr="0007055A">
        <w:rPr>
          <w:rFonts w:ascii="Arial" w:eastAsia="Times New Roman" w:hAnsi="Arial" w:cs="Arial"/>
          <w:kern w:val="0"/>
          <w:sz w:val="24"/>
          <w:szCs w:val="24"/>
          <w:lang w:val="en-US"/>
          <w14:ligatures w14:val="none"/>
        </w:rPr>
        <w:t xml:space="preserve">, pp.71–82. </w:t>
      </w:r>
    </w:p>
    <w:p w14:paraId="4A7B1A5F"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Six Senses (2022). </w:t>
      </w:r>
      <w:r w:rsidRPr="0007055A">
        <w:rPr>
          <w:rFonts w:ascii="Arial" w:eastAsia="Times New Roman" w:hAnsi="Arial" w:cs="Arial"/>
          <w:i/>
          <w:iCs/>
          <w:kern w:val="0"/>
          <w:sz w:val="24"/>
          <w:szCs w:val="24"/>
          <w:lang w:val="en-US"/>
          <w14:ligatures w14:val="none"/>
        </w:rPr>
        <w:t>Sustainable Resorts and Responsible Travel | Six Senses</w:t>
      </w:r>
      <w:r w:rsidRPr="0007055A">
        <w:rPr>
          <w:rFonts w:ascii="Arial" w:eastAsia="Times New Roman" w:hAnsi="Arial" w:cs="Arial"/>
          <w:kern w:val="0"/>
          <w:sz w:val="24"/>
          <w:szCs w:val="24"/>
          <w:lang w:val="en-US"/>
          <w14:ligatures w14:val="none"/>
        </w:rPr>
        <w:t>. [online] www.sixsenses.com. Available at: https://www.sixsenses.com/en/sustainability.</w:t>
      </w:r>
    </w:p>
    <w:p w14:paraId="6FAF8C78"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Six Senses (2023). </w:t>
      </w:r>
      <w:r w:rsidRPr="0007055A">
        <w:rPr>
          <w:rFonts w:ascii="Arial" w:eastAsia="Times New Roman" w:hAnsi="Arial" w:cs="Arial"/>
          <w:i/>
          <w:iCs/>
          <w:kern w:val="0"/>
          <w:sz w:val="24"/>
          <w:szCs w:val="24"/>
          <w:lang w:val="en-US"/>
          <w14:ligatures w14:val="none"/>
        </w:rPr>
        <w:t>Six Senses Fiji Experiences Green Tour</w:t>
      </w:r>
      <w:r w:rsidRPr="0007055A">
        <w:rPr>
          <w:rFonts w:ascii="Arial" w:eastAsia="Times New Roman" w:hAnsi="Arial" w:cs="Arial"/>
          <w:kern w:val="0"/>
          <w:sz w:val="24"/>
          <w:szCs w:val="24"/>
          <w:lang w:val="en-US"/>
          <w14:ligatures w14:val="none"/>
        </w:rPr>
        <w:t>. [online] Six Senses. Available at: https://www.sixsenses.com/en/resorts/fiji/experiences/green-tour [Accessed 5 May 2023].</w:t>
      </w:r>
    </w:p>
    <w:p w14:paraId="3CACCF41"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r w:rsidRPr="0007055A">
        <w:rPr>
          <w:rFonts w:ascii="Arial" w:eastAsia="Calibri" w:hAnsi="Arial" w:cs="Arial"/>
          <w:sz w:val="24"/>
          <w:szCs w:val="24"/>
          <w:shd w:val="clear" w:color="auto" w:fill="FFFFFF"/>
          <w:lang w:val="en-US"/>
        </w:rPr>
        <w:t>Smith PR &amp; Zook ZE., 2020. Marketing Communications. 7th ed, Kogan Page, London</w:t>
      </w:r>
    </w:p>
    <w:p w14:paraId="4C97CD99" w14:textId="7777777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The Economist (2020). </w:t>
      </w:r>
      <w:r w:rsidRPr="0007055A">
        <w:rPr>
          <w:rFonts w:ascii="Arial" w:eastAsia="Times New Roman" w:hAnsi="Arial" w:cs="Arial"/>
          <w:i/>
          <w:iCs/>
          <w:kern w:val="0"/>
          <w:sz w:val="24"/>
          <w:szCs w:val="24"/>
          <w:lang w:val="en-US"/>
          <w14:ligatures w14:val="none"/>
        </w:rPr>
        <w:t>Staycations are saving hotels and Airbnb from covid-19</w:t>
      </w:r>
      <w:r w:rsidRPr="0007055A">
        <w:rPr>
          <w:rFonts w:ascii="Arial" w:eastAsia="Times New Roman" w:hAnsi="Arial" w:cs="Arial"/>
          <w:kern w:val="0"/>
          <w:sz w:val="24"/>
          <w:szCs w:val="24"/>
          <w:lang w:val="en-US"/>
          <w14:ligatures w14:val="none"/>
        </w:rPr>
        <w:t>. [online] The Economist. Available at: https://www.economist.com/business/2020/08/31/staycationers-are-saving-hotels-and-airbnb-from-covid-19.</w:t>
      </w:r>
    </w:p>
    <w:p w14:paraId="76B75061" w14:textId="79175DF7" w:rsidR="00D04644" w:rsidRPr="0007055A" w:rsidRDefault="00D04644" w:rsidP="00D04644">
      <w:pPr>
        <w:spacing w:after="240" w:line="480" w:lineRule="auto"/>
        <w:jc w:val="both"/>
        <w:rPr>
          <w:rFonts w:ascii="Arial" w:eastAsia="Times New Roman" w:hAnsi="Arial" w:cs="Arial"/>
          <w:kern w:val="0"/>
          <w:sz w:val="24"/>
          <w:szCs w:val="24"/>
          <w:lang w:val="en-US"/>
          <w14:ligatures w14:val="none"/>
        </w:rPr>
      </w:pPr>
      <w:r w:rsidRPr="0007055A">
        <w:rPr>
          <w:rFonts w:ascii="Arial" w:eastAsia="Times New Roman" w:hAnsi="Arial" w:cs="Arial"/>
          <w:kern w:val="0"/>
          <w:sz w:val="24"/>
          <w:szCs w:val="24"/>
          <w:lang w:val="en-US"/>
          <w14:ligatures w14:val="none"/>
        </w:rPr>
        <w:t xml:space="preserve">Tsai, H., Song, H. and Wong, K.K.F. (2009). TOURISM AND HOTEL COMPETITIVENESS RESEARCH. </w:t>
      </w:r>
      <w:r w:rsidRPr="0007055A">
        <w:rPr>
          <w:rFonts w:ascii="Arial" w:eastAsia="Times New Roman" w:hAnsi="Arial" w:cs="Arial"/>
          <w:i/>
          <w:iCs/>
          <w:kern w:val="0"/>
          <w:sz w:val="24"/>
          <w:szCs w:val="24"/>
          <w:lang w:val="en-US"/>
          <w14:ligatures w14:val="none"/>
        </w:rPr>
        <w:t>Journal of Travel &amp; Tourism Marketing</w:t>
      </w:r>
      <w:r w:rsidRPr="0007055A">
        <w:rPr>
          <w:rFonts w:ascii="Arial" w:eastAsia="Times New Roman" w:hAnsi="Arial" w:cs="Arial"/>
          <w:kern w:val="0"/>
          <w:sz w:val="24"/>
          <w:szCs w:val="24"/>
          <w:lang w:val="en-US"/>
          <w14:ligatures w14:val="none"/>
        </w:rPr>
        <w:t xml:space="preserve">, [online] 26(5-6), pp.522–546. </w:t>
      </w:r>
    </w:p>
    <w:p w14:paraId="7193855B" w14:textId="77777777" w:rsidR="00D04644" w:rsidRPr="0007055A" w:rsidRDefault="00D04644" w:rsidP="00D04644">
      <w:pPr>
        <w:spacing w:after="200" w:line="480" w:lineRule="auto"/>
        <w:jc w:val="both"/>
        <w:rPr>
          <w:rFonts w:ascii="Arial" w:eastAsia="Calibri" w:hAnsi="Arial" w:cs="Arial"/>
          <w:sz w:val="24"/>
          <w:szCs w:val="24"/>
          <w:shd w:val="clear" w:color="auto" w:fill="FFFFFF"/>
          <w:lang w:val="en-US"/>
        </w:rPr>
      </w:pPr>
    </w:p>
    <w:p w14:paraId="436FF875" w14:textId="77777777" w:rsidR="00D04644" w:rsidRPr="00D04644" w:rsidRDefault="00D04644" w:rsidP="00D04644">
      <w:pPr>
        <w:spacing w:after="200" w:line="480" w:lineRule="auto"/>
        <w:jc w:val="both"/>
        <w:rPr>
          <w:rFonts w:ascii="Times New Roman" w:eastAsia="Calibri" w:hAnsi="Times New Roman" w:cs="Times New Roman"/>
          <w:sz w:val="24"/>
          <w:szCs w:val="24"/>
          <w:shd w:val="clear" w:color="auto" w:fill="FFFFFF"/>
          <w:lang w:val="en-US"/>
        </w:rPr>
      </w:pPr>
    </w:p>
    <w:p w14:paraId="758A5F11" w14:textId="77777777" w:rsidR="006D0E54" w:rsidRPr="00D04644" w:rsidRDefault="006D0E54">
      <w:pPr>
        <w:rPr>
          <w:lang w:val="en-US"/>
        </w:rPr>
      </w:pPr>
    </w:p>
    <w:sectPr w:rsidR="006D0E54" w:rsidRPr="00D04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E54"/>
    <w:rsid w:val="000256F0"/>
    <w:rsid w:val="0007055A"/>
    <w:rsid w:val="00197D26"/>
    <w:rsid w:val="0034215B"/>
    <w:rsid w:val="004451F0"/>
    <w:rsid w:val="004E1C15"/>
    <w:rsid w:val="005148C8"/>
    <w:rsid w:val="006D0E54"/>
    <w:rsid w:val="009029CA"/>
    <w:rsid w:val="00905655"/>
    <w:rsid w:val="009E439D"/>
    <w:rsid w:val="009E7A29"/>
    <w:rsid w:val="00A05F51"/>
    <w:rsid w:val="00A10544"/>
    <w:rsid w:val="00C375EA"/>
    <w:rsid w:val="00CE3DE3"/>
    <w:rsid w:val="00D04644"/>
    <w:rsid w:val="00DF4629"/>
    <w:rsid w:val="00F30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B6BF0"/>
  <w15:chartTrackingRefBased/>
  <w15:docId w15:val="{64BC93F3-1B56-4794-8457-3C20D2952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421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15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2106</Words>
  <Characters>12006</Characters>
  <Application>Microsoft Office Word</Application>
  <DocSecurity>0</DocSecurity>
  <Lines>100</Lines>
  <Paragraphs>28</Paragraphs>
  <ScaleCrop>false</ScaleCrop>
  <Company/>
  <LinksUpToDate>false</LinksUpToDate>
  <CharactersWithSpaces>14084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Marcin Smardzewski</dc:creator>
  <cp:keywords/>
  <dc:description/>
  <cp:lastModifiedBy>Sylwia Anna Smardzewska (2240770)</cp:lastModifiedBy>
  <cp:revision>7</cp:revision>
  <dcterms:created xsi:type="dcterms:W3CDTF">2023-05-11T12:02:00Z</dcterms:created>
  <dcterms:modified xsi:type="dcterms:W3CDTF">2023-05-16T10:20:00Z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d59cd920eb14e371dcde598e3767609d37bef95c70bf6ed0bd4df7091d9fbeb4</vt:lpwstr>
  </property>
</Properties>
</file>