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9D668" w14:textId="77777777" w:rsidR="00BC0120" w:rsidRDefault="00BC0120" w:rsidP="00BC0120">
      <w:pPr>
        <w:jc w:val="center"/>
        <w:rPr>
          <w:rFonts w:ascii="Arial" w:hAnsi="Arial" w:cs="Arial"/>
          <w:sz w:val="40"/>
          <w:szCs w:val="40"/>
        </w:rPr>
      </w:pPr>
    </w:p>
    <w:p w14:paraId="6534F722" w14:textId="77777777" w:rsidR="00BC0120" w:rsidRPr="00DF14B6" w:rsidRDefault="00BC0120" w:rsidP="00BC0120">
      <w:pPr>
        <w:jc w:val="center"/>
        <w:rPr>
          <w:rFonts w:ascii="Arial" w:hAnsi="Arial" w:cs="Arial"/>
          <w:sz w:val="44"/>
          <w:szCs w:val="44"/>
        </w:rPr>
      </w:pPr>
    </w:p>
    <w:p w14:paraId="5C804157" w14:textId="35E31F4F" w:rsidR="006E7780" w:rsidRPr="00DF14B6" w:rsidRDefault="006E7780" w:rsidP="00BC0120">
      <w:pPr>
        <w:jc w:val="center"/>
        <w:rPr>
          <w:rFonts w:ascii="Arial" w:hAnsi="Arial" w:cs="Arial"/>
          <w:sz w:val="44"/>
          <w:szCs w:val="44"/>
        </w:rPr>
      </w:pPr>
      <w:r w:rsidRPr="00DF14B6">
        <w:rPr>
          <w:rFonts w:ascii="Arial" w:hAnsi="Arial" w:cs="Arial"/>
          <w:sz w:val="44"/>
          <w:szCs w:val="44"/>
        </w:rPr>
        <w:t>Management accounting tools and techniques supporting financial decision making at Sainsbury</w:t>
      </w:r>
    </w:p>
    <w:p w14:paraId="428A2E53" w14:textId="77777777" w:rsidR="006E7780" w:rsidRPr="00BC0120" w:rsidRDefault="006E7780">
      <w:pPr>
        <w:rPr>
          <w:rFonts w:ascii="Arial" w:hAnsi="Arial" w:cs="Arial"/>
        </w:rPr>
      </w:pPr>
    </w:p>
    <w:p w14:paraId="49C35867" w14:textId="77777777" w:rsidR="006E7780" w:rsidRPr="00BC0120" w:rsidRDefault="006E7780">
      <w:pPr>
        <w:rPr>
          <w:rFonts w:ascii="Arial" w:hAnsi="Arial" w:cs="Arial"/>
        </w:rPr>
      </w:pPr>
    </w:p>
    <w:p w14:paraId="6F100F3A" w14:textId="77777777" w:rsidR="006E7780" w:rsidRPr="00BC0120" w:rsidRDefault="006E7780">
      <w:pPr>
        <w:rPr>
          <w:rFonts w:ascii="Arial" w:hAnsi="Arial" w:cs="Arial"/>
        </w:rPr>
      </w:pPr>
    </w:p>
    <w:p w14:paraId="775E80F9" w14:textId="77777777" w:rsidR="00BC0120" w:rsidRDefault="00BC0120" w:rsidP="00BC0120">
      <w:pPr>
        <w:rPr>
          <w:rFonts w:ascii="Arial" w:hAnsi="Arial" w:cs="Arial"/>
        </w:rPr>
      </w:pPr>
    </w:p>
    <w:p w14:paraId="72F40A12" w14:textId="77777777" w:rsidR="00BC0120" w:rsidRDefault="00BC0120" w:rsidP="00BC0120">
      <w:pPr>
        <w:rPr>
          <w:rFonts w:ascii="Arial" w:hAnsi="Arial" w:cs="Arial"/>
        </w:rPr>
      </w:pPr>
    </w:p>
    <w:p w14:paraId="2677D815" w14:textId="77777777" w:rsidR="00BC0120" w:rsidRDefault="00BC0120" w:rsidP="00BC0120">
      <w:pPr>
        <w:rPr>
          <w:rFonts w:ascii="Arial" w:hAnsi="Arial" w:cs="Arial"/>
        </w:rPr>
      </w:pPr>
    </w:p>
    <w:p w14:paraId="25CC2E9B" w14:textId="77777777" w:rsidR="00BC0120" w:rsidRDefault="00BC0120" w:rsidP="00BC0120">
      <w:pPr>
        <w:rPr>
          <w:rFonts w:ascii="Arial" w:hAnsi="Arial" w:cs="Arial"/>
        </w:rPr>
      </w:pPr>
    </w:p>
    <w:p w14:paraId="0B1EF703" w14:textId="77777777" w:rsidR="00BC0120" w:rsidRDefault="00BC0120" w:rsidP="00BC0120">
      <w:pPr>
        <w:rPr>
          <w:rFonts w:ascii="Arial" w:hAnsi="Arial" w:cs="Arial"/>
        </w:rPr>
      </w:pPr>
    </w:p>
    <w:p w14:paraId="43F8E0AF" w14:textId="77777777" w:rsidR="00BC0120" w:rsidRDefault="00BC0120" w:rsidP="00BC0120">
      <w:pPr>
        <w:rPr>
          <w:rFonts w:ascii="Arial" w:hAnsi="Arial" w:cs="Arial"/>
        </w:rPr>
      </w:pPr>
    </w:p>
    <w:p w14:paraId="7FB4E904" w14:textId="77777777" w:rsidR="00BC0120" w:rsidRDefault="00BC0120" w:rsidP="00BC0120">
      <w:pPr>
        <w:rPr>
          <w:rFonts w:ascii="Arial" w:hAnsi="Arial" w:cs="Arial"/>
        </w:rPr>
      </w:pPr>
    </w:p>
    <w:p w14:paraId="1CE2C720" w14:textId="77777777" w:rsidR="00BC0120" w:rsidRDefault="00BC0120" w:rsidP="00BC0120">
      <w:pPr>
        <w:rPr>
          <w:rFonts w:ascii="Arial" w:hAnsi="Arial" w:cs="Arial"/>
        </w:rPr>
      </w:pPr>
    </w:p>
    <w:p w14:paraId="21F382EF" w14:textId="77777777" w:rsidR="00BC0120" w:rsidRDefault="00BC0120" w:rsidP="00BC0120">
      <w:pPr>
        <w:rPr>
          <w:rFonts w:ascii="Arial" w:hAnsi="Arial" w:cs="Arial"/>
        </w:rPr>
      </w:pPr>
    </w:p>
    <w:p w14:paraId="1C5BC312" w14:textId="77777777" w:rsidR="00BC0120" w:rsidRDefault="00BC0120" w:rsidP="00BC0120">
      <w:pPr>
        <w:rPr>
          <w:rFonts w:ascii="Arial" w:hAnsi="Arial" w:cs="Arial"/>
        </w:rPr>
      </w:pPr>
    </w:p>
    <w:p w14:paraId="39C6A8E0" w14:textId="77777777" w:rsidR="00BC0120" w:rsidRDefault="00BC0120" w:rsidP="00BC0120">
      <w:pPr>
        <w:rPr>
          <w:rFonts w:ascii="Arial" w:hAnsi="Arial" w:cs="Arial"/>
        </w:rPr>
      </w:pPr>
    </w:p>
    <w:p w14:paraId="3BC7CE52" w14:textId="77777777" w:rsidR="00BC0120" w:rsidRDefault="00BC0120" w:rsidP="00BC0120">
      <w:pPr>
        <w:rPr>
          <w:rFonts w:ascii="Arial" w:hAnsi="Arial" w:cs="Arial"/>
        </w:rPr>
      </w:pPr>
    </w:p>
    <w:p w14:paraId="51671E91" w14:textId="77777777" w:rsidR="00BC0120" w:rsidRDefault="00BC0120" w:rsidP="00BC0120">
      <w:pPr>
        <w:rPr>
          <w:rFonts w:ascii="Arial" w:hAnsi="Arial" w:cs="Arial"/>
        </w:rPr>
      </w:pPr>
    </w:p>
    <w:p w14:paraId="70242073" w14:textId="36A2F3DA" w:rsidR="00BC0120" w:rsidRPr="00BC0120" w:rsidRDefault="00BC0120" w:rsidP="00BC0120">
      <w:pPr>
        <w:rPr>
          <w:rFonts w:ascii="Arial" w:hAnsi="Arial" w:cs="Arial"/>
        </w:rPr>
      </w:pPr>
      <w:r w:rsidRPr="00BC0120">
        <w:rPr>
          <w:rFonts w:ascii="Arial" w:hAnsi="Arial" w:cs="Arial"/>
        </w:rPr>
        <w:t>Student name: Gabriel Catalin Manole</w:t>
      </w:r>
    </w:p>
    <w:p w14:paraId="34FDDB88" w14:textId="77777777" w:rsidR="00BC0120" w:rsidRPr="00BC0120" w:rsidRDefault="00BC0120" w:rsidP="00BC0120">
      <w:pPr>
        <w:rPr>
          <w:rFonts w:ascii="Arial" w:hAnsi="Arial" w:cs="Arial"/>
        </w:rPr>
      </w:pPr>
      <w:r w:rsidRPr="00BC0120">
        <w:rPr>
          <w:rFonts w:ascii="Arial" w:hAnsi="Arial" w:cs="Arial"/>
        </w:rPr>
        <w:t>Student ID: 2223641</w:t>
      </w:r>
    </w:p>
    <w:p w14:paraId="09DBBEB6" w14:textId="4C6C46E2" w:rsidR="00BC0120" w:rsidRPr="00BC0120" w:rsidRDefault="00BC0120" w:rsidP="00BC0120">
      <w:pPr>
        <w:rPr>
          <w:rFonts w:ascii="Arial" w:hAnsi="Arial" w:cs="Arial"/>
        </w:rPr>
      </w:pPr>
      <w:r w:rsidRPr="00BC0120">
        <w:rPr>
          <w:rFonts w:ascii="Arial" w:hAnsi="Arial" w:cs="Arial"/>
        </w:rPr>
        <w:t xml:space="preserve">Module name: </w:t>
      </w:r>
      <w:r w:rsidR="00DF14B6">
        <w:rPr>
          <w:rFonts w:ascii="Arial" w:hAnsi="Arial" w:cs="Arial"/>
        </w:rPr>
        <w:t>Management accounting for managers</w:t>
      </w:r>
    </w:p>
    <w:p w14:paraId="4E2FF879" w14:textId="72D34037" w:rsidR="00BC0120" w:rsidRPr="00BC0120" w:rsidRDefault="00BC0120" w:rsidP="00BC0120">
      <w:pPr>
        <w:rPr>
          <w:rFonts w:ascii="Arial" w:hAnsi="Arial" w:cs="Arial"/>
        </w:rPr>
      </w:pPr>
      <w:r w:rsidRPr="00BC0120">
        <w:rPr>
          <w:rFonts w:ascii="Arial" w:hAnsi="Arial" w:cs="Arial"/>
        </w:rPr>
        <w:t xml:space="preserve">Module code: </w:t>
      </w:r>
      <w:r w:rsidR="00DF14B6">
        <w:rPr>
          <w:rFonts w:ascii="Arial" w:hAnsi="Arial" w:cs="Arial"/>
        </w:rPr>
        <w:t>LCBB5010</w:t>
      </w:r>
    </w:p>
    <w:p w14:paraId="685DD513" w14:textId="77777777" w:rsidR="006E7780" w:rsidRPr="00BC0120" w:rsidRDefault="006E7780">
      <w:pPr>
        <w:rPr>
          <w:rFonts w:ascii="Arial" w:hAnsi="Arial" w:cs="Arial"/>
        </w:rPr>
      </w:pPr>
    </w:p>
    <w:p w14:paraId="6A3D96EE" w14:textId="77777777" w:rsidR="006E7780" w:rsidRPr="00BC0120" w:rsidRDefault="006E7780">
      <w:pPr>
        <w:rPr>
          <w:rFonts w:ascii="Arial" w:hAnsi="Arial" w:cs="Arial"/>
        </w:rPr>
      </w:pPr>
    </w:p>
    <w:sdt>
      <w:sdtPr>
        <w:rPr>
          <w:rFonts w:asciiTheme="minorHAnsi" w:eastAsiaTheme="minorHAnsi" w:hAnsiTheme="minorHAnsi" w:cstheme="minorBidi"/>
          <w:color w:val="auto"/>
          <w:kern w:val="2"/>
          <w:sz w:val="24"/>
          <w:szCs w:val="24"/>
          <w:lang w:eastAsia="en-US"/>
          <w14:ligatures w14:val="standardContextual"/>
        </w:rPr>
        <w:id w:val="-1406134380"/>
        <w:docPartObj>
          <w:docPartGallery w:val="Table of Contents"/>
          <w:docPartUnique/>
        </w:docPartObj>
      </w:sdtPr>
      <w:sdtEndPr>
        <w:rPr>
          <w:b/>
          <w:bCs/>
        </w:rPr>
      </w:sdtEndPr>
      <w:sdtContent>
        <w:p w14:paraId="5CB689C8" w14:textId="097C588B" w:rsidR="00BC0120" w:rsidRDefault="00BC0120">
          <w:pPr>
            <w:pStyle w:val="TOCHeading"/>
          </w:pPr>
          <w:r>
            <w:t>Contents</w:t>
          </w:r>
        </w:p>
        <w:p w14:paraId="166FFA13" w14:textId="773E22A5" w:rsidR="00DF14B6" w:rsidRDefault="00BC01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2939812" w:history="1">
            <w:r w:rsidR="00DF14B6" w:rsidRPr="00412411">
              <w:rPr>
                <w:rStyle w:val="Hyperlink"/>
                <w:rFonts w:ascii="Arial" w:hAnsi="Arial" w:cs="Arial"/>
                <w:noProof/>
              </w:rPr>
              <w:t>Introduction</w:t>
            </w:r>
            <w:r w:rsidR="00DF14B6">
              <w:rPr>
                <w:noProof/>
                <w:webHidden/>
              </w:rPr>
              <w:tab/>
            </w:r>
            <w:r w:rsidR="00DF14B6">
              <w:rPr>
                <w:noProof/>
                <w:webHidden/>
              </w:rPr>
              <w:fldChar w:fldCharType="begin"/>
            </w:r>
            <w:r w:rsidR="00DF14B6">
              <w:rPr>
                <w:noProof/>
                <w:webHidden/>
              </w:rPr>
              <w:instrText xml:space="preserve"> PAGEREF _Toc222939812 \h </w:instrText>
            </w:r>
            <w:r w:rsidR="00DF14B6">
              <w:rPr>
                <w:noProof/>
                <w:webHidden/>
              </w:rPr>
            </w:r>
            <w:r w:rsidR="00DF14B6">
              <w:rPr>
                <w:noProof/>
                <w:webHidden/>
              </w:rPr>
              <w:fldChar w:fldCharType="separate"/>
            </w:r>
            <w:r w:rsidR="00DF14B6">
              <w:rPr>
                <w:noProof/>
                <w:webHidden/>
              </w:rPr>
              <w:t>3</w:t>
            </w:r>
            <w:r w:rsidR="00DF14B6">
              <w:rPr>
                <w:noProof/>
                <w:webHidden/>
              </w:rPr>
              <w:fldChar w:fldCharType="end"/>
            </w:r>
          </w:hyperlink>
        </w:p>
        <w:p w14:paraId="60D96B90" w14:textId="6ABF09CB" w:rsidR="00DF14B6" w:rsidRDefault="00DF14B6" w:rsidP="00DF14B6">
          <w:pPr>
            <w:pStyle w:val="TOC2"/>
            <w:tabs>
              <w:tab w:val="right" w:leader="dot" w:pos="9016"/>
            </w:tabs>
            <w:ind w:left="0"/>
            <w:rPr>
              <w:noProof/>
            </w:rPr>
          </w:pPr>
          <w:hyperlink w:anchor="_Toc222939813" w:history="1">
            <w:r w:rsidRPr="00412411">
              <w:rPr>
                <w:rStyle w:val="Hyperlink"/>
                <w:rFonts w:ascii="Arial" w:hAnsi="Arial" w:cs="Arial"/>
                <w:noProof/>
              </w:rPr>
              <w:t>Cost analysis and business model</w:t>
            </w:r>
            <w:r>
              <w:rPr>
                <w:noProof/>
                <w:webHidden/>
              </w:rPr>
              <w:tab/>
            </w:r>
            <w:r>
              <w:rPr>
                <w:noProof/>
                <w:webHidden/>
              </w:rPr>
              <w:fldChar w:fldCharType="begin"/>
            </w:r>
            <w:r>
              <w:rPr>
                <w:noProof/>
                <w:webHidden/>
              </w:rPr>
              <w:instrText xml:space="preserve"> PAGEREF _Toc222939813 \h </w:instrText>
            </w:r>
            <w:r>
              <w:rPr>
                <w:noProof/>
                <w:webHidden/>
              </w:rPr>
            </w:r>
            <w:r>
              <w:rPr>
                <w:noProof/>
                <w:webHidden/>
              </w:rPr>
              <w:fldChar w:fldCharType="separate"/>
            </w:r>
            <w:r>
              <w:rPr>
                <w:noProof/>
                <w:webHidden/>
              </w:rPr>
              <w:t>4</w:t>
            </w:r>
            <w:r>
              <w:rPr>
                <w:noProof/>
                <w:webHidden/>
              </w:rPr>
              <w:fldChar w:fldCharType="end"/>
            </w:r>
          </w:hyperlink>
        </w:p>
        <w:p w14:paraId="10006A27" w14:textId="7BE9928B" w:rsidR="00DF14B6" w:rsidRDefault="00DF14B6" w:rsidP="00DF14B6">
          <w:pPr>
            <w:pStyle w:val="TOC2"/>
            <w:tabs>
              <w:tab w:val="right" w:leader="dot" w:pos="9016"/>
            </w:tabs>
            <w:ind w:left="0"/>
            <w:rPr>
              <w:noProof/>
            </w:rPr>
          </w:pPr>
          <w:hyperlink w:anchor="_Toc222939814" w:history="1">
            <w:r w:rsidRPr="00412411">
              <w:rPr>
                <w:rStyle w:val="Hyperlink"/>
                <w:rFonts w:ascii="Arial" w:hAnsi="Arial" w:cs="Arial"/>
                <w:noProof/>
              </w:rPr>
              <w:t>Budgeting and financial planning</w:t>
            </w:r>
            <w:r>
              <w:rPr>
                <w:noProof/>
                <w:webHidden/>
              </w:rPr>
              <w:tab/>
            </w:r>
            <w:r>
              <w:rPr>
                <w:noProof/>
                <w:webHidden/>
              </w:rPr>
              <w:fldChar w:fldCharType="begin"/>
            </w:r>
            <w:r>
              <w:rPr>
                <w:noProof/>
                <w:webHidden/>
              </w:rPr>
              <w:instrText xml:space="preserve"> PAGEREF _Toc222939814 \h </w:instrText>
            </w:r>
            <w:r>
              <w:rPr>
                <w:noProof/>
                <w:webHidden/>
              </w:rPr>
            </w:r>
            <w:r>
              <w:rPr>
                <w:noProof/>
                <w:webHidden/>
              </w:rPr>
              <w:fldChar w:fldCharType="separate"/>
            </w:r>
            <w:r>
              <w:rPr>
                <w:noProof/>
                <w:webHidden/>
              </w:rPr>
              <w:t>6</w:t>
            </w:r>
            <w:r>
              <w:rPr>
                <w:noProof/>
                <w:webHidden/>
              </w:rPr>
              <w:fldChar w:fldCharType="end"/>
            </w:r>
          </w:hyperlink>
        </w:p>
        <w:p w14:paraId="7AF510CA" w14:textId="22068E28" w:rsidR="00DF14B6" w:rsidRDefault="00DF14B6" w:rsidP="00DF14B6">
          <w:pPr>
            <w:pStyle w:val="TOC2"/>
            <w:tabs>
              <w:tab w:val="right" w:leader="dot" w:pos="9016"/>
            </w:tabs>
            <w:ind w:left="0"/>
            <w:rPr>
              <w:noProof/>
            </w:rPr>
          </w:pPr>
          <w:hyperlink w:anchor="_Toc222939815" w:history="1">
            <w:r w:rsidRPr="00412411">
              <w:rPr>
                <w:rStyle w:val="Hyperlink"/>
                <w:rFonts w:ascii="Arial" w:hAnsi="Arial" w:cs="Arial"/>
                <w:noProof/>
              </w:rPr>
              <w:t>Performance measurement and decision making</w:t>
            </w:r>
            <w:r>
              <w:rPr>
                <w:noProof/>
                <w:webHidden/>
              </w:rPr>
              <w:tab/>
            </w:r>
            <w:r>
              <w:rPr>
                <w:noProof/>
                <w:webHidden/>
              </w:rPr>
              <w:fldChar w:fldCharType="begin"/>
            </w:r>
            <w:r>
              <w:rPr>
                <w:noProof/>
                <w:webHidden/>
              </w:rPr>
              <w:instrText xml:space="preserve"> PAGEREF _Toc222939815 \h </w:instrText>
            </w:r>
            <w:r>
              <w:rPr>
                <w:noProof/>
                <w:webHidden/>
              </w:rPr>
            </w:r>
            <w:r>
              <w:rPr>
                <w:noProof/>
                <w:webHidden/>
              </w:rPr>
              <w:fldChar w:fldCharType="separate"/>
            </w:r>
            <w:r>
              <w:rPr>
                <w:noProof/>
                <w:webHidden/>
              </w:rPr>
              <w:t>9</w:t>
            </w:r>
            <w:r>
              <w:rPr>
                <w:noProof/>
                <w:webHidden/>
              </w:rPr>
              <w:fldChar w:fldCharType="end"/>
            </w:r>
          </w:hyperlink>
        </w:p>
        <w:p w14:paraId="2691FF2F" w14:textId="3B24B986" w:rsidR="00DF14B6" w:rsidRDefault="00DF14B6" w:rsidP="00DF14B6">
          <w:pPr>
            <w:pStyle w:val="TOC2"/>
            <w:tabs>
              <w:tab w:val="right" w:leader="dot" w:pos="9016"/>
            </w:tabs>
            <w:ind w:left="0"/>
            <w:rPr>
              <w:noProof/>
            </w:rPr>
          </w:pPr>
          <w:hyperlink w:anchor="_Toc222939816" w:history="1">
            <w:r w:rsidRPr="00412411">
              <w:rPr>
                <w:rStyle w:val="Hyperlink"/>
                <w:rFonts w:ascii="Arial" w:hAnsi="Arial" w:cs="Arial"/>
                <w:noProof/>
              </w:rPr>
              <w:t>Sustainability and ethical considerations</w:t>
            </w:r>
            <w:r>
              <w:rPr>
                <w:noProof/>
                <w:webHidden/>
              </w:rPr>
              <w:tab/>
            </w:r>
            <w:r>
              <w:rPr>
                <w:noProof/>
                <w:webHidden/>
              </w:rPr>
              <w:fldChar w:fldCharType="begin"/>
            </w:r>
            <w:r>
              <w:rPr>
                <w:noProof/>
                <w:webHidden/>
              </w:rPr>
              <w:instrText xml:space="preserve"> PAGEREF _Toc222939816 \h </w:instrText>
            </w:r>
            <w:r>
              <w:rPr>
                <w:noProof/>
                <w:webHidden/>
              </w:rPr>
            </w:r>
            <w:r>
              <w:rPr>
                <w:noProof/>
                <w:webHidden/>
              </w:rPr>
              <w:fldChar w:fldCharType="separate"/>
            </w:r>
            <w:r>
              <w:rPr>
                <w:noProof/>
                <w:webHidden/>
              </w:rPr>
              <w:t>10</w:t>
            </w:r>
            <w:r>
              <w:rPr>
                <w:noProof/>
                <w:webHidden/>
              </w:rPr>
              <w:fldChar w:fldCharType="end"/>
            </w:r>
          </w:hyperlink>
        </w:p>
        <w:p w14:paraId="49F773D5" w14:textId="6B31C9DE" w:rsidR="00DF14B6" w:rsidRDefault="00DF14B6" w:rsidP="00DF14B6">
          <w:pPr>
            <w:pStyle w:val="TOC3"/>
            <w:tabs>
              <w:tab w:val="right" w:leader="dot" w:pos="9016"/>
            </w:tabs>
            <w:ind w:left="0"/>
            <w:rPr>
              <w:noProof/>
            </w:rPr>
          </w:pPr>
          <w:hyperlink w:anchor="_Toc222939817" w:history="1">
            <w:r w:rsidRPr="00412411">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_Toc222939817 \h </w:instrText>
            </w:r>
            <w:r>
              <w:rPr>
                <w:noProof/>
                <w:webHidden/>
              </w:rPr>
            </w:r>
            <w:r>
              <w:rPr>
                <w:noProof/>
                <w:webHidden/>
              </w:rPr>
              <w:fldChar w:fldCharType="separate"/>
            </w:r>
            <w:r>
              <w:rPr>
                <w:noProof/>
                <w:webHidden/>
              </w:rPr>
              <w:t>11</w:t>
            </w:r>
            <w:r>
              <w:rPr>
                <w:noProof/>
                <w:webHidden/>
              </w:rPr>
              <w:fldChar w:fldCharType="end"/>
            </w:r>
          </w:hyperlink>
        </w:p>
        <w:p w14:paraId="35239057" w14:textId="39AD17AB" w:rsidR="00DF14B6" w:rsidRDefault="00DF14B6" w:rsidP="00DF14B6">
          <w:pPr>
            <w:pStyle w:val="TOC3"/>
            <w:tabs>
              <w:tab w:val="right" w:leader="dot" w:pos="9016"/>
            </w:tabs>
            <w:ind w:left="0"/>
            <w:rPr>
              <w:noProof/>
            </w:rPr>
          </w:pPr>
          <w:hyperlink w:anchor="_Toc222939818" w:history="1">
            <w:r w:rsidRPr="0041241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_Toc222939818 \h </w:instrText>
            </w:r>
            <w:r>
              <w:rPr>
                <w:noProof/>
                <w:webHidden/>
              </w:rPr>
            </w:r>
            <w:r>
              <w:rPr>
                <w:noProof/>
                <w:webHidden/>
              </w:rPr>
              <w:fldChar w:fldCharType="separate"/>
            </w:r>
            <w:r>
              <w:rPr>
                <w:noProof/>
                <w:webHidden/>
              </w:rPr>
              <w:t>12</w:t>
            </w:r>
            <w:r>
              <w:rPr>
                <w:noProof/>
                <w:webHidden/>
              </w:rPr>
              <w:fldChar w:fldCharType="end"/>
            </w:r>
          </w:hyperlink>
        </w:p>
        <w:p w14:paraId="61D09C84" w14:textId="30652AE7" w:rsidR="00BC0120" w:rsidRDefault="00BC0120">
          <w:r>
            <w:rPr>
              <w:b/>
              <w:bCs/>
            </w:rPr>
            <w:fldChar w:fldCharType="end"/>
          </w:r>
        </w:p>
      </w:sdtContent>
    </w:sdt>
    <w:p w14:paraId="7F6E2758" w14:textId="77777777" w:rsidR="006E7780" w:rsidRPr="00BC0120" w:rsidRDefault="006E7780">
      <w:pPr>
        <w:rPr>
          <w:rFonts w:ascii="Arial" w:hAnsi="Arial" w:cs="Arial"/>
        </w:rPr>
      </w:pPr>
    </w:p>
    <w:p w14:paraId="4D4C97C5" w14:textId="77777777" w:rsidR="006E7780" w:rsidRPr="00BC0120" w:rsidRDefault="006E7780">
      <w:pPr>
        <w:rPr>
          <w:rFonts w:ascii="Arial" w:hAnsi="Arial" w:cs="Arial"/>
        </w:rPr>
      </w:pPr>
    </w:p>
    <w:p w14:paraId="28F09CB0" w14:textId="77777777" w:rsidR="006E7780" w:rsidRPr="00BC0120" w:rsidRDefault="006E7780">
      <w:pPr>
        <w:rPr>
          <w:rFonts w:ascii="Arial" w:hAnsi="Arial" w:cs="Arial"/>
        </w:rPr>
      </w:pPr>
    </w:p>
    <w:p w14:paraId="7516CA8F" w14:textId="77777777" w:rsidR="006E7780" w:rsidRPr="00BC0120" w:rsidRDefault="006E7780">
      <w:pPr>
        <w:rPr>
          <w:rFonts w:ascii="Arial" w:hAnsi="Arial" w:cs="Arial"/>
        </w:rPr>
      </w:pPr>
    </w:p>
    <w:p w14:paraId="0A84DEC7" w14:textId="77777777" w:rsidR="006E7780" w:rsidRPr="00BC0120" w:rsidRDefault="006E7780">
      <w:pPr>
        <w:rPr>
          <w:rFonts w:ascii="Arial" w:hAnsi="Arial" w:cs="Arial"/>
        </w:rPr>
      </w:pPr>
    </w:p>
    <w:p w14:paraId="477300A4" w14:textId="77777777" w:rsidR="006E7780" w:rsidRPr="00BC0120" w:rsidRDefault="006E7780">
      <w:pPr>
        <w:rPr>
          <w:rFonts w:ascii="Arial" w:hAnsi="Arial" w:cs="Arial"/>
        </w:rPr>
      </w:pPr>
    </w:p>
    <w:p w14:paraId="06765050" w14:textId="77777777" w:rsidR="006E7780" w:rsidRPr="00BC0120" w:rsidRDefault="006E7780">
      <w:pPr>
        <w:rPr>
          <w:rFonts w:ascii="Arial" w:hAnsi="Arial" w:cs="Arial"/>
        </w:rPr>
      </w:pPr>
    </w:p>
    <w:p w14:paraId="3AEBCBC3" w14:textId="77777777" w:rsidR="006E7780" w:rsidRPr="00BC0120" w:rsidRDefault="006E7780">
      <w:pPr>
        <w:rPr>
          <w:rFonts w:ascii="Arial" w:hAnsi="Arial" w:cs="Arial"/>
        </w:rPr>
      </w:pPr>
    </w:p>
    <w:p w14:paraId="014E5DBA" w14:textId="77777777" w:rsidR="006E7780" w:rsidRPr="00BC0120" w:rsidRDefault="006E7780">
      <w:pPr>
        <w:rPr>
          <w:rFonts w:ascii="Arial" w:hAnsi="Arial" w:cs="Arial"/>
        </w:rPr>
      </w:pPr>
    </w:p>
    <w:p w14:paraId="45212642" w14:textId="77777777" w:rsidR="006E7780" w:rsidRPr="00BC0120" w:rsidRDefault="006E7780">
      <w:pPr>
        <w:rPr>
          <w:rFonts w:ascii="Arial" w:hAnsi="Arial" w:cs="Arial"/>
        </w:rPr>
      </w:pPr>
    </w:p>
    <w:p w14:paraId="6CAB816E" w14:textId="77777777" w:rsidR="006E7780" w:rsidRPr="00BC0120" w:rsidRDefault="006E7780">
      <w:pPr>
        <w:rPr>
          <w:rFonts w:ascii="Arial" w:hAnsi="Arial" w:cs="Arial"/>
        </w:rPr>
      </w:pPr>
    </w:p>
    <w:p w14:paraId="053610A9" w14:textId="77777777" w:rsidR="006E7780" w:rsidRPr="00BC0120" w:rsidRDefault="006E7780">
      <w:pPr>
        <w:rPr>
          <w:rFonts w:ascii="Arial" w:hAnsi="Arial" w:cs="Arial"/>
        </w:rPr>
      </w:pPr>
    </w:p>
    <w:p w14:paraId="0F1F0F6F" w14:textId="77777777" w:rsidR="006E7780" w:rsidRPr="00BC0120" w:rsidRDefault="006E7780">
      <w:pPr>
        <w:rPr>
          <w:rFonts w:ascii="Arial" w:hAnsi="Arial" w:cs="Arial"/>
        </w:rPr>
      </w:pPr>
    </w:p>
    <w:p w14:paraId="5198E798" w14:textId="77777777" w:rsidR="006E7780" w:rsidRPr="00BC0120" w:rsidRDefault="006E7780">
      <w:pPr>
        <w:rPr>
          <w:rFonts w:ascii="Arial" w:hAnsi="Arial" w:cs="Arial"/>
        </w:rPr>
      </w:pPr>
    </w:p>
    <w:p w14:paraId="11366251" w14:textId="77777777" w:rsidR="006E7780" w:rsidRPr="00BC0120" w:rsidRDefault="006E7780">
      <w:pPr>
        <w:rPr>
          <w:rFonts w:ascii="Arial" w:hAnsi="Arial" w:cs="Arial"/>
        </w:rPr>
      </w:pPr>
    </w:p>
    <w:p w14:paraId="6D8442E1" w14:textId="77777777" w:rsidR="006E7780" w:rsidRPr="00BC0120" w:rsidRDefault="006E7780">
      <w:pPr>
        <w:rPr>
          <w:rFonts w:ascii="Arial" w:hAnsi="Arial" w:cs="Arial"/>
        </w:rPr>
      </w:pPr>
    </w:p>
    <w:p w14:paraId="44F47533" w14:textId="77777777" w:rsidR="006E7780" w:rsidRPr="00BC0120" w:rsidRDefault="006E7780">
      <w:pPr>
        <w:rPr>
          <w:rFonts w:ascii="Arial" w:hAnsi="Arial" w:cs="Arial"/>
        </w:rPr>
      </w:pPr>
    </w:p>
    <w:p w14:paraId="68128DFA" w14:textId="77777777" w:rsidR="006E7780" w:rsidRPr="00BC0120" w:rsidRDefault="006E7780">
      <w:pPr>
        <w:rPr>
          <w:rFonts w:ascii="Arial" w:hAnsi="Arial" w:cs="Arial"/>
        </w:rPr>
      </w:pPr>
    </w:p>
    <w:p w14:paraId="606A2F62" w14:textId="77777777" w:rsidR="00BC0120" w:rsidRDefault="00BC0120" w:rsidP="00BC0120">
      <w:pPr>
        <w:rPr>
          <w:rFonts w:ascii="Arial" w:hAnsi="Arial" w:cs="Arial"/>
        </w:rPr>
      </w:pPr>
    </w:p>
    <w:p w14:paraId="3763403C" w14:textId="77777777" w:rsidR="00BC0120" w:rsidRDefault="00BC0120" w:rsidP="00BC0120">
      <w:pPr>
        <w:rPr>
          <w:rFonts w:ascii="Arial" w:hAnsi="Arial" w:cs="Arial"/>
        </w:rPr>
      </w:pPr>
    </w:p>
    <w:p w14:paraId="6B82B877" w14:textId="77777777" w:rsidR="00BC0120" w:rsidRDefault="00BC0120" w:rsidP="00BC0120">
      <w:pPr>
        <w:rPr>
          <w:rFonts w:ascii="Arial" w:hAnsi="Arial" w:cs="Arial"/>
        </w:rPr>
      </w:pPr>
    </w:p>
    <w:p w14:paraId="57FC77E3" w14:textId="5F3ADBD1" w:rsidR="006E7780" w:rsidRPr="00EC1038" w:rsidRDefault="009C2064" w:rsidP="009C2064">
      <w:pPr>
        <w:pStyle w:val="Heading1"/>
        <w:spacing w:line="360" w:lineRule="auto"/>
        <w:rPr>
          <w:rFonts w:ascii="Arial" w:hAnsi="Arial" w:cs="Arial"/>
          <w:sz w:val="28"/>
          <w:szCs w:val="28"/>
        </w:rPr>
      </w:pPr>
      <w:bookmarkStart w:id="0" w:name="_Toc222939812"/>
      <w:r w:rsidRPr="00EC1038">
        <w:rPr>
          <w:rFonts w:ascii="Arial" w:hAnsi="Arial" w:cs="Arial"/>
          <w:sz w:val="28"/>
          <w:szCs w:val="28"/>
        </w:rPr>
        <w:lastRenderedPageBreak/>
        <w:t>Introduction</w:t>
      </w:r>
      <w:bookmarkEnd w:id="0"/>
      <w:r w:rsidRPr="00EC1038">
        <w:rPr>
          <w:rFonts w:ascii="Arial" w:hAnsi="Arial" w:cs="Arial"/>
          <w:sz w:val="28"/>
          <w:szCs w:val="28"/>
        </w:rPr>
        <w:t xml:space="preserve"> </w:t>
      </w:r>
    </w:p>
    <w:p w14:paraId="03E124A3" w14:textId="77777777" w:rsidR="00EC1038" w:rsidRDefault="009C2064" w:rsidP="00EC1038">
      <w:pPr>
        <w:spacing w:line="360" w:lineRule="auto"/>
        <w:jc w:val="both"/>
        <w:rPr>
          <w:rFonts w:ascii="Arial" w:hAnsi="Arial" w:cs="Arial"/>
        </w:rPr>
      </w:pPr>
      <w:r>
        <w:rPr>
          <w:rFonts w:ascii="Arial" w:hAnsi="Arial" w:cs="Arial"/>
        </w:rPr>
        <w:t xml:space="preserve">Sainsbury plc is one of the United Kingdom’s largest food retailers, operating supermarkets, convenience stores and online grocery platforms across the UK. Founded in 1869, the company has developed into a multi-channel retailer with operations including grocery retail, general merchandise, and financial services (Sainsbury’s, 2023). In a highly competitive market dominated by Tesco, Asda, Aldi and Lidl, Sainsbury’s must continuously manage costs, pricing and performance to maintain profitability and shareholder value. </w:t>
      </w:r>
    </w:p>
    <w:p w14:paraId="1D9A131E" w14:textId="6B7BB524" w:rsidR="00EC1038" w:rsidRPr="00EC1038" w:rsidRDefault="00EC1038" w:rsidP="00EC1038">
      <w:pPr>
        <w:spacing w:line="360" w:lineRule="auto"/>
        <w:jc w:val="both"/>
        <w:rPr>
          <w:rFonts w:ascii="Arial" w:hAnsi="Arial" w:cs="Arial"/>
        </w:rPr>
      </w:pPr>
      <w:r w:rsidRPr="00EC1038">
        <w:rPr>
          <w:rFonts w:ascii="Arial" w:hAnsi="Arial" w:cs="Arial"/>
        </w:rPr>
        <w:t>Sainsbury plc operates in an oligopolistic UK grocery market characterised by intense price competition, cost pressures and changing consumer behaviour. According to Mintel (2023), the UK grocery market has experienced margin compression due to discounter expansion and post-pandemic inflationary pressures. In such an environment, effective management accounting systems are essential for ensuring cost control, pricing optimisation and capital efficiency.</w:t>
      </w:r>
    </w:p>
    <w:p w14:paraId="71EBD5E3" w14:textId="6F472CBF" w:rsidR="00EC1038" w:rsidRDefault="00EC1038" w:rsidP="009C2064">
      <w:pPr>
        <w:spacing w:line="360" w:lineRule="auto"/>
        <w:jc w:val="both"/>
        <w:rPr>
          <w:rFonts w:ascii="Arial" w:hAnsi="Arial" w:cs="Arial"/>
        </w:rPr>
      </w:pPr>
      <w:r w:rsidRPr="00EC1038">
        <w:rPr>
          <w:rFonts w:ascii="Arial" w:hAnsi="Arial" w:cs="Arial"/>
        </w:rPr>
        <w:t>Management accounting differs from financial accounting in its forward-looking orientation and internal focus (Drury, 2018). It supports strategic decision-making through techniques such as marginal costing, activity-based costing (ABC), budgeting, variance analysis and performance measurement systems. As Bromwich and Bhimani (2019) argue, modern management accounting has evolved beyond cost control toward strategic performance management, integrating financial and non-financial measures.</w:t>
      </w:r>
    </w:p>
    <w:p w14:paraId="1ED3EFB6" w14:textId="5FED1AF4" w:rsidR="009C2064" w:rsidRDefault="008B0603" w:rsidP="009C2064">
      <w:pPr>
        <w:spacing w:line="360" w:lineRule="auto"/>
        <w:jc w:val="both"/>
        <w:rPr>
          <w:rFonts w:ascii="Arial" w:hAnsi="Arial" w:cs="Arial"/>
        </w:rPr>
      </w:pPr>
      <w:r w:rsidRPr="008B0603">
        <w:rPr>
          <w:rFonts w:ascii="Arial" w:hAnsi="Arial" w:cs="Arial"/>
        </w:rPr>
        <w:t>This report analyses the ways in which Sainsbury’s utilises management accounting tools and techniques to inform and support financial decision-making, with particular emphasis on cost structures, budgeting processes, performance measurement systems, sustainability considerations, and strategic recommendations.</w:t>
      </w:r>
    </w:p>
    <w:p w14:paraId="666FBE42" w14:textId="77777777" w:rsidR="009C2064" w:rsidRDefault="009C2064" w:rsidP="009C2064">
      <w:pPr>
        <w:spacing w:line="360" w:lineRule="auto"/>
        <w:jc w:val="both"/>
        <w:rPr>
          <w:rFonts w:ascii="Arial" w:hAnsi="Arial" w:cs="Arial"/>
        </w:rPr>
      </w:pPr>
    </w:p>
    <w:p w14:paraId="0295CE0F" w14:textId="77777777" w:rsidR="009C2064" w:rsidRDefault="009C2064" w:rsidP="009C2064">
      <w:pPr>
        <w:spacing w:line="360" w:lineRule="auto"/>
        <w:jc w:val="both"/>
        <w:rPr>
          <w:rFonts w:ascii="Arial" w:hAnsi="Arial" w:cs="Arial"/>
        </w:rPr>
      </w:pPr>
    </w:p>
    <w:p w14:paraId="266F4D3D" w14:textId="77777777" w:rsidR="009C2064" w:rsidRDefault="009C2064" w:rsidP="009C2064">
      <w:pPr>
        <w:spacing w:line="360" w:lineRule="auto"/>
        <w:jc w:val="both"/>
        <w:rPr>
          <w:rFonts w:ascii="Arial" w:hAnsi="Arial" w:cs="Arial"/>
        </w:rPr>
      </w:pPr>
    </w:p>
    <w:p w14:paraId="25D6151B" w14:textId="77777777" w:rsidR="008B0603" w:rsidRDefault="008B0603" w:rsidP="009C2064">
      <w:pPr>
        <w:spacing w:line="360" w:lineRule="auto"/>
        <w:jc w:val="both"/>
        <w:rPr>
          <w:rFonts w:ascii="Arial" w:hAnsi="Arial" w:cs="Arial"/>
        </w:rPr>
      </w:pPr>
    </w:p>
    <w:p w14:paraId="0042C077" w14:textId="066193F3" w:rsidR="009C2064" w:rsidRPr="00EC1038" w:rsidRDefault="009C2064" w:rsidP="009C2064">
      <w:pPr>
        <w:pStyle w:val="Heading2"/>
        <w:rPr>
          <w:rFonts w:ascii="Arial" w:hAnsi="Arial" w:cs="Arial"/>
          <w:sz w:val="28"/>
          <w:szCs w:val="28"/>
        </w:rPr>
      </w:pPr>
      <w:bookmarkStart w:id="1" w:name="_Toc222939813"/>
      <w:r w:rsidRPr="00EC1038">
        <w:rPr>
          <w:rFonts w:ascii="Arial" w:hAnsi="Arial" w:cs="Arial"/>
          <w:sz w:val="28"/>
          <w:szCs w:val="28"/>
        </w:rPr>
        <w:lastRenderedPageBreak/>
        <w:t>Cost analysis and business model</w:t>
      </w:r>
      <w:bookmarkEnd w:id="1"/>
    </w:p>
    <w:p w14:paraId="54EA21C0" w14:textId="77777777" w:rsidR="00EC1038" w:rsidRPr="00EC1038" w:rsidRDefault="00EC1038" w:rsidP="00EC1038">
      <w:pPr>
        <w:spacing w:line="360" w:lineRule="auto"/>
        <w:jc w:val="both"/>
        <w:rPr>
          <w:rFonts w:ascii="Arial" w:hAnsi="Arial" w:cs="Arial"/>
          <w:b/>
          <w:bCs/>
        </w:rPr>
      </w:pPr>
      <w:r w:rsidRPr="00EC1038">
        <w:rPr>
          <w:rFonts w:ascii="Arial" w:hAnsi="Arial" w:cs="Arial"/>
          <w:b/>
          <w:bCs/>
        </w:rPr>
        <w:t>Economies of Scale and Cost Leadership</w:t>
      </w:r>
    </w:p>
    <w:p w14:paraId="351DAC1A" w14:textId="77777777" w:rsidR="00EC1038" w:rsidRPr="00EC1038" w:rsidRDefault="00EC1038" w:rsidP="00EC1038">
      <w:pPr>
        <w:spacing w:line="360" w:lineRule="auto"/>
        <w:jc w:val="both"/>
        <w:rPr>
          <w:rFonts w:ascii="Arial" w:hAnsi="Arial" w:cs="Arial"/>
        </w:rPr>
      </w:pPr>
      <w:r w:rsidRPr="00EC1038">
        <w:rPr>
          <w:rFonts w:ascii="Arial" w:hAnsi="Arial" w:cs="Arial"/>
        </w:rPr>
        <w:t>Retailers such as Sainsbury operate under thin net margins (approximately 2–4%), meaning small cost variations significantly affect profitability. Porter’s (1985) cost leadership framework suggests that large-scale retailers achieve competitive advantage through purchasing power and distribution efficiency.</w:t>
      </w:r>
    </w:p>
    <w:p w14:paraId="4E6023C2" w14:textId="77777777" w:rsidR="00EC1038" w:rsidRPr="00EC1038" w:rsidRDefault="00EC1038" w:rsidP="00EC1038">
      <w:pPr>
        <w:spacing w:line="360" w:lineRule="auto"/>
        <w:jc w:val="both"/>
        <w:rPr>
          <w:rFonts w:ascii="Arial" w:hAnsi="Arial" w:cs="Arial"/>
        </w:rPr>
      </w:pPr>
      <w:r w:rsidRPr="00EC1038">
        <w:rPr>
          <w:rFonts w:ascii="Arial" w:hAnsi="Arial" w:cs="Arial"/>
        </w:rPr>
        <w:t>Sainsbury benefits from:</w:t>
      </w:r>
    </w:p>
    <w:p w14:paraId="594899CC" w14:textId="77777777" w:rsidR="00EC1038" w:rsidRPr="00EC1038" w:rsidRDefault="00EC1038" w:rsidP="00EC1038">
      <w:pPr>
        <w:numPr>
          <w:ilvl w:val="0"/>
          <w:numId w:val="7"/>
        </w:numPr>
        <w:spacing w:line="360" w:lineRule="auto"/>
        <w:jc w:val="both"/>
        <w:rPr>
          <w:rFonts w:ascii="Arial" w:hAnsi="Arial" w:cs="Arial"/>
        </w:rPr>
      </w:pPr>
      <w:r w:rsidRPr="00EC1038">
        <w:rPr>
          <w:rFonts w:ascii="Arial" w:hAnsi="Arial" w:cs="Arial"/>
        </w:rPr>
        <w:t>Centralised procurement</w:t>
      </w:r>
    </w:p>
    <w:p w14:paraId="51411C85" w14:textId="77777777" w:rsidR="00EC1038" w:rsidRPr="00EC1038" w:rsidRDefault="00EC1038" w:rsidP="00EC1038">
      <w:pPr>
        <w:numPr>
          <w:ilvl w:val="0"/>
          <w:numId w:val="7"/>
        </w:numPr>
        <w:spacing w:line="360" w:lineRule="auto"/>
        <w:jc w:val="both"/>
        <w:rPr>
          <w:rFonts w:ascii="Arial" w:hAnsi="Arial" w:cs="Arial"/>
        </w:rPr>
      </w:pPr>
      <w:r w:rsidRPr="00EC1038">
        <w:rPr>
          <w:rFonts w:ascii="Arial" w:hAnsi="Arial" w:cs="Arial"/>
        </w:rPr>
        <w:t>Automated distribution centres</w:t>
      </w:r>
    </w:p>
    <w:p w14:paraId="49F00C5B" w14:textId="77777777" w:rsidR="00EC1038" w:rsidRPr="00EC1038" w:rsidRDefault="00EC1038" w:rsidP="00EC1038">
      <w:pPr>
        <w:numPr>
          <w:ilvl w:val="0"/>
          <w:numId w:val="7"/>
        </w:numPr>
        <w:spacing w:line="360" w:lineRule="auto"/>
        <w:jc w:val="both"/>
        <w:rPr>
          <w:rFonts w:ascii="Arial" w:hAnsi="Arial" w:cs="Arial"/>
        </w:rPr>
      </w:pPr>
      <w:r w:rsidRPr="00EC1038">
        <w:rPr>
          <w:rFonts w:ascii="Arial" w:hAnsi="Arial" w:cs="Arial"/>
        </w:rPr>
        <w:t>Integrated supply chain management systems</w:t>
      </w:r>
    </w:p>
    <w:p w14:paraId="1916EA6F" w14:textId="77777777" w:rsidR="00EC1038" w:rsidRPr="00EC1038" w:rsidRDefault="00EC1038" w:rsidP="00EC1038">
      <w:pPr>
        <w:spacing w:line="360" w:lineRule="auto"/>
        <w:jc w:val="both"/>
        <w:rPr>
          <w:rFonts w:ascii="Arial" w:hAnsi="Arial" w:cs="Arial"/>
        </w:rPr>
      </w:pPr>
      <w:r w:rsidRPr="00EC1038">
        <w:rPr>
          <w:rFonts w:ascii="Arial" w:hAnsi="Arial" w:cs="Arial"/>
        </w:rPr>
        <w:t>However, discounters such as Aldi and Lidl operate with lower overhead structures, limiting Sainsbury’s ability to purely compete on cost. Therefore, management accounting must evaluate not only cost minimisation but also value differentiation.</w:t>
      </w:r>
    </w:p>
    <w:p w14:paraId="1F2C62F7" w14:textId="77777777" w:rsidR="00EC1038" w:rsidRPr="00EC1038" w:rsidRDefault="00EC1038" w:rsidP="00EC1038">
      <w:pPr>
        <w:spacing w:line="360" w:lineRule="auto"/>
        <w:jc w:val="both"/>
        <w:rPr>
          <w:rFonts w:ascii="Arial" w:hAnsi="Arial" w:cs="Arial"/>
          <w:b/>
          <w:bCs/>
        </w:rPr>
      </w:pPr>
      <w:r w:rsidRPr="00EC1038">
        <w:rPr>
          <w:rFonts w:ascii="Arial" w:hAnsi="Arial" w:cs="Arial"/>
          <w:b/>
          <w:bCs/>
        </w:rPr>
        <w:t>Limitations of Traditional Costing</w:t>
      </w:r>
    </w:p>
    <w:p w14:paraId="04DD71E1" w14:textId="77777777" w:rsidR="00EC1038" w:rsidRPr="00EC1038" w:rsidRDefault="00EC1038" w:rsidP="00EC1038">
      <w:pPr>
        <w:spacing w:line="360" w:lineRule="auto"/>
        <w:jc w:val="both"/>
        <w:rPr>
          <w:rFonts w:ascii="Arial" w:hAnsi="Arial" w:cs="Arial"/>
        </w:rPr>
      </w:pPr>
      <w:r w:rsidRPr="00EC1038">
        <w:rPr>
          <w:rFonts w:ascii="Arial" w:hAnsi="Arial" w:cs="Arial"/>
        </w:rPr>
        <w:t>While absorption costing is required for external reporting, it may distort profitability when overheads are high (Kaplan &amp; Cooper, 1998). For example, allocating store overheads uniformly across product categories may overstate profitability of slow-moving goods.</w:t>
      </w:r>
    </w:p>
    <w:p w14:paraId="3E66778A" w14:textId="77777777" w:rsidR="00EC1038" w:rsidRPr="00EC1038" w:rsidRDefault="00EC1038" w:rsidP="00EC1038">
      <w:pPr>
        <w:spacing w:line="360" w:lineRule="auto"/>
        <w:jc w:val="both"/>
        <w:rPr>
          <w:rFonts w:ascii="Arial" w:hAnsi="Arial" w:cs="Arial"/>
        </w:rPr>
      </w:pPr>
      <w:r w:rsidRPr="00EC1038">
        <w:rPr>
          <w:rFonts w:ascii="Arial" w:hAnsi="Arial" w:cs="Arial"/>
        </w:rPr>
        <w:t>Activity-based costing (ABC) provides more accurate cost attribution by identifying cost drivers such as:</w:t>
      </w:r>
    </w:p>
    <w:p w14:paraId="7C04C8D0" w14:textId="77777777" w:rsidR="00EC1038" w:rsidRPr="00EC1038" w:rsidRDefault="00EC1038" w:rsidP="00EC1038">
      <w:pPr>
        <w:numPr>
          <w:ilvl w:val="0"/>
          <w:numId w:val="8"/>
        </w:numPr>
        <w:spacing w:line="360" w:lineRule="auto"/>
        <w:jc w:val="both"/>
        <w:rPr>
          <w:rFonts w:ascii="Arial" w:hAnsi="Arial" w:cs="Arial"/>
        </w:rPr>
      </w:pPr>
      <w:r w:rsidRPr="00EC1038">
        <w:rPr>
          <w:rFonts w:ascii="Arial" w:hAnsi="Arial" w:cs="Arial"/>
        </w:rPr>
        <w:t>Shelf restocking frequency</w:t>
      </w:r>
    </w:p>
    <w:p w14:paraId="5E98D20A" w14:textId="77777777" w:rsidR="00EC1038" w:rsidRPr="00EC1038" w:rsidRDefault="00EC1038" w:rsidP="00EC1038">
      <w:pPr>
        <w:numPr>
          <w:ilvl w:val="0"/>
          <w:numId w:val="8"/>
        </w:numPr>
        <w:spacing w:line="360" w:lineRule="auto"/>
        <w:jc w:val="both"/>
        <w:rPr>
          <w:rFonts w:ascii="Arial" w:hAnsi="Arial" w:cs="Arial"/>
        </w:rPr>
      </w:pPr>
      <w:r w:rsidRPr="00EC1038">
        <w:rPr>
          <w:rFonts w:ascii="Arial" w:hAnsi="Arial" w:cs="Arial"/>
        </w:rPr>
        <w:t>Logistics handling time</w:t>
      </w:r>
    </w:p>
    <w:p w14:paraId="27BEBADA" w14:textId="77777777" w:rsidR="00EC1038" w:rsidRPr="00EC1038" w:rsidRDefault="00EC1038" w:rsidP="00EC1038">
      <w:pPr>
        <w:numPr>
          <w:ilvl w:val="0"/>
          <w:numId w:val="8"/>
        </w:numPr>
        <w:spacing w:line="360" w:lineRule="auto"/>
        <w:jc w:val="both"/>
        <w:rPr>
          <w:rFonts w:ascii="Arial" w:hAnsi="Arial" w:cs="Arial"/>
        </w:rPr>
      </w:pPr>
      <w:r w:rsidRPr="00EC1038">
        <w:rPr>
          <w:rFonts w:ascii="Arial" w:hAnsi="Arial" w:cs="Arial"/>
        </w:rPr>
        <w:t>Promotional display requirements</w:t>
      </w:r>
    </w:p>
    <w:p w14:paraId="5B130247" w14:textId="77777777" w:rsidR="00EC1038" w:rsidRPr="00EC1038" w:rsidRDefault="00EC1038" w:rsidP="00EC1038">
      <w:pPr>
        <w:spacing w:line="360" w:lineRule="auto"/>
        <w:jc w:val="both"/>
        <w:rPr>
          <w:rFonts w:ascii="Arial" w:hAnsi="Arial" w:cs="Arial"/>
        </w:rPr>
      </w:pPr>
      <w:r w:rsidRPr="00EC1038">
        <w:rPr>
          <w:rFonts w:ascii="Arial" w:hAnsi="Arial" w:cs="Arial"/>
        </w:rPr>
        <w:t>However, ABC implementation can be costly and complex in large retail operations. Therefore, management must balance accuracy against administrative cost.</w:t>
      </w:r>
    </w:p>
    <w:p w14:paraId="7ED778C4" w14:textId="5F0282BD" w:rsidR="009C2064" w:rsidRPr="00EC1038" w:rsidRDefault="009C2064" w:rsidP="009C2064">
      <w:pPr>
        <w:spacing w:line="360" w:lineRule="auto"/>
        <w:jc w:val="both"/>
        <w:rPr>
          <w:rFonts w:ascii="Arial" w:hAnsi="Arial" w:cs="Arial"/>
          <w:b/>
          <w:bCs/>
        </w:rPr>
      </w:pPr>
      <w:r w:rsidRPr="00EC1038">
        <w:rPr>
          <w:rFonts w:ascii="Arial" w:hAnsi="Arial" w:cs="Arial"/>
          <w:b/>
          <w:bCs/>
        </w:rPr>
        <w:t xml:space="preserve">Revenue model </w:t>
      </w:r>
    </w:p>
    <w:p w14:paraId="5338D627" w14:textId="03018A4B" w:rsidR="009C2064" w:rsidRDefault="009C2064" w:rsidP="009C2064">
      <w:pPr>
        <w:spacing w:line="360" w:lineRule="auto"/>
        <w:jc w:val="both"/>
        <w:rPr>
          <w:rFonts w:ascii="Arial" w:hAnsi="Arial" w:cs="Arial"/>
        </w:rPr>
      </w:pPr>
      <w:r>
        <w:rPr>
          <w:rFonts w:ascii="Arial" w:hAnsi="Arial" w:cs="Arial"/>
        </w:rPr>
        <w:t xml:space="preserve">Sainsbury’s generates revenue primarily from grocery retail sales through physical stores and online channels. Additional revenue streams include general merchandise, </w:t>
      </w:r>
      <w:r>
        <w:rPr>
          <w:rFonts w:ascii="Arial" w:hAnsi="Arial" w:cs="Arial"/>
        </w:rPr>
        <w:lastRenderedPageBreak/>
        <w:t>clothing, fuel sales and financial services (Sainsbury, 2023). The business model is based on high sales volumes with relatively low profit margins, typical of the supermarket industry (Porter, 1985).</w:t>
      </w:r>
    </w:p>
    <w:p w14:paraId="77669FCC" w14:textId="47EFE8C4" w:rsidR="009C2064" w:rsidRDefault="009C2064" w:rsidP="009C2064">
      <w:pPr>
        <w:spacing w:line="360" w:lineRule="auto"/>
        <w:jc w:val="both"/>
        <w:rPr>
          <w:rFonts w:ascii="Arial" w:hAnsi="Arial" w:cs="Arial"/>
        </w:rPr>
      </w:pPr>
      <w:r>
        <w:rPr>
          <w:rFonts w:ascii="Arial" w:hAnsi="Arial" w:cs="Arial"/>
        </w:rPr>
        <w:t>Revenue is driven by customer footfall, average basket value and product mix. Sainsbury’s adopts a competitive pricing strategy, balancing premium own-brand ranges with value focused lines to compete with discount retailers. Management accounting techniques such as sales mix analysis and contribution analysis assist in evaluating the profitability of different product categories (Drury, 2018).</w:t>
      </w:r>
    </w:p>
    <w:p w14:paraId="705ACAD6" w14:textId="3CA8B67A" w:rsidR="009C2064" w:rsidRDefault="009C2064" w:rsidP="009C2064">
      <w:pPr>
        <w:spacing w:line="360" w:lineRule="auto"/>
        <w:jc w:val="both"/>
        <w:rPr>
          <w:rFonts w:ascii="Arial" w:hAnsi="Arial" w:cs="Arial"/>
        </w:rPr>
      </w:pPr>
      <w:r>
        <w:rPr>
          <w:rFonts w:ascii="Arial" w:hAnsi="Arial" w:cs="Arial"/>
        </w:rPr>
        <w:t xml:space="preserve">For example, contribution per product line is assessed to determine which ranges generate the highest marginal return. </w:t>
      </w:r>
      <w:r w:rsidR="00F72DD7">
        <w:rPr>
          <w:rFonts w:ascii="Arial" w:hAnsi="Arial" w:cs="Arial"/>
        </w:rPr>
        <w:t>This supports decisions about shelf allocation, promotions and product discontinuation. Cost-volume-profit analysis further assists management in understanding the break-even point and the impact of price changes on overall profitability (</w:t>
      </w:r>
      <w:proofErr w:type="spellStart"/>
      <w:r w:rsidR="00F72DD7">
        <w:rPr>
          <w:rFonts w:ascii="Arial" w:hAnsi="Arial" w:cs="Arial"/>
        </w:rPr>
        <w:t>Atrill</w:t>
      </w:r>
      <w:proofErr w:type="spellEnd"/>
      <w:r w:rsidR="00F72DD7">
        <w:rPr>
          <w:rFonts w:ascii="Arial" w:hAnsi="Arial" w:cs="Arial"/>
        </w:rPr>
        <w:t xml:space="preserve"> and McLaney, 2019).</w:t>
      </w:r>
    </w:p>
    <w:p w14:paraId="0A12DB4C" w14:textId="5F5BD6B5" w:rsidR="00F72DD7" w:rsidRPr="00EC1038" w:rsidRDefault="00F72DD7" w:rsidP="009C2064">
      <w:pPr>
        <w:spacing w:line="360" w:lineRule="auto"/>
        <w:jc w:val="both"/>
        <w:rPr>
          <w:rFonts w:ascii="Arial" w:hAnsi="Arial" w:cs="Arial"/>
          <w:b/>
          <w:bCs/>
        </w:rPr>
      </w:pPr>
      <w:r w:rsidRPr="00EC1038">
        <w:rPr>
          <w:rFonts w:ascii="Arial" w:hAnsi="Arial" w:cs="Arial"/>
          <w:b/>
          <w:bCs/>
        </w:rPr>
        <w:t>Cost structure: fixed and variable costs</w:t>
      </w:r>
    </w:p>
    <w:p w14:paraId="4194FE68" w14:textId="112E26FD" w:rsidR="00F72DD7" w:rsidRDefault="00F72DD7" w:rsidP="009C2064">
      <w:pPr>
        <w:spacing w:line="360" w:lineRule="auto"/>
        <w:jc w:val="both"/>
        <w:rPr>
          <w:rFonts w:ascii="Arial" w:hAnsi="Arial" w:cs="Arial"/>
        </w:rPr>
      </w:pPr>
      <w:r>
        <w:rPr>
          <w:rFonts w:ascii="Arial" w:hAnsi="Arial" w:cs="Arial"/>
        </w:rPr>
        <w:t xml:space="preserve">Sainsbury cost structure reflects the characteristics of large-scale retail operations. </w:t>
      </w:r>
    </w:p>
    <w:p w14:paraId="6A0DBB83" w14:textId="3C6BBDB0" w:rsidR="00F72DD7" w:rsidRDefault="00F72DD7" w:rsidP="009C2064">
      <w:pPr>
        <w:spacing w:line="360" w:lineRule="auto"/>
        <w:jc w:val="both"/>
        <w:rPr>
          <w:rFonts w:ascii="Arial" w:hAnsi="Arial" w:cs="Arial"/>
        </w:rPr>
      </w:pPr>
      <w:r>
        <w:rPr>
          <w:rFonts w:ascii="Arial" w:hAnsi="Arial" w:cs="Arial"/>
        </w:rPr>
        <w:t>Fixed costs include:</w:t>
      </w:r>
    </w:p>
    <w:p w14:paraId="45AB0460" w14:textId="59B712F7" w:rsidR="00F72DD7" w:rsidRDefault="00F72DD7" w:rsidP="00F72DD7">
      <w:pPr>
        <w:pStyle w:val="ListParagraph"/>
        <w:numPr>
          <w:ilvl w:val="0"/>
          <w:numId w:val="1"/>
        </w:numPr>
        <w:spacing w:line="360" w:lineRule="auto"/>
        <w:jc w:val="both"/>
        <w:rPr>
          <w:rFonts w:ascii="Arial" w:hAnsi="Arial" w:cs="Arial"/>
        </w:rPr>
      </w:pPr>
      <w:r>
        <w:rPr>
          <w:rFonts w:ascii="Arial" w:hAnsi="Arial" w:cs="Arial"/>
        </w:rPr>
        <w:t>Store leases and property costs</w:t>
      </w:r>
    </w:p>
    <w:p w14:paraId="6DE391DE" w14:textId="585143B5" w:rsidR="00F72DD7" w:rsidRDefault="00F72DD7" w:rsidP="00F72DD7">
      <w:pPr>
        <w:pStyle w:val="ListParagraph"/>
        <w:numPr>
          <w:ilvl w:val="0"/>
          <w:numId w:val="1"/>
        </w:numPr>
        <w:spacing w:line="360" w:lineRule="auto"/>
        <w:jc w:val="both"/>
        <w:rPr>
          <w:rFonts w:ascii="Arial" w:hAnsi="Arial" w:cs="Arial"/>
        </w:rPr>
      </w:pPr>
      <w:r>
        <w:rPr>
          <w:rFonts w:ascii="Arial" w:hAnsi="Arial" w:cs="Arial"/>
        </w:rPr>
        <w:t>Depreciation of equipment</w:t>
      </w:r>
    </w:p>
    <w:p w14:paraId="3BDDBDA4" w14:textId="71E4EF95" w:rsidR="00F72DD7" w:rsidRDefault="00F72DD7" w:rsidP="00F72DD7">
      <w:pPr>
        <w:pStyle w:val="ListParagraph"/>
        <w:numPr>
          <w:ilvl w:val="0"/>
          <w:numId w:val="1"/>
        </w:numPr>
        <w:spacing w:line="360" w:lineRule="auto"/>
        <w:jc w:val="both"/>
        <w:rPr>
          <w:rFonts w:ascii="Arial" w:hAnsi="Arial" w:cs="Arial"/>
        </w:rPr>
      </w:pPr>
      <w:r>
        <w:rPr>
          <w:rFonts w:ascii="Arial" w:hAnsi="Arial" w:cs="Arial"/>
        </w:rPr>
        <w:t>Salaried management staff</w:t>
      </w:r>
    </w:p>
    <w:p w14:paraId="76A8447C" w14:textId="44055A95" w:rsidR="00F72DD7" w:rsidRDefault="00F72DD7" w:rsidP="00F72DD7">
      <w:pPr>
        <w:pStyle w:val="ListParagraph"/>
        <w:numPr>
          <w:ilvl w:val="0"/>
          <w:numId w:val="1"/>
        </w:numPr>
        <w:spacing w:line="360" w:lineRule="auto"/>
        <w:jc w:val="both"/>
        <w:rPr>
          <w:rFonts w:ascii="Arial" w:hAnsi="Arial" w:cs="Arial"/>
        </w:rPr>
      </w:pPr>
      <w:r>
        <w:rPr>
          <w:rFonts w:ascii="Arial" w:hAnsi="Arial" w:cs="Arial"/>
        </w:rPr>
        <w:t>IT systems and infrastructure</w:t>
      </w:r>
    </w:p>
    <w:p w14:paraId="2FAF1164" w14:textId="1256DDB6" w:rsidR="00F72DD7" w:rsidRDefault="00F72DD7" w:rsidP="00F72DD7">
      <w:pPr>
        <w:spacing w:line="360" w:lineRule="auto"/>
        <w:jc w:val="both"/>
        <w:rPr>
          <w:rFonts w:ascii="Arial" w:hAnsi="Arial" w:cs="Arial"/>
        </w:rPr>
      </w:pPr>
      <w:r>
        <w:rPr>
          <w:rFonts w:ascii="Arial" w:hAnsi="Arial" w:cs="Arial"/>
        </w:rPr>
        <w:t>These costs remain relatively constant regardless of sales volume in the short term (Drury, 2018).</w:t>
      </w:r>
    </w:p>
    <w:p w14:paraId="083F3928" w14:textId="77777777" w:rsidR="008B0603" w:rsidRPr="008B0603" w:rsidRDefault="008B0603" w:rsidP="008B0603">
      <w:pPr>
        <w:spacing w:line="360" w:lineRule="auto"/>
        <w:jc w:val="both"/>
        <w:rPr>
          <w:rFonts w:ascii="Arial" w:hAnsi="Arial" w:cs="Arial"/>
        </w:rPr>
      </w:pPr>
      <w:r w:rsidRPr="008B0603">
        <w:rPr>
          <w:rFonts w:ascii="Arial" w:hAnsi="Arial" w:cs="Arial"/>
        </w:rPr>
        <w:t>Variable costs consist of:</w:t>
      </w:r>
    </w:p>
    <w:p w14:paraId="7C806CB3" w14:textId="77777777" w:rsidR="008B0603" w:rsidRPr="008B0603" w:rsidRDefault="008B0603" w:rsidP="008B0603">
      <w:pPr>
        <w:numPr>
          <w:ilvl w:val="0"/>
          <w:numId w:val="13"/>
        </w:numPr>
        <w:spacing w:line="360" w:lineRule="auto"/>
        <w:jc w:val="both"/>
        <w:rPr>
          <w:rFonts w:ascii="Arial" w:hAnsi="Arial" w:cs="Arial"/>
        </w:rPr>
      </w:pPr>
      <w:r w:rsidRPr="008B0603">
        <w:rPr>
          <w:rFonts w:ascii="Arial" w:hAnsi="Arial" w:cs="Arial"/>
        </w:rPr>
        <w:t>Cost of goods sold</w:t>
      </w:r>
    </w:p>
    <w:p w14:paraId="65D6FF91" w14:textId="77777777" w:rsidR="008B0603" w:rsidRPr="008B0603" w:rsidRDefault="008B0603" w:rsidP="008B0603">
      <w:pPr>
        <w:numPr>
          <w:ilvl w:val="0"/>
          <w:numId w:val="13"/>
        </w:numPr>
        <w:spacing w:line="360" w:lineRule="auto"/>
        <w:jc w:val="both"/>
        <w:rPr>
          <w:rFonts w:ascii="Arial" w:hAnsi="Arial" w:cs="Arial"/>
        </w:rPr>
      </w:pPr>
      <w:r w:rsidRPr="008B0603">
        <w:rPr>
          <w:rFonts w:ascii="Arial" w:hAnsi="Arial" w:cs="Arial"/>
        </w:rPr>
        <w:t>Wages of hourly-paid employees</w:t>
      </w:r>
    </w:p>
    <w:p w14:paraId="0417574A" w14:textId="77777777" w:rsidR="008B0603" w:rsidRPr="008B0603" w:rsidRDefault="008B0603" w:rsidP="008B0603">
      <w:pPr>
        <w:numPr>
          <w:ilvl w:val="0"/>
          <w:numId w:val="13"/>
        </w:numPr>
        <w:spacing w:line="360" w:lineRule="auto"/>
        <w:jc w:val="both"/>
        <w:rPr>
          <w:rFonts w:ascii="Arial" w:hAnsi="Arial" w:cs="Arial"/>
        </w:rPr>
      </w:pPr>
      <w:r w:rsidRPr="008B0603">
        <w:rPr>
          <w:rFonts w:ascii="Arial" w:hAnsi="Arial" w:cs="Arial"/>
        </w:rPr>
        <w:t>Utilities directly related to store operations</w:t>
      </w:r>
    </w:p>
    <w:p w14:paraId="0E7C5DCB" w14:textId="77777777" w:rsidR="008B0603" w:rsidRPr="008B0603" w:rsidRDefault="008B0603" w:rsidP="008B0603">
      <w:pPr>
        <w:numPr>
          <w:ilvl w:val="0"/>
          <w:numId w:val="13"/>
        </w:numPr>
        <w:spacing w:line="360" w:lineRule="auto"/>
        <w:jc w:val="both"/>
        <w:rPr>
          <w:rFonts w:ascii="Arial" w:hAnsi="Arial" w:cs="Arial"/>
        </w:rPr>
      </w:pPr>
      <w:r w:rsidRPr="008B0603">
        <w:rPr>
          <w:rFonts w:ascii="Arial" w:hAnsi="Arial" w:cs="Arial"/>
        </w:rPr>
        <w:t>Distribution and logistics expenses</w:t>
      </w:r>
    </w:p>
    <w:p w14:paraId="34730041" w14:textId="5653EDA7" w:rsidR="00F72DD7" w:rsidRDefault="00F72DD7" w:rsidP="00F72DD7">
      <w:pPr>
        <w:spacing w:line="360" w:lineRule="auto"/>
        <w:jc w:val="both"/>
        <w:rPr>
          <w:rFonts w:ascii="Arial" w:hAnsi="Arial" w:cs="Arial"/>
        </w:rPr>
      </w:pPr>
      <w:r>
        <w:rPr>
          <w:rFonts w:ascii="Arial" w:hAnsi="Arial" w:cs="Arial"/>
        </w:rPr>
        <w:lastRenderedPageBreak/>
        <w:t>Understanding the distinction between fixed and variable costs enables Sainsbury to conduct break-even and sensitivity analyses. For example, in periods of inflation and rising energy costs, management must assess how increases in variable costs affects gross margin and pricing strategy.</w:t>
      </w:r>
    </w:p>
    <w:p w14:paraId="2B259DB0" w14:textId="31D6DC19" w:rsidR="00F72DD7" w:rsidRDefault="00F72DD7" w:rsidP="00F72DD7">
      <w:pPr>
        <w:spacing w:line="360" w:lineRule="auto"/>
        <w:jc w:val="both"/>
        <w:rPr>
          <w:rFonts w:ascii="Arial" w:hAnsi="Arial" w:cs="Arial"/>
        </w:rPr>
      </w:pPr>
      <w:r>
        <w:rPr>
          <w:rFonts w:ascii="Arial" w:hAnsi="Arial" w:cs="Arial"/>
        </w:rPr>
        <w:t xml:space="preserve">According to Sainsbury’s Annual Report, cost pressures in recent years have been driven by inflation in energy, wages and supply chains (Sainsbury, 2023). Management accounting information allows the company to implement cost-control initiatives, such as supply chain optimisation and automation investments. </w:t>
      </w:r>
    </w:p>
    <w:p w14:paraId="48685723" w14:textId="36F195CC" w:rsidR="00F72DD7" w:rsidRDefault="00F72DD7" w:rsidP="00F72DD7">
      <w:pPr>
        <w:spacing w:line="360" w:lineRule="auto"/>
        <w:jc w:val="both"/>
        <w:rPr>
          <w:rFonts w:ascii="Arial" w:hAnsi="Arial" w:cs="Arial"/>
        </w:rPr>
      </w:pPr>
      <w:r>
        <w:rPr>
          <w:rFonts w:ascii="Arial" w:hAnsi="Arial" w:cs="Arial"/>
        </w:rPr>
        <w:t xml:space="preserve">Activity-based costing can also be applied to allocate overhead costs more accurately across product categories (Kaplan and Cooper, 1998). In a complex retail environment, traditional absorption costing may distort product profitability; therefore, refined costing methods improve decision quality. </w:t>
      </w:r>
    </w:p>
    <w:p w14:paraId="13D04BBD" w14:textId="1A859D80" w:rsidR="00F72DD7" w:rsidRDefault="00F72DD7" w:rsidP="00F72DD7">
      <w:pPr>
        <w:spacing w:line="360" w:lineRule="auto"/>
        <w:jc w:val="both"/>
        <w:rPr>
          <w:rFonts w:ascii="Arial" w:hAnsi="Arial" w:cs="Arial"/>
        </w:rPr>
      </w:pPr>
      <w:r>
        <w:rPr>
          <w:rFonts w:ascii="Arial" w:hAnsi="Arial" w:cs="Arial"/>
        </w:rPr>
        <w:t>Overall, effective cost analysis enables Sainsbury to maintain competitive pricing while safeguarding operating margins.</w:t>
      </w:r>
    </w:p>
    <w:p w14:paraId="4D9F17BD" w14:textId="77777777" w:rsidR="00F72DD7" w:rsidRDefault="00F72DD7" w:rsidP="00F72DD7">
      <w:pPr>
        <w:spacing w:line="360" w:lineRule="auto"/>
        <w:jc w:val="both"/>
        <w:rPr>
          <w:rFonts w:ascii="Arial" w:hAnsi="Arial" w:cs="Arial"/>
        </w:rPr>
      </w:pPr>
    </w:p>
    <w:p w14:paraId="31BFAFD5" w14:textId="21C93D05" w:rsidR="00F72DD7" w:rsidRPr="00EC1038" w:rsidRDefault="00F72DD7" w:rsidP="00F72DD7">
      <w:pPr>
        <w:pStyle w:val="Heading2"/>
        <w:rPr>
          <w:rFonts w:ascii="Arial" w:hAnsi="Arial" w:cs="Arial"/>
          <w:sz w:val="28"/>
          <w:szCs w:val="28"/>
        </w:rPr>
      </w:pPr>
      <w:bookmarkStart w:id="2" w:name="_Toc222939814"/>
      <w:r w:rsidRPr="00EC1038">
        <w:rPr>
          <w:rFonts w:ascii="Arial" w:hAnsi="Arial" w:cs="Arial"/>
          <w:sz w:val="28"/>
          <w:szCs w:val="28"/>
        </w:rPr>
        <w:t>Budgeting and financial planning</w:t>
      </w:r>
      <w:bookmarkEnd w:id="2"/>
      <w:r w:rsidRPr="00EC1038">
        <w:rPr>
          <w:rFonts w:ascii="Arial" w:hAnsi="Arial" w:cs="Arial"/>
          <w:sz w:val="28"/>
          <w:szCs w:val="28"/>
        </w:rPr>
        <w:t xml:space="preserve"> </w:t>
      </w:r>
    </w:p>
    <w:p w14:paraId="0EFC0289" w14:textId="0AC64D4B" w:rsidR="00F72DD7" w:rsidRPr="00EC1038" w:rsidRDefault="00F72DD7" w:rsidP="00F72DD7">
      <w:pPr>
        <w:spacing w:line="360" w:lineRule="auto"/>
        <w:jc w:val="both"/>
        <w:rPr>
          <w:rFonts w:ascii="Arial" w:hAnsi="Arial" w:cs="Arial"/>
          <w:b/>
          <w:bCs/>
        </w:rPr>
      </w:pPr>
      <w:r w:rsidRPr="00EC1038">
        <w:rPr>
          <w:rFonts w:ascii="Arial" w:hAnsi="Arial" w:cs="Arial"/>
          <w:b/>
          <w:bCs/>
        </w:rPr>
        <w:t>Role of budgeting</w:t>
      </w:r>
    </w:p>
    <w:p w14:paraId="4F9BD4AA" w14:textId="47BC30EF" w:rsidR="00F72DD7" w:rsidRDefault="00F72DD7" w:rsidP="00F72DD7">
      <w:pPr>
        <w:spacing w:line="360" w:lineRule="auto"/>
        <w:jc w:val="both"/>
        <w:rPr>
          <w:rFonts w:ascii="Arial" w:hAnsi="Arial" w:cs="Arial"/>
        </w:rPr>
      </w:pPr>
      <w:r>
        <w:rPr>
          <w:rFonts w:ascii="Arial" w:hAnsi="Arial" w:cs="Arial"/>
        </w:rPr>
        <w:t>Budgeting is a fundamental management accounting tool for planning and control (Drury, 2018). Sainsbury prepares annual budgets aligned with its strategic objectives, including revenue targets, capital investment plans and cost reduction initiatives.</w:t>
      </w:r>
    </w:p>
    <w:p w14:paraId="462DC9D8" w14:textId="5DA7B1DD" w:rsidR="00F72DD7" w:rsidRDefault="00F72DD7" w:rsidP="00F72DD7">
      <w:pPr>
        <w:spacing w:line="360" w:lineRule="auto"/>
        <w:jc w:val="both"/>
        <w:rPr>
          <w:rFonts w:ascii="Arial" w:hAnsi="Arial" w:cs="Arial"/>
        </w:rPr>
      </w:pPr>
      <w:r>
        <w:rPr>
          <w:rFonts w:ascii="Arial" w:hAnsi="Arial" w:cs="Arial"/>
        </w:rPr>
        <w:t>Budgets serve several purposes:</w:t>
      </w:r>
    </w:p>
    <w:p w14:paraId="359D8F42" w14:textId="4CA4F164" w:rsidR="00F72DD7" w:rsidRDefault="00F72DD7" w:rsidP="00F72DD7">
      <w:pPr>
        <w:pStyle w:val="ListParagraph"/>
        <w:numPr>
          <w:ilvl w:val="0"/>
          <w:numId w:val="3"/>
        </w:numPr>
        <w:spacing w:line="360" w:lineRule="auto"/>
        <w:jc w:val="both"/>
        <w:rPr>
          <w:rFonts w:ascii="Arial" w:hAnsi="Arial" w:cs="Arial"/>
        </w:rPr>
      </w:pPr>
      <w:r>
        <w:rPr>
          <w:rFonts w:ascii="Arial" w:hAnsi="Arial" w:cs="Arial"/>
        </w:rPr>
        <w:t>Planning resource allocation</w:t>
      </w:r>
    </w:p>
    <w:p w14:paraId="58DAF4DC" w14:textId="7D3578BE" w:rsidR="00F72DD7" w:rsidRDefault="00F72DD7" w:rsidP="00F72DD7">
      <w:pPr>
        <w:pStyle w:val="ListParagraph"/>
        <w:numPr>
          <w:ilvl w:val="0"/>
          <w:numId w:val="3"/>
        </w:numPr>
        <w:spacing w:line="360" w:lineRule="auto"/>
        <w:jc w:val="both"/>
        <w:rPr>
          <w:rFonts w:ascii="Arial" w:hAnsi="Arial" w:cs="Arial"/>
        </w:rPr>
      </w:pPr>
      <w:r>
        <w:rPr>
          <w:rFonts w:ascii="Arial" w:hAnsi="Arial" w:cs="Arial"/>
        </w:rPr>
        <w:t>Coordinating departmental activities</w:t>
      </w:r>
    </w:p>
    <w:p w14:paraId="700C02B2" w14:textId="5009F269" w:rsidR="00F72DD7" w:rsidRDefault="00F72DD7" w:rsidP="00F72DD7">
      <w:pPr>
        <w:pStyle w:val="ListParagraph"/>
        <w:numPr>
          <w:ilvl w:val="0"/>
          <w:numId w:val="3"/>
        </w:numPr>
        <w:spacing w:line="360" w:lineRule="auto"/>
        <w:jc w:val="both"/>
        <w:rPr>
          <w:rFonts w:ascii="Arial" w:hAnsi="Arial" w:cs="Arial"/>
        </w:rPr>
      </w:pPr>
      <w:r>
        <w:rPr>
          <w:rFonts w:ascii="Arial" w:hAnsi="Arial" w:cs="Arial"/>
        </w:rPr>
        <w:t>Motivating managers</w:t>
      </w:r>
    </w:p>
    <w:p w14:paraId="73BAEF38" w14:textId="20992C3A" w:rsidR="00F72DD7" w:rsidRDefault="00F72DD7" w:rsidP="00F72DD7">
      <w:pPr>
        <w:pStyle w:val="ListParagraph"/>
        <w:numPr>
          <w:ilvl w:val="0"/>
          <w:numId w:val="3"/>
        </w:numPr>
        <w:spacing w:line="360" w:lineRule="auto"/>
        <w:jc w:val="both"/>
        <w:rPr>
          <w:rFonts w:ascii="Arial" w:hAnsi="Arial" w:cs="Arial"/>
        </w:rPr>
      </w:pPr>
      <w:r>
        <w:rPr>
          <w:rFonts w:ascii="Arial" w:hAnsi="Arial" w:cs="Arial"/>
        </w:rPr>
        <w:t>Controlling performance through variance analysis</w:t>
      </w:r>
    </w:p>
    <w:p w14:paraId="20C3A96E" w14:textId="670F7F06" w:rsidR="00F72DD7" w:rsidRDefault="003E33CD" w:rsidP="00F72DD7">
      <w:pPr>
        <w:spacing w:line="360" w:lineRule="auto"/>
        <w:jc w:val="both"/>
        <w:rPr>
          <w:rFonts w:ascii="Arial" w:hAnsi="Arial" w:cs="Arial"/>
        </w:rPr>
      </w:pPr>
      <w:r>
        <w:rPr>
          <w:rFonts w:ascii="Arial" w:hAnsi="Arial" w:cs="Arial"/>
        </w:rPr>
        <w:t xml:space="preserve">Operating budgets include sales forecasts, purchasing budgets, labour budgets and overhead projections. Capital budgets support decisions regarding store refurbishments, digital infrastructure and sustainability investments. </w:t>
      </w:r>
    </w:p>
    <w:p w14:paraId="17C4999E" w14:textId="71E7A542" w:rsidR="003E33CD" w:rsidRDefault="008B0603" w:rsidP="00F72DD7">
      <w:pPr>
        <w:spacing w:line="360" w:lineRule="auto"/>
        <w:jc w:val="both"/>
        <w:rPr>
          <w:rFonts w:ascii="Arial" w:hAnsi="Arial" w:cs="Arial"/>
        </w:rPr>
      </w:pPr>
      <w:r w:rsidRPr="008B0603">
        <w:rPr>
          <w:rFonts w:ascii="Arial" w:hAnsi="Arial" w:cs="Arial"/>
        </w:rPr>
        <w:lastRenderedPageBreak/>
        <w:t>Budgetary control refers to the process of comparing actual results with planned budget figures and evaluating any variances identified</w:t>
      </w:r>
      <w:r w:rsidR="003E33CD">
        <w:rPr>
          <w:rFonts w:ascii="Arial" w:hAnsi="Arial" w:cs="Arial"/>
        </w:rPr>
        <w:t xml:space="preserve"> (</w:t>
      </w:r>
      <w:proofErr w:type="spellStart"/>
      <w:r w:rsidR="003E33CD">
        <w:rPr>
          <w:rFonts w:ascii="Arial" w:hAnsi="Arial" w:cs="Arial"/>
        </w:rPr>
        <w:t>Atrill</w:t>
      </w:r>
      <w:proofErr w:type="spellEnd"/>
      <w:r w:rsidR="003E33CD">
        <w:rPr>
          <w:rFonts w:ascii="Arial" w:hAnsi="Arial" w:cs="Arial"/>
        </w:rPr>
        <w:t xml:space="preserve"> and McLaney, 2019). For example, if actual operating expenses exceed budget due to higher-than-expected wage costs, management investigates causes and implements corrective action.</w:t>
      </w:r>
    </w:p>
    <w:p w14:paraId="4F6AAD54" w14:textId="77777777" w:rsidR="006357BB" w:rsidRPr="006357BB" w:rsidRDefault="006357BB" w:rsidP="006357BB">
      <w:pPr>
        <w:spacing w:line="360" w:lineRule="auto"/>
        <w:jc w:val="both"/>
        <w:rPr>
          <w:rFonts w:ascii="Arial" w:hAnsi="Arial" w:cs="Arial"/>
        </w:rPr>
      </w:pPr>
      <w:r w:rsidRPr="006357BB">
        <w:rPr>
          <w:rFonts w:ascii="Arial" w:hAnsi="Arial" w:cs="Arial"/>
        </w:rPr>
        <w:t>According to Sainsbury’s Annual Report (2023), total operating expenses increased from approximately £3.9 billion in 2022 to £4.3 billion in 2023, representing an increase of around 10%. This rise reflects significant wage inflation, higher energy prices and supply chain disruption during the period of peak UK inflation. Operating profit consequently declined from £721 million in 2022 to £690 million in 2023, reducing operating margin from approximately 2.6% to 2.4% (Sainsbury’s, 2023).</w:t>
      </w:r>
    </w:p>
    <w:p w14:paraId="44B6CF93" w14:textId="6A64CDC2" w:rsidR="006357BB" w:rsidRPr="006357BB" w:rsidRDefault="006357BB" w:rsidP="006357BB">
      <w:pPr>
        <w:spacing w:line="360" w:lineRule="auto"/>
        <w:jc w:val="both"/>
        <w:rPr>
          <w:rFonts w:ascii="Arial" w:hAnsi="Arial" w:cs="Arial"/>
        </w:rPr>
      </w:pPr>
      <w:r w:rsidRPr="006357BB">
        <w:rPr>
          <w:rFonts w:ascii="Arial" w:hAnsi="Arial" w:cs="Arial"/>
        </w:rPr>
        <w:t>This demonstrates the sensitivity of supermarket profitability to relatively small changes in cost structure. In low-margin retail environments, even a modest percentage increase in operating costs can materially reduce profitability. From a management accounting perspective, this emphasises the importance of cost control, flexible budgeting and variance analysis to identify controllable cost drivers (Drury, 2018). Furthermore, while short-term operating expenses increased, some costs were linked to strategic investments in automation and store integration, which may improve future operating leverage and efficiency.</w:t>
      </w:r>
      <w:r w:rsidRPr="006357BB">
        <w:rPr>
          <w:rFonts w:ascii="Arial" w:hAnsi="Arial" w:cs="Arial"/>
          <w:vanish/>
        </w:rPr>
        <w:t>Top of Form</w:t>
      </w:r>
    </w:p>
    <w:p w14:paraId="344604E2" w14:textId="77777777" w:rsidR="006357BB" w:rsidRPr="006357BB" w:rsidRDefault="006357BB" w:rsidP="006357BB">
      <w:pPr>
        <w:spacing w:line="360" w:lineRule="auto"/>
        <w:jc w:val="both"/>
        <w:rPr>
          <w:rFonts w:ascii="Arial" w:hAnsi="Arial" w:cs="Arial"/>
          <w:b/>
          <w:bCs/>
          <w:vanish/>
        </w:rPr>
      </w:pPr>
      <w:r w:rsidRPr="006357BB">
        <w:rPr>
          <w:rFonts w:ascii="Arial" w:hAnsi="Arial" w:cs="Arial"/>
          <w:b/>
          <w:bCs/>
          <w:vanish/>
        </w:rPr>
        <w:t>Bottom of Form</w:t>
      </w:r>
    </w:p>
    <w:p w14:paraId="41FA7054" w14:textId="192A7EB2" w:rsidR="003E33CD" w:rsidRPr="006357BB" w:rsidRDefault="003E33CD" w:rsidP="00F72DD7">
      <w:pPr>
        <w:spacing w:line="360" w:lineRule="auto"/>
        <w:jc w:val="both"/>
        <w:rPr>
          <w:rFonts w:ascii="Arial" w:hAnsi="Arial" w:cs="Arial"/>
          <w:b/>
          <w:bCs/>
        </w:rPr>
      </w:pPr>
      <w:r w:rsidRPr="006357BB">
        <w:rPr>
          <w:rFonts w:ascii="Arial" w:hAnsi="Arial" w:cs="Arial"/>
          <w:b/>
          <w:bCs/>
        </w:rPr>
        <w:t xml:space="preserve">Changes in operating expenses </w:t>
      </w:r>
    </w:p>
    <w:p w14:paraId="738A4A2E" w14:textId="1E13E5FB" w:rsidR="003E33CD" w:rsidRDefault="003E33CD" w:rsidP="00F72DD7">
      <w:pPr>
        <w:spacing w:line="360" w:lineRule="auto"/>
        <w:jc w:val="both"/>
        <w:rPr>
          <w:rFonts w:ascii="Arial" w:hAnsi="Arial" w:cs="Arial"/>
        </w:rPr>
      </w:pPr>
      <w:r>
        <w:rPr>
          <w:rFonts w:ascii="Arial" w:hAnsi="Arial" w:cs="Arial"/>
        </w:rPr>
        <w:t>Recent financial statements indicate fluctuations in operating costs due to inflation, energy price increases and wage growth (Sainsbury, 2023). Macroeconomic factors such as UK inflation and supply chain disruption have significantly influenced cost structure.</w:t>
      </w:r>
    </w:p>
    <w:p w14:paraId="1D367F7B" w14:textId="3812B02F" w:rsidR="003E33CD" w:rsidRDefault="003E33CD" w:rsidP="00F72DD7">
      <w:pPr>
        <w:spacing w:line="360" w:lineRule="auto"/>
        <w:jc w:val="both"/>
        <w:rPr>
          <w:rFonts w:ascii="Arial" w:hAnsi="Arial" w:cs="Arial"/>
        </w:rPr>
      </w:pPr>
      <w:r>
        <w:rPr>
          <w:rFonts w:ascii="Arial" w:hAnsi="Arial" w:cs="Arial"/>
        </w:rPr>
        <w:t xml:space="preserve">Internally, management decisions such as investing in automation, restructuring store portfolios and integrating Argos into supermarkets have affected operating expenses. </w:t>
      </w:r>
      <w:r w:rsidR="008B0603" w:rsidRPr="008B0603">
        <w:rPr>
          <w:rFonts w:ascii="Arial" w:hAnsi="Arial" w:cs="Arial"/>
        </w:rPr>
        <w:t>Although these investments raise capital expenditure in the short term, they can lead to lower operating costs over time and enhance overall efficiency.</w:t>
      </w:r>
    </w:p>
    <w:p w14:paraId="0DB01675" w14:textId="4C9B7F14" w:rsidR="003E33CD" w:rsidRDefault="003E33CD" w:rsidP="00F72DD7">
      <w:pPr>
        <w:spacing w:line="360" w:lineRule="auto"/>
        <w:jc w:val="both"/>
        <w:rPr>
          <w:rFonts w:ascii="Arial" w:hAnsi="Arial" w:cs="Arial"/>
        </w:rPr>
      </w:pPr>
      <w:r>
        <w:rPr>
          <w:rFonts w:ascii="Arial" w:hAnsi="Arial" w:cs="Arial"/>
        </w:rPr>
        <w:t>Flexible budgeting in particularly relevant in retail, where demand fluctuates. Unlike static budgets, flexible budgets adjust according to actual activity levels (Drury,2018). This allows Sainsbury to respond to seasonal demand variations, such as increased Christmas sales.</w:t>
      </w:r>
    </w:p>
    <w:p w14:paraId="7DDF899B" w14:textId="38BAD911" w:rsidR="003E33CD" w:rsidRDefault="003E33CD" w:rsidP="00F72DD7">
      <w:pPr>
        <w:spacing w:line="360" w:lineRule="auto"/>
        <w:jc w:val="both"/>
        <w:rPr>
          <w:rFonts w:ascii="Arial" w:hAnsi="Arial" w:cs="Arial"/>
        </w:rPr>
      </w:pPr>
      <w:r>
        <w:rPr>
          <w:rFonts w:ascii="Arial" w:hAnsi="Arial" w:cs="Arial"/>
        </w:rPr>
        <w:lastRenderedPageBreak/>
        <w:t xml:space="preserve">Strategic financial planning also incorporates scenario analysis to assess risks associated with economic downturns or consumer behaviour changes. According to Johnson, Scholes and Whittington (2020), strategic management requires aligning financial planning with competitive positioning. Sainsbury budgeting process therefore integrates both operational forecasts and strategic priorities. </w:t>
      </w:r>
    </w:p>
    <w:p w14:paraId="11E86F36" w14:textId="77777777" w:rsidR="00EC1038" w:rsidRPr="00EC1038" w:rsidRDefault="00EC1038" w:rsidP="00EC1038">
      <w:pPr>
        <w:spacing w:line="360" w:lineRule="auto"/>
        <w:jc w:val="both"/>
        <w:rPr>
          <w:rFonts w:ascii="Arial" w:hAnsi="Arial" w:cs="Arial"/>
        </w:rPr>
      </w:pPr>
      <w:r w:rsidRPr="00EC1038">
        <w:rPr>
          <w:rFonts w:ascii="Arial" w:hAnsi="Arial" w:cs="Arial"/>
        </w:rPr>
        <w:t>According to Sainsbury’s Annual Report (2023), operating expenses increased due to wage inflation and energy costs. Additionally, macroeconomic data from the Office for National Statistics (ONS, 2023) shows UK inflation peaked above 10% in 2022–2023, significantly increasing retail operating costs.</w:t>
      </w:r>
    </w:p>
    <w:p w14:paraId="1CFF1D6C" w14:textId="77777777" w:rsidR="00EC1038" w:rsidRPr="00EC1038" w:rsidRDefault="00EC1038" w:rsidP="00EC1038">
      <w:pPr>
        <w:spacing w:line="360" w:lineRule="auto"/>
        <w:jc w:val="both"/>
        <w:rPr>
          <w:rFonts w:ascii="Arial" w:hAnsi="Arial" w:cs="Arial"/>
        </w:rPr>
      </w:pPr>
      <w:r w:rsidRPr="00EC1038">
        <w:rPr>
          <w:rFonts w:ascii="Arial" w:hAnsi="Arial" w:cs="Arial"/>
        </w:rPr>
        <w:t>Google Finance (2025) indicates fluctuations in operating profit due to:</w:t>
      </w:r>
    </w:p>
    <w:p w14:paraId="0218718F" w14:textId="77777777" w:rsidR="00EC1038" w:rsidRPr="00EC1038" w:rsidRDefault="00EC1038" w:rsidP="00EC1038">
      <w:pPr>
        <w:spacing w:line="360" w:lineRule="auto"/>
        <w:jc w:val="both"/>
        <w:rPr>
          <w:rFonts w:ascii="Arial" w:hAnsi="Arial" w:cs="Arial"/>
        </w:rPr>
      </w:pPr>
      <w:r w:rsidRPr="00EC1038">
        <w:rPr>
          <w:rFonts w:ascii="Arial" w:hAnsi="Arial" w:cs="Arial"/>
        </w:rPr>
        <w:t>External factors:</w:t>
      </w:r>
    </w:p>
    <w:p w14:paraId="7EC92CB3" w14:textId="77777777" w:rsidR="00EC1038" w:rsidRPr="00EC1038" w:rsidRDefault="00EC1038" w:rsidP="00EC1038">
      <w:pPr>
        <w:numPr>
          <w:ilvl w:val="0"/>
          <w:numId w:val="9"/>
        </w:numPr>
        <w:spacing w:line="360" w:lineRule="auto"/>
        <w:jc w:val="both"/>
        <w:rPr>
          <w:rFonts w:ascii="Arial" w:hAnsi="Arial" w:cs="Arial"/>
        </w:rPr>
      </w:pPr>
      <w:r w:rsidRPr="00EC1038">
        <w:rPr>
          <w:rFonts w:ascii="Arial" w:hAnsi="Arial" w:cs="Arial"/>
        </w:rPr>
        <w:t>Inflation</w:t>
      </w:r>
    </w:p>
    <w:p w14:paraId="06C4C040" w14:textId="77777777" w:rsidR="00EC1038" w:rsidRPr="00EC1038" w:rsidRDefault="00EC1038" w:rsidP="00EC1038">
      <w:pPr>
        <w:numPr>
          <w:ilvl w:val="0"/>
          <w:numId w:val="9"/>
        </w:numPr>
        <w:spacing w:line="360" w:lineRule="auto"/>
        <w:jc w:val="both"/>
        <w:rPr>
          <w:rFonts w:ascii="Arial" w:hAnsi="Arial" w:cs="Arial"/>
        </w:rPr>
      </w:pPr>
      <w:r w:rsidRPr="00EC1038">
        <w:rPr>
          <w:rFonts w:ascii="Arial" w:hAnsi="Arial" w:cs="Arial"/>
        </w:rPr>
        <w:t>Supply chain disruption</w:t>
      </w:r>
    </w:p>
    <w:p w14:paraId="45100CF9" w14:textId="77777777" w:rsidR="00EC1038" w:rsidRPr="00EC1038" w:rsidRDefault="00EC1038" w:rsidP="00EC1038">
      <w:pPr>
        <w:numPr>
          <w:ilvl w:val="0"/>
          <w:numId w:val="9"/>
        </w:numPr>
        <w:spacing w:line="360" w:lineRule="auto"/>
        <w:jc w:val="both"/>
        <w:rPr>
          <w:rFonts w:ascii="Arial" w:hAnsi="Arial" w:cs="Arial"/>
        </w:rPr>
      </w:pPr>
      <w:r w:rsidRPr="00EC1038">
        <w:rPr>
          <w:rFonts w:ascii="Arial" w:hAnsi="Arial" w:cs="Arial"/>
        </w:rPr>
        <w:t>Energy price volatility</w:t>
      </w:r>
    </w:p>
    <w:p w14:paraId="13CE8F5E" w14:textId="77777777" w:rsidR="00EC1038" w:rsidRPr="00EC1038" w:rsidRDefault="00EC1038" w:rsidP="00EC1038">
      <w:pPr>
        <w:spacing w:line="360" w:lineRule="auto"/>
        <w:jc w:val="both"/>
        <w:rPr>
          <w:rFonts w:ascii="Arial" w:hAnsi="Arial" w:cs="Arial"/>
        </w:rPr>
      </w:pPr>
      <w:r w:rsidRPr="00EC1038">
        <w:rPr>
          <w:rFonts w:ascii="Arial" w:hAnsi="Arial" w:cs="Arial"/>
        </w:rPr>
        <w:t>Internal factors:</w:t>
      </w:r>
    </w:p>
    <w:p w14:paraId="765EB3A1" w14:textId="77777777" w:rsidR="00EC1038" w:rsidRPr="00EC1038" w:rsidRDefault="00EC1038" w:rsidP="00EC1038">
      <w:pPr>
        <w:numPr>
          <w:ilvl w:val="0"/>
          <w:numId w:val="10"/>
        </w:numPr>
        <w:spacing w:line="360" w:lineRule="auto"/>
        <w:jc w:val="both"/>
        <w:rPr>
          <w:rFonts w:ascii="Arial" w:hAnsi="Arial" w:cs="Arial"/>
        </w:rPr>
      </w:pPr>
      <w:r w:rsidRPr="00EC1038">
        <w:rPr>
          <w:rFonts w:ascii="Arial" w:hAnsi="Arial" w:cs="Arial"/>
        </w:rPr>
        <w:t>Argos integration</w:t>
      </w:r>
    </w:p>
    <w:p w14:paraId="2A1E2751" w14:textId="77777777" w:rsidR="00EC1038" w:rsidRPr="00EC1038" w:rsidRDefault="00EC1038" w:rsidP="00EC1038">
      <w:pPr>
        <w:numPr>
          <w:ilvl w:val="0"/>
          <w:numId w:val="10"/>
        </w:numPr>
        <w:spacing w:line="360" w:lineRule="auto"/>
        <w:jc w:val="both"/>
        <w:rPr>
          <w:rFonts w:ascii="Arial" w:hAnsi="Arial" w:cs="Arial"/>
        </w:rPr>
      </w:pPr>
      <w:r w:rsidRPr="00EC1038">
        <w:rPr>
          <w:rFonts w:ascii="Arial" w:hAnsi="Arial" w:cs="Arial"/>
        </w:rPr>
        <w:t>Store refurbishment investment</w:t>
      </w:r>
    </w:p>
    <w:p w14:paraId="61D723C4" w14:textId="77777777" w:rsidR="00EC1038" w:rsidRPr="00EC1038" w:rsidRDefault="00EC1038" w:rsidP="00EC1038">
      <w:pPr>
        <w:numPr>
          <w:ilvl w:val="0"/>
          <w:numId w:val="10"/>
        </w:numPr>
        <w:spacing w:line="360" w:lineRule="auto"/>
        <w:jc w:val="both"/>
        <w:rPr>
          <w:rFonts w:ascii="Arial" w:hAnsi="Arial" w:cs="Arial"/>
        </w:rPr>
      </w:pPr>
      <w:r w:rsidRPr="00EC1038">
        <w:rPr>
          <w:rFonts w:ascii="Arial" w:hAnsi="Arial" w:cs="Arial"/>
        </w:rPr>
        <w:t>Automation initiatives</w:t>
      </w:r>
    </w:p>
    <w:p w14:paraId="06B88CD4" w14:textId="77777777" w:rsidR="00EC1038" w:rsidRDefault="00EC1038" w:rsidP="00EC1038">
      <w:pPr>
        <w:spacing w:line="360" w:lineRule="auto"/>
        <w:jc w:val="both"/>
        <w:rPr>
          <w:rFonts w:ascii="Arial" w:hAnsi="Arial" w:cs="Arial"/>
        </w:rPr>
      </w:pPr>
      <w:r w:rsidRPr="00EC1038">
        <w:rPr>
          <w:rFonts w:ascii="Arial" w:hAnsi="Arial" w:cs="Arial"/>
        </w:rPr>
        <w:t>While operating expenses increased in the short term, strategic capital investments may improve long-term operating leverage. As Horngren et al. (2017) argue, short-term cost increases may represent strategic investments that enhance future cost efficiency.</w:t>
      </w:r>
    </w:p>
    <w:p w14:paraId="02785BB8" w14:textId="7334E176" w:rsidR="006357BB" w:rsidRPr="00EC1038" w:rsidRDefault="006357BB" w:rsidP="00EC1038">
      <w:pPr>
        <w:spacing w:line="360" w:lineRule="auto"/>
        <w:jc w:val="both"/>
        <w:rPr>
          <w:rFonts w:ascii="Arial" w:hAnsi="Arial" w:cs="Arial"/>
        </w:rPr>
      </w:pPr>
      <w:r w:rsidRPr="006357BB">
        <w:rPr>
          <w:rFonts w:ascii="Arial" w:hAnsi="Arial" w:cs="Arial"/>
        </w:rPr>
        <w:t>However, traditional budgeting has been criticised for encouraging short-term behaviour and budgetary slack (Bromwich and Bhimani, 2019). In highly volatile retail markets, rigid annual budgets may reduce responsiveness to real-time demand changes. Therefore, rolling forecasts or beyond-budgeting approaches may be more appropriate.</w:t>
      </w:r>
    </w:p>
    <w:p w14:paraId="73C14AB7" w14:textId="77777777" w:rsidR="00EC1038" w:rsidRDefault="00EC1038" w:rsidP="00F72DD7">
      <w:pPr>
        <w:spacing w:line="360" w:lineRule="auto"/>
        <w:jc w:val="both"/>
        <w:rPr>
          <w:rFonts w:ascii="Arial" w:hAnsi="Arial" w:cs="Arial"/>
        </w:rPr>
      </w:pPr>
    </w:p>
    <w:p w14:paraId="1CEC578A" w14:textId="77777777" w:rsidR="003E33CD" w:rsidRDefault="003E33CD" w:rsidP="00F72DD7">
      <w:pPr>
        <w:spacing w:line="360" w:lineRule="auto"/>
        <w:jc w:val="both"/>
        <w:rPr>
          <w:rFonts w:ascii="Arial" w:hAnsi="Arial" w:cs="Arial"/>
        </w:rPr>
      </w:pPr>
    </w:p>
    <w:p w14:paraId="0A4F867B" w14:textId="322B9E0D" w:rsidR="003E33CD" w:rsidRPr="00EC1038" w:rsidRDefault="003E33CD" w:rsidP="003E33CD">
      <w:pPr>
        <w:pStyle w:val="Heading2"/>
        <w:rPr>
          <w:rFonts w:ascii="Arial" w:hAnsi="Arial" w:cs="Arial"/>
          <w:sz w:val="28"/>
          <w:szCs w:val="28"/>
        </w:rPr>
      </w:pPr>
      <w:bookmarkStart w:id="3" w:name="_Toc222939815"/>
      <w:r w:rsidRPr="00EC1038">
        <w:rPr>
          <w:rFonts w:ascii="Arial" w:hAnsi="Arial" w:cs="Arial"/>
          <w:sz w:val="28"/>
          <w:szCs w:val="28"/>
        </w:rPr>
        <w:t>Performance measurement and decision making</w:t>
      </w:r>
      <w:bookmarkEnd w:id="3"/>
    </w:p>
    <w:p w14:paraId="52BD8FFA" w14:textId="04DFC4FA" w:rsidR="003E33CD" w:rsidRPr="00EC1038" w:rsidRDefault="003E33CD" w:rsidP="003E33CD">
      <w:pPr>
        <w:spacing w:line="360" w:lineRule="auto"/>
        <w:jc w:val="both"/>
        <w:rPr>
          <w:rFonts w:ascii="Arial" w:hAnsi="Arial" w:cs="Arial"/>
          <w:b/>
          <w:bCs/>
        </w:rPr>
      </w:pPr>
      <w:r w:rsidRPr="00EC1038">
        <w:rPr>
          <w:rFonts w:ascii="Arial" w:hAnsi="Arial" w:cs="Arial"/>
          <w:b/>
          <w:bCs/>
        </w:rPr>
        <w:t xml:space="preserve">Key performance indicators </w:t>
      </w:r>
    </w:p>
    <w:p w14:paraId="2FBEF4A1" w14:textId="4C6F72BB" w:rsidR="003E33CD" w:rsidRDefault="003E33CD" w:rsidP="003E33CD">
      <w:pPr>
        <w:spacing w:line="360" w:lineRule="auto"/>
        <w:jc w:val="both"/>
        <w:rPr>
          <w:rFonts w:ascii="Arial" w:hAnsi="Arial" w:cs="Arial"/>
        </w:rPr>
      </w:pPr>
      <w:r>
        <w:rPr>
          <w:rFonts w:ascii="Arial" w:hAnsi="Arial" w:cs="Arial"/>
        </w:rPr>
        <w:t>Sainsbury uses both financial and non-financial key performance indicators to assess performance. Five key indicators include:</w:t>
      </w:r>
    </w:p>
    <w:p w14:paraId="62E1E170" w14:textId="7B4F06D8" w:rsidR="003E33CD" w:rsidRDefault="003E33CD" w:rsidP="003E33CD">
      <w:pPr>
        <w:pStyle w:val="ListParagraph"/>
        <w:numPr>
          <w:ilvl w:val="0"/>
          <w:numId w:val="4"/>
        </w:numPr>
        <w:spacing w:line="360" w:lineRule="auto"/>
        <w:jc w:val="both"/>
        <w:rPr>
          <w:rFonts w:ascii="Arial" w:hAnsi="Arial" w:cs="Arial"/>
        </w:rPr>
      </w:pPr>
      <w:r>
        <w:rPr>
          <w:rFonts w:ascii="Arial" w:hAnsi="Arial" w:cs="Arial"/>
        </w:rPr>
        <w:t>Revenue growth – measures overall sales performance.</w:t>
      </w:r>
    </w:p>
    <w:p w14:paraId="55EA9871" w14:textId="48596D45" w:rsidR="003E33CD" w:rsidRDefault="003E33CD" w:rsidP="003E33CD">
      <w:pPr>
        <w:pStyle w:val="ListParagraph"/>
        <w:numPr>
          <w:ilvl w:val="0"/>
          <w:numId w:val="4"/>
        </w:numPr>
        <w:spacing w:line="360" w:lineRule="auto"/>
        <w:jc w:val="both"/>
        <w:rPr>
          <w:rFonts w:ascii="Arial" w:hAnsi="Arial" w:cs="Arial"/>
        </w:rPr>
      </w:pPr>
      <w:r>
        <w:rPr>
          <w:rFonts w:ascii="Arial" w:hAnsi="Arial" w:cs="Arial"/>
        </w:rPr>
        <w:t>Operating profit margin – assesses operational efficiency.</w:t>
      </w:r>
    </w:p>
    <w:p w14:paraId="0CE6DE60" w14:textId="2AD274D8" w:rsidR="003E33CD" w:rsidRDefault="003E33CD" w:rsidP="003E33CD">
      <w:pPr>
        <w:pStyle w:val="ListParagraph"/>
        <w:numPr>
          <w:ilvl w:val="0"/>
          <w:numId w:val="4"/>
        </w:numPr>
        <w:spacing w:line="360" w:lineRule="auto"/>
        <w:jc w:val="both"/>
        <w:rPr>
          <w:rFonts w:ascii="Arial" w:hAnsi="Arial" w:cs="Arial"/>
        </w:rPr>
      </w:pPr>
      <w:r>
        <w:rPr>
          <w:rFonts w:ascii="Arial" w:hAnsi="Arial" w:cs="Arial"/>
        </w:rPr>
        <w:t>Return on capital employed – evaluates capital utilisation.</w:t>
      </w:r>
    </w:p>
    <w:p w14:paraId="39823DC9" w14:textId="5AAABF44" w:rsidR="003E33CD" w:rsidRDefault="003E33CD" w:rsidP="003E33CD">
      <w:pPr>
        <w:pStyle w:val="ListParagraph"/>
        <w:numPr>
          <w:ilvl w:val="0"/>
          <w:numId w:val="4"/>
        </w:numPr>
        <w:spacing w:line="360" w:lineRule="auto"/>
        <w:jc w:val="both"/>
        <w:rPr>
          <w:rFonts w:ascii="Arial" w:hAnsi="Arial" w:cs="Arial"/>
        </w:rPr>
      </w:pPr>
      <w:r>
        <w:rPr>
          <w:rFonts w:ascii="Arial" w:hAnsi="Arial" w:cs="Arial"/>
        </w:rPr>
        <w:t>Like-for-like sales growth – reflects underlying retail performance.</w:t>
      </w:r>
    </w:p>
    <w:p w14:paraId="22117100" w14:textId="6541E49D" w:rsidR="003E33CD" w:rsidRDefault="003E33CD" w:rsidP="003E33CD">
      <w:pPr>
        <w:pStyle w:val="ListParagraph"/>
        <w:numPr>
          <w:ilvl w:val="0"/>
          <w:numId w:val="4"/>
        </w:numPr>
        <w:spacing w:line="360" w:lineRule="auto"/>
        <w:jc w:val="both"/>
        <w:rPr>
          <w:rFonts w:ascii="Arial" w:hAnsi="Arial" w:cs="Arial"/>
        </w:rPr>
      </w:pPr>
      <w:r>
        <w:rPr>
          <w:rFonts w:ascii="Arial" w:hAnsi="Arial" w:cs="Arial"/>
        </w:rPr>
        <w:t>Customer satisfaction and market share – non-financial indicators of competitiveness.</w:t>
      </w:r>
    </w:p>
    <w:p w14:paraId="2452B1E5" w14:textId="0D0E83B1" w:rsidR="003E33CD" w:rsidRDefault="0071226F" w:rsidP="003E33CD">
      <w:pPr>
        <w:spacing w:line="360" w:lineRule="auto"/>
        <w:jc w:val="both"/>
        <w:rPr>
          <w:rFonts w:ascii="Arial" w:hAnsi="Arial" w:cs="Arial"/>
        </w:rPr>
      </w:pPr>
      <w:r>
        <w:rPr>
          <w:rFonts w:ascii="Arial" w:hAnsi="Arial" w:cs="Arial"/>
        </w:rPr>
        <w:t>Financial key performance indicators such as return on capital employed are critical in evaluating long-term value creation (</w:t>
      </w:r>
      <w:proofErr w:type="spellStart"/>
      <w:r>
        <w:rPr>
          <w:rFonts w:ascii="Arial" w:hAnsi="Arial" w:cs="Arial"/>
        </w:rPr>
        <w:t>Atrill</w:t>
      </w:r>
      <w:proofErr w:type="spellEnd"/>
      <w:r>
        <w:rPr>
          <w:rFonts w:ascii="Arial" w:hAnsi="Arial" w:cs="Arial"/>
        </w:rPr>
        <w:t xml:space="preserve"> and McLaney, 2019). </w:t>
      </w:r>
      <w:r w:rsidR="008B0603" w:rsidRPr="008B0603">
        <w:rPr>
          <w:rFonts w:ascii="Arial" w:hAnsi="Arial" w:cs="Arial"/>
        </w:rPr>
        <w:t>Non-financial measures are consistent with the Balanced Scorecard approach, which combines financial, customer, internal process, and learning and growth perspectives into a single integrated performance framework.</w:t>
      </w:r>
      <w:r w:rsidR="008B0603" w:rsidRPr="008B0603">
        <w:rPr>
          <w:rFonts w:ascii="Arial" w:hAnsi="Arial" w:cs="Arial"/>
        </w:rPr>
        <w:t xml:space="preserve"> </w:t>
      </w:r>
      <w:r>
        <w:rPr>
          <w:rFonts w:ascii="Arial" w:hAnsi="Arial" w:cs="Arial"/>
        </w:rPr>
        <w:t>(Kaplan and Norton, 1996).</w:t>
      </w:r>
    </w:p>
    <w:p w14:paraId="4FA35E4A" w14:textId="0D8FA7FF" w:rsidR="0071226F" w:rsidRDefault="0071226F" w:rsidP="003E33CD">
      <w:pPr>
        <w:spacing w:line="360" w:lineRule="auto"/>
        <w:jc w:val="both"/>
        <w:rPr>
          <w:rFonts w:ascii="Arial" w:hAnsi="Arial" w:cs="Arial"/>
        </w:rPr>
      </w:pPr>
      <w:r>
        <w:rPr>
          <w:rFonts w:ascii="Arial" w:hAnsi="Arial" w:cs="Arial"/>
        </w:rPr>
        <w:t xml:space="preserve">By monitoring these metrics, management can identify trends and implement corrective action. For example, declining profit margins may trigger cost-cutting or pricing adjustments. </w:t>
      </w:r>
    </w:p>
    <w:p w14:paraId="5AD6CEE2" w14:textId="58A7ADBC" w:rsidR="0071226F" w:rsidRPr="00EC1038" w:rsidRDefault="0071226F" w:rsidP="003E33CD">
      <w:pPr>
        <w:spacing w:line="360" w:lineRule="auto"/>
        <w:jc w:val="both"/>
        <w:rPr>
          <w:rFonts w:ascii="Arial" w:hAnsi="Arial" w:cs="Arial"/>
          <w:b/>
          <w:bCs/>
        </w:rPr>
      </w:pPr>
      <w:r w:rsidRPr="00EC1038">
        <w:rPr>
          <w:rFonts w:ascii="Arial" w:hAnsi="Arial" w:cs="Arial"/>
          <w:b/>
          <w:bCs/>
        </w:rPr>
        <w:t>Strategic decisions based on performance data</w:t>
      </w:r>
    </w:p>
    <w:p w14:paraId="08515DFF" w14:textId="2D200819" w:rsidR="0071226F" w:rsidRDefault="0071226F" w:rsidP="003E33CD">
      <w:pPr>
        <w:spacing w:line="360" w:lineRule="auto"/>
        <w:jc w:val="both"/>
        <w:rPr>
          <w:rFonts w:ascii="Arial" w:hAnsi="Arial" w:cs="Arial"/>
        </w:rPr>
      </w:pPr>
      <w:r>
        <w:rPr>
          <w:rFonts w:ascii="Arial" w:hAnsi="Arial" w:cs="Arial"/>
        </w:rPr>
        <w:t>Management accounting data informs several strategic decisions at Sainsbury:</w:t>
      </w:r>
    </w:p>
    <w:p w14:paraId="73068D34" w14:textId="11308246" w:rsidR="0071226F" w:rsidRDefault="0071226F" w:rsidP="0071226F">
      <w:pPr>
        <w:pStyle w:val="ListParagraph"/>
        <w:numPr>
          <w:ilvl w:val="0"/>
          <w:numId w:val="5"/>
        </w:numPr>
        <w:spacing w:line="360" w:lineRule="auto"/>
        <w:jc w:val="both"/>
        <w:rPr>
          <w:rFonts w:ascii="Arial" w:hAnsi="Arial" w:cs="Arial"/>
        </w:rPr>
      </w:pPr>
      <w:r>
        <w:rPr>
          <w:rFonts w:ascii="Arial" w:hAnsi="Arial" w:cs="Arial"/>
        </w:rPr>
        <w:t>Expansion and store rationalisation: performance analysis helps determine which stores to refurbish, relocate or close.</w:t>
      </w:r>
    </w:p>
    <w:p w14:paraId="34279149" w14:textId="1E55452A" w:rsidR="0071226F" w:rsidRDefault="0071226F" w:rsidP="0071226F">
      <w:pPr>
        <w:pStyle w:val="ListParagraph"/>
        <w:numPr>
          <w:ilvl w:val="0"/>
          <w:numId w:val="5"/>
        </w:numPr>
        <w:spacing w:line="360" w:lineRule="auto"/>
        <w:jc w:val="both"/>
        <w:rPr>
          <w:rFonts w:ascii="Arial" w:hAnsi="Arial" w:cs="Arial"/>
        </w:rPr>
      </w:pPr>
      <w:r>
        <w:rPr>
          <w:rFonts w:ascii="Arial" w:hAnsi="Arial" w:cs="Arial"/>
        </w:rPr>
        <w:t xml:space="preserve">Cost reduction initiatives: efficiency programmes are implemented when margins decline. </w:t>
      </w:r>
    </w:p>
    <w:p w14:paraId="043CBEBD" w14:textId="25401888" w:rsidR="0071226F" w:rsidRDefault="0071226F" w:rsidP="0071226F">
      <w:pPr>
        <w:pStyle w:val="ListParagraph"/>
        <w:numPr>
          <w:ilvl w:val="0"/>
          <w:numId w:val="5"/>
        </w:numPr>
        <w:spacing w:line="360" w:lineRule="auto"/>
        <w:jc w:val="both"/>
        <w:rPr>
          <w:rFonts w:ascii="Arial" w:hAnsi="Arial" w:cs="Arial"/>
        </w:rPr>
      </w:pPr>
      <w:r>
        <w:rPr>
          <w:rFonts w:ascii="Arial" w:hAnsi="Arial" w:cs="Arial"/>
        </w:rPr>
        <w:t>Product pricing strategy: contribution and elasticity analysis guide pricing decisions.</w:t>
      </w:r>
    </w:p>
    <w:p w14:paraId="5C0CDF8B" w14:textId="6D97F623" w:rsidR="0071226F" w:rsidRDefault="0071226F" w:rsidP="0071226F">
      <w:pPr>
        <w:pStyle w:val="ListParagraph"/>
        <w:numPr>
          <w:ilvl w:val="0"/>
          <w:numId w:val="5"/>
        </w:numPr>
        <w:spacing w:line="360" w:lineRule="auto"/>
        <w:jc w:val="both"/>
        <w:rPr>
          <w:rFonts w:ascii="Arial" w:hAnsi="Arial" w:cs="Arial"/>
        </w:rPr>
      </w:pPr>
      <w:r>
        <w:rPr>
          <w:rFonts w:ascii="Arial" w:hAnsi="Arial" w:cs="Arial"/>
        </w:rPr>
        <w:t xml:space="preserve">Digital investment: online performance metrics justify investment in e-commerce platforms. </w:t>
      </w:r>
    </w:p>
    <w:p w14:paraId="6D43317F" w14:textId="7969DFAA" w:rsidR="0071226F" w:rsidRDefault="0071226F" w:rsidP="0071226F">
      <w:pPr>
        <w:spacing w:line="360" w:lineRule="auto"/>
        <w:jc w:val="both"/>
        <w:rPr>
          <w:rFonts w:ascii="Arial" w:hAnsi="Arial" w:cs="Arial"/>
        </w:rPr>
      </w:pPr>
      <w:r>
        <w:rPr>
          <w:rFonts w:ascii="Arial" w:hAnsi="Arial" w:cs="Arial"/>
        </w:rPr>
        <w:lastRenderedPageBreak/>
        <w:t>For instance, Sainsbury integration of Argos into supermarket locations was based on performance data showing potential for cost synergies and improved space utilisation (Sainsbury, 2023).</w:t>
      </w:r>
    </w:p>
    <w:p w14:paraId="0C43C25C" w14:textId="5E4CBE18" w:rsidR="0071226F" w:rsidRDefault="0071226F" w:rsidP="0071226F">
      <w:pPr>
        <w:spacing w:line="360" w:lineRule="auto"/>
        <w:jc w:val="both"/>
        <w:rPr>
          <w:rFonts w:ascii="Arial" w:hAnsi="Arial" w:cs="Arial"/>
        </w:rPr>
      </w:pPr>
      <w:r>
        <w:rPr>
          <w:rFonts w:ascii="Arial" w:hAnsi="Arial" w:cs="Arial"/>
        </w:rPr>
        <w:t xml:space="preserve">Performance measurement also supports benchmarking against competitors. According to Porter (1985), competitive advantages arise from cost leadership or differentiation. Sainsbury uses performance metrics to balance competitive pricing with quality differentiation. </w:t>
      </w:r>
    </w:p>
    <w:p w14:paraId="55441AFC" w14:textId="0D995A7B" w:rsidR="0071226F" w:rsidRDefault="0071226F" w:rsidP="0071226F">
      <w:pPr>
        <w:spacing w:line="360" w:lineRule="auto"/>
        <w:jc w:val="both"/>
        <w:rPr>
          <w:rFonts w:ascii="Arial" w:hAnsi="Arial" w:cs="Arial"/>
        </w:rPr>
      </w:pPr>
      <w:r>
        <w:rPr>
          <w:rFonts w:ascii="Arial" w:hAnsi="Arial" w:cs="Arial"/>
        </w:rPr>
        <w:t>Variance analysis further strengthens decision-making by highlighting deviations between expected and actual outcomes. Managers can distinguish controllable from uncontrollable variances, improving accountability and financial discipline (Drury, 2018).</w:t>
      </w:r>
    </w:p>
    <w:p w14:paraId="7CA2C9A3" w14:textId="77777777" w:rsidR="0071226F" w:rsidRDefault="0071226F" w:rsidP="0071226F">
      <w:pPr>
        <w:spacing w:line="360" w:lineRule="auto"/>
        <w:jc w:val="both"/>
        <w:rPr>
          <w:rFonts w:ascii="Arial" w:hAnsi="Arial" w:cs="Arial"/>
        </w:rPr>
      </w:pPr>
    </w:p>
    <w:p w14:paraId="22D451B4" w14:textId="3ECA0D6E" w:rsidR="0071226F" w:rsidRPr="00EC1038" w:rsidRDefault="0071226F" w:rsidP="0071226F">
      <w:pPr>
        <w:pStyle w:val="Heading2"/>
        <w:rPr>
          <w:rFonts w:ascii="Arial" w:hAnsi="Arial" w:cs="Arial"/>
          <w:sz w:val="28"/>
          <w:szCs w:val="28"/>
        </w:rPr>
      </w:pPr>
      <w:bookmarkStart w:id="4" w:name="_Toc222939816"/>
      <w:r w:rsidRPr="00EC1038">
        <w:rPr>
          <w:rFonts w:ascii="Arial" w:hAnsi="Arial" w:cs="Arial"/>
          <w:sz w:val="28"/>
          <w:szCs w:val="28"/>
        </w:rPr>
        <w:t>Sustainability and ethical considerations</w:t>
      </w:r>
      <w:bookmarkEnd w:id="4"/>
    </w:p>
    <w:p w14:paraId="57DE8671" w14:textId="465DA052" w:rsidR="0071226F" w:rsidRDefault="0071226F" w:rsidP="0071226F">
      <w:pPr>
        <w:spacing w:line="360" w:lineRule="auto"/>
        <w:jc w:val="both"/>
        <w:rPr>
          <w:rFonts w:ascii="Arial" w:hAnsi="Arial" w:cs="Arial"/>
        </w:rPr>
      </w:pPr>
      <w:r>
        <w:rPr>
          <w:rFonts w:ascii="Arial" w:hAnsi="Arial" w:cs="Arial"/>
        </w:rPr>
        <w:t>Sustainability has become integral to financial decision-making. Sainsbury has committed to achieving net zero carbon emissions across its operations by 2035 (Sainsbury, 2023). Such commitments require capital investment in renewable energy, energy-efficient refrigeration and supply chain improvements.</w:t>
      </w:r>
    </w:p>
    <w:p w14:paraId="6BB9B911" w14:textId="55268356" w:rsidR="0071226F" w:rsidRDefault="008B0603" w:rsidP="0071226F">
      <w:pPr>
        <w:spacing w:line="360" w:lineRule="auto"/>
        <w:jc w:val="both"/>
        <w:rPr>
          <w:rFonts w:ascii="Arial" w:hAnsi="Arial" w:cs="Arial"/>
        </w:rPr>
      </w:pPr>
      <w:r w:rsidRPr="008B0603">
        <w:rPr>
          <w:rFonts w:ascii="Arial" w:hAnsi="Arial" w:cs="Arial"/>
        </w:rPr>
        <w:t>From a management accounting perspective, sustainability initiatives should be assessed using investment appraisal methods such as net present value and internal rate of return</w:t>
      </w:r>
      <w:r w:rsidR="0056200F">
        <w:rPr>
          <w:rFonts w:ascii="Arial" w:hAnsi="Arial" w:cs="Arial"/>
        </w:rPr>
        <w:t xml:space="preserve"> (</w:t>
      </w:r>
      <w:proofErr w:type="spellStart"/>
      <w:r w:rsidR="0056200F">
        <w:rPr>
          <w:rFonts w:ascii="Arial" w:hAnsi="Arial" w:cs="Arial"/>
        </w:rPr>
        <w:t>Atrill</w:t>
      </w:r>
      <w:proofErr w:type="spellEnd"/>
      <w:r w:rsidR="0056200F">
        <w:rPr>
          <w:rFonts w:ascii="Arial" w:hAnsi="Arial" w:cs="Arial"/>
        </w:rPr>
        <w:t xml:space="preserve"> and McLaney, 2019). Although environmentally friendly projects may involve high upfront costs, they can generate long-term cost savings and reputational benefits. </w:t>
      </w:r>
    </w:p>
    <w:p w14:paraId="66DF6ECE" w14:textId="0759F3D6" w:rsidR="0056200F" w:rsidRDefault="0056200F" w:rsidP="0071226F">
      <w:pPr>
        <w:spacing w:line="360" w:lineRule="auto"/>
        <w:jc w:val="both"/>
        <w:rPr>
          <w:rFonts w:ascii="Arial" w:hAnsi="Arial" w:cs="Arial"/>
        </w:rPr>
      </w:pPr>
      <w:r>
        <w:rPr>
          <w:rFonts w:ascii="Arial" w:hAnsi="Arial" w:cs="Arial"/>
        </w:rPr>
        <w:t>Ethical considerations also influence pricing and sourcing strategies. fair trade sourcing, responsible supply chain management and waste reduction policies align with stakeholder expectations. Freeman’s stakeholder theory emphasises that firms must consider the interests of multiple stakeholders, not only shareholders (Freeman, 2010).</w:t>
      </w:r>
    </w:p>
    <w:p w14:paraId="7A1305FF" w14:textId="77777777" w:rsidR="0056200F" w:rsidRDefault="0056200F" w:rsidP="0071226F">
      <w:pPr>
        <w:spacing w:line="360" w:lineRule="auto"/>
        <w:jc w:val="both"/>
        <w:rPr>
          <w:rFonts w:ascii="Arial" w:hAnsi="Arial" w:cs="Arial"/>
        </w:rPr>
      </w:pPr>
      <w:r>
        <w:rPr>
          <w:rFonts w:ascii="Arial" w:hAnsi="Arial" w:cs="Arial"/>
        </w:rPr>
        <w:t>Cost management decisions must therefore balance profitability with ethical responsibility. For example, reducing supplier payment to cut costs may damage long-term relationships and brand reputation.</w:t>
      </w:r>
    </w:p>
    <w:p w14:paraId="0ED5788F" w14:textId="364D5DF0" w:rsidR="00EC1038" w:rsidRDefault="0056200F" w:rsidP="0071226F">
      <w:pPr>
        <w:spacing w:line="360" w:lineRule="auto"/>
        <w:jc w:val="both"/>
        <w:rPr>
          <w:rFonts w:ascii="Arial" w:hAnsi="Arial" w:cs="Arial"/>
        </w:rPr>
      </w:pPr>
      <w:r>
        <w:rPr>
          <w:rFonts w:ascii="Arial" w:hAnsi="Arial" w:cs="Arial"/>
        </w:rPr>
        <w:lastRenderedPageBreak/>
        <w:t xml:space="preserve">Sainsbury also reports on environmental, social and governance metrics, reflecting the growing importance of non-financial reporting (Sainsbury, 2023). Integrating sustainability into management accounting ensures that long-term value creation is prioritised over short-term profit maximisation.  </w:t>
      </w:r>
    </w:p>
    <w:p w14:paraId="07F789E1" w14:textId="77777777" w:rsidR="00DF7FD9" w:rsidRDefault="00DF7FD9" w:rsidP="0071226F">
      <w:pPr>
        <w:spacing w:line="360" w:lineRule="auto"/>
        <w:jc w:val="both"/>
        <w:rPr>
          <w:rFonts w:ascii="Arial" w:hAnsi="Arial" w:cs="Arial"/>
        </w:rPr>
      </w:pPr>
    </w:p>
    <w:p w14:paraId="14C41D24" w14:textId="77777777" w:rsidR="00DF7FD9" w:rsidRDefault="00DF7FD9" w:rsidP="0071226F">
      <w:pPr>
        <w:spacing w:line="360" w:lineRule="auto"/>
        <w:jc w:val="both"/>
        <w:rPr>
          <w:rFonts w:ascii="Arial" w:hAnsi="Arial" w:cs="Arial"/>
        </w:rPr>
      </w:pPr>
    </w:p>
    <w:p w14:paraId="6ADE6B36" w14:textId="77777777" w:rsidR="00DF7FD9" w:rsidRDefault="00DF7FD9" w:rsidP="0071226F">
      <w:pPr>
        <w:spacing w:line="360" w:lineRule="auto"/>
        <w:jc w:val="both"/>
        <w:rPr>
          <w:rFonts w:ascii="Arial" w:hAnsi="Arial" w:cs="Arial"/>
        </w:rPr>
      </w:pPr>
    </w:p>
    <w:p w14:paraId="4D4C2E65" w14:textId="77777777" w:rsidR="00DF7FD9" w:rsidRDefault="00DF7FD9" w:rsidP="0071226F">
      <w:pPr>
        <w:spacing w:line="360" w:lineRule="auto"/>
        <w:jc w:val="both"/>
        <w:rPr>
          <w:rFonts w:ascii="Arial" w:hAnsi="Arial" w:cs="Arial"/>
        </w:rPr>
      </w:pPr>
    </w:p>
    <w:p w14:paraId="42498BA1" w14:textId="77777777" w:rsidR="00DF7FD9" w:rsidRDefault="00DF7FD9" w:rsidP="0071226F">
      <w:pPr>
        <w:spacing w:line="360" w:lineRule="auto"/>
        <w:jc w:val="both"/>
        <w:rPr>
          <w:rFonts w:ascii="Arial" w:hAnsi="Arial" w:cs="Arial"/>
        </w:rPr>
      </w:pPr>
    </w:p>
    <w:p w14:paraId="124D0EE0" w14:textId="77777777" w:rsidR="00DF7FD9" w:rsidRDefault="00DF7FD9" w:rsidP="0071226F">
      <w:pPr>
        <w:spacing w:line="360" w:lineRule="auto"/>
        <w:jc w:val="both"/>
        <w:rPr>
          <w:rFonts w:ascii="Arial" w:hAnsi="Arial" w:cs="Arial"/>
        </w:rPr>
      </w:pPr>
    </w:p>
    <w:p w14:paraId="2CCB9F7D" w14:textId="77777777" w:rsidR="00DF7FD9" w:rsidRDefault="00DF7FD9" w:rsidP="0071226F">
      <w:pPr>
        <w:spacing w:line="360" w:lineRule="auto"/>
        <w:jc w:val="both"/>
        <w:rPr>
          <w:rFonts w:ascii="Arial" w:hAnsi="Arial" w:cs="Arial"/>
        </w:rPr>
      </w:pPr>
    </w:p>
    <w:p w14:paraId="7AFA0FD9" w14:textId="77777777" w:rsidR="00DF7FD9" w:rsidRDefault="00DF7FD9" w:rsidP="0071226F">
      <w:pPr>
        <w:spacing w:line="360" w:lineRule="auto"/>
        <w:jc w:val="both"/>
        <w:rPr>
          <w:rFonts w:ascii="Arial" w:hAnsi="Arial" w:cs="Arial"/>
        </w:rPr>
      </w:pPr>
    </w:p>
    <w:p w14:paraId="7A286480" w14:textId="77777777" w:rsidR="00DF7FD9" w:rsidRDefault="00DF7FD9" w:rsidP="0071226F">
      <w:pPr>
        <w:spacing w:line="360" w:lineRule="auto"/>
        <w:jc w:val="both"/>
        <w:rPr>
          <w:rFonts w:ascii="Arial" w:hAnsi="Arial" w:cs="Arial"/>
        </w:rPr>
      </w:pPr>
    </w:p>
    <w:p w14:paraId="70CD303F" w14:textId="77777777" w:rsidR="00DF7FD9" w:rsidRDefault="00DF7FD9" w:rsidP="0071226F">
      <w:pPr>
        <w:spacing w:line="360" w:lineRule="auto"/>
        <w:jc w:val="both"/>
        <w:rPr>
          <w:rFonts w:ascii="Arial" w:hAnsi="Arial" w:cs="Arial"/>
        </w:rPr>
      </w:pPr>
    </w:p>
    <w:p w14:paraId="1E501611" w14:textId="77777777" w:rsidR="00DF7FD9" w:rsidRDefault="00DF7FD9" w:rsidP="0071226F">
      <w:pPr>
        <w:spacing w:line="360" w:lineRule="auto"/>
        <w:jc w:val="both"/>
        <w:rPr>
          <w:rFonts w:ascii="Arial" w:hAnsi="Arial" w:cs="Arial"/>
        </w:rPr>
      </w:pPr>
    </w:p>
    <w:p w14:paraId="41B804A7" w14:textId="77777777" w:rsidR="00DF7FD9" w:rsidRDefault="00DF7FD9" w:rsidP="0071226F">
      <w:pPr>
        <w:spacing w:line="360" w:lineRule="auto"/>
        <w:jc w:val="both"/>
        <w:rPr>
          <w:rFonts w:ascii="Arial" w:hAnsi="Arial" w:cs="Arial"/>
        </w:rPr>
      </w:pPr>
    </w:p>
    <w:p w14:paraId="6A3F983B" w14:textId="77777777" w:rsidR="00DF7FD9" w:rsidRDefault="00DF7FD9" w:rsidP="0071226F">
      <w:pPr>
        <w:spacing w:line="360" w:lineRule="auto"/>
        <w:jc w:val="both"/>
        <w:rPr>
          <w:rFonts w:ascii="Arial" w:hAnsi="Arial" w:cs="Arial"/>
        </w:rPr>
      </w:pPr>
    </w:p>
    <w:p w14:paraId="6FEDE671" w14:textId="77777777" w:rsidR="00DF7FD9" w:rsidRDefault="00DF7FD9" w:rsidP="0071226F">
      <w:pPr>
        <w:spacing w:line="360" w:lineRule="auto"/>
        <w:jc w:val="both"/>
        <w:rPr>
          <w:rFonts w:ascii="Arial" w:hAnsi="Arial" w:cs="Arial"/>
        </w:rPr>
      </w:pPr>
    </w:p>
    <w:p w14:paraId="0D30B317" w14:textId="77777777" w:rsidR="00DF7FD9" w:rsidRDefault="00DF7FD9" w:rsidP="0071226F">
      <w:pPr>
        <w:spacing w:line="360" w:lineRule="auto"/>
        <w:jc w:val="both"/>
        <w:rPr>
          <w:rFonts w:ascii="Arial" w:hAnsi="Arial" w:cs="Arial"/>
        </w:rPr>
      </w:pPr>
    </w:p>
    <w:p w14:paraId="02000634" w14:textId="77777777" w:rsidR="00DF7FD9" w:rsidRDefault="00DF7FD9" w:rsidP="0071226F">
      <w:pPr>
        <w:spacing w:line="360" w:lineRule="auto"/>
        <w:jc w:val="both"/>
        <w:rPr>
          <w:rFonts w:ascii="Arial" w:hAnsi="Arial" w:cs="Arial"/>
        </w:rPr>
      </w:pPr>
    </w:p>
    <w:p w14:paraId="40374CC3" w14:textId="77777777" w:rsidR="00DF7FD9" w:rsidRDefault="00DF7FD9" w:rsidP="0071226F">
      <w:pPr>
        <w:spacing w:line="360" w:lineRule="auto"/>
        <w:jc w:val="both"/>
        <w:rPr>
          <w:rFonts w:ascii="Arial" w:hAnsi="Arial" w:cs="Arial"/>
        </w:rPr>
      </w:pPr>
    </w:p>
    <w:p w14:paraId="679AE30F" w14:textId="77777777" w:rsidR="00DF7FD9" w:rsidRDefault="00DF7FD9" w:rsidP="0071226F">
      <w:pPr>
        <w:spacing w:line="360" w:lineRule="auto"/>
        <w:jc w:val="both"/>
        <w:rPr>
          <w:rFonts w:ascii="Arial" w:hAnsi="Arial" w:cs="Arial"/>
        </w:rPr>
      </w:pPr>
    </w:p>
    <w:p w14:paraId="2EAD3F04" w14:textId="77777777" w:rsidR="00DF7FD9" w:rsidRDefault="00DF7FD9" w:rsidP="0071226F">
      <w:pPr>
        <w:spacing w:line="360" w:lineRule="auto"/>
        <w:jc w:val="both"/>
        <w:rPr>
          <w:rFonts w:ascii="Arial" w:hAnsi="Arial" w:cs="Arial"/>
        </w:rPr>
      </w:pPr>
    </w:p>
    <w:p w14:paraId="05C644AF" w14:textId="77777777" w:rsidR="00DF7FD9" w:rsidRDefault="00DF7FD9" w:rsidP="0071226F">
      <w:pPr>
        <w:spacing w:line="360" w:lineRule="auto"/>
        <w:jc w:val="both"/>
        <w:rPr>
          <w:rFonts w:ascii="Arial" w:hAnsi="Arial" w:cs="Arial"/>
        </w:rPr>
      </w:pPr>
    </w:p>
    <w:p w14:paraId="04C85D53" w14:textId="36F826B6" w:rsidR="0056200F" w:rsidRDefault="0056200F" w:rsidP="0056200F">
      <w:pPr>
        <w:pStyle w:val="Heading3"/>
        <w:rPr>
          <w:rFonts w:ascii="Arial" w:hAnsi="Arial" w:cs="Arial"/>
        </w:rPr>
      </w:pPr>
      <w:bookmarkStart w:id="5" w:name="_Toc222939817"/>
      <w:r>
        <w:rPr>
          <w:rFonts w:ascii="Arial" w:hAnsi="Arial" w:cs="Arial"/>
        </w:rPr>
        <w:lastRenderedPageBreak/>
        <w:t>Conclusion and recommendations</w:t>
      </w:r>
      <w:bookmarkEnd w:id="5"/>
    </w:p>
    <w:p w14:paraId="4BB050BF" w14:textId="77777777" w:rsidR="008B0603" w:rsidRPr="008B0603" w:rsidRDefault="008B0603" w:rsidP="008B0603">
      <w:pPr>
        <w:spacing w:line="360" w:lineRule="auto"/>
        <w:jc w:val="both"/>
        <w:rPr>
          <w:rFonts w:ascii="Arial" w:hAnsi="Arial" w:cs="Arial"/>
        </w:rPr>
      </w:pPr>
      <w:r w:rsidRPr="008B0603">
        <w:rPr>
          <w:rFonts w:ascii="Arial" w:hAnsi="Arial" w:cs="Arial"/>
        </w:rPr>
        <w:t>This report has analysed how Sainsbury’s applies management accounting tools to inform financial decision-making. Cost analysis, budgeting, performance measurement, and sustainability assessment play a vital role in sustaining competitiveness within the UK retail sector.</w:t>
      </w:r>
    </w:p>
    <w:p w14:paraId="1F639D43" w14:textId="380C47D3" w:rsidR="0056200F" w:rsidRDefault="0056200F" w:rsidP="0071226F">
      <w:pPr>
        <w:spacing w:line="360" w:lineRule="auto"/>
        <w:jc w:val="both"/>
        <w:rPr>
          <w:rFonts w:ascii="Arial" w:hAnsi="Arial" w:cs="Arial"/>
        </w:rPr>
      </w:pPr>
      <w:r>
        <w:rPr>
          <w:rFonts w:ascii="Arial" w:hAnsi="Arial" w:cs="Arial"/>
        </w:rPr>
        <w:t>The company’s revenue model depends on high-volume grocery sales, supported by diversified operations in general merchandise and financial services. Effective cost classification into fixed and variable components enables break-even and contribution analysis. Budgeting provides planning and control mechanisms, particularly important during periods of economic uncertainty. Performance measurement through financial and non-financial key performance indicators informs strategic decisions such as store integration and cost optimisation. Finally, sustainability considerations increasingly shape investment and pricing decisions.</w:t>
      </w:r>
    </w:p>
    <w:p w14:paraId="208A7A69" w14:textId="349673A4" w:rsidR="0056200F" w:rsidRDefault="0056200F" w:rsidP="0071226F">
      <w:pPr>
        <w:spacing w:line="360" w:lineRule="auto"/>
        <w:jc w:val="both"/>
        <w:rPr>
          <w:rFonts w:ascii="Arial" w:hAnsi="Arial" w:cs="Arial"/>
        </w:rPr>
      </w:pPr>
      <w:r>
        <w:rPr>
          <w:rFonts w:ascii="Arial" w:hAnsi="Arial" w:cs="Arial"/>
        </w:rPr>
        <w:t>Based on management accounting principles, the following recommendations are proposed:</w:t>
      </w:r>
    </w:p>
    <w:p w14:paraId="2F35A6B1" w14:textId="233A77BF" w:rsidR="0056200F" w:rsidRDefault="0056200F" w:rsidP="0056200F">
      <w:pPr>
        <w:pStyle w:val="ListParagraph"/>
        <w:numPr>
          <w:ilvl w:val="0"/>
          <w:numId w:val="6"/>
        </w:numPr>
        <w:spacing w:line="360" w:lineRule="auto"/>
        <w:jc w:val="both"/>
        <w:rPr>
          <w:rFonts w:ascii="Arial" w:hAnsi="Arial" w:cs="Arial"/>
        </w:rPr>
      </w:pPr>
      <w:r>
        <w:rPr>
          <w:rFonts w:ascii="Arial" w:hAnsi="Arial" w:cs="Arial"/>
        </w:rPr>
        <w:t>Expand activity-based costing: greater use of refined costing techniques would improve product-level profitability analysis and strategic decisions.</w:t>
      </w:r>
    </w:p>
    <w:p w14:paraId="01A3835C" w14:textId="6D460997" w:rsidR="001A5241" w:rsidRDefault="001A5241" w:rsidP="0056200F">
      <w:pPr>
        <w:pStyle w:val="ListParagraph"/>
        <w:numPr>
          <w:ilvl w:val="0"/>
          <w:numId w:val="6"/>
        </w:numPr>
        <w:spacing w:line="360" w:lineRule="auto"/>
        <w:jc w:val="both"/>
        <w:rPr>
          <w:rFonts w:ascii="Arial" w:hAnsi="Arial" w:cs="Arial"/>
        </w:rPr>
      </w:pPr>
      <w:r>
        <w:rPr>
          <w:rFonts w:ascii="Arial" w:hAnsi="Arial" w:cs="Arial"/>
        </w:rPr>
        <w:t xml:space="preserve">Enhance flexible budgeting systems: in an inflationary environment, dynamic budgeting models would allow faster response to cost volatility. </w:t>
      </w:r>
    </w:p>
    <w:p w14:paraId="6409FD9C" w14:textId="77777777" w:rsidR="001A5241" w:rsidRDefault="001A5241" w:rsidP="0056200F">
      <w:pPr>
        <w:pStyle w:val="ListParagraph"/>
        <w:numPr>
          <w:ilvl w:val="0"/>
          <w:numId w:val="6"/>
        </w:numPr>
        <w:spacing w:line="360" w:lineRule="auto"/>
        <w:jc w:val="both"/>
        <w:rPr>
          <w:rFonts w:ascii="Arial" w:hAnsi="Arial" w:cs="Arial"/>
        </w:rPr>
      </w:pPr>
      <w:r>
        <w:rPr>
          <w:rFonts w:ascii="Arial" w:hAnsi="Arial" w:cs="Arial"/>
        </w:rPr>
        <w:t xml:space="preserve">Integrate sustainability metrics into performance dashboard: linking ESG targets with financial key performance indicators would strengthen long-term strategic alignment. </w:t>
      </w:r>
    </w:p>
    <w:p w14:paraId="78BF3CD0" w14:textId="7DB0F771" w:rsidR="001A5241" w:rsidRDefault="001A5241" w:rsidP="001A5241">
      <w:pPr>
        <w:spacing w:line="360" w:lineRule="auto"/>
        <w:jc w:val="both"/>
        <w:rPr>
          <w:rFonts w:ascii="Arial" w:hAnsi="Arial" w:cs="Arial"/>
        </w:rPr>
      </w:pPr>
      <w:r>
        <w:rPr>
          <w:rFonts w:ascii="Arial" w:hAnsi="Arial" w:cs="Arial"/>
        </w:rPr>
        <w:t>In conclusion, management accounting provides Sainsbury with essential tools for planning, control and strategic</w:t>
      </w:r>
      <w:r w:rsidRPr="001A5241">
        <w:rPr>
          <w:rFonts w:ascii="Arial" w:hAnsi="Arial" w:cs="Arial"/>
        </w:rPr>
        <w:t xml:space="preserve"> </w:t>
      </w:r>
      <w:r>
        <w:rPr>
          <w:rFonts w:ascii="Arial" w:hAnsi="Arial" w:cs="Arial"/>
        </w:rPr>
        <w:t xml:space="preserve">decision making. Continued refinement of these techniques will be critical in sustaining competitive advantage within the evolving UK retail market. </w:t>
      </w:r>
    </w:p>
    <w:p w14:paraId="0441E26F" w14:textId="77777777" w:rsidR="001A5241" w:rsidRDefault="001A5241" w:rsidP="001A5241">
      <w:pPr>
        <w:spacing w:line="360" w:lineRule="auto"/>
        <w:jc w:val="both"/>
        <w:rPr>
          <w:rFonts w:ascii="Arial" w:hAnsi="Arial" w:cs="Arial"/>
        </w:rPr>
      </w:pPr>
    </w:p>
    <w:p w14:paraId="6B0865FE" w14:textId="77777777" w:rsidR="001A5241" w:rsidRDefault="001A5241" w:rsidP="001A5241">
      <w:pPr>
        <w:spacing w:line="360" w:lineRule="auto"/>
        <w:jc w:val="both"/>
        <w:rPr>
          <w:rFonts w:ascii="Arial" w:hAnsi="Arial" w:cs="Arial"/>
        </w:rPr>
      </w:pPr>
    </w:p>
    <w:p w14:paraId="26D586D9" w14:textId="77777777" w:rsidR="001A5241" w:rsidRDefault="001A5241" w:rsidP="001A5241">
      <w:pPr>
        <w:spacing w:line="360" w:lineRule="auto"/>
        <w:jc w:val="both"/>
        <w:rPr>
          <w:rFonts w:ascii="Arial" w:hAnsi="Arial" w:cs="Arial"/>
        </w:rPr>
      </w:pPr>
    </w:p>
    <w:p w14:paraId="565209F3" w14:textId="77777777" w:rsidR="001A5241" w:rsidRDefault="001A5241" w:rsidP="001A5241">
      <w:pPr>
        <w:spacing w:line="360" w:lineRule="auto"/>
        <w:jc w:val="both"/>
        <w:rPr>
          <w:rFonts w:ascii="Arial" w:hAnsi="Arial" w:cs="Arial"/>
        </w:rPr>
      </w:pPr>
    </w:p>
    <w:p w14:paraId="5A81B10B" w14:textId="40777386" w:rsidR="001A5241" w:rsidRDefault="001A5241" w:rsidP="001A5241">
      <w:pPr>
        <w:pStyle w:val="Heading3"/>
        <w:rPr>
          <w:rFonts w:ascii="Arial" w:hAnsi="Arial" w:cs="Arial"/>
        </w:rPr>
      </w:pPr>
      <w:bookmarkStart w:id="6" w:name="_Toc222939818"/>
      <w:r>
        <w:rPr>
          <w:rFonts w:ascii="Arial" w:hAnsi="Arial" w:cs="Arial"/>
        </w:rPr>
        <w:lastRenderedPageBreak/>
        <w:t>Reference list</w:t>
      </w:r>
      <w:bookmarkEnd w:id="6"/>
    </w:p>
    <w:p w14:paraId="03FD6E2F" w14:textId="77777777" w:rsidR="001A5241" w:rsidRDefault="001A5241" w:rsidP="001A5241">
      <w:proofErr w:type="spellStart"/>
      <w:r w:rsidRPr="001A5241">
        <w:t>Atrill</w:t>
      </w:r>
      <w:proofErr w:type="spellEnd"/>
      <w:r w:rsidRPr="001A5241">
        <w:t xml:space="preserve">, P. and McLaney, E. (2019) </w:t>
      </w:r>
      <w:r w:rsidRPr="001A5241">
        <w:rPr>
          <w:i/>
          <w:iCs/>
        </w:rPr>
        <w:t>Management Accounting for Decision Makers</w:t>
      </w:r>
      <w:r w:rsidRPr="001A5241">
        <w:t xml:space="preserve">. 9th </w:t>
      </w:r>
      <w:proofErr w:type="spellStart"/>
      <w:r w:rsidRPr="001A5241">
        <w:t>edn</w:t>
      </w:r>
      <w:proofErr w:type="spellEnd"/>
      <w:r w:rsidRPr="001A5241">
        <w:t>. Harlow: Pearson.</w:t>
      </w:r>
    </w:p>
    <w:p w14:paraId="6AD9C3EE" w14:textId="5F1EC231" w:rsidR="00EC1038" w:rsidRDefault="00EC1038" w:rsidP="001A5241">
      <w:r w:rsidRPr="00EC1038">
        <w:t xml:space="preserve">Bromwich, M. and Bhimani, A. (2019) </w:t>
      </w:r>
      <w:r w:rsidRPr="00EC1038">
        <w:rPr>
          <w:i/>
          <w:iCs/>
        </w:rPr>
        <w:t>Management Accounting: Evolution not Revolution</w:t>
      </w:r>
      <w:r w:rsidRPr="00EC1038">
        <w:t>. CIMA.</w:t>
      </w:r>
    </w:p>
    <w:p w14:paraId="1B461F2C" w14:textId="70113374" w:rsidR="00EC1038" w:rsidRPr="001A5241" w:rsidRDefault="00EC1038" w:rsidP="001A5241">
      <w:r w:rsidRPr="00EC1038">
        <w:t>Carbon Trust (2023) Energy Efficiency in Retail.</w:t>
      </w:r>
    </w:p>
    <w:p w14:paraId="2C78A09F" w14:textId="77777777" w:rsidR="001A5241" w:rsidRPr="001A5241" w:rsidRDefault="001A5241" w:rsidP="001A5241">
      <w:r w:rsidRPr="001A5241">
        <w:t xml:space="preserve">Drury, C. (2018) </w:t>
      </w:r>
      <w:r w:rsidRPr="001A5241">
        <w:rPr>
          <w:i/>
          <w:iCs/>
        </w:rPr>
        <w:t>Management and Cost Accounting</w:t>
      </w:r>
      <w:r w:rsidRPr="001A5241">
        <w:t xml:space="preserve">. 10th </w:t>
      </w:r>
      <w:proofErr w:type="spellStart"/>
      <w:r w:rsidRPr="001A5241">
        <w:t>edn</w:t>
      </w:r>
      <w:proofErr w:type="spellEnd"/>
      <w:r w:rsidRPr="001A5241">
        <w:t>. London: Cengage Learning.</w:t>
      </w:r>
    </w:p>
    <w:p w14:paraId="2AB6B94C" w14:textId="77777777" w:rsidR="001A5241" w:rsidRDefault="001A5241" w:rsidP="001A5241">
      <w:r w:rsidRPr="001A5241">
        <w:t xml:space="preserve">Freeman, R.E. (2010) </w:t>
      </w:r>
      <w:r w:rsidRPr="001A5241">
        <w:rPr>
          <w:i/>
          <w:iCs/>
        </w:rPr>
        <w:t>Strategic Management: A Stakeholder Approach</w:t>
      </w:r>
      <w:r w:rsidRPr="001A5241">
        <w:t>. Cambridge: Cambridge University Press.</w:t>
      </w:r>
    </w:p>
    <w:p w14:paraId="4EB91AFA" w14:textId="5FAAC794" w:rsidR="00EC1038" w:rsidRPr="001A5241" w:rsidRDefault="00EC1038" w:rsidP="001A5241">
      <w:r w:rsidRPr="00EC1038">
        <w:t xml:space="preserve">Horngren, C., Datar, S. and Rajan, M. (2017) </w:t>
      </w:r>
      <w:r w:rsidRPr="00EC1038">
        <w:rPr>
          <w:i/>
          <w:iCs/>
        </w:rPr>
        <w:t>Cost Accounting: A Managerial Emphasis</w:t>
      </w:r>
      <w:r w:rsidRPr="00EC1038">
        <w:t>. Pearson.</w:t>
      </w:r>
    </w:p>
    <w:p w14:paraId="3EEF61AA" w14:textId="77777777" w:rsidR="001A5241" w:rsidRPr="001A5241" w:rsidRDefault="001A5241" w:rsidP="001A5241">
      <w:r w:rsidRPr="001A5241">
        <w:t xml:space="preserve">Johnson, G., Scholes, R. and Whittington, R. (2020) </w:t>
      </w:r>
      <w:r w:rsidRPr="001A5241">
        <w:rPr>
          <w:i/>
          <w:iCs/>
        </w:rPr>
        <w:t>Exploring Strategy</w:t>
      </w:r>
      <w:r w:rsidRPr="001A5241">
        <w:t xml:space="preserve">. 12th </w:t>
      </w:r>
      <w:proofErr w:type="spellStart"/>
      <w:r w:rsidRPr="001A5241">
        <w:t>edn</w:t>
      </w:r>
      <w:proofErr w:type="spellEnd"/>
      <w:r w:rsidRPr="001A5241">
        <w:t>. Harlow: Pearson.</w:t>
      </w:r>
    </w:p>
    <w:p w14:paraId="0082946C" w14:textId="77777777" w:rsidR="001A5241" w:rsidRPr="001A5241" w:rsidRDefault="001A5241" w:rsidP="001A5241">
      <w:r w:rsidRPr="001A5241">
        <w:t xml:space="preserve">Kaplan, R.S. and Cooper, R. (1998) </w:t>
      </w:r>
      <w:r w:rsidRPr="001A5241">
        <w:rPr>
          <w:i/>
          <w:iCs/>
        </w:rPr>
        <w:t>Cost and Effect: Using Integrated Cost Systems to Drive Profitability and Performance</w:t>
      </w:r>
      <w:r w:rsidRPr="001A5241">
        <w:t>. Boston: Harvard Business School Press.</w:t>
      </w:r>
    </w:p>
    <w:p w14:paraId="2C84A8A9" w14:textId="77777777" w:rsidR="001A5241" w:rsidRDefault="001A5241" w:rsidP="001A5241">
      <w:r w:rsidRPr="001A5241">
        <w:t xml:space="preserve">Kaplan, R.S. and Norton, D.P. (1996) </w:t>
      </w:r>
      <w:r w:rsidRPr="001A5241">
        <w:rPr>
          <w:i/>
          <w:iCs/>
        </w:rPr>
        <w:t>The Balanced Scorecard</w:t>
      </w:r>
      <w:r w:rsidRPr="001A5241">
        <w:t>. Boston: Harvard Business School Press.</w:t>
      </w:r>
    </w:p>
    <w:p w14:paraId="51083500" w14:textId="183DC904" w:rsidR="00EC1038" w:rsidRDefault="00EC1038" w:rsidP="001A5241">
      <w:r w:rsidRPr="00EC1038">
        <w:t>Mintel (2023) UK Grocery Retailing Report.</w:t>
      </w:r>
    </w:p>
    <w:p w14:paraId="00A3A3F0" w14:textId="5FADB8DB" w:rsidR="00EC1038" w:rsidRPr="001A5241" w:rsidRDefault="00EC1038" w:rsidP="001A5241">
      <w:r w:rsidRPr="00EC1038">
        <w:t>Office for National Statistics (2023) UK Inflation Data.</w:t>
      </w:r>
    </w:p>
    <w:p w14:paraId="7847226D" w14:textId="77777777" w:rsidR="001A5241" w:rsidRPr="001A5241" w:rsidRDefault="001A5241" w:rsidP="001A5241">
      <w:r w:rsidRPr="001A5241">
        <w:t xml:space="preserve">Porter, M.E. (1985) </w:t>
      </w:r>
      <w:r w:rsidRPr="001A5241">
        <w:rPr>
          <w:i/>
          <w:iCs/>
        </w:rPr>
        <w:t>Competitive Advantage</w:t>
      </w:r>
      <w:r w:rsidRPr="001A5241">
        <w:t>. New York: Free Press.</w:t>
      </w:r>
    </w:p>
    <w:p w14:paraId="5C009C6E" w14:textId="77777777" w:rsidR="001A5241" w:rsidRPr="001A5241" w:rsidRDefault="001A5241" w:rsidP="001A5241">
      <w:r w:rsidRPr="001A5241">
        <w:t xml:space="preserve">Sainsbury’s (2023a) </w:t>
      </w:r>
      <w:r w:rsidRPr="001A5241">
        <w:rPr>
          <w:i/>
          <w:iCs/>
        </w:rPr>
        <w:t>Annual Report and Financial Statements 2023</w:t>
      </w:r>
      <w:r w:rsidRPr="001A5241">
        <w:t>. London: J Sainsbury plc.</w:t>
      </w:r>
    </w:p>
    <w:p w14:paraId="1E7E0EB1" w14:textId="77777777" w:rsidR="001A5241" w:rsidRPr="001A5241" w:rsidRDefault="001A5241" w:rsidP="001A5241">
      <w:r w:rsidRPr="001A5241">
        <w:t xml:space="preserve">Sainsbury’s (2023b) </w:t>
      </w:r>
      <w:r w:rsidRPr="001A5241">
        <w:rPr>
          <w:i/>
          <w:iCs/>
        </w:rPr>
        <w:t>Sustainability Report 2023</w:t>
      </w:r>
      <w:r w:rsidRPr="001A5241">
        <w:t>. London: J Sainsbury plc.</w:t>
      </w:r>
    </w:p>
    <w:p w14:paraId="72CB301E" w14:textId="77777777" w:rsidR="001A5241" w:rsidRPr="001A5241" w:rsidRDefault="001A5241" w:rsidP="001A5241"/>
    <w:p w14:paraId="20092C0D" w14:textId="77777777" w:rsidR="0071226F" w:rsidRPr="0071226F" w:rsidRDefault="0071226F" w:rsidP="0071226F">
      <w:pPr>
        <w:spacing w:line="360" w:lineRule="auto"/>
        <w:jc w:val="both"/>
        <w:rPr>
          <w:rFonts w:ascii="Arial" w:hAnsi="Arial" w:cs="Arial"/>
        </w:rPr>
      </w:pPr>
    </w:p>
    <w:sectPr w:rsidR="0071226F" w:rsidRPr="0071226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5380C" w14:textId="77777777" w:rsidR="001B64D0" w:rsidRDefault="001B64D0" w:rsidP="00DF14B6">
      <w:pPr>
        <w:spacing w:after="0" w:line="240" w:lineRule="auto"/>
      </w:pPr>
      <w:r>
        <w:separator/>
      </w:r>
    </w:p>
  </w:endnote>
  <w:endnote w:type="continuationSeparator" w:id="0">
    <w:p w14:paraId="3124E47E" w14:textId="77777777" w:rsidR="001B64D0" w:rsidRDefault="001B64D0" w:rsidP="00DF1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074708"/>
      <w:docPartObj>
        <w:docPartGallery w:val="Page Numbers (Bottom of Page)"/>
        <w:docPartUnique/>
      </w:docPartObj>
    </w:sdtPr>
    <w:sdtContent>
      <w:p w14:paraId="340CD1C5" w14:textId="0B98B659" w:rsidR="00DF14B6" w:rsidRDefault="00DF14B6">
        <w:pPr>
          <w:pStyle w:val="Footer"/>
          <w:jc w:val="center"/>
        </w:pPr>
        <w:r>
          <w:fldChar w:fldCharType="begin"/>
        </w:r>
        <w:r>
          <w:instrText>PAGE   \* MERGEFORMAT</w:instrText>
        </w:r>
        <w:r>
          <w:fldChar w:fldCharType="separate"/>
        </w:r>
        <w:r>
          <w:t>2</w:t>
        </w:r>
        <w:r>
          <w:fldChar w:fldCharType="end"/>
        </w:r>
      </w:p>
    </w:sdtContent>
  </w:sdt>
  <w:p w14:paraId="41D03808" w14:textId="77777777" w:rsidR="00DF14B6" w:rsidRDefault="00DF1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66BA" w14:textId="77777777" w:rsidR="001B64D0" w:rsidRDefault="001B64D0" w:rsidP="00DF14B6">
      <w:pPr>
        <w:spacing w:after="0" w:line="240" w:lineRule="auto"/>
      </w:pPr>
      <w:r>
        <w:separator/>
      </w:r>
    </w:p>
  </w:footnote>
  <w:footnote w:type="continuationSeparator" w:id="0">
    <w:p w14:paraId="3A1A3934" w14:textId="77777777" w:rsidR="001B64D0" w:rsidRDefault="001B64D0" w:rsidP="00DF14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7084"/>
    <w:multiLevelType w:val="multilevel"/>
    <w:tmpl w:val="ACA2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2061A1"/>
    <w:multiLevelType w:val="hybridMultilevel"/>
    <w:tmpl w:val="3E0A4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87DE7"/>
    <w:multiLevelType w:val="hybridMultilevel"/>
    <w:tmpl w:val="B7AA9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405633"/>
    <w:multiLevelType w:val="hybridMultilevel"/>
    <w:tmpl w:val="5594A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D578E8"/>
    <w:multiLevelType w:val="multilevel"/>
    <w:tmpl w:val="419A0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1B08BF"/>
    <w:multiLevelType w:val="multilevel"/>
    <w:tmpl w:val="7CD2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491239"/>
    <w:multiLevelType w:val="hybridMultilevel"/>
    <w:tmpl w:val="93780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51672C"/>
    <w:multiLevelType w:val="multilevel"/>
    <w:tmpl w:val="90127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9C49C1"/>
    <w:multiLevelType w:val="multilevel"/>
    <w:tmpl w:val="7A54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9F1FC8"/>
    <w:multiLevelType w:val="hybridMultilevel"/>
    <w:tmpl w:val="DE60A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CB73BD"/>
    <w:multiLevelType w:val="hybridMultilevel"/>
    <w:tmpl w:val="E5B87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EF59F3"/>
    <w:multiLevelType w:val="multilevel"/>
    <w:tmpl w:val="2640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1B1DF8"/>
    <w:multiLevelType w:val="multilevel"/>
    <w:tmpl w:val="CF3A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7232658">
    <w:abstractNumId w:val="6"/>
  </w:num>
  <w:num w:numId="2" w16cid:durableId="363094091">
    <w:abstractNumId w:val="9"/>
  </w:num>
  <w:num w:numId="3" w16cid:durableId="1734356493">
    <w:abstractNumId w:val="10"/>
  </w:num>
  <w:num w:numId="4" w16cid:durableId="1929926372">
    <w:abstractNumId w:val="3"/>
  </w:num>
  <w:num w:numId="5" w16cid:durableId="1576669799">
    <w:abstractNumId w:val="2"/>
  </w:num>
  <w:num w:numId="6" w16cid:durableId="1802265230">
    <w:abstractNumId w:val="1"/>
  </w:num>
  <w:num w:numId="7" w16cid:durableId="95057643">
    <w:abstractNumId w:val="11"/>
  </w:num>
  <w:num w:numId="8" w16cid:durableId="1952786094">
    <w:abstractNumId w:val="8"/>
  </w:num>
  <w:num w:numId="9" w16cid:durableId="1475368611">
    <w:abstractNumId w:val="4"/>
  </w:num>
  <w:num w:numId="10" w16cid:durableId="1929147583">
    <w:abstractNumId w:val="12"/>
  </w:num>
  <w:num w:numId="11" w16cid:durableId="1763725373">
    <w:abstractNumId w:val="5"/>
  </w:num>
  <w:num w:numId="12" w16cid:durableId="509415756">
    <w:abstractNumId w:val="7"/>
  </w:num>
  <w:num w:numId="13" w16cid:durableId="1148865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078"/>
    <w:rsid w:val="00077B28"/>
    <w:rsid w:val="000C249F"/>
    <w:rsid w:val="001A5241"/>
    <w:rsid w:val="001B64D0"/>
    <w:rsid w:val="00373AD5"/>
    <w:rsid w:val="003904FD"/>
    <w:rsid w:val="003D370F"/>
    <w:rsid w:val="003E33CD"/>
    <w:rsid w:val="004D7625"/>
    <w:rsid w:val="0056200F"/>
    <w:rsid w:val="005745EA"/>
    <w:rsid w:val="006357BB"/>
    <w:rsid w:val="006E7780"/>
    <w:rsid w:val="0071226F"/>
    <w:rsid w:val="008B0603"/>
    <w:rsid w:val="009458A7"/>
    <w:rsid w:val="00986777"/>
    <w:rsid w:val="009C2064"/>
    <w:rsid w:val="00A26078"/>
    <w:rsid w:val="00BC0120"/>
    <w:rsid w:val="00C7722C"/>
    <w:rsid w:val="00D21D04"/>
    <w:rsid w:val="00D715A8"/>
    <w:rsid w:val="00DF14B6"/>
    <w:rsid w:val="00DF7FD9"/>
    <w:rsid w:val="00EC1038"/>
    <w:rsid w:val="00EE17B7"/>
    <w:rsid w:val="00EF3ECD"/>
    <w:rsid w:val="00F72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156C8"/>
  <w15:chartTrackingRefBased/>
  <w15:docId w15:val="{04F1C982-2A17-47FA-ADFE-E1F35CA06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6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6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6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6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60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60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60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60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6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6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6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6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6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078"/>
    <w:rPr>
      <w:rFonts w:eastAsiaTheme="majorEastAsia" w:cstheme="majorBidi"/>
      <w:color w:val="272727" w:themeColor="text1" w:themeTint="D8"/>
    </w:rPr>
  </w:style>
  <w:style w:type="paragraph" w:styleId="Title">
    <w:name w:val="Title"/>
    <w:basedOn w:val="Normal"/>
    <w:next w:val="Normal"/>
    <w:link w:val="TitleChar"/>
    <w:uiPriority w:val="10"/>
    <w:qFormat/>
    <w:rsid w:val="00A260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6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0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6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078"/>
    <w:pPr>
      <w:spacing w:before="160"/>
      <w:jc w:val="center"/>
    </w:pPr>
    <w:rPr>
      <w:i/>
      <w:iCs/>
      <w:color w:val="404040" w:themeColor="text1" w:themeTint="BF"/>
    </w:rPr>
  </w:style>
  <w:style w:type="character" w:customStyle="1" w:styleId="QuoteChar">
    <w:name w:val="Quote Char"/>
    <w:basedOn w:val="DefaultParagraphFont"/>
    <w:link w:val="Quote"/>
    <w:uiPriority w:val="29"/>
    <w:rsid w:val="00A26078"/>
    <w:rPr>
      <w:i/>
      <w:iCs/>
      <w:color w:val="404040" w:themeColor="text1" w:themeTint="BF"/>
    </w:rPr>
  </w:style>
  <w:style w:type="paragraph" w:styleId="ListParagraph">
    <w:name w:val="List Paragraph"/>
    <w:basedOn w:val="Normal"/>
    <w:uiPriority w:val="34"/>
    <w:qFormat/>
    <w:rsid w:val="00A26078"/>
    <w:pPr>
      <w:ind w:left="720"/>
      <w:contextualSpacing/>
    </w:pPr>
  </w:style>
  <w:style w:type="character" w:styleId="IntenseEmphasis">
    <w:name w:val="Intense Emphasis"/>
    <w:basedOn w:val="DefaultParagraphFont"/>
    <w:uiPriority w:val="21"/>
    <w:qFormat/>
    <w:rsid w:val="00A26078"/>
    <w:rPr>
      <w:i/>
      <w:iCs/>
      <w:color w:val="0F4761" w:themeColor="accent1" w:themeShade="BF"/>
    </w:rPr>
  </w:style>
  <w:style w:type="paragraph" w:styleId="IntenseQuote">
    <w:name w:val="Intense Quote"/>
    <w:basedOn w:val="Normal"/>
    <w:next w:val="Normal"/>
    <w:link w:val="IntenseQuoteChar"/>
    <w:uiPriority w:val="30"/>
    <w:qFormat/>
    <w:rsid w:val="00A26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6078"/>
    <w:rPr>
      <w:i/>
      <w:iCs/>
      <w:color w:val="0F4761" w:themeColor="accent1" w:themeShade="BF"/>
    </w:rPr>
  </w:style>
  <w:style w:type="character" w:styleId="IntenseReference">
    <w:name w:val="Intense Reference"/>
    <w:basedOn w:val="DefaultParagraphFont"/>
    <w:uiPriority w:val="32"/>
    <w:qFormat/>
    <w:rsid w:val="00A26078"/>
    <w:rPr>
      <w:b/>
      <w:bCs/>
      <w:smallCaps/>
      <w:color w:val="0F4761" w:themeColor="accent1" w:themeShade="BF"/>
      <w:spacing w:val="5"/>
    </w:rPr>
  </w:style>
  <w:style w:type="paragraph" w:styleId="TOCHeading">
    <w:name w:val="TOC Heading"/>
    <w:basedOn w:val="Heading1"/>
    <w:next w:val="Normal"/>
    <w:uiPriority w:val="39"/>
    <w:unhideWhenUsed/>
    <w:qFormat/>
    <w:rsid w:val="00BC012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C0120"/>
    <w:pPr>
      <w:spacing w:after="100"/>
    </w:pPr>
  </w:style>
  <w:style w:type="character" w:styleId="Hyperlink">
    <w:name w:val="Hyperlink"/>
    <w:basedOn w:val="DefaultParagraphFont"/>
    <w:uiPriority w:val="99"/>
    <w:unhideWhenUsed/>
    <w:rsid w:val="00BC0120"/>
    <w:rPr>
      <w:color w:val="467886" w:themeColor="hyperlink"/>
      <w:u w:val="single"/>
    </w:rPr>
  </w:style>
  <w:style w:type="paragraph" w:styleId="Header">
    <w:name w:val="header"/>
    <w:basedOn w:val="Normal"/>
    <w:link w:val="HeaderChar"/>
    <w:uiPriority w:val="99"/>
    <w:unhideWhenUsed/>
    <w:rsid w:val="00DF14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4B6"/>
  </w:style>
  <w:style w:type="paragraph" w:styleId="Footer">
    <w:name w:val="footer"/>
    <w:basedOn w:val="Normal"/>
    <w:link w:val="FooterChar"/>
    <w:uiPriority w:val="99"/>
    <w:unhideWhenUsed/>
    <w:rsid w:val="00DF14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4B6"/>
  </w:style>
  <w:style w:type="paragraph" w:styleId="TOC2">
    <w:name w:val="toc 2"/>
    <w:basedOn w:val="Normal"/>
    <w:next w:val="Normal"/>
    <w:autoRedefine/>
    <w:uiPriority w:val="39"/>
    <w:unhideWhenUsed/>
    <w:rsid w:val="00DF14B6"/>
    <w:pPr>
      <w:spacing w:after="100"/>
      <w:ind w:left="240"/>
    </w:pPr>
  </w:style>
  <w:style w:type="paragraph" w:styleId="TOC3">
    <w:name w:val="toc 3"/>
    <w:basedOn w:val="Normal"/>
    <w:next w:val="Normal"/>
    <w:autoRedefine/>
    <w:uiPriority w:val="39"/>
    <w:unhideWhenUsed/>
    <w:rsid w:val="00DF14B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C702E-4057-4DA9-B45F-0B22B8A04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13</Pages>
  <Words>2733</Words>
  <Characters>15582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11</cp:revision>
  <dcterms:created xsi:type="dcterms:W3CDTF">2026-02-23T17:03:00Z</dcterms:created>
  <dcterms:modified xsi:type="dcterms:W3CDTF">2026-02-25T19:38:00Z</dcterms:modified>
</cp:coreProperties>
</file>