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EA4EEE"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ECAD5002  </w:t>
      </w:r>
    </w:p>
    <w:p w14:paraId="2FE2DC8D" w14:textId="77777777" w:rsidR="00CF6259" w:rsidRPr="00CF6259" w:rsidRDefault="00CF6259" w:rsidP="00CF6259">
      <w:pPr>
        <w:widowControl w:val="0"/>
        <w:autoSpaceDE w:val="0"/>
        <w:autoSpaceDN w:val="0"/>
        <w:adjustRightInd w:val="0"/>
        <w:spacing w:after="0"/>
        <w:rPr>
          <w:rFonts w:cs="Helvetica"/>
          <w:sz w:val="22"/>
          <w:szCs w:val="22"/>
        </w:rPr>
      </w:pPr>
    </w:p>
    <w:p w14:paraId="2D33C9C4"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Ir Iath ar Daith </w:t>
      </w:r>
    </w:p>
    <w:p w14:paraId="36D0350D" w14:textId="77777777" w:rsidR="00CF6259" w:rsidRPr="00CF6259" w:rsidRDefault="00CF6259" w:rsidP="00CF6259">
      <w:pPr>
        <w:widowControl w:val="0"/>
        <w:autoSpaceDE w:val="0"/>
        <w:autoSpaceDN w:val="0"/>
        <w:adjustRightInd w:val="0"/>
        <w:spacing w:after="0"/>
        <w:rPr>
          <w:rFonts w:cs="Helvetica"/>
          <w:sz w:val="22"/>
          <w:szCs w:val="22"/>
        </w:rPr>
      </w:pPr>
    </w:p>
    <w:p w14:paraId="6C900D2F"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Task 1 </w:t>
      </w:r>
    </w:p>
    <w:p w14:paraId="6D56BFA1" w14:textId="77777777" w:rsidR="00CF6259" w:rsidRPr="00CF6259" w:rsidRDefault="00CF6259" w:rsidP="00CF6259">
      <w:pPr>
        <w:widowControl w:val="0"/>
        <w:autoSpaceDE w:val="0"/>
        <w:autoSpaceDN w:val="0"/>
        <w:adjustRightInd w:val="0"/>
        <w:spacing w:after="0"/>
        <w:rPr>
          <w:rFonts w:cs="Helvetica"/>
          <w:sz w:val="22"/>
          <w:szCs w:val="22"/>
        </w:rPr>
      </w:pPr>
    </w:p>
    <w:p w14:paraId="3402718F"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I decided to read a story to the class as a stimulus for my lesson on colours. Welsh Government (2015) states that pupils should experience a variety of stimuli.  The book I decided to use was called ‘Anifeiliad Difyr – Peintio’r Drws’. I felt the content of the book was suitable and introduced colours at the correct level for the audience. The aim of my lesson was to ensure children “Listened and responded simply to what they hear with growing concentration” (Welsh Government, 2015, p37). The pupils had previously been introduced to the phrase ‘Dw I’n hoffi’. This is also prominent within the book.  </w:t>
      </w:r>
    </w:p>
    <w:p w14:paraId="5CCB4E58" w14:textId="77777777" w:rsidR="00CF6259" w:rsidRDefault="00CF6259" w:rsidP="00CF6259">
      <w:pPr>
        <w:widowControl w:val="0"/>
        <w:autoSpaceDE w:val="0"/>
        <w:autoSpaceDN w:val="0"/>
        <w:adjustRightInd w:val="0"/>
        <w:spacing w:after="0"/>
        <w:rPr>
          <w:rFonts w:cs="Calibri"/>
          <w:sz w:val="22"/>
          <w:szCs w:val="22"/>
        </w:rPr>
      </w:pPr>
    </w:p>
    <w:p w14:paraId="7E89662C"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The intended audience for my resource was a year 1/2 class of 22 pupils. The class contained lower attaining year 2 pupils and middle attaining year 1 pupils. The book allowed the pupils suitable opportunities to ask and answer questions using the phrase ‘Pa liw ydy hwn’ which I knew the pupils were competent with and I used an online version of the song ‘Lliwiau’r Enfys’ (see appendix 2 )to activate prior knowledge on colours. Dill(unknown) states that activating prior knowledge on subjects can dramatically improve the learning process especially for lower attaining pupils. The resource I created was a physical activity game using the parachute and pupils running under when their colour had been called. Telc(2016) and Brighthub(2019) discusses how kinaesthetic learners benefit from second language physical activities outside the classroom. </w:t>
      </w:r>
    </w:p>
    <w:p w14:paraId="7821AEE0" w14:textId="77777777" w:rsidR="00CF6259" w:rsidRPr="00CF6259" w:rsidRDefault="00CF6259" w:rsidP="00CF6259">
      <w:pPr>
        <w:widowControl w:val="0"/>
        <w:autoSpaceDE w:val="0"/>
        <w:autoSpaceDN w:val="0"/>
        <w:adjustRightInd w:val="0"/>
        <w:spacing w:after="0"/>
        <w:rPr>
          <w:rFonts w:cs="Calibri"/>
          <w:sz w:val="22"/>
          <w:szCs w:val="22"/>
        </w:rPr>
      </w:pPr>
    </w:p>
    <w:p w14:paraId="3F3EC22F"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Colours was the topic we were covering due to the introduction of the phrase ‘Pa liw ydy hwn?’ as part of the schools ‘Patrwm y pythefnos’ a scheme introduced throughout the school by the Criw Cymraeg. The sentence pattern was to be reinforced during ‘slot drillio’ after lunch every day. </w:t>
      </w:r>
    </w:p>
    <w:p w14:paraId="65AC53D2" w14:textId="77777777" w:rsidR="00CF6259" w:rsidRPr="00CF6259" w:rsidRDefault="00CF6259" w:rsidP="00CF6259">
      <w:pPr>
        <w:widowControl w:val="0"/>
        <w:autoSpaceDE w:val="0"/>
        <w:autoSpaceDN w:val="0"/>
        <w:adjustRightInd w:val="0"/>
        <w:spacing w:after="0"/>
        <w:rPr>
          <w:rFonts w:cs="Helvetica"/>
          <w:sz w:val="22"/>
          <w:szCs w:val="22"/>
        </w:rPr>
      </w:pPr>
    </w:p>
    <w:p w14:paraId="1F189BD2"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Task 2 </w:t>
      </w:r>
    </w:p>
    <w:p w14:paraId="0E1E9CC9" w14:textId="77777777" w:rsidR="00CF6259" w:rsidRPr="00CF6259" w:rsidRDefault="00CF6259" w:rsidP="00CF6259">
      <w:pPr>
        <w:widowControl w:val="0"/>
        <w:autoSpaceDE w:val="0"/>
        <w:autoSpaceDN w:val="0"/>
        <w:adjustRightInd w:val="0"/>
        <w:spacing w:after="0"/>
        <w:rPr>
          <w:rFonts w:cs="Helvetica"/>
          <w:sz w:val="22"/>
          <w:szCs w:val="22"/>
        </w:rPr>
      </w:pPr>
    </w:p>
    <w:p w14:paraId="47718829" w14:textId="77777777" w:rsidR="00CF6259" w:rsidRPr="00CF6259" w:rsidRDefault="00CF6259" w:rsidP="00CF6259">
      <w:pPr>
        <w:widowControl w:val="0"/>
        <w:autoSpaceDE w:val="0"/>
        <w:autoSpaceDN w:val="0"/>
        <w:adjustRightInd w:val="0"/>
        <w:spacing w:after="0"/>
        <w:rPr>
          <w:rFonts w:cs="Calibri"/>
          <w:sz w:val="22"/>
          <w:szCs w:val="22"/>
        </w:rPr>
      </w:pPr>
      <w:hyperlink r:id="rId7" w:history="1">
        <w:r w:rsidRPr="00CF6259">
          <w:rPr>
            <w:rFonts w:cs="Calibri"/>
            <w:color w:val="0B4CB4"/>
            <w:sz w:val="22"/>
            <w:szCs w:val="22"/>
            <w:u w:val="single" w:color="0B4CB4"/>
          </w:rPr>
          <w:t>https://youtu.be/aJ1cofntIUY</w:t>
        </w:r>
      </w:hyperlink>
      <w:r w:rsidRPr="00CF6259">
        <w:rPr>
          <w:rFonts w:cs="Calibri"/>
          <w:sz w:val="22"/>
          <w:szCs w:val="22"/>
        </w:rPr>
        <w:t>  </w:t>
      </w:r>
    </w:p>
    <w:p w14:paraId="69816F20" w14:textId="77777777" w:rsidR="00CF6259" w:rsidRPr="00CF6259" w:rsidRDefault="00CF6259" w:rsidP="00CF6259">
      <w:pPr>
        <w:widowControl w:val="0"/>
        <w:autoSpaceDE w:val="0"/>
        <w:autoSpaceDN w:val="0"/>
        <w:adjustRightInd w:val="0"/>
        <w:spacing w:after="0"/>
        <w:rPr>
          <w:rFonts w:cs="Calibri"/>
          <w:sz w:val="22"/>
          <w:szCs w:val="22"/>
        </w:rPr>
      </w:pPr>
    </w:p>
    <w:p w14:paraId="2590FD7C"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Task 3 </w:t>
      </w:r>
    </w:p>
    <w:p w14:paraId="4659563D" w14:textId="77777777" w:rsidR="00CF6259" w:rsidRPr="00CF6259" w:rsidRDefault="00CF6259" w:rsidP="00CF6259">
      <w:pPr>
        <w:widowControl w:val="0"/>
        <w:autoSpaceDE w:val="0"/>
        <w:autoSpaceDN w:val="0"/>
        <w:adjustRightInd w:val="0"/>
        <w:spacing w:after="0"/>
        <w:rPr>
          <w:rFonts w:cs="Calibri"/>
          <w:sz w:val="22"/>
          <w:szCs w:val="22"/>
        </w:rPr>
      </w:pPr>
    </w:p>
    <w:p w14:paraId="6C4E33FB"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Overall, I was happy with my lesson on colours, I feel that pupils engaged with all the tasks that were set and with the s</w:t>
      </w:r>
      <w:r>
        <w:rPr>
          <w:rFonts w:cs="Calibri"/>
          <w:sz w:val="22"/>
          <w:szCs w:val="22"/>
        </w:rPr>
        <w:t xml:space="preserve">tory </w:t>
      </w:r>
      <w:r w:rsidRPr="00CF6259">
        <w:rPr>
          <w:rFonts w:cs="Calibri"/>
          <w:sz w:val="22"/>
          <w:szCs w:val="22"/>
        </w:rPr>
        <w:t>which I introduced to them through the interactive whiteboard. However, I know I need to work on different elements of my teaching to ensure I become the best teacher I can be. </w:t>
      </w:r>
    </w:p>
    <w:p w14:paraId="0F2D0B83" w14:textId="77777777" w:rsidR="00CF6259" w:rsidRPr="00CF6259" w:rsidRDefault="00CF6259" w:rsidP="00CF6259">
      <w:pPr>
        <w:widowControl w:val="0"/>
        <w:autoSpaceDE w:val="0"/>
        <w:autoSpaceDN w:val="0"/>
        <w:adjustRightInd w:val="0"/>
        <w:spacing w:after="0"/>
        <w:rPr>
          <w:rFonts w:cs="Helvetica"/>
          <w:sz w:val="22"/>
          <w:szCs w:val="22"/>
        </w:rPr>
      </w:pPr>
    </w:p>
    <w:p w14:paraId="4E1F66A6"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Prior to telling the story I used a video of the welsh nursery rhyme “Lliwiau’r Enfys” as a stimulus for the lesson. The pupils sang along with the video as they activated their prior knowledge of colours in the medium of Welsh. Lent (2012), Dill (unknown) and Mindsteps (Uknown) are under the opinion that we use background or prior knowledge to help to form new knowledge and to engage students in upcoming   learning. Therefore, an integral part to the learning process is to initially activate prior knowledge and build on what we already know. This was highly beneficial within my lesson as pupils naturally began to work on pronunciation of the colours thanks to the video. Research suggests that there is evidence that words become easier to remember and recall when they are set to music (Drinkwater, 2008). The pupils singing along with the video increased engagement levels within the class. Qualifications and Curriculum authority (2007, quoted in Drinkwater, 2008, p.xi) states “the use of enjoyable activities, </w:t>
      </w:r>
      <w:r w:rsidRPr="00CF6259">
        <w:rPr>
          <w:rFonts w:cs="Calibri"/>
          <w:sz w:val="22"/>
          <w:szCs w:val="22"/>
        </w:rPr>
        <w:lastRenderedPageBreak/>
        <w:t>including games, rhymes and song will enable children to repeat new language in a motivating way”. </w:t>
      </w:r>
    </w:p>
    <w:p w14:paraId="25B1C1C7" w14:textId="77777777" w:rsidR="00CF6259" w:rsidRPr="00CF6259" w:rsidRDefault="00CF6259" w:rsidP="00CF6259">
      <w:pPr>
        <w:widowControl w:val="0"/>
        <w:autoSpaceDE w:val="0"/>
        <w:autoSpaceDN w:val="0"/>
        <w:adjustRightInd w:val="0"/>
        <w:spacing w:after="0"/>
        <w:rPr>
          <w:rFonts w:cs="Helvetica"/>
          <w:sz w:val="22"/>
          <w:szCs w:val="22"/>
        </w:rPr>
      </w:pPr>
    </w:p>
    <w:p w14:paraId="2F63B01B"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I further aimed to activate prior knowledge within my lesson when the pupils discussed previous knowledge they had built on the sentence patterns “Dwi’n hoffi” and “Dwi’n ddym yn hoffi”. This was advantageous in further enhancing the learning the pupils were doing as they had the opportunity to translate the text within the book further. Children who are read stories in a second language tend to listen with greater care and intrigue as they are interested to find out what the words mean and have more motivation to participate in the lesson (Jones and Coffey, 2006). </w:t>
      </w:r>
    </w:p>
    <w:p w14:paraId="1E67DA38" w14:textId="77777777" w:rsidR="00CF6259" w:rsidRPr="00CF6259" w:rsidRDefault="00CF6259" w:rsidP="00CF6259">
      <w:pPr>
        <w:widowControl w:val="0"/>
        <w:autoSpaceDE w:val="0"/>
        <w:autoSpaceDN w:val="0"/>
        <w:adjustRightInd w:val="0"/>
        <w:spacing w:after="0"/>
        <w:rPr>
          <w:rFonts w:cs="Calibri"/>
          <w:sz w:val="22"/>
          <w:szCs w:val="22"/>
        </w:rPr>
      </w:pPr>
    </w:p>
    <w:p w14:paraId="112B6B17"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Within the part of the lesson where I read the story to the group, I used different techniques to enhance the learning experience for the pupils. Kirsch (2008) feels that using a story with children allows them to anticipate what is going to come next even without complete understanding of the words in the text. In the lesson, I allowed the children to decode some sentences by using the pictures in the book. I found this encouraged the pupils to attempt to answer questions more, especially those who tend to not have high enough confidence levels to attempt to answer independently. Barton (2008) supports this view, stating that the decoding of images can be used as a useful strategy to support pupils aiming to translate text. I further ensured I used actions when telling the story to emphasise and assist when explaining what the story is trying to say. I attempted to use a “Pie Corbett – Talk for writing” style when telling the story as this has been found to have a powerful impact on Childrens engagement levels (Talk for writing, unknown). </w:t>
      </w:r>
    </w:p>
    <w:p w14:paraId="49B8158A"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w:t>
      </w:r>
    </w:p>
    <w:p w14:paraId="361F3436"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Whilst questioning pupils, I ensured I offered lots of positive reinforcement and praise in incidental Welsh as well as in English. Positive reinforcement can create more confident learners (Clutterbuck and Evans, 2010). Leaning towards the implementation of Donaldson’s (2015) new curriculum</w:t>
      </w:r>
      <w:r>
        <w:rPr>
          <w:rFonts w:cs="Calibri"/>
          <w:sz w:val="22"/>
          <w:szCs w:val="22"/>
        </w:rPr>
        <w:t>,</w:t>
      </w:r>
      <w:r w:rsidRPr="00CF6259">
        <w:rPr>
          <w:rFonts w:cs="Calibri"/>
          <w:sz w:val="22"/>
          <w:szCs w:val="22"/>
        </w:rPr>
        <w:t xml:space="preserve"> which discusses the need for “healthy and confident individuals”, I feel it is imperative that pupils are given enough praise to build confidence levels. Ortega (2009) states that using informal language within school is especially beneficial for naturalistic learners and allows them to have a higher chance of acquiring a second language. This is further supported by Kirsch (2008) who discusses how pupils using as much basic vocabulary in the intended second language of choice increases the chance of learning it through active learning. Outside of lessons, the school I completed my work experience in have identified the need to create a culture throughout the school of the pupils speaking as much incidental Welsh to not only staff but to each other as well. The creation of a Welsh culture within a school can create a sense of belonging within the children (ACCAC, 2003).  </w:t>
      </w:r>
    </w:p>
    <w:p w14:paraId="6622D6BA" w14:textId="77777777" w:rsidR="00CF6259" w:rsidRPr="00CF6259" w:rsidRDefault="00CF6259" w:rsidP="00CF6259">
      <w:pPr>
        <w:widowControl w:val="0"/>
        <w:autoSpaceDE w:val="0"/>
        <w:autoSpaceDN w:val="0"/>
        <w:adjustRightInd w:val="0"/>
        <w:spacing w:after="0"/>
        <w:rPr>
          <w:rFonts w:cs="Helvetica"/>
          <w:sz w:val="22"/>
          <w:szCs w:val="22"/>
        </w:rPr>
      </w:pPr>
    </w:p>
    <w:p w14:paraId="619498FA"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I was very pleased with my outdoor activity</w:t>
      </w:r>
      <w:r>
        <w:rPr>
          <w:rFonts w:cs="Calibri"/>
          <w:sz w:val="22"/>
          <w:szCs w:val="22"/>
        </w:rPr>
        <w:t>,</w:t>
      </w:r>
      <w:r w:rsidRPr="00CF6259">
        <w:rPr>
          <w:rFonts w:cs="Calibri"/>
          <w:sz w:val="22"/>
          <w:szCs w:val="22"/>
        </w:rPr>
        <w:t xml:space="preserve"> which contained elements of Content and Language Integrated Learning (CLIL). I ran a physical education activity in the medium of Welsh focusing on the pupils gaining a clear understanding of key words I had identified prior to the lesson (See appendix 1). Dale and Tanner (2017) discuss how learners who are introduced to CLIL activities learn second languages more effectively due to the fact they are giving in depth attention to the language. The children seemed to enjoy the activity when they began to do it and had fun. Kirsch (2008) states that younger pupils have a natural desire to include movement within lessons therefore physical activities are particularly beneficial for foundation phase pupils if classroom management is to a high enough standard. </w:t>
      </w:r>
    </w:p>
    <w:p w14:paraId="1CBD8EE2" w14:textId="77777777" w:rsidR="00CF6259" w:rsidRPr="00CF6259" w:rsidRDefault="00CF6259" w:rsidP="00CF6259">
      <w:pPr>
        <w:widowControl w:val="0"/>
        <w:autoSpaceDE w:val="0"/>
        <w:autoSpaceDN w:val="0"/>
        <w:adjustRightInd w:val="0"/>
        <w:spacing w:after="0"/>
        <w:rPr>
          <w:rFonts w:cs="Helvetica"/>
          <w:sz w:val="22"/>
          <w:szCs w:val="22"/>
        </w:rPr>
      </w:pPr>
    </w:p>
    <w:p w14:paraId="2F1F2255"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Dweck (2014) states that children will look to hide from difficulty as they tend to have a fear of failing due to children having a fixed mindset. Dweck (2012) further believes that to ensure pupils are working to their maximum potential it is felt that educators should </w:t>
      </w:r>
      <w:r w:rsidRPr="00CF6259">
        <w:rPr>
          <w:rFonts w:cs="Calibri"/>
          <w:sz w:val="22"/>
          <w:szCs w:val="22"/>
        </w:rPr>
        <w:lastRenderedPageBreak/>
        <w:t>encourage children to have a growth mindset and that this ethos should be developed throughout the school. Within my placement school, there was a school-wide initiative of “Flearning” being encouraged. O’Connor (2017) discusses how the most successful people experience failure and it is how they overcome the initial failure that allows the learning process to happen. Within my lesson, I felt that pupils showed that they were not afraid to undertake activities. It is evidence that the school initiative is beneficial for the pupils learning.  </w:t>
      </w:r>
    </w:p>
    <w:p w14:paraId="5874F37D" w14:textId="77777777" w:rsidR="00CF6259" w:rsidRPr="00CF6259" w:rsidRDefault="00CF6259" w:rsidP="00CF6259">
      <w:pPr>
        <w:widowControl w:val="0"/>
        <w:autoSpaceDE w:val="0"/>
        <w:autoSpaceDN w:val="0"/>
        <w:adjustRightInd w:val="0"/>
        <w:spacing w:after="0"/>
        <w:rPr>
          <w:rFonts w:cs="Helvetica"/>
          <w:sz w:val="22"/>
          <w:szCs w:val="22"/>
        </w:rPr>
      </w:pPr>
    </w:p>
    <w:p w14:paraId="19ADEFBC"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I was pleased with the differentiation I included in my activities as part of my carousel. Cherry (2019) talks about the theory originally written by Vygotsky which states that children need both areas of learning guided by an expert and individual task they can complete unaided. Within my lesson, there were clear opportunities for activities led by an expert in the outdoor activity as well as more individual opportunities doing the worksheet pupils completed. I further added differentiation into my lesson as I give lower ability pupils more support with colour mats they could refer to should they come confused with some of the words. I think pupils worked to a suitable standard to ensure they got the most they possibly could out of the lesson.  </w:t>
      </w:r>
    </w:p>
    <w:p w14:paraId="40D2B34C" w14:textId="77777777" w:rsidR="00CF6259" w:rsidRPr="00CF6259" w:rsidRDefault="00CF6259" w:rsidP="00CF6259">
      <w:pPr>
        <w:widowControl w:val="0"/>
        <w:autoSpaceDE w:val="0"/>
        <w:autoSpaceDN w:val="0"/>
        <w:adjustRightInd w:val="0"/>
        <w:spacing w:after="0"/>
        <w:rPr>
          <w:rFonts w:cs="Helvetica"/>
          <w:sz w:val="22"/>
          <w:szCs w:val="22"/>
        </w:rPr>
      </w:pPr>
    </w:p>
    <w:p w14:paraId="6E3546B2" w14:textId="77777777" w:rsidR="00CF6259" w:rsidRP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There were elements of the learning experience that were disappointing from a personal point of view. Having watched my lesson back, I feel I could have used more incidental welsh throughout the transitions within my lesson. This is one of the things I identified when moving phases to my second part of placement that I needed to improve on. Going forward, I aimed to use as much incidental welsh as possible whilst on the second part of placement. Kirsch (2008) discusses that the use of repetition and reinforcement of incidental language can be highly beneficial for pupil, especially pupils of a behaviourist nature. Furthermore, I was disappointed with the amount of Assessment for Learning (AfL) strategies I used throughout my lesson. CAIE (unknown) and Popham (2008) state AfL is a technique used to provide instant feedback to learners throughout lessons and allow educators to adapt the instructions they are giving. I think I could have utilised some techniques such as lollipop sticks and blind five in my lesson. Both techniques are easy ways to formally assess the pupils understanding of instructions as well as allowing me to see how much knowledge the pupils have on different areas of the topic. I will ensure that I use more AfL in future lessons I teach. William (2016) feels that using AfL well in a lesson will improve the engagement levels of pupils massively within a lesson. The final thing</w:t>
      </w:r>
      <w:r>
        <w:rPr>
          <w:rFonts w:cs="Calibri"/>
          <w:sz w:val="22"/>
          <w:szCs w:val="22"/>
        </w:rPr>
        <w:t xml:space="preserve"> that</w:t>
      </w:r>
      <w:r w:rsidRPr="00CF6259">
        <w:rPr>
          <w:rFonts w:cs="Calibri"/>
          <w:sz w:val="22"/>
          <w:szCs w:val="22"/>
        </w:rPr>
        <w:t xml:space="preserve"> I felt</w:t>
      </w:r>
      <w:r>
        <w:rPr>
          <w:rFonts w:cs="Calibri"/>
          <w:sz w:val="22"/>
          <w:szCs w:val="22"/>
        </w:rPr>
        <w:t xml:space="preserve"> </w:t>
      </w:r>
      <w:r w:rsidRPr="00CF6259">
        <w:rPr>
          <w:rFonts w:cs="Calibri"/>
          <w:sz w:val="22"/>
          <w:szCs w:val="22"/>
        </w:rPr>
        <w:t>I need to improve on was the quality of my questioning within my lesson. Littlewood (2006) believes that if an educator uses good questioning when telling a story, it allows the pupils to make clear inferences from what they are hearing. In future I will attempt to utilise blooms revised taxonomy (see appendix 3) to ask more</w:t>
      </w:r>
      <w:r>
        <w:rPr>
          <w:rFonts w:cs="Calibri"/>
          <w:sz w:val="22"/>
          <w:szCs w:val="22"/>
        </w:rPr>
        <w:t>,</w:t>
      </w:r>
      <w:r w:rsidRPr="00CF6259">
        <w:rPr>
          <w:rFonts w:cs="Calibri"/>
          <w:sz w:val="22"/>
          <w:szCs w:val="22"/>
        </w:rPr>
        <w:t xml:space="preserve"> higher order thinking questions. Both, Tankersley (2005) and Schinkten (2017) feel the use of higher order thinking in the classroom can be beneficial for pupils by allowing them to become outstanding workers who are more likely to learn the technical skills needed in their future lives.  </w:t>
      </w:r>
    </w:p>
    <w:p w14:paraId="0CE5FD93" w14:textId="77777777" w:rsidR="00CF6259" w:rsidRPr="00CF6259" w:rsidRDefault="00CF6259" w:rsidP="00CF6259">
      <w:pPr>
        <w:widowControl w:val="0"/>
        <w:autoSpaceDE w:val="0"/>
        <w:autoSpaceDN w:val="0"/>
        <w:adjustRightInd w:val="0"/>
        <w:spacing w:after="0"/>
        <w:rPr>
          <w:rFonts w:cs="Helvetica"/>
          <w:sz w:val="22"/>
          <w:szCs w:val="22"/>
        </w:rPr>
      </w:pPr>
    </w:p>
    <w:p w14:paraId="6E3D9AE2"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To conclude, I feel that my lesson was a good lesson and had some very good features throughout. Things that stood out especially was the enjoyment pupils had during the resource that I had created, this was very pleasing. Overall class management and behaviour management throughout was good and the telling of the story was good with lots of different techniques used to improve the experience for the children. I have identified some things I feel that need improving for me to excel as a teacher. I need to include more open-ended questions within my lessons to activate more higher order thinking with the children. I also think I need to introduce more AfL strategies in to my lessons. I will be sure to do further reading on how I can implement these key features to ensure continual improvement within my own teaching career. </w:t>
      </w:r>
    </w:p>
    <w:p w14:paraId="4C6BCFEE"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w:t>
      </w:r>
    </w:p>
    <w:p w14:paraId="5F14B2CD"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lastRenderedPageBreak/>
        <w:t> </w:t>
      </w:r>
    </w:p>
    <w:p w14:paraId="381C5E68"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Reference List </w:t>
      </w:r>
    </w:p>
    <w:p w14:paraId="335E7FE4"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w:t>
      </w:r>
    </w:p>
    <w:p w14:paraId="4B5D2BF0"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ACCAC (2003). </w:t>
      </w:r>
      <w:r w:rsidRPr="00CF6259">
        <w:rPr>
          <w:rFonts w:cs="Calibri Italic"/>
          <w:i/>
          <w:iCs/>
          <w:sz w:val="22"/>
          <w:szCs w:val="22"/>
        </w:rPr>
        <w:t xml:space="preserve">Developing the Curriculum Cymreig. </w:t>
      </w:r>
      <w:r w:rsidRPr="00CF6259">
        <w:rPr>
          <w:rFonts w:cs="Calibri"/>
          <w:sz w:val="22"/>
          <w:szCs w:val="22"/>
        </w:rPr>
        <w:t>Surrey. ACCAC publications. </w:t>
      </w:r>
    </w:p>
    <w:p w14:paraId="506B756C"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Barton, A. (2009). </w:t>
      </w:r>
      <w:r w:rsidRPr="00CF6259">
        <w:rPr>
          <w:rFonts w:cs="Calibri Italic"/>
          <w:i/>
          <w:iCs/>
          <w:sz w:val="22"/>
          <w:szCs w:val="22"/>
        </w:rPr>
        <w:t>Getting the buggers into languages</w:t>
      </w:r>
      <w:r w:rsidRPr="00CF6259">
        <w:rPr>
          <w:rFonts w:cs="Calibri"/>
          <w:sz w:val="22"/>
          <w:szCs w:val="22"/>
        </w:rPr>
        <w:t>. London: Continuum. </w:t>
      </w:r>
    </w:p>
    <w:p w14:paraId="458484E7"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Brighthub(2019) </w:t>
      </w:r>
      <w:r w:rsidRPr="00CF6259">
        <w:rPr>
          <w:rFonts w:cs="Calibri Italic"/>
          <w:i/>
          <w:iCs/>
          <w:sz w:val="22"/>
          <w:szCs w:val="22"/>
        </w:rPr>
        <w:t>Get Physical With Spanish Action Games for Kinesthetic Learners - </w:t>
      </w:r>
      <w:hyperlink r:id="rId8" w:history="1">
        <w:r w:rsidRPr="00CF6259">
          <w:rPr>
            <w:rFonts w:cs="Calibri Italic"/>
            <w:i/>
            <w:iCs/>
            <w:sz w:val="22"/>
            <w:szCs w:val="22"/>
          </w:rPr>
          <w:t>Teaching Tips for Foreign Language Instructors</w:t>
        </w:r>
      </w:hyperlink>
      <w:r w:rsidRPr="00CF6259">
        <w:rPr>
          <w:rFonts w:cs="Calibri Italic"/>
          <w:i/>
          <w:iCs/>
          <w:sz w:val="22"/>
          <w:szCs w:val="22"/>
        </w:rPr>
        <w:t xml:space="preserve"> / By </w:t>
      </w:r>
      <w:hyperlink r:id="rId9" w:history="1">
        <w:r w:rsidRPr="00CF6259">
          <w:rPr>
            <w:rFonts w:cs="Calibri Italic"/>
            <w:i/>
            <w:iCs/>
            <w:sz w:val="22"/>
            <w:szCs w:val="22"/>
          </w:rPr>
          <w:t xml:space="preserve">Bright Hub Education Writer </w:t>
        </w:r>
      </w:hyperlink>
      <w:r w:rsidRPr="00CF6259">
        <w:rPr>
          <w:rFonts w:cs="Calibri Italic"/>
          <w:i/>
          <w:iCs/>
          <w:sz w:val="22"/>
          <w:szCs w:val="22"/>
        </w:rPr>
        <w:t xml:space="preserve">/ </w:t>
      </w:r>
      <w:hyperlink r:id="rId10" w:history="1">
        <w:r w:rsidRPr="00CF6259">
          <w:rPr>
            <w:rFonts w:cs="Calibri Italic"/>
            <w:i/>
            <w:iCs/>
            <w:sz w:val="22"/>
            <w:szCs w:val="22"/>
          </w:rPr>
          <w:t>Teaching English-Speaking Students a Second Language</w:t>
        </w:r>
      </w:hyperlink>
      <w:r w:rsidRPr="00CF6259">
        <w:rPr>
          <w:rFonts w:cs="Calibri Italic"/>
          <w:i/>
          <w:iCs/>
          <w:sz w:val="22"/>
          <w:szCs w:val="22"/>
        </w:rPr>
        <w:t xml:space="preserve">. </w:t>
      </w:r>
      <w:r w:rsidRPr="00CF6259">
        <w:rPr>
          <w:rFonts w:cs="Calibri"/>
          <w:sz w:val="22"/>
          <w:szCs w:val="22"/>
        </w:rPr>
        <w:t xml:space="preserve">Website available at: </w:t>
      </w:r>
      <w:hyperlink r:id="rId11" w:history="1">
        <w:r w:rsidRPr="00CF6259">
          <w:rPr>
            <w:rFonts w:cs="Calibri"/>
            <w:color w:val="0B4CB4"/>
            <w:sz w:val="22"/>
            <w:szCs w:val="22"/>
            <w:u w:val="single" w:color="0B4CB4"/>
          </w:rPr>
          <w:t>https://www.brighthubeducation.com/teaching-tips-foreign-languages/54324-kinestetic-activities-games/</w:t>
        </w:r>
      </w:hyperlink>
      <w:r w:rsidRPr="00CF6259">
        <w:rPr>
          <w:rFonts w:cs="Calibri"/>
          <w:sz w:val="22"/>
          <w:szCs w:val="22"/>
        </w:rPr>
        <w:t xml:space="preserve"> [Last Accesed: 03/03/2019] </w:t>
      </w:r>
    </w:p>
    <w:p w14:paraId="07EB7580" w14:textId="77777777" w:rsidR="00CF6259" w:rsidRPr="00CF6259" w:rsidRDefault="00CF6259" w:rsidP="00CF6259">
      <w:pPr>
        <w:widowControl w:val="0"/>
        <w:autoSpaceDE w:val="0"/>
        <w:autoSpaceDN w:val="0"/>
        <w:adjustRightInd w:val="0"/>
        <w:spacing w:after="0"/>
        <w:rPr>
          <w:rFonts w:cs="Helvetica"/>
          <w:sz w:val="22"/>
          <w:szCs w:val="22"/>
        </w:rPr>
      </w:pPr>
    </w:p>
    <w:p w14:paraId="6F077255"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CAIE (Unknown) </w:t>
      </w:r>
      <w:r w:rsidRPr="00CF6259">
        <w:rPr>
          <w:rFonts w:cs="Calibri Italic"/>
          <w:i/>
          <w:iCs/>
          <w:sz w:val="22"/>
          <w:szCs w:val="22"/>
        </w:rPr>
        <w:t xml:space="preserve">Getting started with Asessment for Learning. </w:t>
      </w:r>
      <w:r w:rsidRPr="00CF6259">
        <w:rPr>
          <w:rFonts w:cs="Calibri"/>
          <w:sz w:val="22"/>
          <w:szCs w:val="22"/>
        </w:rPr>
        <w:t xml:space="preserve">Website available at: </w:t>
      </w:r>
      <w:hyperlink r:id="rId12" w:history="1">
        <w:r w:rsidRPr="00CF6259">
          <w:rPr>
            <w:rFonts w:cs="Calibri"/>
            <w:color w:val="0B4CB4"/>
            <w:sz w:val="22"/>
            <w:szCs w:val="22"/>
            <w:u w:val="single" w:color="0B4CB4"/>
          </w:rPr>
          <w:t>https://cambridge-community.org.uk/professional-development/gswafl/index.html</w:t>
        </w:r>
      </w:hyperlink>
      <w:r w:rsidRPr="00CF6259">
        <w:rPr>
          <w:rFonts w:cs="Calibri"/>
          <w:sz w:val="22"/>
          <w:szCs w:val="22"/>
        </w:rPr>
        <w:t xml:space="preserve"> (accessed: 3.2.2019.) </w:t>
      </w:r>
    </w:p>
    <w:p w14:paraId="0BBA27FC" w14:textId="77777777" w:rsidR="00CF6259" w:rsidRPr="00CF6259" w:rsidRDefault="00CF6259" w:rsidP="00CF6259">
      <w:pPr>
        <w:widowControl w:val="0"/>
        <w:autoSpaceDE w:val="0"/>
        <w:autoSpaceDN w:val="0"/>
        <w:adjustRightInd w:val="0"/>
        <w:spacing w:after="0"/>
        <w:rPr>
          <w:rFonts w:cs="Helvetica"/>
          <w:sz w:val="22"/>
          <w:szCs w:val="22"/>
        </w:rPr>
      </w:pPr>
    </w:p>
    <w:p w14:paraId="7F9CA0D2"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Cherry (2019) </w:t>
      </w:r>
      <w:r w:rsidRPr="00CF6259">
        <w:rPr>
          <w:rFonts w:cs="Calibri Italic"/>
          <w:i/>
          <w:iCs/>
          <w:sz w:val="22"/>
          <w:szCs w:val="22"/>
        </w:rPr>
        <w:t xml:space="preserve">What is the Zone of Proximal Devlopment? </w:t>
      </w:r>
      <w:r w:rsidRPr="00CF6259">
        <w:rPr>
          <w:rFonts w:cs="Calibri"/>
          <w:sz w:val="22"/>
          <w:szCs w:val="22"/>
        </w:rPr>
        <w:t>Available at: </w:t>
      </w:r>
      <w:hyperlink r:id="rId13" w:history="1">
        <w:r w:rsidRPr="00CF6259">
          <w:rPr>
            <w:rFonts w:cs="Calibri"/>
            <w:color w:val="0B4CB4"/>
            <w:sz w:val="22"/>
            <w:szCs w:val="22"/>
            <w:u w:val="single" w:color="0B4CB4"/>
          </w:rPr>
          <w:t>https://www.verywellmind.com/what-is-the-zone-of-proximal-development-2796034</w:t>
        </w:r>
      </w:hyperlink>
      <w:r w:rsidRPr="00CF6259">
        <w:rPr>
          <w:rFonts w:cs="Calibri"/>
          <w:sz w:val="22"/>
          <w:szCs w:val="22"/>
        </w:rPr>
        <w:t> [Accesed: 12/3/2019]. </w:t>
      </w:r>
    </w:p>
    <w:p w14:paraId="36D293EC" w14:textId="77777777" w:rsidR="00CF6259" w:rsidRPr="00CF6259" w:rsidRDefault="00CF6259" w:rsidP="00CF6259">
      <w:pPr>
        <w:widowControl w:val="0"/>
        <w:autoSpaceDE w:val="0"/>
        <w:autoSpaceDN w:val="0"/>
        <w:adjustRightInd w:val="0"/>
        <w:spacing w:after="0"/>
        <w:rPr>
          <w:rFonts w:cs="Helvetica"/>
          <w:sz w:val="22"/>
          <w:szCs w:val="22"/>
        </w:rPr>
      </w:pPr>
    </w:p>
    <w:p w14:paraId="4781937C"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Clutterbuck, P. and Evans, L. (2010). </w:t>
      </w:r>
      <w:r w:rsidRPr="00CF6259">
        <w:rPr>
          <w:rFonts w:cs="Calibri Italic"/>
          <w:i/>
          <w:iCs/>
          <w:sz w:val="22"/>
          <w:szCs w:val="22"/>
        </w:rPr>
        <w:t>Positive reinforcement</w:t>
      </w:r>
      <w:r w:rsidRPr="00CF6259">
        <w:rPr>
          <w:rFonts w:cs="Calibri"/>
          <w:sz w:val="22"/>
          <w:szCs w:val="22"/>
        </w:rPr>
        <w:t>. Carmarthen: Crown Publishing. </w:t>
      </w:r>
    </w:p>
    <w:p w14:paraId="5103D237" w14:textId="77777777" w:rsidR="00CF6259" w:rsidRPr="00CF6259" w:rsidRDefault="00CF6259" w:rsidP="00CF6259">
      <w:pPr>
        <w:widowControl w:val="0"/>
        <w:autoSpaceDE w:val="0"/>
        <w:autoSpaceDN w:val="0"/>
        <w:adjustRightInd w:val="0"/>
        <w:spacing w:after="0"/>
        <w:rPr>
          <w:rFonts w:cs="Helvetica"/>
          <w:sz w:val="22"/>
          <w:szCs w:val="22"/>
        </w:rPr>
      </w:pPr>
    </w:p>
    <w:p w14:paraId="1AA45D7A"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Dale, L. and Tanner, R. (2017). </w:t>
      </w:r>
      <w:r w:rsidRPr="00CF6259">
        <w:rPr>
          <w:rFonts w:cs="Calibri Italic"/>
          <w:i/>
          <w:iCs/>
          <w:sz w:val="22"/>
          <w:szCs w:val="22"/>
        </w:rPr>
        <w:t>CLIL activities</w:t>
      </w:r>
      <w:r w:rsidRPr="00CF6259">
        <w:rPr>
          <w:rFonts w:cs="Calibri"/>
          <w:sz w:val="22"/>
          <w:szCs w:val="22"/>
        </w:rPr>
        <w:t>. Cambridge: Cambridge Univ. Press. </w:t>
      </w:r>
    </w:p>
    <w:p w14:paraId="2EA2CE77" w14:textId="77777777" w:rsidR="00CF6259" w:rsidRPr="00CF6259" w:rsidRDefault="00CF6259" w:rsidP="00CF6259">
      <w:pPr>
        <w:widowControl w:val="0"/>
        <w:autoSpaceDE w:val="0"/>
        <w:autoSpaceDN w:val="0"/>
        <w:adjustRightInd w:val="0"/>
        <w:spacing w:after="0"/>
        <w:rPr>
          <w:rFonts w:cs="Helvetica"/>
          <w:sz w:val="22"/>
          <w:szCs w:val="22"/>
        </w:rPr>
      </w:pPr>
    </w:p>
    <w:p w14:paraId="36D76719"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xml:space="preserve">Dill(Unknown) </w:t>
      </w:r>
      <w:r w:rsidRPr="00CF6259">
        <w:rPr>
          <w:rFonts w:cs="Calibri Italic"/>
          <w:i/>
          <w:iCs/>
          <w:sz w:val="22"/>
          <w:szCs w:val="22"/>
        </w:rPr>
        <w:t>Struggling readers benefit from activating prior knowledge</w:t>
      </w:r>
      <w:r w:rsidRPr="00CF6259">
        <w:rPr>
          <w:rFonts w:cs="Calibri"/>
          <w:sz w:val="22"/>
          <w:szCs w:val="22"/>
        </w:rPr>
        <w:t xml:space="preserve">. Website available at: </w:t>
      </w:r>
      <w:hyperlink r:id="rId14" w:history="1">
        <w:r w:rsidRPr="00CF6259">
          <w:rPr>
            <w:rFonts w:cs="Calibri"/>
            <w:color w:val="0B4CB4"/>
            <w:sz w:val="22"/>
            <w:szCs w:val="22"/>
            <w:u w:val="single" w:color="0B4CB4"/>
          </w:rPr>
          <w:t>https://www.brighthubeducation.com/teaching-elementary-school/37908-struggling-readers-benefit-from-activating-prior-knowledge/</w:t>
        </w:r>
      </w:hyperlink>
      <w:r w:rsidRPr="00CF6259">
        <w:rPr>
          <w:rFonts w:cs="Calibri"/>
          <w:sz w:val="22"/>
          <w:szCs w:val="22"/>
        </w:rPr>
        <w:t xml:space="preserve"> [Last accessed: 05/03/2019]. </w:t>
      </w:r>
    </w:p>
    <w:p w14:paraId="009B08F2" w14:textId="77777777" w:rsidR="00CF6259" w:rsidRPr="00CF6259" w:rsidRDefault="00CF6259" w:rsidP="00CF6259">
      <w:pPr>
        <w:widowControl w:val="0"/>
        <w:autoSpaceDE w:val="0"/>
        <w:autoSpaceDN w:val="0"/>
        <w:adjustRightInd w:val="0"/>
        <w:spacing w:after="0"/>
        <w:rPr>
          <w:rFonts w:cs="Helvetica"/>
          <w:sz w:val="22"/>
          <w:szCs w:val="22"/>
        </w:rPr>
      </w:pPr>
    </w:p>
    <w:p w14:paraId="56B2DDBE"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Donaldson ,G. (2015) </w:t>
      </w:r>
      <w:r w:rsidRPr="00CF6259">
        <w:rPr>
          <w:rFonts w:cs="Calibri Italic"/>
          <w:i/>
          <w:iCs/>
          <w:sz w:val="22"/>
          <w:szCs w:val="22"/>
        </w:rPr>
        <w:t>Succesful futures</w:t>
      </w:r>
      <w:r w:rsidRPr="00CF6259">
        <w:rPr>
          <w:rFonts w:cs="Calibri"/>
          <w:sz w:val="22"/>
          <w:szCs w:val="22"/>
        </w:rPr>
        <w:t xml:space="preserve">. Crown copyright. Available at: </w:t>
      </w:r>
      <w:hyperlink r:id="rId15" w:history="1">
        <w:r w:rsidRPr="00CF6259">
          <w:rPr>
            <w:rFonts w:cs="Calibri"/>
            <w:color w:val="0B4CB4"/>
            <w:sz w:val="22"/>
            <w:szCs w:val="22"/>
            <w:u w:val="single" w:color="0B4CB4"/>
          </w:rPr>
          <w:t>https://beta.gov.wales/sites/default/files/publications/2018-03/succesful-futures-a-summary-of-professor-graham-donaldsons-report.pdf</w:t>
        </w:r>
      </w:hyperlink>
      <w:r w:rsidRPr="00CF6259">
        <w:rPr>
          <w:rFonts w:cs="Calibri"/>
          <w:sz w:val="22"/>
          <w:szCs w:val="22"/>
        </w:rPr>
        <w:t>  </w:t>
      </w:r>
    </w:p>
    <w:p w14:paraId="26F193D9" w14:textId="77777777" w:rsidR="00CF6259" w:rsidRDefault="00CF6259" w:rsidP="00CF6259">
      <w:pPr>
        <w:widowControl w:val="0"/>
        <w:autoSpaceDE w:val="0"/>
        <w:autoSpaceDN w:val="0"/>
        <w:adjustRightInd w:val="0"/>
        <w:spacing w:after="0"/>
        <w:rPr>
          <w:rFonts w:cs="Calibri"/>
          <w:sz w:val="22"/>
          <w:szCs w:val="22"/>
        </w:rPr>
      </w:pPr>
    </w:p>
    <w:p w14:paraId="1CC1B843"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Drinkwater, N. (2008). </w:t>
      </w:r>
      <w:r w:rsidRPr="00CF6259">
        <w:rPr>
          <w:rFonts w:cs="Calibri Italic"/>
          <w:i/>
          <w:iCs/>
          <w:sz w:val="22"/>
          <w:szCs w:val="22"/>
        </w:rPr>
        <w:t>Games &amp; activities for primary modern foreign languages</w:t>
      </w:r>
      <w:r w:rsidRPr="00CF6259">
        <w:rPr>
          <w:rFonts w:cs="Calibri"/>
          <w:sz w:val="22"/>
          <w:szCs w:val="22"/>
        </w:rPr>
        <w:t>. Harlow, England: Pearson Longman. </w:t>
      </w:r>
    </w:p>
    <w:p w14:paraId="4EC6A04E" w14:textId="77777777" w:rsidR="00CF6259" w:rsidRDefault="00CF6259" w:rsidP="00CF6259">
      <w:pPr>
        <w:widowControl w:val="0"/>
        <w:autoSpaceDE w:val="0"/>
        <w:autoSpaceDN w:val="0"/>
        <w:adjustRightInd w:val="0"/>
        <w:spacing w:after="0"/>
        <w:rPr>
          <w:rFonts w:cs="Calibri"/>
          <w:sz w:val="22"/>
          <w:szCs w:val="22"/>
        </w:rPr>
      </w:pPr>
    </w:p>
    <w:p w14:paraId="3500B27E"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Dweck, C. (2014) </w:t>
      </w:r>
      <w:r w:rsidRPr="00CF6259">
        <w:rPr>
          <w:rFonts w:cs="Calibri Italic"/>
          <w:i/>
          <w:iCs/>
          <w:sz w:val="22"/>
          <w:szCs w:val="22"/>
        </w:rPr>
        <w:t xml:space="preserve">The Power of Believing That You Can Improve. </w:t>
      </w:r>
      <w:r w:rsidRPr="00CF6259">
        <w:rPr>
          <w:rFonts w:cs="Calibri"/>
          <w:sz w:val="22"/>
          <w:szCs w:val="22"/>
        </w:rPr>
        <w:t xml:space="preserve">[Video]Available at: </w:t>
      </w:r>
      <w:hyperlink r:id="rId16" w:history="1">
        <w:r w:rsidRPr="00CF6259">
          <w:rPr>
            <w:rFonts w:cs="Calibri"/>
            <w:color w:val="813B5F"/>
            <w:sz w:val="22"/>
            <w:szCs w:val="22"/>
            <w:u w:val="single" w:color="813B5F"/>
          </w:rPr>
          <w:t>https://www.ted.com/talks/carol_dweck_the_power_of_believing_that_you_can_improve/transcript?language=en</w:t>
        </w:r>
      </w:hyperlink>
      <w:r w:rsidRPr="00CF6259">
        <w:rPr>
          <w:rFonts w:cs="Calibri"/>
          <w:sz w:val="22"/>
          <w:szCs w:val="22"/>
        </w:rPr>
        <w:t> </w:t>
      </w:r>
    </w:p>
    <w:p w14:paraId="76CC63A9" w14:textId="77777777" w:rsidR="00CF6259" w:rsidRDefault="00CF6259" w:rsidP="00CF6259">
      <w:pPr>
        <w:widowControl w:val="0"/>
        <w:autoSpaceDE w:val="0"/>
        <w:autoSpaceDN w:val="0"/>
        <w:adjustRightInd w:val="0"/>
        <w:spacing w:after="0"/>
        <w:rPr>
          <w:rFonts w:cs="Calibri"/>
          <w:sz w:val="22"/>
          <w:szCs w:val="22"/>
        </w:rPr>
      </w:pPr>
    </w:p>
    <w:p w14:paraId="1A184D12"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Dweck, C. (2012). </w:t>
      </w:r>
      <w:r w:rsidRPr="00CF6259">
        <w:rPr>
          <w:rFonts w:cs="Calibri Italic"/>
          <w:i/>
          <w:iCs/>
          <w:sz w:val="22"/>
          <w:szCs w:val="22"/>
        </w:rPr>
        <w:t>Mindset</w:t>
      </w:r>
      <w:r w:rsidRPr="00CF6259">
        <w:rPr>
          <w:rFonts w:cs="Calibri"/>
          <w:sz w:val="22"/>
          <w:szCs w:val="22"/>
        </w:rPr>
        <w:t>. London; Robinson. </w:t>
      </w:r>
    </w:p>
    <w:p w14:paraId="31517CFD" w14:textId="77777777" w:rsidR="00CF6259" w:rsidRDefault="00CF6259" w:rsidP="00CF6259">
      <w:pPr>
        <w:widowControl w:val="0"/>
        <w:autoSpaceDE w:val="0"/>
        <w:autoSpaceDN w:val="0"/>
        <w:adjustRightInd w:val="0"/>
        <w:spacing w:after="0"/>
        <w:rPr>
          <w:rFonts w:cs="Calibri"/>
          <w:sz w:val="22"/>
          <w:szCs w:val="22"/>
        </w:rPr>
      </w:pPr>
    </w:p>
    <w:p w14:paraId="1E34BA66"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Jones, J. and Coffey, S. (2006). </w:t>
      </w:r>
      <w:r w:rsidRPr="00CF6259">
        <w:rPr>
          <w:rFonts w:cs="Calibri Italic"/>
          <w:i/>
          <w:iCs/>
          <w:sz w:val="22"/>
          <w:szCs w:val="22"/>
        </w:rPr>
        <w:t>Modern foreign languages 5-11</w:t>
      </w:r>
      <w:r w:rsidRPr="00CF6259">
        <w:rPr>
          <w:rFonts w:cs="Calibri"/>
          <w:sz w:val="22"/>
          <w:szCs w:val="22"/>
        </w:rPr>
        <w:t>. London: David Fulton Publishers. </w:t>
      </w:r>
    </w:p>
    <w:p w14:paraId="67DF8F47" w14:textId="77777777" w:rsidR="00CF6259" w:rsidRDefault="00CF6259" w:rsidP="00CF6259">
      <w:pPr>
        <w:widowControl w:val="0"/>
        <w:autoSpaceDE w:val="0"/>
        <w:autoSpaceDN w:val="0"/>
        <w:adjustRightInd w:val="0"/>
        <w:spacing w:after="0"/>
        <w:rPr>
          <w:rFonts w:cs="Calibri"/>
          <w:sz w:val="22"/>
          <w:szCs w:val="22"/>
        </w:rPr>
      </w:pPr>
    </w:p>
    <w:p w14:paraId="068887CA"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Kirsch, C. (2008). </w:t>
      </w:r>
      <w:r w:rsidRPr="00CF6259">
        <w:rPr>
          <w:rFonts w:cs="Calibri Italic"/>
          <w:i/>
          <w:iCs/>
          <w:sz w:val="22"/>
          <w:szCs w:val="22"/>
        </w:rPr>
        <w:t>Teaching foreign languages in the primary school</w:t>
      </w:r>
      <w:r w:rsidRPr="00CF6259">
        <w:rPr>
          <w:rFonts w:cs="Calibri"/>
          <w:sz w:val="22"/>
          <w:szCs w:val="22"/>
        </w:rPr>
        <w:t>. London: Continuum International. </w:t>
      </w:r>
    </w:p>
    <w:p w14:paraId="3ECE0090" w14:textId="77777777" w:rsidR="00CF6259" w:rsidRDefault="00CF6259" w:rsidP="00CF6259">
      <w:pPr>
        <w:widowControl w:val="0"/>
        <w:autoSpaceDE w:val="0"/>
        <w:autoSpaceDN w:val="0"/>
        <w:adjustRightInd w:val="0"/>
        <w:spacing w:after="0"/>
        <w:rPr>
          <w:rFonts w:cs="Calibri"/>
          <w:sz w:val="22"/>
          <w:szCs w:val="22"/>
        </w:rPr>
      </w:pPr>
    </w:p>
    <w:p w14:paraId="7FF86648"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Lent, R. (2012). </w:t>
      </w:r>
      <w:r w:rsidRPr="00CF6259">
        <w:rPr>
          <w:rFonts w:cs="Calibri Italic"/>
          <w:i/>
          <w:iCs/>
          <w:sz w:val="22"/>
          <w:szCs w:val="22"/>
        </w:rPr>
        <w:t>Overcoming textbook fatigue</w:t>
      </w:r>
      <w:r w:rsidRPr="00CF6259">
        <w:rPr>
          <w:rFonts w:cs="Calibri"/>
          <w:sz w:val="22"/>
          <w:szCs w:val="22"/>
        </w:rPr>
        <w:t>. Alexandria, Va.: ASCD. </w:t>
      </w:r>
    </w:p>
    <w:p w14:paraId="7778CD6A" w14:textId="77777777" w:rsidR="00CF6259" w:rsidRDefault="00CF6259" w:rsidP="00CF6259">
      <w:pPr>
        <w:widowControl w:val="0"/>
        <w:autoSpaceDE w:val="0"/>
        <w:autoSpaceDN w:val="0"/>
        <w:adjustRightInd w:val="0"/>
        <w:spacing w:after="0"/>
        <w:rPr>
          <w:rFonts w:cs="Calibri"/>
          <w:sz w:val="22"/>
          <w:szCs w:val="22"/>
        </w:rPr>
      </w:pPr>
    </w:p>
    <w:p w14:paraId="706D660C"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Lewis(unknown) </w:t>
      </w:r>
      <w:r w:rsidRPr="00CF6259">
        <w:rPr>
          <w:rFonts w:cs="Calibri Italic"/>
          <w:i/>
          <w:iCs/>
          <w:sz w:val="22"/>
          <w:szCs w:val="22"/>
        </w:rPr>
        <w:t xml:space="preserve">7 reasons why you should sing to learn languages. </w:t>
      </w:r>
      <w:r w:rsidRPr="00CF6259">
        <w:rPr>
          <w:rFonts w:cs="Calibri"/>
          <w:sz w:val="22"/>
          <w:szCs w:val="22"/>
        </w:rPr>
        <w:t xml:space="preserve">Website available at: </w:t>
      </w:r>
      <w:hyperlink r:id="rId17" w:history="1">
        <w:r w:rsidRPr="00CF6259">
          <w:rPr>
            <w:rFonts w:cs="Calibri"/>
            <w:color w:val="0B4CB4"/>
            <w:sz w:val="22"/>
            <w:szCs w:val="22"/>
            <w:u w:val="single" w:color="0B4CB4"/>
          </w:rPr>
          <w:t>https://www.fluentin3months.com/sing-to-learn-languages/</w:t>
        </w:r>
      </w:hyperlink>
      <w:r w:rsidRPr="00CF6259">
        <w:rPr>
          <w:rFonts w:cs="Calibri"/>
          <w:sz w:val="22"/>
          <w:szCs w:val="22"/>
        </w:rPr>
        <w:t xml:space="preserve"> {Last accessed: 05/03/2019) </w:t>
      </w:r>
    </w:p>
    <w:p w14:paraId="2FF0D505" w14:textId="77777777" w:rsidR="00CF6259" w:rsidRDefault="00CF6259" w:rsidP="00CF6259">
      <w:pPr>
        <w:widowControl w:val="0"/>
        <w:autoSpaceDE w:val="0"/>
        <w:autoSpaceDN w:val="0"/>
        <w:adjustRightInd w:val="0"/>
        <w:spacing w:after="0"/>
        <w:rPr>
          <w:rFonts w:cs="Calibri"/>
          <w:sz w:val="22"/>
          <w:szCs w:val="22"/>
        </w:rPr>
      </w:pPr>
    </w:p>
    <w:p w14:paraId="4528E1A1"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lastRenderedPageBreak/>
        <w:t>Littlewood, W. (2006). </w:t>
      </w:r>
      <w:r w:rsidRPr="00CF6259">
        <w:rPr>
          <w:rFonts w:cs="Calibri Italic"/>
          <w:i/>
          <w:iCs/>
          <w:sz w:val="22"/>
          <w:szCs w:val="22"/>
        </w:rPr>
        <w:t>Foreign and second language learning</w:t>
      </w:r>
      <w:r w:rsidRPr="00CF6259">
        <w:rPr>
          <w:rFonts w:cs="Calibri"/>
          <w:sz w:val="22"/>
          <w:szCs w:val="22"/>
        </w:rPr>
        <w:t>. Cambridge: Cambridge University Press. </w:t>
      </w:r>
    </w:p>
    <w:p w14:paraId="4C64BBE6" w14:textId="77777777" w:rsidR="00CF6259" w:rsidRDefault="00CF6259" w:rsidP="00CF6259">
      <w:pPr>
        <w:widowControl w:val="0"/>
        <w:autoSpaceDE w:val="0"/>
        <w:autoSpaceDN w:val="0"/>
        <w:adjustRightInd w:val="0"/>
        <w:spacing w:after="0"/>
        <w:rPr>
          <w:rFonts w:cs="Calibri"/>
          <w:sz w:val="22"/>
          <w:szCs w:val="22"/>
        </w:rPr>
      </w:pPr>
    </w:p>
    <w:p w14:paraId="4F893B4C"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Mindsteps (Unknown) </w:t>
      </w:r>
      <w:r w:rsidRPr="00CF6259">
        <w:rPr>
          <w:rFonts w:cs="Calibri Italic"/>
          <w:i/>
          <w:iCs/>
          <w:sz w:val="22"/>
          <w:szCs w:val="22"/>
        </w:rPr>
        <w:t xml:space="preserve">Activating Prior Knowledge, classroom strategies. </w:t>
      </w:r>
      <w:r w:rsidRPr="00CF6259">
        <w:rPr>
          <w:rFonts w:cs="Calibri"/>
          <w:sz w:val="22"/>
          <w:szCs w:val="22"/>
        </w:rPr>
        <w:t xml:space="preserve">Website available at: </w:t>
      </w:r>
      <w:hyperlink r:id="rId18" w:history="1">
        <w:r w:rsidRPr="00CF6259">
          <w:rPr>
            <w:rFonts w:cs="Calibri"/>
            <w:color w:val="0B4CB4"/>
            <w:sz w:val="22"/>
            <w:szCs w:val="22"/>
            <w:u w:val="single" w:color="0B4CB4"/>
          </w:rPr>
          <w:t>https://mindstepsinc.com/2012/09/activating-prior-knowledge/</w:t>
        </w:r>
      </w:hyperlink>
      <w:r w:rsidRPr="00CF6259">
        <w:rPr>
          <w:rFonts w:cs="Calibri"/>
          <w:sz w:val="22"/>
          <w:szCs w:val="22"/>
        </w:rPr>
        <w:t xml:space="preserve"> [Accessed 08/03/2019] </w:t>
      </w:r>
    </w:p>
    <w:p w14:paraId="5EB4BD28" w14:textId="77777777" w:rsidR="00CF6259" w:rsidRDefault="00CF6259" w:rsidP="00CF6259">
      <w:pPr>
        <w:widowControl w:val="0"/>
        <w:autoSpaceDE w:val="0"/>
        <w:autoSpaceDN w:val="0"/>
        <w:adjustRightInd w:val="0"/>
        <w:spacing w:after="0"/>
        <w:rPr>
          <w:rFonts w:cs="Calibri"/>
          <w:sz w:val="22"/>
          <w:szCs w:val="22"/>
        </w:rPr>
      </w:pPr>
    </w:p>
    <w:p w14:paraId="56C98C9C"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O’Connor (2017) </w:t>
      </w:r>
      <w:r w:rsidRPr="00CF6259">
        <w:rPr>
          <w:rFonts w:cs="Calibri Italic"/>
          <w:i/>
          <w:iCs/>
          <w:sz w:val="22"/>
          <w:szCs w:val="22"/>
        </w:rPr>
        <w:t>Stop Failing and start flearning</w:t>
      </w:r>
      <w:r w:rsidRPr="00CF6259">
        <w:rPr>
          <w:rFonts w:cs="Calibri"/>
          <w:sz w:val="22"/>
          <w:szCs w:val="22"/>
        </w:rPr>
        <w:t xml:space="preserve">. Website available at: </w:t>
      </w:r>
      <w:hyperlink r:id="rId19" w:history="1">
        <w:r w:rsidRPr="00CF6259">
          <w:rPr>
            <w:rFonts w:cs="Calibri"/>
            <w:color w:val="0B4CB4"/>
            <w:sz w:val="22"/>
            <w:szCs w:val="22"/>
            <w:u w:val="single" w:color="0B4CB4"/>
          </w:rPr>
          <w:t>https://www.intheblack.com/articles/2015/02/02/stop-failing-and-start-flearning</w:t>
        </w:r>
      </w:hyperlink>
      <w:r w:rsidRPr="00CF6259">
        <w:rPr>
          <w:rFonts w:cs="Calibri"/>
          <w:sz w:val="22"/>
          <w:szCs w:val="22"/>
        </w:rPr>
        <w:t xml:space="preserve"> [accessed 09/02/2019] </w:t>
      </w:r>
    </w:p>
    <w:p w14:paraId="0D2417CA" w14:textId="77777777" w:rsidR="00CF6259" w:rsidRDefault="00CF6259" w:rsidP="00CF6259">
      <w:pPr>
        <w:widowControl w:val="0"/>
        <w:autoSpaceDE w:val="0"/>
        <w:autoSpaceDN w:val="0"/>
        <w:adjustRightInd w:val="0"/>
        <w:spacing w:after="0"/>
        <w:rPr>
          <w:rFonts w:cs="Calibri"/>
          <w:sz w:val="22"/>
          <w:szCs w:val="22"/>
        </w:rPr>
      </w:pPr>
    </w:p>
    <w:p w14:paraId="3CB14F10"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Ortega, L. (2009). </w:t>
      </w:r>
      <w:r w:rsidRPr="00CF6259">
        <w:rPr>
          <w:rFonts w:cs="Calibri Italic"/>
          <w:i/>
          <w:iCs/>
          <w:sz w:val="22"/>
          <w:szCs w:val="22"/>
        </w:rPr>
        <w:t>Second language acquisition</w:t>
      </w:r>
      <w:r w:rsidRPr="00CF6259">
        <w:rPr>
          <w:rFonts w:cs="Calibri"/>
          <w:sz w:val="22"/>
          <w:szCs w:val="22"/>
        </w:rPr>
        <w:t>. London: Hodder. </w:t>
      </w:r>
    </w:p>
    <w:p w14:paraId="7932F8DE" w14:textId="77777777" w:rsidR="00CF6259" w:rsidRDefault="00CF6259" w:rsidP="00CF6259">
      <w:pPr>
        <w:widowControl w:val="0"/>
        <w:autoSpaceDE w:val="0"/>
        <w:autoSpaceDN w:val="0"/>
        <w:adjustRightInd w:val="0"/>
        <w:spacing w:after="0"/>
        <w:rPr>
          <w:rFonts w:cs="Calibri"/>
          <w:sz w:val="22"/>
          <w:szCs w:val="22"/>
        </w:rPr>
      </w:pPr>
    </w:p>
    <w:p w14:paraId="3382579B"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Popham, W. (2008). </w:t>
      </w:r>
      <w:r w:rsidRPr="00CF6259">
        <w:rPr>
          <w:rFonts w:cs="Calibri Italic"/>
          <w:i/>
          <w:iCs/>
          <w:sz w:val="22"/>
          <w:szCs w:val="22"/>
        </w:rPr>
        <w:t>Transformative assessment</w:t>
      </w:r>
      <w:r w:rsidRPr="00CF6259">
        <w:rPr>
          <w:rFonts w:cs="Calibri"/>
          <w:sz w:val="22"/>
          <w:szCs w:val="22"/>
        </w:rPr>
        <w:t>. Alexandria, VA: Association for Supervision and Curriculum Development. </w:t>
      </w:r>
    </w:p>
    <w:p w14:paraId="2A67B1FF" w14:textId="77777777" w:rsidR="00CF6259" w:rsidRDefault="00CF6259" w:rsidP="00CF6259">
      <w:pPr>
        <w:widowControl w:val="0"/>
        <w:autoSpaceDE w:val="0"/>
        <w:autoSpaceDN w:val="0"/>
        <w:adjustRightInd w:val="0"/>
        <w:spacing w:after="0"/>
        <w:rPr>
          <w:rFonts w:cs="Calibri"/>
          <w:sz w:val="22"/>
          <w:szCs w:val="22"/>
        </w:rPr>
      </w:pPr>
    </w:p>
    <w:p w14:paraId="6724518F"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Schinkten (2017) </w:t>
      </w:r>
      <w:r w:rsidRPr="00CF6259">
        <w:rPr>
          <w:rFonts w:cs="Calibri Italic"/>
          <w:i/>
          <w:iCs/>
          <w:sz w:val="22"/>
          <w:szCs w:val="22"/>
        </w:rPr>
        <w:t xml:space="preserve">How to get children to engage in higher order thinking. </w:t>
      </w:r>
      <w:r w:rsidRPr="00CF6259">
        <w:rPr>
          <w:rFonts w:cs="Calibri"/>
          <w:sz w:val="22"/>
          <w:szCs w:val="22"/>
        </w:rPr>
        <w:t>Available at: </w:t>
      </w:r>
      <w:hyperlink r:id="rId20" w:history="1">
        <w:r w:rsidRPr="00CF6259">
          <w:rPr>
            <w:rFonts w:cs="Calibri"/>
            <w:color w:val="0B4CB4"/>
            <w:sz w:val="22"/>
            <w:szCs w:val="22"/>
            <w:u w:val="single" w:color="0B4CB4"/>
          </w:rPr>
          <w:t>https://learning.linkedin.com/blog/education/how-to-get-students-to-engage-in-higher-order-thinking</w:t>
        </w:r>
      </w:hyperlink>
      <w:r w:rsidRPr="00CF6259">
        <w:rPr>
          <w:rFonts w:cs="Calibri"/>
          <w:sz w:val="22"/>
          <w:szCs w:val="22"/>
        </w:rPr>
        <w:t> [accessed 16.3.2019] </w:t>
      </w:r>
    </w:p>
    <w:p w14:paraId="7759D78D" w14:textId="77777777" w:rsidR="00CF6259" w:rsidRDefault="00CF6259" w:rsidP="00CF6259">
      <w:pPr>
        <w:widowControl w:val="0"/>
        <w:autoSpaceDE w:val="0"/>
        <w:autoSpaceDN w:val="0"/>
        <w:adjustRightInd w:val="0"/>
        <w:spacing w:after="0"/>
        <w:rPr>
          <w:rFonts w:cs="Calibri"/>
          <w:sz w:val="22"/>
          <w:szCs w:val="22"/>
        </w:rPr>
      </w:pPr>
    </w:p>
    <w:p w14:paraId="4CAF3F0C"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Talk for writing (Unknown) </w:t>
      </w:r>
      <w:r w:rsidRPr="00CF6259">
        <w:rPr>
          <w:rFonts w:cs="Calibri Italic"/>
          <w:i/>
          <w:iCs/>
          <w:sz w:val="22"/>
          <w:szCs w:val="22"/>
        </w:rPr>
        <w:t xml:space="preserve">About talk for writing. </w:t>
      </w:r>
      <w:r w:rsidRPr="00CF6259">
        <w:rPr>
          <w:rFonts w:cs="Calibri"/>
          <w:sz w:val="22"/>
          <w:szCs w:val="22"/>
        </w:rPr>
        <w:t xml:space="preserve">Available at: </w:t>
      </w:r>
      <w:hyperlink r:id="rId21" w:history="1">
        <w:r w:rsidRPr="00CF6259">
          <w:rPr>
            <w:rFonts w:cs="Calibri"/>
            <w:color w:val="0B4CB4"/>
            <w:sz w:val="22"/>
            <w:szCs w:val="22"/>
            <w:u w:val="single" w:color="0B4CB4"/>
          </w:rPr>
          <w:t>https://www.talk4writing.co.uk/about/</w:t>
        </w:r>
      </w:hyperlink>
      <w:r w:rsidRPr="00CF6259">
        <w:rPr>
          <w:rFonts w:cs="Calibri"/>
          <w:sz w:val="22"/>
          <w:szCs w:val="22"/>
        </w:rPr>
        <w:t xml:space="preserve"> [Accessed 07/03/2019].  </w:t>
      </w:r>
    </w:p>
    <w:p w14:paraId="7A128EE4" w14:textId="77777777" w:rsidR="00CF6259" w:rsidRDefault="00CF6259" w:rsidP="00CF6259">
      <w:pPr>
        <w:widowControl w:val="0"/>
        <w:autoSpaceDE w:val="0"/>
        <w:autoSpaceDN w:val="0"/>
        <w:adjustRightInd w:val="0"/>
        <w:spacing w:after="0"/>
        <w:rPr>
          <w:rFonts w:cs="Calibri"/>
          <w:sz w:val="22"/>
          <w:szCs w:val="22"/>
        </w:rPr>
      </w:pPr>
    </w:p>
    <w:p w14:paraId="3500B15F"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Tankersley, K. (2005). </w:t>
      </w:r>
      <w:r w:rsidRPr="00CF6259">
        <w:rPr>
          <w:rFonts w:cs="Calibri Italic"/>
          <w:i/>
          <w:iCs/>
          <w:sz w:val="22"/>
          <w:szCs w:val="22"/>
        </w:rPr>
        <w:t>Literacy strategies for grades 4-12</w:t>
      </w:r>
      <w:r w:rsidRPr="00CF6259">
        <w:rPr>
          <w:rFonts w:cs="Calibri"/>
          <w:sz w:val="22"/>
          <w:szCs w:val="22"/>
        </w:rPr>
        <w:t>. Alexandria, Va.: Association for Supervision and Curriculum Development. </w:t>
      </w:r>
    </w:p>
    <w:p w14:paraId="76A15CC1" w14:textId="77777777" w:rsidR="00CF6259" w:rsidRDefault="00CF6259" w:rsidP="00CF6259">
      <w:pPr>
        <w:widowControl w:val="0"/>
        <w:autoSpaceDE w:val="0"/>
        <w:autoSpaceDN w:val="0"/>
        <w:adjustRightInd w:val="0"/>
        <w:spacing w:after="0"/>
        <w:rPr>
          <w:rFonts w:cs="Calibri"/>
          <w:sz w:val="22"/>
          <w:szCs w:val="22"/>
        </w:rPr>
      </w:pPr>
    </w:p>
    <w:p w14:paraId="277050C0"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TELC(2016) </w:t>
      </w:r>
      <w:r w:rsidRPr="00CF6259">
        <w:rPr>
          <w:rFonts w:cs="Calibri Italic"/>
          <w:i/>
          <w:iCs/>
          <w:sz w:val="22"/>
          <w:szCs w:val="22"/>
        </w:rPr>
        <w:t xml:space="preserve">Tips for teaching a foreign language. </w:t>
      </w:r>
      <w:r w:rsidRPr="00CF6259">
        <w:rPr>
          <w:rFonts w:cs="Calibri"/>
          <w:sz w:val="22"/>
          <w:szCs w:val="22"/>
        </w:rPr>
        <w:t xml:space="preserve">Website available at: </w:t>
      </w:r>
      <w:hyperlink r:id="rId22" w:history="1">
        <w:r w:rsidRPr="00CF6259">
          <w:rPr>
            <w:rFonts w:cs="Calibri"/>
            <w:color w:val="0B4CB4"/>
            <w:sz w:val="22"/>
            <w:szCs w:val="22"/>
            <w:u w:val="single" w:color="0B4CB4"/>
          </w:rPr>
          <w:t>https://www.telc.net/en/about-telc/news/detail/tips-for-teaching-a-foreign-language.html</w:t>
        </w:r>
      </w:hyperlink>
      <w:r w:rsidRPr="00CF6259">
        <w:rPr>
          <w:rFonts w:cs="Calibri"/>
          <w:sz w:val="22"/>
          <w:szCs w:val="22"/>
        </w:rPr>
        <w:t xml:space="preserve"> [accessed 06/03/19]. </w:t>
      </w:r>
    </w:p>
    <w:p w14:paraId="1AD69A50" w14:textId="77777777" w:rsidR="00CF6259" w:rsidRDefault="00CF6259" w:rsidP="00CF6259">
      <w:pPr>
        <w:widowControl w:val="0"/>
        <w:autoSpaceDE w:val="0"/>
        <w:autoSpaceDN w:val="0"/>
        <w:adjustRightInd w:val="0"/>
        <w:spacing w:after="0"/>
        <w:rPr>
          <w:rFonts w:cs="Calibri"/>
          <w:sz w:val="22"/>
          <w:szCs w:val="22"/>
        </w:rPr>
      </w:pPr>
    </w:p>
    <w:p w14:paraId="35EAAA42"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Welsh Government(2015) </w:t>
      </w:r>
      <w:r w:rsidRPr="00CF6259">
        <w:rPr>
          <w:rFonts w:cs="Calibri Italic"/>
          <w:i/>
          <w:iCs/>
          <w:sz w:val="22"/>
          <w:szCs w:val="22"/>
        </w:rPr>
        <w:t xml:space="preserve">Curriculum for Wales, Foundation Phase Framework (revised). </w:t>
      </w:r>
      <w:r w:rsidRPr="00CF6259">
        <w:rPr>
          <w:rFonts w:cs="Calibri"/>
          <w:sz w:val="22"/>
          <w:szCs w:val="22"/>
        </w:rPr>
        <w:t>Cardiff. Crown Publishing. </w:t>
      </w:r>
    </w:p>
    <w:p w14:paraId="06926C7D" w14:textId="77777777" w:rsidR="00CF6259" w:rsidRDefault="00CF6259" w:rsidP="00CF6259">
      <w:pPr>
        <w:widowControl w:val="0"/>
        <w:autoSpaceDE w:val="0"/>
        <w:autoSpaceDN w:val="0"/>
        <w:adjustRightInd w:val="0"/>
        <w:spacing w:after="0"/>
        <w:rPr>
          <w:rFonts w:cs="Calibri"/>
          <w:sz w:val="22"/>
          <w:szCs w:val="22"/>
        </w:rPr>
      </w:pPr>
    </w:p>
    <w:p w14:paraId="3A58A7F7"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xml:space="preserve">Wiliam(2016) </w:t>
      </w:r>
      <w:r w:rsidRPr="00CF6259">
        <w:rPr>
          <w:rFonts w:cs="Calibri Italic"/>
          <w:i/>
          <w:iCs/>
          <w:sz w:val="22"/>
          <w:szCs w:val="22"/>
        </w:rPr>
        <w:t xml:space="preserve">Dylan William: Formative Assessment. </w:t>
      </w:r>
      <w:r w:rsidRPr="00CF6259">
        <w:rPr>
          <w:rFonts w:cs="Calibri"/>
          <w:sz w:val="22"/>
          <w:szCs w:val="22"/>
        </w:rPr>
        <w:t xml:space="preserve">[Video]. Available at: </w:t>
      </w:r>
      <w:hyperlink r:id="rId23" w:history="1">
        <w:r w:rsidRPr="00CF6259">
          <w:rPr>
            <w:rFonts w:cs="Calibri"/>
            <w:color w:val="0B4CB4"/>
            <w:sz w:val="22"/>
            <w:szCs w:val="22"/>
            <w:u w:val="single" w:color="0B4CB4"/>
          </w:rPr>
          <w:t>https://www.youtube.com/watch?v=sYdVe5O7KBE</w:t>
        </w:r>
      </w:hyperlink>
      <w:r w:rsidRPr="00CF6259">
        <w:rPr>
          <w:rFonts w:cs="Calibri"/>
          <w:sz w:val="22"/>
          <w:szCs w:val="22"/>
        </w:rPr>
        <w:t xml:space="preserve"> (Accesed:12.3.2019) </w:t>
      </w:r>
    </w:p>
    <w:p w14:paraId="76307D2D" w14:textId="77777777" w:rsidR="00CF6259" w:rsidRDefault="00CF6259" w:rsidP="00CF6259">
      <w:pPr>
        <w:widowControl w:val="0"/>
        <w:autoSpaceDE w:val="0"/>
        <w:autoSpaceDN w:val="0"/>
        <w:adjustRightInd w:val="0"/>
        <w:spacing w:after="0"/>
        <w:rPr>
          <w:rFonts w:ascii="Helvetica" w:hAnsi="Helvetica" w:cs="Helvetica"/>
        </w:rPr>
      </w:pPr>
      <w:r>
        <w:rPr>
          <w:rFonts w:ascii="Calibri" w:hAnsi="Calibri" w:cs="Calibri"/>
          <w:sz w:val="29"/>
          <w:szCs w:val="29"/>
        </w:rPr>
        <w:t> </w:t>
      </w:r>
    </w:p>
    <w:p w14:paraId="3D3F2E5E" w14:textId="77777777" w:rsidR="00CF6259" w:rsidRDefault="00CF6259" w:rsidP="00CF6259">
      <w:pPr>
        <w:widowControl w:val="0"/>
        <w:autoSpaceDE w:val="0"/>
        <w:autoSpaceDN w:val="0"/>
        <w:adjustRightInd w:val="0"/>
        <w:spacing w:after="0"/>
        <w:rPr>
          <w:rFonts w:cs="Calibri"/>
          <w:sz w:val="22"/>
          <w:szCs w:val="22"/>
        </w:rPr>
      </w:pPr>
    </w:p>
    <w:p w14:paraId="3BE2B247" w14:textId="77777777" w:rsidR="00CF6259" w:rsidRDefault="00CF6259" w:rsidP="00CF6259">
      <w:pPr>
        <w:widowControl w:val="0"/>
        <w:autoSpaceDE w:val="0"/>
        <w:autoSpaceDN w:val="0"/>
        <w:adjustRightInd w:val="0"/>
        <w:spacing w:after="0"/>
        <w:rPr>
          <w:rFonts w:cs="Calibri"/>
          <w:sz w:val="22"/>
          <w:szCs w:val="22"/>
        </w:rPr>
      </w:pPr>
    </w:p>
    <w:p w14:paraId="02DE1760" w14:textId="77777777" w:rsidR="00CF6259" w:rsidRDefault="00CF6259" w:rsidP="00CF6259">
      <w:pPr>
        <w:widowControl w:val="0"/>
        <w:autoSpaceDE w:val="0"/>
        <w:autoSpaceDN w:val="0"/>
        <w:adjustRightInd w:val="0"/>
        <w:spacing w:after="0"/>
        <w:rPr>
          <w:rFonts w:cs="Calibri"/>
          <w:sz w:val="22"/>
          <w:szCs w:val="22"/>
        </w:rPr>
      </w:pPr>
    </w:p>
    <w:p w14:paraId="1D337F97" w14:textId="77777777" w:rsidR="00CF6259" w:rsidRDefault="00CF6259" w:rsidP="00CF6259">
      <w:pPr>
        <w:widowControl w:val="0"/>
        <w:autoSpaceDE w:val="0"/>
        <w:autoSpaceDN w:val="0"/>
        <w:adjustRightInd w:val="0"/>
        <w:spacing w:after="0"/>
        <w:rPr>
          <w:rFonts w:cs="Calibri"/>
          <w:sz w:val="22"/>
          <w:szCs w:val="22"/>
        </w:rPr>
      </w:pPr>
    </w:p>
    <w:p w14:paraId="5BB282CC" w14:textId="77777777" w:rsidR="00CF6259" w:rsidRDefault="00CF6259" w:rsidP="00CF6259">
      <w:pPr>
        <w:widowControl w:val="0"/>
        <w:autoSpaceDE w:val="0"/>
        <w:autoSpaceDN w:val="0"/>
        <w:adjustRightInd w:val="0"/>
        <w:spacing w:after="0"/>
        <w:rPr>
          <w:rFonts w:cs="Calibri"/>
          <w:sz w:val="22"/>
          <w:szCs w:val="22"/>
        </w:rPr>
      </w:pPr>
    </w:p>
    <w:p w14:paraId="6A50ACC4" w14:textId="77777777" w:rsidR="00CF6259" w:rsidRDefault="00CF6259" w:rsidP="00CF6259">
      <w:pPr>
        <w:widowControl w:val="0"/>
        <w:autoSpaceDE w:val="0"/>
        <w:autoSpaceDN w:val="0"/>
        <w:adjustRightInd w:val="0"/>
        <w:spacing w:after="0"/>
        <w:rPr>
          <w:rFonts w:cs="Calibri"/>
          <w:sz w:val="22"/>
          <w:szCs w:val="22"/>
        </w:rPr>
      </w:pPr>
    </w:p>
    <w:p w14:paraId="3400C12E" w14:textId="77777777" w:rsidR="00CF6259" w:rsidRDefault="00CF6259" w:rsidP="00CF6259">
      <w:pPr>
        <w:widowControl w:val="0"/>
        <w:autoSpaceDE w:val="0"/>
        <w:autoSpaceDN w:val="0"/>
        <w:adjustRightInd w:val="0"/>
        <w:spacing w:after="0"/>
        <w:rPr>
          <w:rFonts w:cs="Calibri"/>
          <w:sz w:val="22"/>
          <w:szCs w:val="22"/>
        </w:rPr>
      </w:pPr>
    </w:p>
    <w:p w14:paraId="1BFFE3B8" w14:textId="77777777" w:rsidR="00CF6259" w:rsidRDefault="00CF6259" w:rsidP="00CF6259">
      <w:pPr>
        <w:widowControl w:val="0"/>
        <w:autoSpaceDE w:val="0"/>
        <w:autoSpaceDN w:val="0"/>
        <w:adjustRightInd w:val="0"/>
        <w:spacing w:after="0"/>
        <w:rPr>
          <w:rFonts w:cs="Calibri"/>
          <w:sz w:val="22"/>
          <w:szCs w:val="22"/>
        </w:rPr>
      </w:pPr>
    </w:p>
    <w:p w14:paraId="42CFD3CC" w14:textId="77777777" w:rsidR="00CF6259" w:rsidRDefault="00CF6259" w:rsidP="00CF6259">
      <w:pPr>
        <w:widowControl w:val="0"/>
        <w:autoSpaceDE w:val="0"/>
        <w:autoSpaceDN w:val="0"/>
        <w:adjustRightInd w:val="0"/>
        <w:spacing w:after="0"/>
        <w:rPr>
          <w:rFonts w:cs="Calibri"/>
          <w:sz w:val="22"/>
          <w:szCs w:val="22"/>
        </w:rPr>
      </w:pPr>
    </w:p>
    <w:p w14:paraId="39FD1DAA" w14:textId="77777777" w:rsidR="00CF6259" w:rsidRDefault="00CF6259" w:rsidP="00CF6259">
      <w:pPr>
        <w:widowControl w:val="0"/>
        <w:autoSpaceDE w:val="0"/>
        <w:autoSpaceDN w:val="0"/>
        <w:adjustRightInd w:val="0"/>
        <w:spacing w:after="0"/>
        <w:rPr>
          <w:rFonts w:cs="Calibri"/>
          <w:sz w:val="22"/>
          <w:szCs w:val="22"/>
        </w:rPr>
      </w:pPr>
    </w:p>
    <w:p w14:paraId="3E67D375" w14:textId="77777777" w:rsidR="00CF6259" w:rsidRDefault="00CF6259" w:rsidP="00CF6259">
      <w:pPr>
        <w:widowControl w:val="0"/>
        <w:autoSpaceDE w:val="0"/>
        <w:autoSpaceDN w:val="0"/>
        <w:adjustRightInd w:val="0"/>
        <w:spacing w:after="0"/>
        <w:rPr>
          <w:rFonts w:cs="Calibri"/>
          <w:sz w:val="22"/>
          <w:szCs w:val="22"/>
        </w:rPr>
      </w:pPr>
    </w:p>
    <w:p w14:paraId="3027FB08" w14:textId="77777777" w:rsidR="00CF6259" w:rsidRDefault="00CF6259" w:rsidP="00CF6259">
      <w:pPr>
        <w:widowControl w:val="0"/>
        <w:autoSpaceDE w:val="0"/>
        <w:autoSpaceDN w:val="0"/>
        <w:adjustRightInd w:val="0"/>
        <w:spacing w:after="0"/>
        <w:rPr>
          <w:rFonts w:cs="Calibri"/>
          <w:sz w:val="22"/>
          <w:szCs w:val="22"/>
        </w:rPr>
      </w:pPr>
    </w:p>
    <w:p w14:paraId="08D63F58" w14:textId="77777777" w:rsidR="00CF6259" w:rsidRDefault="00CF6259" w:rsidP="00CF6259">
      <w:pPr>
        <w:widowControl w:val="0"/>
        <w:autoSpaceDE w:val="0"/>
        <w:autoSpaceDN w:val="0"/>
        <w:adjustRightInd w:val="0"/>
        <w:spacing w:after="0"/>
        <w:rPr>
          <w:rFonts w:cs="Calibri"/>
          <w:sz w:val="22"/>
          <w:szCs w:val="22"/>
        </w:rPr>
      </w:pPr>
    </w:p>
    <w:p w14:paraId="1E48D9DA" w14:textId="77777777" w:rsidR="00CF6259" w:rsidRDefault="00CF6259" w:rsidP="00CF6259">
      <w:pPr>
        <w:widowControl w:val="0"/>
        <w:autoSpaceDE w:val="0"/>
        <w:autoSpaceDN w:val="0"/>
        <w:adjustRightInd w:val="0"/>
        <w:spacing w:after="0"/>
        <w:rPr>
          <w:rFonts w:cs="Calibri"/>
          <w:sz w:val="22"/>
          <w:szCs w:val="22"/>
        </w:rPr>
      </w:pPr>
    </w:p>
    <w:p w14:paraId="6BDA5397" w14:textId="77777777" w:rsidR="00CF6259" w:rsidRDefault="00CF6259" w:rsidP="00CF6259">
      <w:pPr>
        <w:widowControl w:val="0"/>
        <w:autoSpaceDE w:val="0"/>
        <w:autoSpaceDN w:val="0"/>
        <w:adjustRightInd w:val="0"/>
        <w:spacing w:after="0"/>
        <w:rPr>
          <w:rFonts w:cs="Calibri"/>
          <w:sz w:val="22"/>
          <w:szCs w:val="22"/>
        </w:rPr>
      </w:pPr>
    </w:p>
    <w:p w14:paraId="31C5A811" w14:textId="77777777" w:rsidR="00CF6259" w:rsidRDefault="00CF6259" w:rsidP="00CF6259">
      <w:pPr>
        <w:widowControl w:val="0"/>
        <w:autoSpaceDE w:val="0"/>
        <w:autoSpaceDN w:val="0"/>
        <w:adjustRightInd w:val="0"/>
        <w:spacing w:after="0"/>
        <w:rPr>
          <w:rFonts w:cs="Calibri"/>
          <w:sz w:val="22"/>
          <w:szCs w:val="22"/>
        </w:rPr>
      </w:pPr>
    </w:p>
    <w:p w14:paraId="06CD5059" w14:textId="77777777" w:rsidR="00CF6259" w:rsidRDefault="00CF6259" w:rsidP="00CF6259">
      <w:pPr>
        <w:widowControl w:val="0"/>
        <w:autoSpaceDE w:val="0"/>
        <w:autoSpaceDN w:val="0"/>
        <w:adjustRightInd w:val="0"/>
        <w:spacing w:after="0"/>
        <w:rPr>
          <w:rFonts w:cs="Calibri"/>
          <w:sz w:val="22"/>
          <w:szCs w:val="22"/>
        </w:rPr>
      </w:pPr>
    </w:p>
    <w:p w14:paraId="0D901457"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lastRenderedPageBreak/>
        <w:t>Appendix 1 </w:t>
      </w:r>
    </w:p>
    <w:p w14:paraId="6B69154F" w14:textId="77777777" w:rsidR="00CF6259" w:rsidRPr="00CF6259" w:rsidRDefault="00CF6259" w:rsidP="00CF6259">
      <w:pPr>
        <w:widowControl w:val="0"/>
        <w:autoSpaceDE w:val="0"/>
        <w:autoSpaceDN w:val="0"/>
        <w:adjustRightInd w:val="0"/>
        <w:spacing w:after="0"/>
        <w:rPr>
          <w:rFonts w:cs="Helvetica"/>
          <w:sz w:val="22"/>
          <w:szCs w:val="22"/>
        </w:rPr>
      </w:pPr>
      <w:r>
        <w:rPr>
          <w:rFonts w:cs="Calibri"/>
          <w:noProof/>
          <w:sz w:val="22"/>
          <w:szCs w:val="22"/>
          <w:lang w:eastAsia="en-US"/>
        </w:rPr>
        <w:drawing>
          <wp:anchor distT="0" distB="0" distL="114300" distR="114300" simplePos="0" relativeHeight="251659264" behindDoc="0" locked="0" layoutInCell="1" allowOverlap="1" wp14:anchorId="311E5A25" wp14:editId="74751794">
            <wp:simplePos x="0" y="0"/>
            <wp:positionH relativeFrom="column">
              <wp:posOffset>-685800</wp:posOffset>
            </wp:positionH>
            <wp:positionV relativeFrom="paragraph">
              <wp:posOffset>293370</wp:posOffset>
            </wp:positionV>
            <wp:extent cx="6514465" cy="3625850"/>
            <wp:effectExtent l="0" t="0" r="0" b="6350"/>
            <wp:wrapSquare wrapText="bothSides"/>
            <wp:docPr id="3" name="Picture 3" descr="Untitled:Users:user:Desktop:Screen Shot 2019-03-19 at 18.1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user:Desktop:Screen Shot 2019-03-19 at 18.12.16.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14465" cy="362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259">
        <w:rPr>
          <w:rFonts w:cs="Calibri"/>
          <w:sz w:val="22"/>
          <w:szCs w:val="22"/>
        </w:rPr>
        <w:t> </w:t>
      </w:r>
    </w:p>
    <w:p w14:paraId="39637162"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w:t>
      </w:r>
    </w:p>
    <w:p w14:paraId="370195D8" w14:textId="77777777" w:rsidR="00CF6259" w:rsidRDefault="00CF6259" w:rsidP="00CF6259">
      <w:pPr>
        <w:widowControl w:val="0"/>
        <w:autoSpaceDE w:val="0"/>
        <w:autoSpaceDN w:val="0"/>
        <w:adjustRightInd w:val="0"/>
        <w:spacing w:after="0"/>
        <w:rPr>
          <w:rFonts w:cs="Calibri"/>
          <w:sz w:val="22"/>
          <w:szCs w:val="22"/>
        </w:rPr>
      </w:pPr>
      <w:r w:rsidRPr="00CF6259">
        <w:rPr>
          <w:rFonts w:cs="Calibri"/>
          <w:sz w:val="22"/>
          <w:szCs w:val="22"/>
        </w:rPr>
        <w:t> </w:t>
      </w:r>
    </w:p>
    <w:p w14:paraId="52DE3FC2"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Appendix 2 </w:t>
      </w:r>
    </w:p>
    <w:p w14:paraId="3340C979" w14:textId="77777777" w:rsidR="00CF6259" w:rsidRPr="00CF6259" w:rsidRDefault="00CF6259" w:rsidP="00CF6259">
      <w:pPr>
        <w:widowControl w:val="0"/>
        <w:autoSpaceDE w:val="0"/>
        <w:autoSpaceDN w:val="0"/>
        <w:adjustRightInd w:val="0"/>
        <w:spacing w:after="0"/>
        <w:rPr>
          <w:rFonts w:cs="Helvetica"/>
          <w:sz w:val="22"/>
          <w:szCs w:val="22"/>
        </w:rPr>
      </w:pPr>
      <w:hyperlink r:id="rId25" w:history="1">
        <w:r w:rsidRPr="00CF6259">
          <w:rPr>
            <w:rFonts w:cs="Calibri"/>
            <w:color w:val="0B4CB4"/>
            <w:sz w:val="22"/>
            <w:szCs w:val="22"/>
            <w:u w:val="single" w:color="0B4CB4"/>
          </w:rPr>
          <w:t>https://www.youtube.com/watch?v=A-fs5JB_b7E</w:t>
        </w:r>
      </w:hyperlink>
      <w:r w:rsidRPr="00CF6259">
        <w:rPr>
          <w:rFonts w:cs="Calibri"/>
          <w:sz w:val="22"/>
          <w:szCs w:val="22"/>
        </w:rPr>
        <w:t>  </w:t>
      </w:r>
    </w:p>
    <w:p w14:paraId="577DF22F"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 </w:t>
      </w:r>
    </w:p>
    <w:p w14:paraId="15C0DD01" w14:textId="77777777" w:rsidR="00CF6259" w:rsidRDefault="00CF6259" w:rsidP="00CF6259">
      <w:pPr>
        <w:widowControl w:val="0"/>
        <w:autoSpaceDE w:val="0"/>
        <w:autoSpaceDN w:val="0"/>
        <w:adjustRightInd w:val="0"/>
        <w:spacing w:after="0"/>
        <w:rPr>
          <w:rFonts w:cs="Calibri"/>
          <w:sz w:val="22"/>
          <w:szCs w:val="22"/>
        </w:rPr>
      </w:pPr>
    </w:p>
    <w:p w14:paraId="22EB205E" w14:textId="77777777" w:rsidR="00CF6259" w:rsidRDefault="00CF6259" w:rsidP="00CF6259">
      <w:pPr>
        <w:widowControl w:val="0"/>
        <w:autoSpaceDE w:val="0"/>
        <w:autoSpaceDN w:val="0"/>
        <w:adjustRightInd w:val="0"/>
        <w:spacing w:after="0"/>
        <w:rPr>
          <w:rFonts w:cs="Calibri"/>
          <w:sz w:val="22"/>
          <w:szCs w:val="22"/>
        </w:rPr>
      </w:pPr>
    </w:p>
    <w:p w14:paraId="3145880C" w14:textId="77777777" w:rsidR="00CF6259" w:rsidRPr="00CF6259" w:rsidRDefault="00CF6259" w:rsidP="00CF6259">
      <w:pPr>
        <w:widowControl w:val="0"/>
        <w:autoSpaceDE w:val="0"/>
        <w:autoSpaceDN w:val="0"/>
        <w:adjustRightInd w:val="0"/>
        <w:spacing w:after="0"/>
        <w:rPr>
          <w:rFonts w:cs="Helvetica"/>
          <w:sz w:val="22"/>
          <w:szCs w:val="22"/>
        </w:rPr>
      </w:pPr>
      <w:r w:rsidRPr="00CF6259">
        <w:rPr>
          <w:rFonts w:cs="Calibri"/>
          <w:sz w:val="22"/>
          <w:szCs w:val="22"/>
        </w:rPr>
        <w:t>Appendix 3 </w:t>
      </w:r>
    </w:p>
    <w:p w14:paraId="5380FC4A" w14:textId="77777777" w:rsidR="00CF6259" w:rsidRDefault="00CF6259" w:rsidP="00CF6259">
      <w:pPr>
        <w:widowControl w:val="0"/>
        <w:autoSpaceDE w:val="0"/>
        <w:autoSpaceDN w:val="0"/>
        <w:adjustRightInd w:val="0"/>
        <w:spacing w:after="0"/>
        <w:rPr>
          <w:rFonts w:ascii="Helvetica" w:hAnsi="Helvetica" w:cs="Helvetica"/>
        </w:rPr>
      </w:pPr>
    </w:p>
    <w:p w14:paraId="165B8B1C" w14:textId="77777777" w:rsidR="00CF6259" w:rsidRDefault="00CF6259" w:rsidP="00CF6259">
      <w:pPr>
        <w:widowControl w:val="0"/>
        <w:autoSpaceDE w:val="0"/>
        <w:autoSpaceDN w:val="0"/>
        <w:adjustRightInd w:val="0"/>
        <w:spacing w:after="0"/>
        <w:rPr>
          <w:rFonts w:ascii="Helvetica" w:hAnsi="Helvetica" w:cs="Helvetica"/>
        </w:rPr>
      </w:pPr>
      <w:r>
        <w:rPr>
          <w:rFonts w:ascii="Helvetica" w:hAnsi="Helvetica" w:cs="Helvetica"/>
          <w:noProof/>
          <w:lang w:eastAsia="en-US"/>
        </w:rPr>
        <w:drawing>
          <wp:anchor distT="0" distB="0" distL="114300" distR="114300" simplePos="0" relativeHeight="251658240" behindDoc="0" locked="0" layoutInCell="1" allowOverlap="1" wp14:anchorId="4B16764F" wp14:editId="37C5A41E">
            <wp:simplePos x="0" y="0"/>
            <wp:positionH relativeFrom="column">
              <wp:posOffset>-457200</wp:posOffset>
            </wp:positionH>
            <wp:positionV relativeFrom="paragraph">
              <wp:posOffset>33655</wp:posOffset>
            </wp:positionV>
            <wp:extent cx="3657600" cy="3493135"/>
            <wp:effectExtent l="0" t="0" r="0"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57600" cy="3493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9"/>
          <w:szCs w:val="29"/>
        </w:rPr>
        <w:t> </w:t>
      </w:r>
    </w:p>
    <w:p w14:paraId="50F47E0C" w14:textId="77777777" w:rsidR="00CF6259" w:rsidRDefault="00CF6259" w:rsidP="00CF6259">
      <w:pPr>
        <w:widowControl w:val="0"/>
        <w:autoSpaceDE w:val="0"/>
        <w:autoSpaceDN w:val="0"/>
        <w:adjustRightInd w:val="0"/>
        <w:spacing w:after="0"/>
        <w:rPr>
          <w:rFonts w:ascii="Helvetica" w:hAnsi="Helvetica" w:cs="Helvetica"/>
        </w:rPr>
      </w:pPr>
      <w:r>
        <w:rPr>
          <w:rFonts w:ascii="Calibri" w:hAnsi="Calibri" w:cs="Calibri"/>
          <w:sz w:val="29"/>
          <w:szCs w:val="29"/>
        </w:rPr>
        <w:t>  </w:t>
      </w:r>
    </w:p>
    <w:p w14:paraId="4E947A22" w14:textId="77777777" w:rsidR="00F66C9D" w:rsidRDefault="00CF6259" w:rsidP="00CF6259">
      <w:r>
        <w:rPr>
          <w:rFonts w:ascii="Calibri" w:hAnsi="Calibri" w:cs="Calibri"/>
          <w:sz w:val="29"/>
          <w:szCs w:val="29"/>
        </w:rPr>
        <w:t> </w:t>
      </w:r>
      <w:bookmarkStart w:id="0" w:name="_GoBack"/>
      <w:bookmarkEnd w:id="0"/>
    </w:p>
    <w:sectPr w:rsidR="00F66C9D" w:rsidSect="00F27CDA">
      <w:headerReference w:type="default" r:id="rId27"/>
      <w:footerReference w:type="even" r:id="rId28"/>
      <w:footerReference w:type="default" r:id="rId2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587E4" w14:textId="77777777" w:rsidR="00AF5630" w:rsidRDefault="00AF5630" w:rsidP="00AF5630">
      <w:pPr>
        <w:spacing w:after="0"/>
      </w:pPr>
      <w:r>
        <w:separator/>
      </w:r>
    </w:p>
  </w:endnote>
  <w:endnote w:type="continuationSeparator" w:id="0">
    <w:p w14:paraId="230A689F" w14:textId="77777777" w:rsidR="00AF5630" w:rsidRDefault="00AF5630" w:rsidP="00AF56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Calibri Italic">
    <w:panose1 w:val="020F05020202040A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1F58F" w14:textId="77777777" w:rsidR="00AF5630" w:rsidRDefault="00AF5630" w:rsidP="00AF56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7667A8" w14:textId="77777777" w:rsidR="00AF5630" w:rsidRDefault="00AF563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7C2060" w14:textId="77777777" w:rsidR="00AF5630" w:rsidRDefault="00AF5630" w:rsidP="00AF56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2416">
      <w:rPr>
        <w:rStyle w:val="PageNumber"/>
        <w:noProof/>
      </w:rPr>
      <w:t>1</w:t>
    </w:r>
    <w:r>
      <w:rPr>
        <w:rStyle w:val="PageNumber"/>
      </w:rPr>
      <w:fldChar w:fldCharType="end"/>
    </w:r>
  </w:p>
  <w:p w14:paraId="2EF2D4D9" w14:textId="77777777" w:rsidR="00AF5630" w:rsidRDefault="00AF563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35F08F" w14:textId="77777777" w:rsidR="00AF5630" w:rsidRDefault="00AF5630" w:rsidP="00AF5630">
      <w:pPr>
        <w:spacing w:after="0"/>
      </w:pPr>
      <w:r>
        <w:separator/>
      </w:r>
    </w:p>
  </w:footnote>
  <w:footnote w:type="continuationSeparator" w:id="0">
    <w:p w14:paraId="6DFD0EB1" w14:textId="77777777" w:rsidR="00AF5630" w:rsidRDefault="00AF5630" w:rsidP="00AF5630">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89221" w14:textId="77777777" w:rsidR="00E32416" w:rsidRDefault="00E32416">
    <w:pPr>
      <w:pStyle w:val="Header"/>
    </w:pPr>
    <w:r>
      <w:t>1701996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259"/>
    <w:rsid w:val="00AF5630"/>
    <w:rsid w:val="00CF6259"/>
    <w:rsid w:val="00E32416"/>
    <w:rsid w:val="00F27CDA"/>
    <w:rsid w:val="00F66C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CFC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6259"/>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6259"/>
    <w:rPr>
      <w:rFonts w:ascii="Lucida Grande" w:hAnsi="Lucida Grande" w:cs="Lucida Grande"/>
      <w:sz w:val="18"/>
      <w:szCs w:val="18"/>
    </w:rPr>
  </w:style>
  <w:style w:type="paragraph" w:styleId="Footer">
    <w:name w:val="footer"/>
    <w:basedOn w:val="Normal"/>
    <w:link w:val="FooterChar"/>
    <w:uiPriority w:val="99"/>
    <w:unhideWhenUsed/>
    <w:rsid w:val="00AF5630"/>
    <w:pPr>
      <w:tabs>
        <w:tab w:val="center" w:pos="4320"/>
        <w:tab w:val="right" w:pos="8640"/>
      </w:tabs>
      <w:spacing w:after="0"/>
    </w:pPr>
  </w:style>
  <w:style w:type="character" w:customStyle="1" w:styleId="FooterChar">
    <w:name w:val="Footer Char"/>
    <w:basedOn w:val="DefaultParagraphFont"/>
    <w:link w:val="Footer"/>
    <w:uiPriority w:val="99"/>
    <w:rsid w:val="00AF5630"/>
  </w:style>
  <w:style w:type="character" w:styleId="PageNumber">
    <w:name w:val="page number"/>
    <w:basedOn w:val="DefaultParagraphFont"/>
    <w:uiPriority w:val="99"/>
    <w:semiHidden/>
    <w:unhideWhenUsed/>
    <w:rsid w:val="00AF5630"/>
  </w:style>
  <w:style w:type="paragraph" w:styleId="Header">
    <w:name w:val="header"/>
    <w:basedOn w:val="Normal"/>
    <w:link w:val="HeaderChar"/>
    <w:uiPriority w:val="99"/>
    <w:unhideWhenUsed/>
    <w:rsid w:val="00E32416"/>
    <w:pPr>
      <w:tabs>
        <w:tab w:val="center" w:pos="4320"/>
        <w:tab w:val="right" w:pos="8640"/>
      </w:tabs>
      <w:spacing w:after="0"/>
    </w:pPr>
  </w:style>
  <w:style w:type="character" w:customStyle="1" w:styleId="HeaderChar">
    <w:name w:val="Header Char"/>
    <w:basedOn w:val="DefaultParagraphFont"/>
    <w:link w:val="Header"/>
    <w:uiPriority w:val="99"/>
    <w:rsid w:val="00E3241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6259"/>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6259"/>
    <w:rPr>
      <w:rFonts w:ascii="Lucida Grande" w:hAnsi="Lucida Grande" w:cs="Lucida Grande"/>
      <w:sz w:val="18"/>
      <w:szCs w:val="18"/>
    </w:rPr>
  </w:style>
  <w:style w:type="paragraph" w:styleId="Footer">
    <w:name w:val="footer"/>
    <w:basedOn w:val="Normal"/>
    <w:link w:val="FooterChar"/>
    <w:uiPriority w:val="99"/>
    <w:unhideWhenUsed/>
    <w:rsid w:val="00AF5630"/>
    <w:pPr>
      <w:tabs>
        <w:tab w:val="center" w:pos="4320"/>
        <w:tab w:val="right" w:pos="8640"/>
      </w:tabs>
      <w:spacing w:after="0"/>
    </w:pPr>
  </w:style>
  <w:style w:type="character" w:customStyle="1" w:styleId="FooterChar">
    <w:name w:val="Footer Char"/>
    <w:basedOn w:val="DefaultParagraphFont"/>
    <w:link w:val="Footer"/>
    <w:uiPriority w:val="99"/>
    <w:rsid w:val="00AF5630"/>
  </w:style>
  <w:style w:type="character" w:styleId="PageNumber">
    <w:name w:val="page number"/>
    <w:basedOn w:val="DefaultParagraphFont"/>
    <w:uiPriority w:val="99"/>
    <w:semiHidden/>
    <w:unhideWhenUsed/>
    <w:rsid w:val="00AF5630"/>
  </w:style>
  <w:style w:type="paragraph" w:styleId="Header">
    <w:name w:val="header"/>
    <w:basedOn w:val="Normal"/>
    <w:link w:val="HeaderChar"/>
    <w:uiPriority w:val="99"/>
    <w:unhideWhenUsed/>
    <w:rsid w:val="00E32416"/>
    <w:pPr>
      <w:tabs>
        <w:tab w:val="center" w:pos="4320"/>
        <w:tab w:val="right" w:pos="8640"/>
      </w:tabs>
      <w:spacing w:after="0"/>
    </w:pPr>
  </w:style>
  <w:style w:type="character" w:customStyle="1" w:styleId="HeaderChar">
    <w:name w:val="Header Char"/>
    <w:basedOn w:val="DefaultParagraphFont"/>
    <w:link w:val="Header"/>
    <w:uiPriority w:val="99"/>
    <w:rsid w:val="00E32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brighthubeducation.com/author/brighthubeducationwriter/" TargetMode="External"/><Relationship Id="rId20" Type="http://schemas.openxmlformats.org/officeDocument/2006/relationships/hyperlink" Target="https://learning.linkedin.com/blog/education/how-to-get-students-to-engage-in-higher-order-thinking" TargetMode="External"/><Relationship Id="rId21" Type="http://schemas.openxmlformats.org/officeDocument/2006/relationships/hyperlink" Target="https://www.talk4writing.co.uk/about/" TargetMode="External"/><Relationship Id="rId22" Type="http://schemas.openxmlformats.org/officeDocument/2006/relationships/hyperlink" Target="https://www.telc.net/en/about-telc/news/detail/tips-for-teaching-a-foreign-language.html" TargetMode="External"/><Relationship Id="rId23" Type="http://schemas.openxmlformats.org/officeDocument/2006/relationships/hyperlink" Target="https://www.youtube.com/watch?v=sYdVe5O7KBE" TargetMode="External"/><Relationship Id="rId24" Type="http://schemas.openxmlformats.org/officeDocument/2006/relationships/image" Target="media/image1.png"/><Relationship Id="rId25" Type="http://schemas.openxmlformats.org/officeDocument/2006/relationships/hyperlink" Target="https://www.youtube.com/watch?v=A-fs5JB_b7E" TargetMode="External"/><Relationship Id="rId26" Type="http://schemas.openxmlformats.org/officeDocument/2006/relationships/image" Target="media/image2.jpeg"/><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yperlink" Target="https://www.brighthubeducation.com/second-languages/" TargetMode="External"/><Relationship Id="rId11" Type="http://schemas.openxmlformats.org/officeDocument/2006/relationships/hyperlink" Target="https://www.brighthubeducation.com/teaching-tips-foreign-languages/54324-kinestetic-activities-games/" TargetMode="External"/><Relationship Id="rId12" Type="http://schemas.openxmlformats.org/officeDocument/2006/relationships/hyperlink" Target="https://cambridge-community.org.uk/professional-development/gswafl/index.html" TargetMode="External"/><Relationship Id="rId13" Type="http://schemas.openxmlformats.org/officeDocument/2006/relationships/hyperlink" Target="https://www.verywellmind.com/what-is-the-zone-of-proximal-development-2796034" TargetMode="External"/><Relationship Id="rId14" Type="http://schemas.openxmlformats.org/officeDocument/2006/relationships/hyperlink" Target="https://www.brighthubeducation.com/teaching-elementary-school/37908-struggling-readers-benefit-from-activating-prior-knowledge/" TargetMode="External"/><Relationship Id="rId15" Type="http://schemas.openxmlformats.org/officeDocument/2006/relationships/hyperlink" Target="https://beta.gov.wales/sites/default/files/publications/2018-03/succesful-futures-a-summary-of-professor-graham-donaldsons-report.pdf" TargetMode="External"/><Relationship Id="rId16" Type="http://schemas.openxmlformats.org/officeDocument/2006/relationships/hyperlink" Target="https://www.ted.com/talks/carol_dweck_the_power_of_believing_that_you_can_improve/transcript?language=en" TargetMode="External"/><Relationship Id="rId17" Type="http://schemas.openxmlformats.org/officeDocument/2006/relationships/hyperlink" Target="https://www.fluentin3months.com/sing-to-learn-languages/" TargetMode="External"/><Relationship Id="rId18" Type="http://schemas.openxmlformats.org/officeDocument/2006/relationships/hyperlink" Target="https://mindstepsinc.com/2012/09/activating-prior-knowledge/" TargetMode="External"/><Relationship Id="rId19" Type="http://schemas.openxmlformats.org/officeDocument/2006/relationships/hyperlink" Target="https://www.intheblack.com/articles/2015/02/02/stop-failing-and-start-flearning"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youtu.be/aJ1cofntIUY" TargetMode="External"/><Relationship Id="rId8" Type="http://schemas.openxmlformats.org/officeDocument/2006/relationships/hyperlink" Target="https://www.brighthubeducation.com/teaching-tips-foreign-langu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2538</Words>
  <Characters>14468</Characters>
  <Application>Microsoft Macintosh Word</Application>
  <DocSecurity>0</DocSecurity>
  <Lines>120</Lines>
  <Paragraphs>33</Paragraphs>
  <ScaleCrop>false</ScaleCrop>
  <Company/>
  <LinksUpToDate>false</LinksUpToDate>
  <CharactersWithSpaces>16973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2019-03-19T18:04:00Z</dcterms:created>
  <dcterms:modified xsi:type="dcterms:W3CDTF">2019-03-19T18:23:00Z</dcterms:modified>
</cp:coreProperties>
</file>