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6D1EB0" w14:textId="6556F491" w:rsidR="00C945EA" w:rsidRDefault="00C945EA">
      <w:r w:rsidRPr="00C945EA">
        <w:t xml:space="preserve">“How did the Achaemenid Persian </w:t>
      </w:r>
      <w:r w:rsidR="00492A8E">
        <w:t>E</w:t>
      </w:r>
      <w:r w:rsidRPr="00C945EA">
        <w:t>mpire deal with the challenges involved with the administration of a large empire?”</w:t>
      </w:r>
    </w:p>
    <w:p w14:paraId="6B08CF7B" w14:textId="77777777" w:rsidR="00241993" w:rsidRDefault="00241993"/>
    <w:p w14:paraId="7EE765DB" w14:textId="07BC47A5" w:rsidR="00632C6B" w:rsidRDefault="00632C6B">
      <w:r>
        <w:t>Introduction</w:t>
      </w:r>
    </w:p>
    <w:p w14:paraId="1BDDA6F9" w14:textId="67E69661" w:rsidR="00632C6B" w:rsidRPr="00632C6B" w:rsidRDefault="00632C6B">
      <w:pPr>
        <w:rPr>
          <w:sz w:val="22"/>
          <w:szCs w:val="22"/>
        </w:rPr>
      </w:pPr>
      <w:r w:rsidRPr="00632C6B">
        <w:rPr>
          <w:sz w:val="22"/>
          <w:szCs w:val="22"/>
        </w:rPr>
        <w:t xml:space="preserve">The Achaemenid Persian Empire </w:t>
      </w:r>
      <w:r>
        <w:rPr>
          <w:sz w:val="22"/>
          <w:szCs w:val="22"/>
        </w:rPr>
        <w:t>was one of the largest empires of the ancient world,</w:t>
      </w:r>
      <w:r w:rsidR="00496680">
        <w:rPr>
          <w:sz w:val="22"/>
          <w:szCs w:val="22"/>
        </w:rPr>
        <w:t xml:space="preserve"> at the time it was the </w:t>
      </w:r>
      <w:r w:rsidR="00B53FEA">
        <w:rPr>
          <w:sz w:val="22"/>
          <w:szCs w:val="22"/>
        </w:rPr>
        <w:t xml:space="preserve">largest empire in the near east and </w:t>
      </w:r>
      <w:r w:rsidR="00AF602C">
        <w:rPr>
          <w:sz w:val="22"/>
          <w:szCs w:val="22"/>
        </w:rPr>
        <w:t>Mediterranean</w:t>
      </w:r>
      <w:r w:rsidR="00B53FEA">
        <w:rPr>
          <w:sz w:val="22"/>
          <w:szCs w:val="22"/>
        </w:rPr>
        <w:t>,</w:t>
      </w:r>
      <w:r>
        <w:rPr>
          <w:sz w:val="22"/>
          <w:szCs w:val="22"/>
        </w:rPr>
        <w:t xml:space="preserve"> its height stretching from modern day India to Egypt to Greece, and as such it encountered a great number of issues, and as such </w:t>
      </w:r>
      <w:r w:rsidR="004D7F6C">
        <w:rPr>
          <w:sz w:val="22"/>
          <w:szCs w:val="22"/>
        </w:rPr>
        <w:t>the</w:t>
      </w:r>
      <w:r w:rsidR="004C31D2">
        <w:rPr>
          <w:sz w:val="22"/>
          <w:szCs w:val="22"/>
        </w:rPr>
        <w:t xml:space="preserve"> Achaemenid</w:t>
      </w:r>
      <w:r w:rsidR="004D7F6C">
        <w:rPr>
          <w:sz w:val="22"/>
          <w:szCs w:val="22"/>
        </w:rPr>
        <w:t xml:space="preserve"> emperors </w:t>
      </w:r>
      <w:r w:rsidR="004C31D2">
        <w:rPr>
          <w:sz w:val="22"/>
          <w:szCs w:val="22"/>
        </w:rPr>
        <w:t>used a number of methods to</w:t>
      </w:r>
      <w:r w:rsidR="004D7F6C">
        <w:rPr>
          <w:sz w:val="22"/>
          <w:szCs w:val="22"/>
        </w:rPr>
        <w:t xml:space="preserve"> </w:t>
      </w:r>
      <w:r w:rsidR="004C31D2">
        <w:rPr>
          <w:sz w:val="22"/>
          <w:szCs w:val="22"/>
        </w:rPr>
        <w:t>ensure that their sprawling empire was kept strong, healthy and united. Many of these methods were unique to the Achaemenids, and it has to be said that the empire was widely quite successful in its administration and control</w:t>
      </w:r>
      <w:r w:rsidR="00725E44">
        <w:rPr>
          <w:sz w:val="22"/>
          <w:szCs w:val="22"/>
        </w:rPr>
        <w:t>, and even during its times of internal crisis it managed to keep the empire together very effectively</w:t>
      </w:r>
      <w:r w:rsidR="004C31D2">
        <w:rPr>
          <w:sz w:val="22"/>
          <w:szCs w:val="22"/>
        </w:rPr>
        <w:t>.</w:t>
      </w:r>
      <w:r w:rsidR="00147CCC">
        <w:rPr>
          <w:sz w:val="22"/>
          <w:szCs w:val="22"/>
        </w:rPr>
        <w:t xml:space="preserve"> The Achaemenid Empire that was demolished by Alexander the Great was </w:t>
      </w:r>
      <w:r w:rsidR="00F54D60">
        <w:rPr>
          <w:sz w:val="22"/>
          <w:szCs w:val="22"/>
        </w:rPr>
        <w:t>just as strong and stable as it had been in the fifth century Greco-Persian wars.</w:t>
      </w:r>
      <w:r w:rsidR="00D31C2E">
        <w:rPr>
          <w:sz w:val="22"/>
          <w:szCs w:val="22"/>
        </w:rPr>
        <w:br/>
        <w:t xml:space="preserve">The </w:t>
      </w:r>
      <w:r w:rsidR="00142BD9">
        <w:rPr>
          <w:sz w:val="22"/>
          <w:szCs w:val="22"/>
        </w:rPr>
        <w:t>k</w:t>
      </w:r>
      <w:r w:rsidR="00D31C2E">
        <w:rPr>
          <w:sz w:val="22"/>
          <w:szCs w:val="22"/>
        </w:rPr>
        <w:t xml:space="preserve">ey </w:t>
      </w:r>
      <w:r w:rsidR="00142BD9">
        <w:rPr>
          <w:sz w:val="22"/>
          <w:szCs w:val="22"/>
        </w:rPr>
        <w:t>methods</w:t>
      </w:r>
      <w:r w:rsidR="00D31C2E">
        <w:rPr>
          <w:sz w:val="22"/>
          <w:szCs w:val="22"/>
        </w:rPr>
        <w:t xml:space="preserve"> </w:t>
      </w:r>
      <w:r w:rsidR="00142BD9">
        <w:rPr>
          <w:sz w:val="22"/>
          <w:szCs w:val="22"/>
        </w:rPr>
        <w:t>through</w:t>
      </w:r>
      <w:r w:rsidR="00D31C2E">
        <w:rPr>
          <w:sz w:val="22"/>
          <w:szCs w:val="22"/>
        </w:rPr>
        <w:t xml:space="preserve"> which the </w:t>
      </w:r>
      <w:r w:rsidR="008834DA">
        <w:rPr>
          <w:sz w:val="22"/>
          <w:szCs w:val="22"/>
        </w:rPr>
        <w:t>Achaemenid Persian Empire adapted to the problems caused by the scale of its empire were through exceptional communication and travel infrastructure, its “multicultural ideal”</w:t>
      </w:r>
      <w:r w:rsidR="000C4376">
        <w:rPr>
          <w:sz w:val="22"/>
          <w:szCs w:val="22"/>
        </w:rPr>
        <w:t xml:space="preserve"> and</w:t>
      </w:r>
      <w:r w:rsidR="008834DA">
        <w:rPr>
          <w:sz w:val="22"/>
          <w:szCs w:val="22"/>
        </w:rPr>
        <w:t xml:space="preserve"> </w:t>
      </w:r>
      <w:r w:rsidR="00EE465C">
        <w:rPr>
          <w:sz w:val="22"/>
          <w:szCs w:val="22"/>
        </w:rPr>
        <w:t>its decentralisation and system of satrapies</w:t>
      </w:r>
      <w:r w:rsidR="00EA5A78">
        <w:rPr>
          <w:sz w:val="22"/>
          <w:szCs w:val="22"/>
        </w:rPr>
        <w:t xml:space="preserve"> ,it should be expected that there will be some overlap (particularly between the multicultural ideal and </w:t>
      </w:r>
      <w:r w:rsidR="006A377C">
        <w:rPr>
          <w:sz w:val="22"/>
          <w:szCs w:val="22"/>
        </w:rPr>
        <w:t xml:space="preserve">all the </w:t>
      </w:r>
      <w:r w:rsidR="00EA5A78">
        <w:rPr>
          <w:sz w:val="22"/>
          <w:szCs w:val="22"/>
        </w:rPr>
        <w:t xml:space="preserve">other </w:t>
      </w:r>
      <w:r w:rsidR="006A377C">
        <w:rPr>
          <w:sz w:val="22"/>
          <w:szCs w:val="22"/>
        </w:rPr>
        <w:t>themes)</w:t>
      </w:r>
      <w:r w:rsidR="000C4376">
        <w:rPr>
          <w:sz w:val="22"/>
          <w:szCs w:val="22"/>
        </w:rPr>
        <w:t>. This essay will also be covering how the empire deals with internal conflict.</w:t>
      </w:r>
    </w:p>
    <w:p w14:paraId="4B7B34AC" w14:textId="5BADD461" w:rsidR="00C945EA" w:rsidRDefault="00C945EA">
      <w:r>
        <w:t>The Multicultural Ideal</w:t>
      </w:r>
    </w:p>
    <w:p w14:paraId="3CA22C99" w14:textId="77777777" w:rsidR="009731D1" w:rsidRDefault="004D1414">
      <w:pPr>
        <w:rPr>
          <w:sz w:val="22"/>
          <w:szCs w:val="22"/>
        </w:rPr>
      </w:pPr>
      <w:r>
        <w:rPr>
          <w:sz w:val="22"/>
          <w:szCs w:val="22"/>
        </w:rPr>
        <w:t>A challenge that empires must face is how to deal with ruling foreign populations.</w:t>
      </w:r>
      <w:r w:rsidR="004A5BDE">
        <w:rPr>
          <w:sz w:val="22"/>
          <w:szCs w:val="22"/>
        </w:rPr>
        <w:t xml:space="preserve"> The empire must recon with the fact that subject populations are often unhappy with the idea of foreign rule, to the extent that it often can be a destabilizing force on the empire, sometimes even requiring military force to </w:t>
      </w:r>
      <w:r w:rsidR="00F56244">
        <w:rPr>
          <w:sz w:val="22"/>
          <w:szCs w:val="22"/>
        </w:rPr>
        <w:t>maintain control.</w:t>
      </w:r>
    </w:p>
    <w:p w14:paraId="185ED49C" w14:textId="4CB33ECE" w:rsidR="009731D1" w:rsidRDefault="009731D1">
      <w:pPr>
        <w:rPr>
          <w:sz w:val="22"/>
          <w:szCs w:val="22"/>
        </w:rPr>
      </w:pPr>
      <w:r>
        <w:rPr>
          <w:sz w:val="22"/>
          <w:szCs w:val="22"/>
        </w:rPr>
        <w:t xml:space="preserve">The “Multicultural Ideal” of the Achaemenid Persians must be covered first in this essay, as it informs the majority of the decisions the Achaemenids make in their </w:t>
      </w:r>
      <w:r w:rsidR="00D74F96">
        <w:rPr>
          <w:sz w:val="22"/>
          <w:szCs w:val="22"/>
        </w:rPr>
        <w:t>administration and rule of their empire</w:t>
      </w:r>
      <w:r w:rsidR="00643055">
        <w:rPr>
          <w:sz w:val="22"/>
          <w:szCs w:val="22"/>
        </w:rPr>
        <w:t>, from the</w:t>
      </w:r>
      <w:r w:rsidR="002304E8">
        <w:rPr>
          <w:sz w:val="22"/>
          <w:szCs w:val="22"/>
        </w:rPr>
        <w:t xml:space="preserve"> nature of the</w:t>
      </w:r>
      <w:r w:rsidR="00643055">
        <w:rPr>
          <w:sz w:val="22"/>
          <w:szCs w:val="22"/>
        </w:rPr>
        <w:t xml:space="preserve"> </w:t>
      </w:r>
      <w:r w:rsidR="002304E8">
        <w:rPr>
          <w:sz w:val="22"/>
          <w:szCs w:val="22"/>
        </w:rPr>
        <w:t>satrapies to the propaganda decisions to the building of infrastructure.</w:t>
      </w:r>
    </w:p>
    <w:p w14:paraId="11B8EE75" w14:textId="13A8ABDF" w:rsidR="00F56244" w:rsidRDefault="00F56244">
      <w:pPr>
        <w:rPr>
          <w:sz w:val="22"/>
          <w:szCs w:val="22"/>
        </w:rPr>
      </w:pPr>
      <w:r>
        <w:rPr>
          <w:sz w:val="22"/>
          <w:szCs w:val="22"/>
        </w:rPr>
        <w:t xml:space="preserve">The Achaemenids went about avoiding </w:t>
      </w:r>
      <w:r w:rsidR="000C2445">
        <w:rPr>
          <w:sz w:val="22"/>
          <w:szCs w:val="22"/>
        </w:rPr>
        <w:t xml:space="preserve">unrest </w:t>
      </w:r>
      <w:r w:rsidR="00A36E03">
        <w:rPr>
          <w:sz w:val="22"/>
          <w:szCs w:val="22"/>
        </w:rPr>
        <w:t xml:space="preserve">among the subjects </w:t>
      </w:r>
      <w:r w:rsidR="000C2445">
        <w:rPr>
          <w:sz w:val="22"/>
          <w:szCs w:val="22"/>
        </w:rPr>
        <w:t xml:space="preserve">through a very unorthodox approach, </w:t>
      </w:r>
      <w:r w:rsidR="009B17B8">
        <w:rPr>
          <w:sz w:val="22"/>
          <w:szCs w:val="22"/>
        </w:rPr>
        <w:t xml:space="preserve">in comparison to the integrationist Romans that would come later, </w:t>
      </w:r>
      <w:r w:rsidR="00DC642B">
        <w:rPr>
          <w:sz w:val="22"/>
          <w:szCs w:val="22"/>
        </w:rPr>
        <w:t>the Achaemenids held to an almost multicultural idea</w:t>
      </w:r>
      <w:r w:rsidR="00FE1CD5">
        <w:rPr>
          <w:sz w:val="22"/>
          <w:szCs w:val="22"/>
        </w:rPr>
        <w:t xml:space="preserve"> (at least on paper)</w:t>
      </w:r>
      <w:r w:rsidR="00DC642B">
        <w:rPr>
          <w:sz w:val="22"/>
          <w:szCs w:val="22"/>
        </w:rPr>
        <w:t xml:space="preserve">, the </w:t>
      </w:r>
      <w:r w:rsidR="00FE1CD5">
        <w:rPr>
          <w:sz w:val="22"/>
          <w:szCs w:val="22"/>
        </w:rPr>
        <w:t xml:space="preserve">idea of many peoples under one empire. Emperor Darius I’s tomb </w:t>
      </w:r>
      <w:r w:rsidR="00BB1C7A">
        <w:rPr>
          <w:sz w:val="22"/>
          <w:szCs w:val="22"/>
        </w:rPr>
        <w:t xml:space="preserve">inscription (the </w:t>
      </w:r>
      <w:r w:rsidR="00BB1C7A" w:rsidRPr="00BB1C7A">
        <w:rPr>
          <w:sz w:val="22"/>
          <w:szCs w:val="22"/>
        </w:rPr>
        <w:t>Behistun Inscription</w:t>
      </w:r>
      <w:r w:rsidR="00BB1C7A">
        <w:rPr>
          <w:sz w:val="22"/>
          <w:szCs w:val="22"/>
        </w:rPr>
        <w:t>)</w:t>
      </w:r>
      <w:r w:rsidR="00451903">
        <w:rPr>
          <w:sz w:val="22"/>
          <w:szCs w:val="22"/>
        </w:rPr>
        <w:t xml:space="preserve"> states that he is “King of the countries possessing many kinds of people,”</w:t>
      </w:r>
      <w:r w:rsidR="00451903">
        <w:rPr>
          <w:rStyle w:val="FootnoteReference"/>
          <w:sz w:val="22"/>
          <w:szCs w:val="22"/>
        </w:rPr>
        <w:footnoteReference w:id="1"/>
      </w:r>
      <w:r w:rsidR="00451903">
        <w:rPr>
          <w:sz w:val="22"/>
          <w:szCs w:val="22"/>
        </w:rPr>
        <w:t xml:space="preserve"> </w:t>
      </w:r>
      <w:r w:rsidR="000C1CDF">
        <w:rPr>
          <w:sz w:val="22"/>
          <w:szCs w:val="22"/>
        </w:rPr>
        <w:t>an admission that his empire is of a multicultural composition</w:t>
      </w:r>
      <w:r w:rsidR="009D3A00">
        <w:rPr>
          <w:sz w:val="22"/>
          <w:szCs w:val="22"/>
        </w:rPr>
        <w:t xml:space="preserve">, in fact this is one of the earliest lines in a rather long inscription, hinting that it is one of the </w:t>
      </w:r>
      <w:r w:rsidR="0000573E">
        <w:rPr>
          <w:sz w:val="22"/>
          <w:szCs w:val="22"/>
        </w:rPr>
        <w:t>most important pieces of the message that he intended to convey</w:t>
      </w:r>
      <w:r w:rsidR="000C1CDF">
        <w:rPr>
          <w:sz w:val="22"/>
          <w:szCs w:val="22"/>
        </w:rPr>
        <w:t>.</w:t>
      </w:r>
      <w:r w:rsidR="00DE4973">
        <w:rPr>
          <w:sz w:val="22"/>
          <w:szCs w:val="22"/>
        </w:rPr>
        <w:t xml:space="preserve"> This is a piece of propaganda</w:t>
      </w:r>
      <w:r w:rsidR="00C258A0">
        <w:rPr>
          <w:sz w:val="22"/>
          <w:szCs w:val="22"/>
        </w:rPr>
        <w:t xml:space="preserve">, that shows </w:t>
      </w:r>
      <w:r w:rsidR="008C65CE">
        <w:rPr>
          <w:sz w:val="22"/>
          <w:szCs w:val="22"/>
        </w:rPr>
        <w:t xml:space="preserve">well the attitude of many of the Achaemenid Persian emperors, in that they </w:t>
      </w:r>
      <w:r w:rsidR="002D6A83">
        <w:rPr>
          <w:sz w:val="22"/>
          <w:szCs w:val="22"/>
        </w:rPr>
        <w:t xml:space="preserve">attempted to reconcile with their subject populations by ingratiating themselves an appear as a more benevolent (or at least less tyrannical) force. </w:t>
      </w:r>
      <w:r w:rsidR="00F17EBC">
        <w:rPr>
          <w:sz w:val="22"/>
          <w:szCs w:val="22"/>
        </w:rPr>
        <w:t xml:space="preserve">Another notable propaganda piece that points towards this outlook is the “Cyrus cylinder”, which depicts Cyrus </w:t>
      </w:r>
      <w:r w:rsidR="00F17EBC">
        <w:rPr>
          <w:sz w:val="22"/>
          <w:szCs w:val="22"/>
        </w:rPr>
        <w:lastRenderedPageBreak/>
        <w:t>doing the work of the Babylonian god Marduk after conquering the city of Babylon.</w:t>
      </w:r>
      <w:r w:rsidR="00F17EBC">
        <w:rPr>
          <w:rStyle w:val="FootnoteReference"/>
          <w:sz w:val="22"/>
          <w:szCs w:val="22"/>
        </w:rPr>
        <w:footnoteReference w:id="2"/>
      </w:r>
      <w:r w:rsidR="00F17EBC">
        <w:rPr>
          <w:sz w:val="22"/>
          <w:szCs w:val="22"/>
        </w:rPr>
        <w:t xml:space="preserve"> </w:t>
      </w:r>
      <w:r w:rsidR="00640109">
        <w:rPr>
          <w:sz w:val="22"/>
          <w:szCs w:val="22"/>
        </w:rPr>
        <w:t xml:space="preserve">Cyrus also put a lot of effort into the rebuilding of holy places and the repatriation of displaced peoples, something best shown by his treatment of the displaced Jewish people, with the Hebrew Bible claiming that he allowed </w:t>
      </w:r>
      <w:r w:rsidR="001F6382">
        <w:rPr>
          <w:sz w:val="22"/>
          <w:szCs w:val="22"/>
        </w:rPr>
        <w:t>displaced jews to return to Jerusalem, and that he</w:t>
      </w:r>
      <w:r w:rsidR="00640109">
        <w:rPr>
          <w:sz w:val="22"/>
          <w:szCs w:val="22"/>
        </w:rPr>
        <w:t xml:space="preserve"> rebuilt the</w:t>
      </w:r>
      <w:r w:rsidR="001F6382">
        <w:rPr>
          <w:sz w:val="22"/>
          <w:szCs w:val="22"/>
        </w:rPr>
        <w:t>ir</w:t>
      </w:r>
      <w:r w:rsidR="00640109">
        <w:rPr>
          <w:sz w:val="22"/>
          <w:szCs w:val="22"/>
        </w:rPr>
        <w:t xml:space="preserve"> temple</w:t>
      </w:r>
      <w:r w:rsidR="001F6382">
        <w:rPr>
          <w:sz w:val="22"/>
          <w:szCs w:val="22"/>
        </w:rPr>
        <w:t>.</w:t>
      </w:r>
      <w:r w:rsidR="005B781C">
        <w:rPr>
          <w:rStyle w:val="FootnoteReference"/>
          <w:sz w:val="22"/>
          <w:szCs w:val="22"/>
        </w:rPr>
        <w:footnoteReference w:id="3"/>
      </w:r>
    </w:p>
    <w:p w14:paraId="7BC564B4" w14:textId="18F4DA43" w:rsidR="007B77C6" w:rsidRDefault="007B77C6">
      <w:pPr>
        <w:rPr>
          <w:sz w:val="22"/>
          <w:szCs w:val="22"/>
        </w:rPr>
      </w:pPr>
      <w:r>
        <w:rPr>
          <w:sz w:val="22"/>
          <w:szCs w:val="22"/>
        </w:rPr>
        <w:t xml:space="preserve">In addition, </w:t>
      </w:r>
      <w:r w:rsidR="003605B6">
        <w:rPr>
          <w:sz w:val="22"/>
          <w:szCs w:val="22"/>
        </w:rPr>
        <w:t xml:space="preserve">invasion was not </w:t>
      </w:r>
      <w:r>
        <w:rPr>
          <w:sz w:val="22"/>
          <w:szCs w:val="22"/>
        </w:rPr>
        <w:t>the Achaemenid’s f</w:t>
      </w:r>
      <w:r w:rsidR="003605B6">
        <w:rPr>
          <w:sz w:val="22"/>
          <w:szCs w:val="22"/>
        </w:rPr>
        <w:t>irst resort (though failing peaceful measures the army was never far behind)</w:t>
      </w:r>
      <w:r w:rsidR="007874FA">
        <w:rPr>
          <w:sz w:val="22"/>
          <w:szCs w:val="22"/>
        </w:rPr>
        <w:t>. I</w:t>
      </w:r>
      <w:r w:rsidR="00FE1B15">
        <w:rPr>
          <w:sz w:val="22"/>
          <w:szCs w:val="22"/>
        </w:rPr>
        <w:t xml:space="preserve">nstead of going straight to military action, the emperors would often send offers of peaceful integration into the empire ahead of any direct invasion, as </w:t>
      </w:r>
      <w:r w:rsidR="00152BC3">
        <w:rPr>
          <w:sz w:val="22"/>
          <w:szCs w:val="22"/>
        </w:rPr>
        <w:t>documented by Herodotus in his writings on the Persian wars</w:t>
      </w:r>
      <w:r w:rsidR="00EF7DBA">
        <w:rPr>
          <w:sz w:val="22"/>
          <w:szCs w:val="22"/>
        </w:rPr>
        <w:t xml:space="preserve">, in that particular instance Xerxes demanded </w:t>
      </w:r>
      <w:r w:rsidR="00A6269F">
        <w:rPr>
          <w:sz w:val="22"/>
          <w:szCs w:val="22"/>
        </w:rPr>
        <w:t>“earth and water”,</w:t>
      </w:r>
      <w:r w:rsidR="008E4CA8">
        <w:rPr>
          <w:rStyle w:val="FootnoteReference"/>
          <w:sz w:val="22"/>
          <w:szCs w:val="22"/>
        </w:rPr>
        <w:footnoteReference w:id="4"/>
      </w:r>
      <w:r w:rsidR="00A6269F">
        <w:rPr>
          <w:sz w:val="22"/>
          <w:szCs w:val="22"/>
        </w:rPr>
        <w:t xml:space="preserve"> a traditional symbol of subjugation. This served two purposes simultaneously, on one hand, if the Greeks accepted subjugation (as many did, particularly the northern states)</w:t>
      </w:r>
      <w:r w:rsidR="008E4CA8">
        <w:rPr>
          <w:rStyle w:val="FootnoteReference"/>
          <w:sz w:val="22"/>
          <w:szCs w:val="22"/>
        </w:rPr>
        <w:footnoteReference w:id="5"/>
      </w:r>
      <w:r w:rsidR="00A6269F">
        <w:rPr>
          <w:sz w:val="22"/>
          <w:szCs w:val="22"/>
        </w:rPr>
        <w:t>, it would be far less of a battle for Xerxes armies. On the other hand, if they refused (and particularly if they treated the messengers badly (as the Spartans and Athenians did)</w:t>
      </w:r>
      <w:r w:rsidR="00114565">
        <w:rPr>
          <w:rStyle w:val="FootnoteReference"/>
          <w:sz w:val="22"/>
          <w:szCs w:val="22"/>
        </w:rPr>
        <w:footnoteReference w:id="6"/>
      </w:r>
      <w:r w:rsidR="00A6269F">
        <w:rPr>
          <w:sz w:val="22"/>
          <w:szCs w:val="22"/>
        </w:rPr>
        <w:t xml:space="preserve">, it would grant the emperor a more legitimate reason to invade, and go some way to keep up appearances. </w:t>
      </w:r>
    </w:p>
    <w:p w14:paraId="56E00E0F" w14:textId="77777777" w:rsidR="001D26DB" w:rsidRDefault="009A61DE">
      <w:pPr>
        <w:rPr>
          <w:sz w:val="22"/>
          <w:szCs w:val="22"/>
        </w:rPr>
      </w:pPr>
      <w:r>
        <w:rPr>
          <w:sz w:val="22"/>
          <w:szCs w:val="22"/>
        </w:rPr>
        <w:t xml:space="preserve">The multicultural ideal of the Achaemenids is also reflected in </w:t>
      </w:r>
      <w:r w:rsidR="00782C5D">
        <w:rPr>
          <w:sz w:val="22"/>
          <w:szCs w:val="22"/>
        </w:rPr>
        <w:t xml:space="preserve">a number of </w:t>
      </w:r>
      <w:r>
        <w:rPr>
          <w:sz w:val="22"/>
          <w:szCs w:val="22"/>
        </w:rPr>
        <w:t xml:space="preserve">the </w:t>
      </w:r>
      <w:r w:rsidR="005A12E2">
        <w:rPr>
          <w:sz w:val="22"/>
          <w:szCs w:val="22"/>
        </w:rPr>
        <w:t xml:space="preserve">findings at the Achaemenid administrative </w:t>
      </w:r>
      <w:r w:rsidR="00EC338F">
        <w:rPr>
          <w:sz w:val="22"/>
          <w:szCs w:val="22"/>
        </w:rPr>
        <w:t>capital of Persepolis</w:t>
      </w:r>
      <w:r w:rsidR="00672B2E">
        <w:rPr>
          <w:sz w:val="22"/>
          <w:szCs w:val="22"/>
        </w:rPr>
        <w:t xml:space="preserve">, and this is shown nowhere better than in the </w:t>
      </w:r>
      <w:r w:rsidR="00327371">
        <w:rPr>
          <w:sz w:val="22"/>
          <w:szCs w:val="22"/>
        </w:rPr>
        <w:t>“gate of all nations” and the “Apadana tribute Reliefs” or “tribute staircase</w:t>
      </w:r>
      <w:r w:rsidR="0038185A">
        <w:rPr>
          <w:sz w:val="22"/>
          <w:szCs w:val="22"/>
        </w:rPr>
        <w:t xml:space="preserve">”. </w:t>
      </w:r>
      <w:r w:rsidR="003C2AD4">
        <w:rPr>
          <w:sz w:val="22"/>
          <w:szCs w:val="22"/>
        </w:rPr>
        <w:t>Both of these are part of the route that was taken by the subjects bringing tribute to the Achaemenid emperor at Persepolis,</w:t>
      </w:r>
      <w:r w:rsidR="00BB68F8">
        <w:rPr>
          <w:sz w:val="22"/>
          <w:szCs w:val="22"/>
        </w:rPr>
        <w:t xml:space="preserve"> and as such once again are a very heavy piece of propaganda</w:t>
      </w:r>
      <w:r w:rsidR="0064697D">
        <w:rPr>
          <w:sz w:val="22"/>
          <w:szCs w:val="22"/>
        </w:rPr>
        <w:t>. The Apadana Tribute Reliefs are by far the more blatant of the two piece of architecture, they line</w:t>
      </w:r>
      <w:r w:rsidR="00055F77">
        <w:rPr>
          <w:sz w:val="22"/>
          <w:szCs w:val="22"/>
        </w:rPr>
        <w:t xml:space="preserve"> the stairway up to the palace where the tributaries would deliver their tribute</w:t>
      </w:r>
      <w:r w:rsidR="00AE60C6">
        <w:rPr>
          <w:sz w:val="22"/>
          <w:szCs w:val="22"/>
        </w:rPr>
        <w:t xml:space="preserve">, and depict tributaries from all of the subject nations of the Achaemenids, each differentiated by </w:t>
      </w:r>
      <w:r w:rsidR="00EC5233">
        <w:rPr>
          <w:sz w:val="22"/>
          <w:szCs w:val="22"/>
        </w:rPr>
        <w:t>their attire, gifts, hairstyles and beards.</w:t>
      </w:r>
      <w:r w:rsidR="00224777">
        <w:rPr>
          <w:rStyle w:val="FootnoteReference"/>
          <w:sz w:val="22"/>
          <w:szCs w:val="22"/>
        </w:rPr>
        <w:footnoteReference w:id="7"/>
      </w:r>
      <w:r w:rsidR="00510EDD">
        <w:rPr>
          <w:sz w:val="22"/>
          <w:szCs w:val="22"/>
        </w:rPr>
        <w:t xml:space="preserve"> These details of intentional heterogeneity are clearly intended to reinforce the multicultural ideal that the propaganda of the Achaemenid empire clearly strives for</w:t>
      </w:r>
      <w:r w:rsidR="00DF1B48">
        <w:rPr>
          <w:sz w:val="22"/>
          <w:szCs w:val="22"/>
        </w:rPr>
        <w:t>, as it clearly is trying to convince the tributaries that it is more than foreign rule and that there is a level of representation (even if it is not actually present)</w:t>
      </w:r>
      <w:r w:rsidR="00510EDD">
        <w:rPr>
          <w:sz w:val="22"/>
          <w:szCs w:val="22"/>
        </w:rPr>
        <w:t>.</w:t>
      </w:r>
      <w:r w:rsidR="000A2401">
        <w:rPr>
          <w:sz w:val="22"/>
          <w:szCs w:val="22"/>
        </w:rPr>
        <w:t xml:space="preserve"> The gate of all lands is another of the pieces of Persepolis’</w:t>
      </w:r>
      <w:r w:rsidR="00FC65E2">
        <w:rPr>
          <w:sz w:val="22"/>
          <w:szCs w:val="22"/>
        </w:rPr>
        <w:t xml:space="preserve"> propaganda infused architecture, it </w:t>
      </w:r>
      <w:r w:rsidR="00DA5CFD">
        <w:rPr>
          <w:sz w:val="22"/>
          <w:szCs w:val="22"/>
        </w:rPr>
        <w:t>serves a slightly more subtle purpose</w:t>
      </w:r>
      <w:r w:rsidR="00926977">
        <w:rPr>
          <w:sz w:val="22"/>
          <w:szCs w:val="22"/>
        </w:rPr>
        <w:t xml:space="preserve"> tha</w:t>
      </w:r>
      <w:r w:rsidR="00294F8A">
        <w:rPr>
          <w:sz w:val="22"/>
          <w:szCs w:val="22"/>
        </w:rPr>
        <w:t xml:space="preserve">n the particularly blunt </w:t>
      </w:r>
      <w:r w:rsidR="00BE2BB4">
        <w:rPr>
          <w:sz w:val="22"/>
          <w:szCs w:val="22"/>
        </w:rPr>
        <w:t>propaganda of the reliefs.</w:t>
      </w:r>
      <w:r w:rsidR="0004208C">
        <w:rPr>
          <w:sz w:val="22"/>
          <w:szCs w:val="22"/>
        </w:rPr>
        <w:t xml:space="preserve"> The gate is a show of dominance of course, all tributaries must walk through the great gate of Xerxes, </w:t>
      </w:r>
      <w:r w:rsidR="00616A0F">
        <w:rPr>
          <w:sz w:val="22"/>
          <w:szCs w:val="22"/>
        </w:rPr>
        <w:t xml:space="preserve">in effect depicting them as unified beneath the emperor. As well as this, the </w:t>
      </w:r>
      <w:r w:rsidR="0051376A">
        <w:rPr>
          <w:sz w:val="22"/>
          <w:szCs w:val="22"/>
        </w:rPr>
        <w:t xml:space="preserve">inscriptions on the gate are written in </w:t>
      </w:r>
      <w:r w:rsidR="00271AC8">
        <w:rPr>
          <w:sz w:val="22"/>
          <w:szCs w:val="22"/>
        </w:rPr>
        <w:t>three languages</w:t>
      </w:r>
      <w:r w:rsidR="00B96E54">
        <w:rPr>
          <w:rStyle w:val="FootnoteReference"/>
          <w:sz w:val="22"/>
          <w:szCs w:val="22"/>
        </w:rPr>
        <w:footnoteReference w:id="8"/>
      </w:r>
      <w:r w:rsidR="00271AC8">
        <w:rPr>
          <w:sz w:val="22"/>
          <w:szCs w:val="22"/>
        </w:rPr>
        <w:t xml:space="preserve">, </w:t>
      </w:r>
      <w:r w:rsidR="00EF41FB">
        <w:rPr>
          <w:sz w:val="22"/>
          <w:szCs w:val="22"/>
        </w:rPr>
        <w:t>a showing typical of the Achaemenids that</w:t>
      </w:r>
      <w:r w:rsidR="00A4732A">
        <w:rPr>
          <w:sz w:val="22"/>
          <w:szCs w:val="22"/>
        </w:rPr>
        <w:t xml:space="preserve"> is used to encourage unity among the subject people</w:t>
      </w:r>
      <w:r w:rsidR="00F34741">
        <w:rPr>
          <w:sz w:val="22"/>
          <w:szCs w:val="22"/>
        </w:rPr>
        <w:t xml:space="preserve"> (besides also properly communicating the propaganda across more of the populace)</w:t>
      </w:r>
      <w:r w:rsidR="00634929">
        <w:rPr>
          <w:sz w:val="22"/>
          <w:szCs w:val="22"/>
        </w:rPr>
        <w:t xml:space="preserve">. A vital </w:t>
      </w:r>
      <w:r w:rsidR="00203ADA">
        <w:rPr>
          <w:sz w:val="22"/>
          <w:szCs w:val="22"/>
        </w:rPr>
        <w:t>element</w:t>
      </w:r>
      <w:r w:rsidR="00634929">
        <w:rPr>
          <w:sz w:val="22"/>
          <w:szCs w:val="22"/>
        </w:rPr>
        <w:t xml:space="preserve"> of </w:t>
      </w:r>
      <w:r w:rsidR="00203ADA">
        <w:rPr>
          <w:sz w:val="22"/>
          <w:szCs w:val="22"/>
        </w:rPr>
        <w:t>b</w:t>
      </w:r>
      <w:r w:rsidR="00634929">
        <w:rPr>
          <w:sz w:val="22"/>
          <w:szCs w:val="22"/>
        </w:rPr>
        <w:t xml:space="preserve">oth of these </w:t>
      </w:r>
      <w:r w:rsidR="00203ADA">
        <w:rPr>
          <w:sz w:val="22"/>
          <w:szCs w:val="22"/>
        </w:rPr>
        <w:t xml:space="preserve">pieces of architectural propaganda was that the </w:t>
      </w:r>
      <w:r w:rsidR="006264E5">
        <w:rPr>
          <w:sz w:val="22"/>
          <w:szCs w:val="22"/>
        </w:rPr>
        <w:t>subject peoples were never depicted as enslaved, but instead as equal peoples among the empire.</w:t>
      </w:r>
    </w:p>
    <w:p w14:paraId="677EE669" w14:textId="2811E468" w:rsidR="00FB550D" w:rsidRDefault="00FB550D">
      <w:pPr>
        <w:rPr>
          <w:sz w:val="22"/>
          <w:szCs w:val="22"/>
        </w:rPr>
      </w:pPr>
      <w:r>
        <w:rPr>
          <w:sz w:val="22"/>
          <w:szCs w:val="22"/>
        </w:rPr>
        <w:lastRenderedPageBreak/>
        <w:t>Another part of this strategy is something that may be very familiar someone knowledgeable on empire in any Period,</w:t>
      </w:r>
      <w:r w:rsidR="004F1DBB">
        <w:rPr>
          <w:sz w:val="22"/>
          <w:szCs w:val="22"/>
        </w:rPr>
        <w:t xml:space="preserve"> the emperor of the Achaemenids would often take on the titles of the local subjugated populace. The reason for this is obvious, it </w:t>
      </w:r>
      <w:r w:rsidR="00E201C2">
        <w:rPr>
          <w:sz w:val="22"/>
          <w:szCs w:val="22"/>
        </w:rPr>
        <w:t xml:space="preserve">allowed them to claim succession of older rulers and empire, and in doing so </w:t>
      </w:r>
      <w:r w:rsidR="00C06DE2">
        <w:rPr>
          <w:sz w:val="22"/>
          <w:szCs w:val="22"/>
        </w:rPr>
        <w:t>it allowed them to act with a level of increased legitimacy, seeming as if they were the “rightful” rulers of the lands that they had conquered.</w:t>
      </w:r>
      <w:r w:rsidR="00C06DE2">
        <w:rPr>
          <w:rStyle w:val="FootnoteReference"/>
          <w:sz w:val="22"/>
          <w:szCs w:val="22"/>
        </w:rPr>
        <w:footnoteReference w:id="9"/>
      </w:r>
      <w:r w:rsidR="000A4F70">
        <w:rPr>
          <w:rStyle w:val="FootnoteReference"/>
          <w:sz w:val="22"/>
          <w:szCs w:val="22"/>
        </w:rPr>
        <w:footnoteReference w:id="10"/>
      </w:r>
      <w:r w:rsidR="00C06DE2">
        <w:rPr>
          <w:sz w:val="22"/>
          <w:szCs w:val="22"/>
        </w:rPr>
        <w:t xml:space="preserve"> This occurred in a number of places in the empire, with some of the most notable being </w:t>
      </w:r>
      <w:r w:rsidR="00E5675F">
        <w:rPr>
          <w:sz w:val="22"/>
          <w:szCs w:val="22"/>
        </w:rPr>
        <w:t>found in the pharaohs of Egypt and the kings of Babylonia</w:t>
      </w:r>
      <w:r w:rsidR="00DF2C36">
        <w:rPr>
          <w:sz w:val="22"/>
          <w:szCs w:val="22"/>
        </w:rPr>
        <w:t>.</w:t>
      </w:r>
      <w:r w:rsidR="000A4F70">
        <w:rPr>
          <w:rStyle w:val="FootnoteReference"/>
          <w:sz w:val="22"/>
          <w:szCs w:val="22"/>
        </w:rPr>
        <w:footnoteReference w:id="11"/>
      </w:r>
      <w:r w:rsidR="001D26DB">
        <w:rPr>
          <w:sz w:val="22"/>
          <w:szCs w:val="22"/>
        </w:rPr>
        <w:t xml:space="preserve"> In similar evidence, </w:t>
      </w:r>
      <w:r w:rsidR="00FF0F72">
        <w:rPr>
          <w:sz w:val="22"/>
          <w:szCs w:val="22"/>
        </w:rPr>
        <w:t xml:space="preserve">a number of foreign artistic motifs are used in Achaemenid propaganda to </w:t>
      </w:r>
      <w:r w:rsidR="00362502">
        <w:rPr>
          <w:sz w:val="22"/>
          <w:szCs w:val="22"/>
        </w:rPr>
        <w:t>convey the message that the emperor wished to send,</w:t>
      </w:r>
      <w:r w:rsidR="008E6627">
        <w:rPr>
          <w:sz w:val="22"/>
          <w:szCs w:val="22"/>
        </w:rPr>
        <w:t xml:space="preserve"> </w:t>
      </w:r>
      <w:r w:rsidR="00F015C9">
        <w:rPr>
          <w:sz w:val="22"/>
          <w:szCs w:val="22"/>
        </w:rPr>
        <w:t>some</w:t>
      </w:r>
      <w:r w:rsidR="008E6627">
        <w:rPr>
          <w:sz w:val="22"/>
          <w:szCs w:val="22"/>
        </w:rPr>
        <w:t xml:space="preserve"> of the more notable instances of this being</w:t>
      </w:r>
      <w:r w:rsidR="00F015C9">
        <w:rPr>
          <w:sz w:val="22"/>
          <w:szCs w:val="22"/>
        </w:rPr>
        <w:t xml:space="preserve"> the use of Egyptian and Assyrian artistic motifs that </w:t>
      </w:r>
      <w:r w:rsidR="00A839C8">
        <w:rPr>
          <w:sz w:val="22"/>
          <w:szCs w:val="22"/>
        </w:rPr>
        <w:t>were used in the art on Darius’ tomb</w:t>
      </w:r>
      <w:r w:rsidR="00B158BD">
        <w:rPr>
          <w:sz w:val="22"/>
          <w:szCs w:val="22"/>
        </w:rPr>
        <w:t>, namely in the form of the winged sun-disk and fire alter</w:t>
      </w:r>
      <w:r w:rsidR="00795438">
        <w:rPr>
          <w:sz w:val="22"/>
          <w:szCs w:val="22"/>
        </w:rPr>
        <w:t>.</w:t>
      </w:r>
      <w:r w:rsidR="00795438">
        <w:rPr>
          <w:rStyle w:val="FootnoteReference"/>
          <w:sz w:val="22"/>
          <w:szCs w:val="22"/>
        </w:rPr>
        <w:footnoteReference w:id="12"/>
      </w:r>
      <w:r w:rsidR="00A839C8">
        <w:rPr>
          <w:sz w:val="22"/>
          <w:szCs w:val="22"/>
        </w:rPr>
        <w:t xml:space="preserve"> </w:t>
      </w:r>
    </w:p>
    <w:p w14:paraId="5405AA1A" w14:textId="77777777" w:rsidR="00D83B22" w:rsidRDefault="005B6B09">
      <w:pPr>
        <w:rPr>
          <w:sz w:val="22"/>
          <w:szCs w:val="22"/>
        </w:rPr>
      </w:pPr>
      <w:r>
        <w:rPr>
          <w:sz w:val="22"/>
          <w:szCs w:val="22"/>
        </w:rPr>
        <w:t>T</w:t>
      </w:r>
      <w:r w:rsidR="003900BE">
        <w:rPr>
          <w:sz w:val="22"/>
          <w:szCs w:val="22"/>
        </w:rPr>
        <w:t xml:space="preserve">his “Multicultural Ideal” is </w:t>
      </w:r>
      <w:r>
        <w:rPr>
          <w:sz w:val="22"/>
          <w:szCs w:val="22"/>
        </w:rPr>
        <w:t>a tool of the Achaemenid Persian empire that enables some of the empires other practices (particularly those that will be covered in the “Decentralisation and the Satrapies” section)</w:t>
      </w:r>
      <w:r w:rsidR="00662FF9">
        <w:rPr>
          <w:sz w:val="22"/>
          <w:szCs w:val="22"/>
        </w:rPr>
        <w:t>, and that effectively reduces the dissent among the subject peoples.</w:t>
      </w:r>
      <w:r w:rsidR="008D07C2">
        <w:rPr>
          <w:sz w:val="22"/>
          <w:szCs w:val="22"/>
        </w:rPr>
        <w:t xml:space="preserve"> This approach was vital to allowing the Achaemenids to run an empire on the immense scale that they did in that time.</w:t>
      </w:r>
      <w:r w:rsidR="00325897">
        <w:rPr>
          <w:sz w:val="22"/>
          <w:szCs w:val="22"/>
        </w:rPr>
        <w:br/>
        <w:t>It should be noted however, that the strength of the multicultural ideal over the policy of the empire varied dramatically from emperor to emperor.</w:t>
      </w:r>
      <w:r w:rsidR="00F013C8">
        <w:rPr>
          <w:sz w:val="22"/>
          <w:szCs w:val="22"/>
        </w:rPr>
        <w:t xml:space="preserve"> Some emperors were more or inclined towards the policies of multiculturalism, including some of the most successful emperors, Cyrus the Great and Darius the Great.</w:t>
      </w:r>
      <w:r w:rsidR="00362E92">
        <w:rPr>
          <w:sz w:val="22"/>
          <w:szCs w:val="22"/>
        </w:rPr>
        <w:t xml:space="preserve"> On the other hand, some of the other emperors were far less inclined to </w:t>
      </w:r>
      <w:r w:rsidR="001D26DB">
        <w:rPr>
          <w:sz w:val="22"/>
          <w:szCs w:val="22"/>
        </w:rPr>
        <w:t xml:space="preserve">upkeep this </w:t>
      </w:r>
      <w:r w:rsidR="00A72DB7">
        <w:rPr>
          <w:sz w:val="22"/>
          <w:szCs w:val="22"/>
        </w:rPr>
        <w:t>state of affairs, notably Cambyses I was supposedly more oppressive to his subject peoples (though of course it should be noted that</w:t>
      </w:r>
      <w:r w:rsidR="00B55CBB">
        <w:rPr>
          <w:sz w:val="22"/>
          <w:szCs w:val="22"/>
        </w:rPr>
        <w:t xml:space="preserve"> the opinion of him is</w:t>
      </w:r>
      <w:r w:rsidR="000E1103">
        <w:rPr>
          <w:sz w:val="22"/>
          <w:szCs w:val="22"/>
        </w:rPr>
        <w:t xml:space="preserve"> negatively</w:t>
      </w:r>
      <w:r w:rsidR="00B55CBB">
        <w:rPr>
          <w:sz w:val="22"/>
          <w:szCs w:val="22"/>
        </w:rPr>
        <w:t xml:space="preserve"> </w:t>
      </w:r>
      <w:r w:rsidR="00ED7828">
        <w:rPr>
          <w:sz w:val="22"/>
          <w:szCs w:val="22"/>
        </w:rPr>
        <w:t>influenced by Darius’ propaganda.)</w:t>
      </w:r>
    </w:p>
    <w:p w14:paraId="4426C9A0" w14:textId="58439F7E" w:rsidR="00D83B22" w:rsidRPr="004D1414" w:rsidRDefault="00D83B22">
      <w:pPr>
        <w:rPr>
          <w:sz w:val="22"/>
          <w:szCs w:val="22"/>
        </w:rPr>
      </w:pPr>
      <w:r>
        <w:rPr>
          <w:sz w:val="22"/>
          <w:szCs w:val="22"/>
        </w:rPr>
        <w:t>The question of course that must be asked is</w:t>
      </w:r>
      <w:r w:rsidR="00C22794">
        <w:rPr>
          <w:sz w:val="22"/>
          <w:szCs w:val="22"/>
        </w:rPr>
        <w:t xml:space="preserve"> “was the multicultural ideal just propaganda, or did it </w:t>
      </w:r>
      <w:r w:rsidR="00726BD2">
        <w:rPr>
          <w:sz w:val="22"/>
          <w:szCs w:val="22"/>
        </w:rPr>
        <w:t>really and truly change the Achaemenid policy.” The answer</w:t>
      </w:r>
      <w:r w:rsidR="00A776BD">
        <w:rPr>
          <w:sz w:val="22"/>
          <w:szCs w:val="22"/>
        </w:rPr>
        <w:t>,</w:t>
      </w:r>
      <w:r w:rsidR="00726BD2">
        <w:rPr>
          <w:sz w:val="22"/>
          <w:szCs w:val="22"/>
        </w:rPr>
        <w:t xml:space="preserve"> as is commonly the </w:t>
      </w:r>
      <w:r w:rsidR="00A776BD">
        <w:rPr>
          <w:sz w:val="22"/>
          <w:szCs w:val="22"/>
        </w:rPr>
        <w:t>result</w:t>
      </w:r>
      <w:r w:rsidR="00726BD2">
        <w:rPr>
          <w:sz w:val="22"/>
          <w:szCs w:val="22"/>
        </w:rPr>
        <w:t xml:space="preserve">, is that </w:t>
      </w:r>
      <w:r w:rsidR="00A776BD">
        <w:rPr>
          <w:sz w:val="22"/>
          <w:szCs w:val="22"/>
        </w:rPr>
        <w:t>there is a mix.</w:t>
      </w:r>
      <w:r w:rsidR="00DA0193">
        <w:rPr>
          <w:sz w:val="22"/>
          <w:szCs w:val="22"/>
        </w:rPr>
        <w:t xml:space="preserve"> The ideal clearly has some impact on a number of pieces of policy</w:t>
      </w:r>
      <w:r w:rsidR="006A67F1">
        <w:rPr>
          <w:sz w:val="22"/>
          <w:szCs w:val="22"/>
        </w:rPr>
        <w:t>, as already explained earlier in the chapter</w:t>
      </w:r>
      <w:r w:rsidR="008953C0">
        <w:rPr>
          <w:sz w:val="22"/>
          <w:szCs w:val="22"/>
        </w:rPr>
        <w:t xml:space="preserve">, but also, </w:t>
      </w:r>
      <w:r w:rsidR="009A34C6">
        <w:rPr>
          <w:sz w:val="22"/>
          <w:szCs w:val="22"/>
        </w:rPr>
        <w:t xml:space="preserve">a lot of </w:t>
      </w:r>
      <w:r w:rsidR="008953C0">
        <w:rPr>
          <w:sz w:val="22"/>
          <w:szCs w:val="22"/>
        </w:rPr>
        <w:t xml:space="preserve">the </w:t>
      </w:r>
      <w:r w:rsidR="009A34C6">
        <w:rPr>
          <w:sz w:val="22"/>
          <w:szCs w:val="22"/>
        </w:rPr>
        <w:t xml:space="preserve">propaganda </w:t>
      </w:r>
      <w:r w:rsidR="0054061D">
        <w:rPr>
          <w:sz w:val="22"/>
          <w:szCs w:val="22"/>
        </w:rPr>
        <w:t>across the Achaemenid world is just that, propaganda</w:t>
      </w:r>
      <w:r w:rsidR="0017520D">
        <w:rPr>
          <w:sz w:val="22"/>
          <w:szCs w:val="22"/>
        </w:rPr>
        <w:t xml:space="preserve">, and while it is clearly an effort to attempt to </w:t>
      </w:r>
      <w:r w:rsidR="00FF16A6">
        <w:rPr>
          <w:sz w:val="22"/>
          <w:szCs w:val="22"/>
        </w:rPr>
        <w:t>foster sympathy among the empire, it is not always representative of the reality of the empire</w:t>
      </w:r>
      <w:r w:rsidR="0054061D">
        <w:rPr>
          <w:sz w:val="22"/>
          <w:szCs w:val="22"/>
        </w:rPr>
        <w:t>.</w:t>
      </w:r>
    </w:p>
    <w:p w14:paraId="31957754" w14:textId="12BD300C" w:rsidR="00C945EA" w:rsidRDefault="00C945EA">
      <w:r>
        <w:t>Decentralisation and the Satrapies</w:t>
      </w:r>
    </w:p>
    <w:p w14:paraId="169C5F8F" w14:textId="7CAD3AD3" w:rsidR="00F60CA8" w:rsidRDefault="00F60CA8">
      <w:pPr>
        <w:rPr>
          <w:sz w:val="22"/>
          <w:szCs w:val="22"/>
        </w:rPr>
      </w:pPr>
      <w:r>
        <w:rPr>
          <w:sz w:val="22"/>
          <w:szCs w:val="22"/>
        </w:rPr>
        <w:t>The Achaemenid Empire had a somewhat decentralised form of governance,</w:t>
      </w:r>
      <w:r w:rsidR="00CF0A5B">
        <w:rPr>
          <w:sz w:val="22"/>
          <w:szCs w:val="22"/>
        </w:rPr>
        <w:t xml:space="preserve"> some of</w:t>
      </w:r>
      <w:r>
        <w:rPr>
          <w:sz w:val="22"/>
          <w:szCs w:val="22"/>
        </w:rPr>
        <w:t xml:space="preserve"> the central Persian territories were directly </w:t>
      </w:r>
      <w:r w:rsidR="00570CFE">
        <w:rPr>
          <w:sz w:val="22"/>
          <w:szCs w:val="22"/>
        </w:rPr>
        <w:t xml:space="preserve">administered by the emperor (or his proxies), but the regions that were further away from the capital were </w:t>
      </w:r>
      <w:r w:rsidR="00C249C6">
        <w:rPr>
          <w:sz w:val="22"/>
          <w:szCs w:val="22"/>
        </w:rPr>
        <w:t>distributed among the satrapies</w:t>
      </w:r>
      <w:r w:rsidR="00A24250">
        <w:rPr>
          <w:sz w:val="22"/>
          <w:szCs w:val="22"/>
        </w:rPr>
        <w:t>.</w:t>
      </w:r>
    </w:p>
    <w:p w14:paraId="250E2BCF" w14:textId="124F918A" w:rsidR="00FE1CD5" w:rsidRDefault="000E6AF8">
      <w:pPr>
        <w:rPr>
          <w:sz w:val="22"/>
          <w:szCs w:val="22"/>
        </w:rPr>
      </w:pPr>
      <w:r>
        <w:rPr>
          <w:sz w:val="22"/>
          <w:szCs w:val="22"/>
        </w:rPr>
        <w:t>The Satrapies were a</w:t>
      </w:r>
      <w:r w:rsidR="00C25C9D">
        <w:rPr>
          <w:sz w:val="22"/>
          <w:szCs w:val="22"/>
        </w:rPr>
        <w:t xml:space="preserve"> key part of the Achaemenid </w:t>
      </w:r>
      <w:r w:rsidR="002679F8">
        <w:rPr>
          <w:sz w:val="22"/>
          <w:szCs w:val="22"/>
        </w:rPr>
        <w:t>system of governance and administration.</w:t>
      </w:r>
      <w:r w:rsidR="00996BC2">
        <w:rPr>
          <w:sz w:val="22"/>
          <w:szCs w:val="22"/>
        </w:rPr>
        <w:t xml:space="preserve"> In effect the satrapies were vassal provinces</w:t>
      </w:r>
      <w:r w:rsidR="008B55D7">
        <w:rPr>
          <w:sz w:val="22"/>
          <w:szCs w:val="22"/>
        </w:rPr>
        <w:t xml:space="preserve"> that the Achaemenids established either through conquest</w:t>
      </w:r>
      <w:r w:rsidR="007D7202">
        <w:rPr>
          <w:sz w:val="22"/>
          <w:szCs w:val="22"/>
        </w:rPr>
        <w:t>, or through diplomacy.</w:t>
      </w:r>
      <w:r w:rsidR="00B96E54">
        <w:rPr>
          <w:sz w:val="22"/>
          <w:szCs w:val="22"/>
        </w:rPr>
        <w:t xml:space="preserve"> Where possible the Achaemenids would attempt to </w:t>
      </w:r>
      <w:r w:rsidR="001D753A">
        <w:rPr>
          <w:sz w:val="22"/>
          <w:szCs w:val="22"/>
        </w:rPr>
        <w:t>preserve already existing bureaucracy</w:t>
      </w:r>
      <w:r w:rsidR="001D753A">
        <w:rPr>
          <w:rStyle w:val="FootnoteReference"/>
          <w:sz w:val="22"/>
          <w:szCs w:val="22"/>
        </w:rPr>
        <w:footnoteReference w:id="13"/>
      </w:r>
      <w:r w:rsidR="001D753A">
        <w:rPr>
          <w:sz w:val="22"/>
          <w:szCs w:val="22"/>
        </w:rPr>
        <w:t>,</w:t>
      </w:r>
      <w:r w:rsidR="006C3050">
        <w:rPr>
          <w:sz w:val="22"/>
          <w:szCs w:val="22"/>
        </w:rPr>
        <w:t xml:space="preserve"> though</w:t>
      </w:r>
      <w:r w:rsidR="001D753A">
        <w:rPr>
          <w:sz w:val="22"/>
          <w:szCs w:val="22"/>
        </w:rPr>
        <w:t xml:space="preserve"> often </w:t>
      </w:r>
      <w:r w:rsidR="006C3050">
        <w:rPr>
          <w:sz w:val="22"/>
          <w:szCs w:val="22"/>
        </w:rPr>
        <w:t xml:space="preserve">they would put in place a new ruler if the original </w:t>
      </w:r>
      <w:r w:rsidR="006C3050">
        <w:rPr>
          <w:sz w:val="22"/>
          <w:szCs w:val="22"/>
        </w:rPr>
        <w:lastRenderedPageBreak/>
        <w:t xml:space="preserve">rulers had attempted to resist subjugation, as Herodotus claims they had intended to do with </w:t>
      </w:r>
      <w:r w:rsidR="000875A6">
        <w:rPr>
          <w:sz w:val="22"/>
          <w:szCs w:val="22"/>
        </w:rPr>
        <w:t>the former Athenian tyrant Hippias, in the 490bce invasion that was stopped at the battle of Marathon.</w:t>
      </w:r>
      <w:r w:rsidR="00CF52DD">
        <w:rPr>
          <w:rStyle w:val="FootnoteReference"/>
          <w:sz w:val="22"/>
          <w:szCs w:val="22"/>
        </w:rPr>
        <w:footnoteReference w:id="14"/>
      </w:r>
    </w:p>
    <w:p w14:paraId="75A8EA71" w14:textId="25A03C08" w:rsidR="005C1B9C" w:rsidRDefault="007808FA">
      <w:pPr>
        <w:rPr>
          <w:sz w:val="22"/>
          <w:szCs w:val="22"/>
        </w:rPr>
      </w:pPr>
      <w:r>
        <w:rPr>
          <w:sz w:val="22"/>
          <w:szCs w:val="22"/>
        </w:rPr>
        <w:t>The Satrapies were</w:t>
      </w:r>
      <w:r w:rsidR="00CC5094">
        <w:rPr>
          <w:sz w:val="22"/>
          <w:szCs w:val="22"/>
        </w:rPr>
        <w:t xml:space="preserve"> vitally</w:t>
      </w:r>
      <w:r>
        <w:rPr>
          <w:sz w:val="22"/>
          <w:szCs w:val="22"/>
        </w:rPr>
        <w:t xml:space="preserve"> important to the continued administration of the empire for several reasons.</w:t>
      </w:r>
    </w:p>
    <w:p w14:paraId="59455FA7" w14:textId="459BBE45" w:rsidR="007808FA" w:rsidRDefault="007808FA">
      <w:pPr>
        <w:rPr>
          <w:sz w:val="22"/>
          <w:szCs w:val="22"/>
        </w:rPr>
      </w:pPr>
      <w:r>
        <w:rPr>
          <w:sz w:val="22"/>
          <w:szCs w:val="22"/>
        </w:rPr>
        <w:t>The first of these reason</w:t>
      </w:r>
      <w:r w:rsidR="00BA06DE">
        <w:rPr>
          <w:sz w:val="22"/>
          <w:szCs w:val="22"/>
        </w:rPr>
        <w:t>s</w:t>
      </w:r>
      <w:r>
        <w:rPr>
          <w:sz w:val="22"/>
          <w:szCs w:val="22"/>
        </w:rPr>
        <w:t xml:space="preserve"> was that </w:t>
      </w:r>
      <w:r w:rsidR="00A22D78">
        <w:rPr>
          <w:sz w:val="22"/>
          <w:szCs w:val="22"/>
        </w:rPr>
        <w:t>the</w:t>
      </w:r>
      <w:r w:rsidR="00FD40F7">
        <w:rPr>
          <w:sz w:val="22"/>
          <w:szCs w:val="22"/>
        </w:rPr>
        <w:t xml:space="preserve"> satrapies almost entirely removed the administrative burden on the empire (assuming that everything is running smoothly)</w:t>
      </w:r>
      <w:r w:rsidR="005C1B9C">
        <w:rPr>
          <w:sz w:val="22"/>
          <w:szCs w:val="22"/>
        </w:rPr>
        <w:t>. It achieves this through effectively fully delegating the administration of the provinces to the satraps, as opposed to the more centralised government.</w:t>
      </w:r>
      <w:r w:rsidR="00A96B5C">
        <w:rPr>
          <w:sz w:val="22"/>
          <w:szCs w:val="22"/>
        </w:rPr>
        <w:t xml:space="preserve"> In this the satrapies had a remarkable degree of autonomy, </w:t>
      </w:r>
      <w:r w:rsidR="00163F40">
        <w:rPr>
          <w:sz w:val="22"/>
          <w:szCs w:val="22"/>
        </w:rPr>
        <w:t xml:space="preserve">though there was a high level of variability in the satrapies themselves, as there was no real attempt made to </w:t>
      </w:r>
      <w:r w:rsidR="003C06D2">
        <w:rPr>
          <w:sz w:val="22"/>
          <w:szCs w:val="22"/>
        </w:rPr>
        <w:t>standardize the systems in place in the satrapies, nor was there any consistency in scale or complexity in the satrapies.</w:t>
      </w:r>
      <w:r w:rsidR="007B3575">
        <w:rPr>
          <w:rStyle w:val="FootnoteReference"/>
          <w:sz w:val="22"/>
          <w:szCs w:val="22"/>
        </w:rPr>
        <w:footnoteReference w:id="15"/>
      </w:r>
      <w:r w:rsidR="00CC5094">
        <w:rPr>
          <w:sz w:val="22"/>
          <w:szCs w:val="22"/>
        </w:rPr>
        <w:t xml:space="preserve"> </w:t>
      </w:r>
      <w:r w:rsidR="00A55C3F">
        <w:rPr>
          <w:sz w:val="22"/>
          <w:szCs w:val="22"/>
        </w:rPr>
        <w:t>The state also made efforts to not interfere with and even conduct some business with the local economies of the satrapies</w:t>
      </w:r>
      <w:r w:rsidR="00B44CA4">
        <w:rPr>
          <w:sz w:val="22"/>
          <w:szCs w:val="22"/>
        </w:rPr>
        <w:t>.</w:t>
      </w:r>
      <w:r w:rsidR="00325897">
        <w:rPr>
          <w:rStyle w:val="FootnoteReference"/>
          <w:sz w:val="22"/>
          <w:szCs w:val="22"/>
        </w:rPr>
        <w:footnoteReference w:id="16"/>
      </w:r>
    </w:p>
    <w:p w14:paraId="0694D432" w14:textId="7264822C" w:rsidR="00B44CA4" w:rsidRDefault="00B44CA4">
      <w:pPr>
        <w:rPr>
          <w:sz w:val="22"/>
          <w:szCs w:val="22"/>
        </w:rPr>
      </w:pPr>
      <w:r>
        <w:rPr>
          <w:sz w:val="22"/>
          <w:szCs w:val="22"/>
        </w:rPr>
        <w:t xml:space="preserve">The second of the reasons, heavily entwined with the first, and another shadow of “Achaemenid multiculturalism” was </w:t>
      </w:r>
      <w:r w:rsidR="00A32970">
        <w:rPr>
          <w:sz w:val="22"/>
          <w:szCs w:val="22"/>
        </w:rPr>
        <w:t xml:space="preserve">that the hands-off policy </w:t>
      </w:r>
      <w:r w:rsidR="002177C5">
        <w:rPr>
          <w:sz w:val="22"/>
          <w:szCs w:val="22"/>
        </w:rPr>
        <w:t>in regard to</w:t>
      </w:r>
      <w:r w:rsidR="00A32970">
        <w:rPr>
          <w:sz w:val="22"/>
          <w:szCs w:val="22"/>
        </w:rPr>
        <w:t xml:space="preserve"> the governance of the provinces </w:t>
      </w:r>
      <w:r w:rsidR="002177C5">
        <w:rPr>
          <w:sz w:val="22"/>
          <w:szCs w:val="22"/>
        </w:rPr>
        <w:t xml:space="preserve">that had a very particular and intentional effect. That effect was to </w:t>
      </w:r>
      <w:r w:rsidR="006020EB">
        <w:rPr>
          <w:sz w:val="22"/>
          <w:szCs w:val="22"/>
        </w:rPr>
        <w:t>reduce the impact of foreign rule on the stability of the area.</w:t>
      </w:r>
      <w:r w:rsidR="008951DE">
        <w:rPr>
          <w:sz w:val="22"/>
          <w:szCs w:val="22"/>
        </w:rPr>
        <w:t xml:space="preserve"> A region ruled by a local ruler is typically dramatically less likely to rebel than one that was ruled by </w:t>
      </w:r>
      <w:r w:rsidR="005467A3">
        <w:rPr>
          <w:sz w:val="22"/>
          <w:szCs w:val="22"/>
        </w:rPr>
        <w:t>a foreign ruler sent in to rule by a tyrannical empire.</w:t>
      </w:r>
      <w:r w:rsidR="004D6176">
        <w:rPr>
          <w:sz w:val="22"/>
          <w:szCs w:val="22"/>
        </w:rPr>
        <w:t xml:space="preserve"> The Achaemenids would vastly prefer subjects who viewed themselves as “co-operative allies not subjugated foes”.</w:t>
      </w:r>
      <w:r w:rsidR="004D6176">
        <w:rPr>
          <w:rStyle w:val="FootnoteReference"/>
          <w:sz w:val="22"/>
          <w:szCs w:val="22"/>
        </w:rPr>
        <w:footnoteReference w:id="17"/>
      </w:r>
    </w:p>
    <w:p w14:paraId="19D419AB" w14:textId="4950FEE1" w:rsidR="00B44CA4" w:rsidRDefault="00C927D1">
      <w:pPr>
        <w:rPr>
          <w:sz w:val="22"/>
          <w:szCs w:val="22"/>
        </w:rPr>
      </w:pPr>
      <w:r>
        <w:rPr>
          <w:sz w:val="22"/>
          <w:szCs w:val="22"/>
        </w:rPr>
        <w:t xml:space="preserve">The </w:t>
      </w:r>
      <w:r w:rsidR="00B44CA4">
        <w:rPr>
          <w:sz w:val="22"/>
          <w:szCs w:val="22"/>
        </w:rPr>
        <w:t>third</w:t>
      </w:r>
      <w:r>
        <w:rPr>
          <w:sz w:val="22"/>
          <w:szCs w:val="22"/>
        </w:rPr>
        <w:t xml:space="preserve"> of these reasons is that the division of the satrapies reduced the amount of power that could be easily consolidated by someone attempting to rebel against the Persian empire. In a similar vein, it allowed the Persians to suppress small parts of their empire in the case of them needing to put down a rebellion</w:t>
      </w:r>
      <w:r w:rsidR="00CD7920">
        <w:rPr>
          <w:sz w:val="22"/>
          <w:szCs w:val="22"/>
        </w:rPr>
        <w:t>, or if it was decided that a satrapy needed to be weakened after a rebellion</w:t>
      </w:r>
      <w:r w:rsidR="00AE4F26">
        <w:rPr>
          <w:sz w:val="22"/>
          <w:szCs w:val="22"/>
        </w:rPr>
        <w:t xml:space="preserve"> (such as with Egypt, which was possibly the most rebellious of the Achaemenid vassals)</w:t>
      </w:r>
      <w:r w:rsidR="009C0E7E">
        <w:rPr>
          <w:sz w:val="22"/>
          <w:szCs w:val="22"/>
        </w:rPr>
        <w:t xml:space="preserve">, </w:t>
      </w:r>
      <w:r w:rsidR="00FE5243">
        <w:rPr>
          <w:sz w:val="22"/>
          <w:szCs w:val="22"/>
        </w:rPr>
        <w:t>the empire could simply raise the taxes on the province</w:t>
      </w:r>
      <w:r w:rsidR="00975F62">
        <w:rPr>
          <w:sz w:val="22"/>
          <w:szCs w:val="22"/>
        </w:rPr>
        <w:t>, or take even more repressive measures if such a thing were needed to ensure that stability was kept.</w:t>
      </w:r>
      <w:r w:rsidR="00B12657">
        <w:rPr>
          <w:rStyle w:val="FootnoteReference"/>
          <w:sz w:val="22"/>
          <w:szCs w:val="22"/>
        </w:rPr>
        <w:footnoteReference w:id="18"/>
      </w:r>
    </w:p>
    <w:p w14:paraId="43FB8A6F" w14:textId="77777777" w:rsidR="000164F8" w:rsidRDefault="000164F8" w:rsidP="000164F8">
      <w:r>
        <w:t>Communications and Travel Infrastructure</w:t>
      </w:r>
    </w:p>
    <w:p w14:paraId="23FAA954" w14:textId="77777777" w:rsidR="000164F8" w:rsidRDefault="000164F8" w:rsidP="000164F8">
      <w:pPr>
        <w:rPr>
          <w:sz w:val="22"/>
          <w:szCs w:val="22"/>
        </w:rPr>
      </w:pPr>
      <w:r w:rsidRPr="005F2A2C">
        <w:rPr>
          <w:sz w:val="22"/>
          <w:szCs w:val="22"/>
        </w:rPr>
        <w:t>One problem that every</w:t>
      </w:r>
      <w:r>
        <w:rPr>
          <w:sz w:val="22"/>
          <w:szCs w:val="22"/>
        </w:rPr>
        <w:t xml:space="preserve"> large</w:t>
      </w:r>
      <w:r w:rsidRPr="005F2A2C">
        <w:rPr>
          <w:sz w:val="22"/>
          <w:szCs w:val="22"/>
        </w:rPr>
        <w:t xml:space="preserve"> Empire</w:t>
      </w:r>
      <w:r>
        <w:rPr>
          <w:sz w:val="22"/>
          <w:szCs w:val="22"/>
        </w:rPr>
        <w:t xml:space="preserve"> in the ancient world must overcome through some means is the problem of communication and at scale. If an empire cannot effectively communicate across its expanse, it will suffer greatly when quick responses are needed, and it can also lessen the control that the empire can exert, particularly in the regions further away from the administrative centre of the empire. Additionally, every empire must be able to move its resources and armies, the quicker these can be moved, the more efficiently the empire may maintain its power base and control.</w:t>
      </w:r>
    </w:p>
    <w:p w14:paraId="623ECFA9" w14:textId="77777777" w:rsidR="000164F8" w:rsidRDefault="000164F8" w:rsidP="000164F8">
      <w:pPr>
        <w:rPr>
          <w:sz w:val="22"/>
          <w:szCs w:val="22"/>
        </w:rPr>
      </w:pPr>
      <w:r>
        <w:rPr>
          <w:sz w:val="22"/>
          <w:szCs w:val="22"/>
        </w:rPr>
        <w:lastRenderedPageBreak/>
        <w:t>The Achaemenid Empire was no exception, and for a particularly terrestrial empire, with little central oceanic access, oceanic communication and travel was somewhat limited to the coastal areas on the Persian gulf and eastern Mediterranean.</w:t>
      </w:r>
    </w:p>
    <w:p w14:paraId="1EB15F90" w14:textId="7C4EEC1C" w:rsidR="000164F8" w:rsidRDefault="000164F8" w:rsidP="000164F8">
      <w:pPr>
        <w:rPr>
          <w:sz w:val="22"/>
          <w:szCs w:val="22"/>
        </w:rPr>
      </w:pPr>
      <w:r>
        <w:rPr>
          <w:sz w:val="22"/>
          <w:szCs w:val="22"/>
        </w:rPr>
        <w:t>To tackle the challenge of communication, the Achaemenids made use of a particularly innovative courier system. Herodotus claims that “</w:t>
      </w:r>
      <w:r w:rsidRPr="00D2303D">
        <w:rPr>
          <w:sz w:val="22"/>
          <w:szCs w:val="22"/>
        </w:rPr>
        <w:t>there is nothing mortal that accomplishes a course more swiftly than do these messengers, by the Persians' skillful contrivance.</w:t>
      </w:r>
      <w:r>
        <w:rPr>
          <w:sz w:val="22"/>
          <w:szCs w:val="22"/>
        </w:rPr>
        <w:t>”</w:t>
      </w:r>
      <w:r>
        <w:rPr>
          <w:rStyle w:val="FootnoteReference"/>
          <w:sz w:val="22"/>
          <w:szCs w:val="22"/>
        </w:rPr>
        <w:footnoteReference w:id="19"/>
      </w:r>
      <w:r>
        <w:rPr>
          <w:sz w:val="22"/>
          <w:szCs w:val="22"/>
        </w:rPr>
        <w:t xml:space="preserve"> The Pirradazish system of couriers were the fastest form of communication in the Achaemenid empire.</w:t>
      </w:r>
      <w:r>
        <w:rPr>
          <w:rStyle w:val="FootnoteReference"/>
          <w:sz w:val="22"/>
          <w:szCs w:val="22"/>
        </w:rPr>
        <w:footnoteReference w:id="20"/>
      </w:r>
      <w:r>
        <w:rPr>
          <w:sz w:val="22"/>
          <w:szCs w:val="22"/>
        </w:rPr>
        <w:t xml:space="preserve"> Herodotus claims that “</w:t>
      </w:r>
      <w:r w:rsidRPr="00A70D0B">
        <w:rPr>
          <w:sz w:val="22"/>
          <w:szCs w:val="22"/>
        </w:rPr>
        <w:t>There is nothing mortal that is faster than the system that the Persians have devised for</w:t>
      </w:r>
      <w:r>
        <w:rPr>
          <w:sz w:val="22"/>
          <w:szCs w:val="22"/>
        </w:rPr>
        <w:t xml:space="preserve"> </w:t>
      </w:r>
      <w:r w:rsidRPr="00A70D0B">
        <w:rPr>
          <w:sz w:val="22"/>
          <w:szCs w:val="22"/>
        </w:rPr>
        <w:t>sending messages</w:t>
      </w:r>
      <w:r>
        <w:rPr>
          <w:sz w:val="22"/>
          <w:szCs w:val="22"/>
        </w:rPr>
        <w:t>.”</w:t>
      </w:r>
      <w:r>
        <w:rPr>
          <w:rStyle w:val="FootnoteReference"/>
          <w:sz w:val="22"/>
          <w:szCs w:val="22"/>
        </w:rPr>
        <w:footnoteReference w:id="21"/>
      </w:r>
      <w:r>
        <w:rPr>
          <w:sz w:val="22"/>
          <w:szCs w:val="22"/>
        </w:rPr>
        <w:t xml:space="preserve"> A claim that (as far as messengers go in the ancient world) seems to be backed with some merit.</w:t>
      </w:r>
      <w:r>
        <w:rPr>
          <w:sz w:val="22"/>
          <w:szCs w:val="22"/>
        </w:rPr>
        <w:br/>
        <w:t>Herodotus also claims that there is a horses and men posted at each 1 day’s riding intervals with a fresh horse and rider for each day of the journey, so that the messengers may keep travelling in the fastest possible time and through any conditions.</w:t>
      </w:r>
      <w:r>
        <w:rPr>
          <w:rStyle w:val="FootnoteReference"/>
          <w:sz w:val="22"/>
          <w:szCs w:val="22"/>
        </w:rPr>
        <w:footnoteReference w:id="22"/>
      </w:r>
      <w:r w:rsidR="00D12BE3">
        <w:rPr>
          <w:sz w:val="22"/>
          <w:szCs w:val="22"/>
        </w:rPr>
        <w:t xml:space="preserve"> It should however be noted that his actual description of the royal roads, along with archaeological surveys of Southwestern Iran have revealed that the distance between waystations was far shorter than one day’s ride, being somewhere between 24km and 17km apart (closer to a day’s walk on foot, or about an hour on horseback).</w:t>
      </w:r>
      <w:r w:rsidR="00A933B4">
        <w:rPr>
          <w:rStyle w:val="FootnoteReference"/>
          <w:sz w:val="22"/>
          <w:szCs w:val="22"/>
        </w:rPr>
        <w:footnoteReference w:id="23"/>
      </w:r>
      <w:r>
        <w:rPr>
          <w:sz w:val="22"/>
          <w:szCs w:val="22"/>
        </w:rPr>
        <w:t xml:space="preserve"> </w:t>
      </w:r>
      <w:r w:rsidR="0035223D">
        <w:rPr>
          <w:sz w:val="22"/>
          <w:szCs w:val="22"/>
        </w:rPr>
        <w:t>The speed of these riders is estimated to be very impressive indeed</w:t>
      </w:r>
      <w:r w:rsidR="00113047">
        <w:rPr>
          <w:sz w:val="22"/>
          <w:szCs w:val="22"/>
        </w:rPr>
        <w:t xml:space="preserve">, estimates </w:t>
      </w:r>
      <w:r w:rsidR="00E403E4">
        <w:rPr>
          <w:sz w:val="22"/>
          <w:szCs w:val="22"/>
        </w:rPr>
        <w:t>based off of the time it took for them to undertake the journey between Susa and Sardis</w:t>
      </w:r>
      <w:r w:rsidR="00D6738C">
        <w:rPr>
          <w:sz w:val="22"/>
          <w:szCs w:val="22"/>
        </w:rPr>
        <w:t xml:space="preserve">, the </w:t>
      </w:r>
      <w:r w:rsidR="005C5D23">
        <w:rPr>
          <w:sz w:val="22"/>
          <w:szCs w:val="22"/>
        </w:rPr>
        <w:t>speed would likely have been somewhere in the region of 230km per day, which is a particularly fast speed that actually matches some of the early modern horse-riding couriers</w:t>
      </w:r>
      <w:r w:rsidR="001F38DB">
        <w:rPr>
          <w:sz w:val="22"/>
          <w:szCs w:val="22"/>
        </w:rPr>
        <w:t>, and was dramatically faster than the roman equivalent, that only manages circa 75km per day, several times slower than the Achaemenids’ messengers</w:t>
      </w:r>
      <w:r w:rsidR="005C5D23">
        <w:rPr>
          <w:sz w:val="22"/>
          <w:szCs w:val="22"/>
        </w:rPr>
        <w:t>.</w:t>
      </w:r>
      <w:r w:rsidR="00A933B4">
        <w:rPr>
          <w:rStyle w:val="FootnoteReference"/>
          <w:sz w:val="22"/>
          <w:szCs w:val="22"/>
        </w:rPr>
        <w:footnoteReference w:id="24"/>
      </w:r>
    </w:p>
    <w:p w14:paraId="15ABD0A3" w14:textId="77777777" w:rsidR="000164F8" w:rsidRDefault="000164F8" w:rsidP="000164F8">
      <w:pPr>
        <w:rPr>
          <w:sz w:val="22"/>
          <w:szCs w:val="22"/>
        </w:rPr>
      </w:pPr>
      <w:r>
        <w:rPr>
          <w:sz w:val="22"/>
          <w:szCs w:val="22"/>
        </w:rPr>
        <w:t>In addition, to the courier system, an extensive system of roads, canals and rivers was used for transportation across the empire. The best known of these is the “royal roads”, so called by Herodotus, was the road running between Susa (in the east of modern Iran) and Sardis (on the Ionian coast, eastern modern-day Türkiye).</w:t>
      </w:r>
      <w:r>
        <w:rPr>
          <w:rStyle w:val="FootnoteReference"/>
          <w:sz w:val="22"/>
          <w:szCs w:val="22"/>
        </w:rPr>
        <w:footnoteReference w:id="25"/>
      </w:r>
      <w:r>
        <w:rPr>
          <w:sz w:val="22"/>
          <w:szCs w:val="22"/>
        </w:rPr>
        <w:t xml:space="preserve"> Of course that road is not isolated, instead being part of a huge empire-spanning network, stretching even as far as the Indus valley, with a number of large hubs such as Sardis and Persepolis being interconnected, and with forts on the most vital areas.</w:t>
      </w:r>
      <w:r>
        <w:rPr>
          <w:rStyle w:val="FootnoteReference"/>
          <w:sz w:val="22"/>
          <w:szCs w:val="22"/>
        </w:rPr>
        <w:footnoteReference w:id="26"/>
      </w:r>
      <w:r>
        <w:rPr>
          <w:sz w:val="22"/>
          <w:szCs w:val="22"/>
        </w:rPr>
        <w:t xml:space="preserve"> Additionally, along the road were built “road stations and very good resting places,”</w:t>
      </w:r>
      <w:r>
        <w:rPr>
          <w:rStyle w:val="FootnoteReference"/>
          <w:sz w:val="22"/>
          <w:szCs w:val="22"/>
        </w:rPr>
        <w:footnoteReference w:id="27"/>
      </w:r>
      <w:r>
        <w:rPr>
          <w:sz w:val="22"/>
          <w:szCs w:val="22"/>
        </w:rPr>
        <w:t xml:space="preserve"> which would have enabled transit across the longer distances between settlements. </w:t>
      </w:r>
    </w:p>
    <w:p w14:paraId="2142965D" w14:textId="456BFAD2" w:rsidR="00704577" w:rsidRDefault="00837082">
      <w:pPr>
        <w:rPr>
          <w:sz w:val="22"/>
          <w:szCs w:val="22"/>
        </w:rPr>
      </w:pPr>
      <w:r>
        <w:rPr>
          <w:sz w:val="22"/>
          <w:szCs w:val="22"/>
        </w:rPr>
        <w:t xml:space="preserve">It must be mentioned that part of the reason for the creation and maintenance of the vast network of roads across the </w:t>
      </w:r>
      <w:r w:rsidR="00B3485A">
        <w:rPr>
          <w:sz w:val="22"/>
          <w:szCs w:val="22"/>
        </w:rPr>
        <w:t xml:space="preserve">empire </w:t>
      </w:r>
      <w:r w:rsidR="00BE0CA8">
        <w:rPr>
          <w:sz w:val="22"/>
          <w:szCs w:val="22"/>
        </w:rPr>
        <w:t xml:space="preserve">links back to the </w:t>
      </w:r>
      <w:r w:rsidR="00363A91">
        <w:rPr>
          <w:sz w:val="22"/>
          <w:szCs w:val="22"/>
        </w:rPr>
        <w:t>system of satrapies.</w:t>
      </w:r>
      <w:r w:rsidR="00041BED">
        <w:rPr>
          <w:sz w:val="22"/>
          <w:szCs w:val="22"/>
        </w:rPr>
        <w:t xml:space="preserve"> Particularly, the infrastructure allowed for the Persian emperor to </w:t>
      </w:r>
      <w:r w:rsidR="00E4260F">
        <w:rPr>
          <w:sz w:val="22"/>
          <w:szCs w:val="22"/>
        </w:rPr>
        <w:t>exert control over all corners of the empire</w:t>
      </w:r>
      <w:r w:rsidR="00711584">
        <w:rPr>
          <w:sz w:val="22"/>
          <w:szCs w:val="22"/>
        </w:rPr>
        <w:t>.</w:t>
      </w:r>
      <w:r w:rsidR="00104532">
        <w:rPr>
          <w:sz w:val="22"/>
          <w:szCs w:val="22"/>
        </w:rPr>
        <w:t xml:space="preserve"> In a </w:t>
      </w:r>
      <w:r w:rsidR="00C943D9">
        <w:rPr>
          <w:sz w:val="22"/>
          <w:szCs w:val="22"/>
        </w:rPr>
        <w:t xml:space="preserve">symbolic sense the infrastructural projects would have acted as a </w:t>
      </w:r>
      <w:r w:rsidR="00915012">
        <w:rPr>
          <w:sz w:val="22"/>
          <w:szCs w:val="22"/>
        </w:rPr>
        <w:t xml:space="preserve">visible representation </w:t>
      </w:r>
      <w:r w:rsidR="00073A98">
        <w:rPr>
          <w:sz w:val="22"/>
          <w:szCs w:val="22"/>
        </w:rPr>
        <w:t xml:space="preserve">and constant reminder </w:t>
      </w:r>
      <w:r w:rsidR="00915012">
        <w:rPr>
          <w:sz w:val="22"/>
          <w:szCs w:val="22"/>
        </w:rPr>
        <w:t xml:space="preserve">of the Achaemenid empire’s presence even when they lacked an actual </w:t>
      </w:r>
      <w:r w:rsidR="00915012">
        <w:rPr>
          <w:sz w:val="22"/>
          <w:szCs w:val="22"/>
        </w:rPr>
        <w:lastRenderedPageBreak/>
        <w:t xml:space="preserve">practical presence in the region. Additionally, it would be a </w:t>
      </w:r>
      <w:r w:rsidR="00A34736">
        <w:rPr>
          <w:sz w:val="22"/>
          <w:szCs w:val="22"/>
        </w:rPr>
        <w:t xml:space="preserve">great help to trade and </w:t>
      </w:r>
      <w:r w:rsidR="0055457B">
        <w:rPr>
          <w:sz w:val="22"/>
          <w:szCs w:val="22"/>
        </w:rPr>
        <w:t xml:space="preserve">travel for the </w:t>
      </w:r>
      <w:r w:rsidR="0083550F">
        <w:rPr>
          <w:sz w:val="22"/>
          <w:szCs w:val="22"/>
        </w:rPr>
        <w:t>locals in the satrapies</w:t>
      </w:r>
      <w:r w:rsidR="00CB67A6">
        <w:rPr>
          <w:sz w:val="22"/>
          <w:szCs w:val="22"/>
        </w:rPr>
        <w:t xml:space="preserve">. The roads </w:t>
      </w:r>
      <w:r w:rsidR="00573E32">
        <w:rPr>
          <w:sz w:val="22"/>
          <w:szCs w:val="22"/>
        </w:rPr>
        <w:t xml:space="preserve">and other transport infrastructure </w:t>
      </w:r>
      <w:r w:rsidR="00CB67A6">
        <w:rPr>
          <w:sz w:val="22"/>
          <w:szCs w:val="22"/>
        </w:rPr>
        <w:t xml:space="preserve">would not only provide assistance </w:t>
      </w:r>
      <w:r w:rsidR="00BE28CB">
        <w:rPr>
          <w:sz w:val="22"/>
          <w:szCs w:val="22"/>
        </w:rPr>
        <w:t xml:space="preserve">to the </w:t>
      </w:r>
      <w:r w:rsidR="00573E32">
        <w:rPr>
          <w:sz w:val="22"/>
          <w:szCs w:val="22"/>
        </w:rPr>
        <w:t>forces of the Achaemenid empire,</w:t>
      </w:r>
      <w:r w:rsidR="00C40F09">
        <w:rPr>
          <w:sz w:val="22"/>
          <w:szCs w:val="22"/>
        </w:rPr>
        <w:t xml:space="preserve"> but it would also </w:t>
      </w:r>
      <w:r w:rsidR="009627FD">
        <w:rPr>
          <w:sz w:val="22"/>
          <w:szCs w:val="22"/>
        </w:rPr>
        <w:t>assist all of the provincial peoples, both the businesses and anyone who needed to travel for any reason.</w:t>
      </w:r>
    </w:p>
    <w:p w14:paraId="60014A00" w14:textId="77777777" w:rsidR="00C92B4B" w:rsidRDefault="00C92B4B">
      <w:pPr>
        <w:rPr>
          <w:sz w:val="22"/>
          <w:szCs w:val="22"/>
        </w:rPr>
      </w:pPr>
    </w:p>
    <w:p w14:paraId="05C8E538" w14:textId="68230D70" w:rsidR="00704577" w:rsidRDefault="00704577">
      <w:r w:rsidRPr="00704577">
        <w:t>Dealing With Internal Conflict</w:t>
      </w:r>
    </w:p>
    <w:p w14:paraId="67CD3E09" w14:textId="71AFC429" w:rsidR="00A546B0" w:rsidRDefault="00174687">
      <w:pPr>
        <w:rPr>
          <w:sz w:val="22"/>
          <w:szCs w:val="22"/>
        </w:rPr>
      </w:pPr>
      <w:r>
        <w:rPr>
          <w:sz w:val="22"/>
          <w:szCs w:val="22"/>
        </w:rPr>
        <w:t xml:space="preserve">An inevitable </w:t>
      </w:r>
      <w:r w:rsidR="00DE5C2D">
        <w:rPr>
          <w:sz w:val="22"/>
          <w:szCs w:val="22"/>
        </w:rPr>
        <w:t xml:space="preserve">challenge </w:t>
      </w:r>
      <w:r w:rsidR="00F339DC">
        <w:rPr>
          <w:sz w:val="22"/>
          <w:szCs w:val="22"/>
        </w:rPr>
        <w:t>that</w:t>
      </w:r>
      <w:r w:rsidR="00DE5C2D">
        <w:rPr>
          <w:sz w:val="22"/>
          <w:szCs w:val="22"/>
        </w:rPr>
        <w:t xml:space="preserve"> the empire</w:t>
      </w:r>
      <w:r w:rsidR="00F339DC">
        <w:rPr>
          <w:sz w:val="22"/>
          <w:szCs w:val="22"/>
        </w:rPr>
        <w:t xml:space="preserve"> must rise to, even with its remarkable st</w:t>
      </w:r>
      <w:r w:rsidR="00C96844">
        <w:rPr>
          <w:sz w:val="22"/>
          <w:szCs w:val="22"/>
        </w:rPr>
        <w:t xml:space="preserve">ability, </w:t>
      </w:r>
      <w:r w:rsidR="000540CB">
        <w:rPr>
          <w:sz w:val="22"/>
          <w:szCs w:val="22"/>
        </w:rPr>
        <w:t>is internal conflict within the empire, in the nature of uprisings and civil war.</w:t>
      </w:r>
      <w:r w:rsidR="00652282">
        <w:rPr>
          <w:sz w:val="22"/>
          <w:szCs w:val="22"/>
        </w:rPr>
        <w:t xml:space="preserve"> </w:t>
      </w:r>
    </w:p>
    <w:p w14:paraId="3F3BC705" w14:textId="77777777" w:rsidR="000905F4" w:rsidRDefault="00A546B0" w:rsidP="000905F4">
      <w:pPr>
        <w:rPr>
          <w:sz w:val="22"/>
          <w:szCs w:val="22"/>
        </w:rPr>
      </w:pPr>
      <w:r>
        <w:rPr>
          <w:sz w:val="22"/>
          <w:szCs w:val="22"/>
        </w:rPr>
        <w:t>Likely the most common cause of internal conflict are the various succession crises that the Achaemenid empire suffers from.</w:t>
      </w:r>
      <w:r w:rsidR="00BD0448">
        <w:rPr>
          <w:sz w:val="22"/>
          <w:szCs w:val="22"/>
        </w:rPr>
        <w:t xml:space="preserve"> If there is one weakness in the </w:t>
      </w:r>
      <w:r w:rsidR="00710C5B">
        <w:rPr>
          <w:sz w:val="22"/>
          <w:szCs w:val="22"/>
        </w:rPr>
        <w:t xml:space="preserve">Achaemenid’s </w:t>
      </w:r>
      <w:r w:rsidR="00FC0E2D">
        <w:rPr>
          <w:sz w:val="22"/>
          <w:szCs w:val="22"/>
        </w:rPr>
        <w:t>system (at least in terms of stability</w:t>
      </w:r>
      <w:r w:rsidR="00E52FA3">
        <w:rPr>
          <w:sz w:val="22"/>
          <w:szCs w:val="22"/>
        </w:rPr>
        <w:t>), then it is the succession system of the emperors.</w:t>
      </w:r>
      <w:r w:rsidR="000905F4" w:rsidRPr="000905F4">
        <w:rPr>
          <w:sz w:val="22"/>
          <w:szCs w:val="22"/>
        </w:rPr>
        <w:t xml:space="preserve"> </w:t>
      </w:r>
    </w:p>
    <w:p w14:paraId="407B8ECB" w14:textId="54641A66" w:rsidR="000905F4" w:rsidRDefault="000905F4" w:rsidP="000905F4">
      <w:pPr>
        <w:rPr>
          <w:sz w:val="22"/>
          <w:szCs w:val="22"/>
        </w:rPr>
      </w:pPr>
      <w:r>
        <w:rPr>
          <w:sz w:val="22"/>
          <w:szCs w:val="22"/>
        </w:rPr>
        <w:t>The list of assassinated emperors is notable, including even Xerxes I, one of the best known of the Achaemenid emperors for his invasion of Greece that constituted the largest part of the Greco-Persian wars, who was slain by a group of conspirators in his court.</w:t>
      </w:r>
      <w:r>
        <w:rPr>
          <w:rStyle w:val="FootnoteReference"/>
          <w:sz w:val="22"/>
          <w:szCs w:val="22"/>
        </w:rPr>
        <w:footnoteReference w:id="28"/>
      </w:r>
      <w:r>
        <w:rPr>
          <w:sz w:val="22"/>
          <w:szCs w:val="22"/>
        </w:rPr>
        <w:t xml:space="preserve"> Despite this, the succession crisis was fairly minimal, with Artaxerxes I (Xerxes third son) taking the throne</w:t>
      </w:r>
      <w:r w:rsidR="00D118FF">
        <w:rPr>
          <w:sz w:val="22"/>
          <w:szCs w:val="22"/>
        </w:rPr>
        <w:t>.</w:t>
      </w:r>
      <w:r w:rsidR="00D118FF">
        <w:rPr>
          <w:sz w:val="22"/>
          <w:szCs w:val="22"/>
        </w:rPr>
        <w:br/>
      </w:r>
      <w:r w:rsidR="0024116B">
        <w:rPr>
          <w:sz w:val="22"/>
          <w:szCs w:val="22"/>
        </w:rPr>
        <w:t xml:space="preserve">The long list of </w:t>
      </w:r>
      <w:r w:rsidR="0002731A">
        <w:rPr>
          <w:sz w:val="22"/>
          <w:szCs w:val="22"/>
        </w:rPr>
        <w:t>emperors assassinated included a lot of notable names,</w:t>
      </w:r>
      <w:r>
        <w:rPr>
          <w:sz w:val="22"/>
          <w:szCs w:val="22"/>
        </w:rPr>
        <w:t xml:space="preserve"> Xerxes I, Artaxerxes I</w:t>
      </w:r>
      <w:r w:rsidR="0002731A">
        <w:rPr>
          <w:sz w:val="22"/>
          <w:szCs w:val="22"/>
        </w:rPr>
        <w:t xml:space="preserve"> and </w:t>
      </w:r>
      <w:r>
        <w:rPr>
          <w:sz w:val="22"/>
          <w:szCs w:val="22"/>
        </w:rPr>
        <w:t>Xerxes II</w:t>
      </w:r>
      <w:r w:rsidR="0002731A">
        <w:rPr>
          <w:sz w:val="22"/>
          <w:szCs w:val="22"/>
        </w:rPr>
        <w:t xml:space="preserve"> along with a number of others were all assassinated.</w:t>
      </w:r>
    </w:p>
    <w:p w14:paraId="5F21DB49" w14:textId="27755492" w:rsidR="000905F4" w:rsidRDefault="000905F4" w:rsidP="000905F4">
      <w:pPr>
        <w:rPr>
          <w:sz w:val="22"/>
          <w:szCs w:val="22"/>
        </w:rPr>
      </w:pPr>
      <w:r>
        <w:rPr>
          <w:sz w:val="22"/>
          <w:szCs w:val="22"/>
        </w:rPr>
        <w:t xml:space="preserve">The succession crisis/coup of Darius I (also called “The Great”) was a quick but eventful crisis that was </w:t>
      </w:r>
      <w:r w:rsidR="0004349B">
        <w:rPr>
          <w:sz w:val="22"/>
          <w:szCs w:val="22"/>
        </w:rPr>
        <w:t xml:space="preserve">over </w:t>
      </w:r>
      <w:r w:rsidR="009B5CF1">
        <w:rPr>
          <w:sz w:val="22"/>
          <w:szCs w:val="22"/>
        </w:rPr>
        <w:t>somewhat</w:t>
      </w:r>
      <w:r w:rsidR="0004349B">
        <w:rPr>
          <w:sz w:val="22"/>
          <w:szCs w:val="22"/>
        </w:rPr>
        <w:t xml:space="preserve"> quickly</w:t>
      </w:r>
      <w:r w:rsidR="009B5CF1">
        <w:rPr>
          <w:sz w:val="22"/>
          <w:szCs w:val="22"/>
        </w:rPr>
        <w:t>, but not without a small conflict</w:t>
      </w:r>
      <w:r w:rsidR="0004349B">
        <w:rPr>
          <w:sz w:val="22"/>
          <w:szCs w:val="22"/>
        </w:rPr>
        <w:t>.</w:t>
      </w:r>
      <w:r w:rsidR="002F71BD">
        <w:rPr>
          <w:sz w:val="22"/>
          <w:szCs w:val="22"/>
        </w:rPr>
        <w:t xml:space="preserve"> </w:t>
      </w:r>
      <w:r w:rsidR="00CB4A0F">
        <w:rPr>
          <w:sz w:val="22"/>
          <w:szCs w:val="22"/>
        </w:rPr>
        <w:t xml:space="preserve">Initially it started with the current emperor being accused of being illegitimate, </w:t>
      </w:r>
      <w:r w:rsidR="005C20C8">
        <w:rPr>
          <w:sz w:val="22"/>
          <w:szCs w:val="22"/>
        </w:rPr>
        <w:t>and Darius quickly inserting himself into the position, what is in many ways a very typical crisis of legitimacy.</w:t>
      </w:r>
      <w:r w:rsidR="00960445">
        <w:rPr>
          <w:rStyle w:val="FootnoteReference"/>
          <w:sz w:val="22"/>
          <w:szCs w:val="22"/>
        </w:rPr>
        <w:footnoteReference w:id="29"/>
      </w:r>
      <w:r w:rsidR="005C20C8">
        <w:rPr>
          <w:sz w:val="22"/>
          <w:szCs w:val="22"/>
        </w:rPr>
        <w:t xml:space="preserve"> </w:t>
      </w:r>
      <w:r w:rsidR="00BB28DB">
        <w:rPr>
          <w:sz w:val="22"/>
          <w:szCs w:val="22"/>
        </w:rPr>
        <w:t xml:space="preserve">The exact details are sparse, but it is likely that Darius then fought a short succession war and came out the victor, a course of events which is alluded to on the </w:t>
      </w:r>
      <w:r w:rsidR="00960445" w:rsidRPr="00960445">
        <w:rPr>
          <w:sz w:val="22"/>
          <w:szCs w:val="22"/>
        </w:rPr>
        <w:t>Behistun</w:t>
      </w:r>
      <w:r w:rsidR="00BB28DB">
        <w:rPr>
          <w:sz w:val="22"/>
          <w:szCs w:val="22"/>
        </w:rPr>
        <w:t xml:space="preserve"> inscription.</w:t>
      </w:r>
      <w:r w:rsidR="00BB28DB">
        <w:rPr>
          <w:rStyle w:val="FootnoteReference"/>
          <w:sz w:val="22"/>
          <w:szCs w:val="22"/>
        </w:rPr>
        <w:footnoteReference w:id="30"/>
      </w:r>
      <w:r w:rsidR="00D72713">
        <w:rPr>
          <w:sz w:val="22"/>
          <w:szCs w:val="22"/>
        </w:rPr>
        <w:t xml:space="preserve"> This conflict would mark the typical display of succession crises that the Achaemenid empire would suffer, a short war or crisis that would be over in a year or two, and then be very effectively swept under the rug by the colossal propaganda efforts of the Achaemenid emperors.</w:t>
      </w:r>
    </w:p>
    <w:p w14:paraId="30E65BAF" w14:textId="77777777" w:rsidR="000905F4" w:rsidRDefault="000905F4" w:rsidP="000905F4">
      <w:pPr>
        <w:rPr>
          <w:sz w:val="22"/>
          <w:szCs w:val="22"/>
        </w:rPr>
      </w:pPr>
      <w:r>
        <w:rPr>
          <w:sz w:val="22"/>
          <w:szCs w:val="22"/>
        </w:rPr>
        <w:t xml:space="preserve">The succession crisis after the death of Darius II was one of the largest crises that the empire would see. Cyrus the Younger Claimed the throne that had been given to his brother </w:t>
      </w:r>
      <w:r w:rsidRPr="003630FF">
        <w:rPr>
          <w:sz w:val="22"/>
          <w:szCs w:val="22"/>
        </w:rPr>
        <w:t>Artaxerxes</w:t>
      </w:r>
      <w:r>
        <w:rPr>
          <w:sz w:val="22"/>
          <w:szCs w:val="22"/>
        </w:rPr>
        <w:t xml:space="preserve"> II, and lead a large-scale armed rebellion, with the assistance of a number of Greek mercenaries (among which was the Author Xenophon).</w:t>
      </w:r>
      <w:r>
        <w:rPr>
          <w:rStyle w:val="FootnoteReference"/>
          <w:sz w:val="22"/>
          <w:szCs w:val="22"/>
        </w:rPr>
        <w:footnoteReference w:id="31"/>
      </w:r>
      <w:r>
        <w:rPr>
          <w:sz w:val="22"/>
          <w:szCs w:val="22"/>
        </w:rPr>
        <w:t xml:space="preserve"> This rebellion was ended with the defeat and death of Cyrus the Younger in the battle of Cunuxata (404-401). </w:t>
      </w:r>
    </w:p>
    <w:p w14:paraId="73A165D2" w14:textId="27A59488" w:rsidR="00291F9C" w:rsidRDefault="00291F9C" w:rsidP="000905F4">
      <w:pPr>
        <w:rPr>
          <w:sz w:val="22"/>
          <w:szCs w:val="22"/>
        </w:rPr>
      </w:pPr>
      <w:r>
        <w:rPr>
          <w:sz w:val="22"/>
          <w:szCs w:val="22"/>
        </w:rPr>
        <w:t>There was also another danger to the internal stability of the Achaemenid empire though, r</w:t>
      </w:r>
      <w:r w:rsidR="00A2215B">
        <w:rPr>
          <w:sz w:val="22"/>
          <w:szCs w:val="22"/>
        </w:rPr>
        <w:t>evolt in the provinces</w:t>
      </w:r>
      <w:r w:rsidR="00A2215B" w:rsidRPr="00A2215B">
        <w:rPr>
          <w:sz w:val="22"/>
          <w:szCs w:val="22"/>
        </w:rPr>
        <w:t xml:space="preserve"> </w:t>
      </w:r>
      <w:r>
        <w:rPr>
          <w:sz w:val="22"/>
          <w:szCs w:val="22"/>
        </w:rPr>
        <w:t xml:space="preserve">was (as with all empires), an </w:t>
      </w:r>
      <w:r w:rsidR="00882B4A">
        <w:rPr>
          <w:sz w:val="22"/>
          <w:szCs w:val="22"/>
        </w:rPr>
        <w:t>ever-present</w:t>
      </w:r>
      <w:r>
        <w:rPr>
          <w:sz w:val="22"/>
          <w:szCs w:val="22"/>
        </w:rPr>
        <w:t xml:space="preserve"> concern.</w:t>
      </w:r>
      <w:r w:rsidR="00882B4A">
        <w:rPr>
          <w:sz w:val="22"/>
          <w:szCs w:val="22"/>
        </w:rPr>
        <w:t xml:space="preserve"> While </w:t>
      </w:r>
      <w:r w:rsidR="007D730D">
        <w:rPr>
          <w:sz w:val="22"/>
          <w:szCs w:val="22"/>
        </w:rPr>
        <w:t xml:space="preserve">the Achaemenid empire was broadly quite stable, </w:t>
      </w:r>
      <w:r w:rsidR="00882B4A">
        <w:rPr>
          <w:sz w:val="22"/>
          <w:szCs w:val="22"/>
        </w:rPr>
        <w:t>some of the provinces of the empire</w:t>
      </w:r>
      <w:r w:rsidR="007D730D">
        <w:rPr>
          <w:sz w:val="22"/>
          <w:szCs w:val="22"/>
        </w:rPr>
        <w:t xml:space="preserve"> were more rebellious than others. The two most rebellious regions in the empire, at least by the </w:t>
      </w:r>
      <w:r w:rsidR="00C534F8">
        <w:rPr>
          <w:sz w:val="22"/>
          <w:szCs w:val="22"/>
        </w:rPr>
        <w:t xml:space="preserve">indication of the number of </w:t>
      </w:r>
      <w:r w:rsidR="00C534F8">
        <w:rPr>
          <w:sz w:val="22"/>
          <w:szCs w:val="22"/>
        </w:rPr>
        <w:lastRenderedPageBreak/>
        <w:t xml:space="preserve">revolts that they were involved in, were Egypt and the Greek satrapies. Of those two, Egypt was by far the most </w:t>
      </w:r>
      <w:r w:rsidR="009E5031">
        <w:rPr>
          <w:sz w:val="22"/>
          <w:szCs w:val="22"/>
        </w:rPr>
        <w:t>unstable, directly revolting from the empire a number of times.</w:t>
      </w:r>
    </w:p>
    <w:p w14:paraId="2DE57FF1" w14:textId="5C7520D7" w:rsidR="00D612DD" w:rsidRDefault="00D612DD" w:rsidP="000905F4">
      <w:pPr>
        <w:rPr>
          <w:sz w:val="22"/>
          <w:szCs w:val="22"/>
        </w:rPr>
      </w:pPr>
      <w:r>
        <w:rPr>
          <w:sz w:val="22"/>
          <w:szCs w:val="22"/>
        </w:rPr>
        <w:t xml:space="preserve">The revolts in the Greek satrapies were most typically found in Ionia, and very often they received assistance from </w:t>
      </w:r>
      <w:r w:rsidR="00E633BC">
        <w:rPr>
          <w:sz w:val="22"/>
          <w:szCs w:val="22"/>
        </w:rPr>
        <w:t>the</w:t>
      </w:r>
      <w:r w:rsidR="009F7C97">
        <w:rPr>
          <w:sz w:val="22"/>
          <w:szCs w:val="22"/>
        </w:rPr>
        <w:t xml:space="preserve"> western</w:t>
      </w:r>
      <w:r w:rsidR="00E633BC">
        <w:rPr>
          <w:sz w:val="22"/>
          <w:szCs w:val="22"/>
        </w:rPr>
        <w:t xml:space="preserve"> Greek city states.</w:t>
      </w:r>
      <w:r w:rsidR="00590702">
        <w:rPr>
          <w:sz w:val="22"/>
          <w:szCs w:val="22"/>
        </w:rPr>
        <w:t xml:space="preserve"> Of th</w:t>
      </w:r>
      <w:r w:rsidR="00BF27ED">
        <w:rPr>
          <w:sz w:val="22"/>
          <w:szCs w:val="22"/>
        </w:rPr>
        <w:t>ese revolts,</w:t>
      </w:r>
      <w:r w:rsidR="00590702">
        <w:rPr>
          <w:sz w:val="22"/>
          <w:szCs w:val="22"/>
        </w:rPr>
        <w:t xml:space="preserve"> the </w:t>
      </w:r>
      <w:r w:rsidR="00F8038D">
        <w:rPr>
          <w:sz w:val="22"/>
          <w:szCs w:val="22"/>
        </w:rPr>
        <w:t>best-known</w:t>
      </w:r>
      <w:r w:rsidR="00590702">
        <w:rPr>
          <w:sz w:val="22"/>
          <w:szCs w:val="22"/>
        </w:rPr>
        <w:t xml:space="preserve"> </w:t>
      </w:r>
      <w:r w:rsidR="000579E3">
        <w:rPr>
          <w:sz w:val="22"/>
          <w:szCs w:val="22"/>
        </w:rPr>
        <w:t xml:space="preserve">revolt was definitely the </w:t>
      </w:r>
      <w:r w:rsidR="00B14532">
        <w:rPr>
          <w:sz w:val="22"/>
          <w:szCs w:val="22"/>
        </w:rPr>
        <w:t xml:space="preserve">Ionian revolt that </w:t>
      </w:r>
      <w:r w:rsidR="007F1265">
        <w:rPr>
          <w:sz w:val="22"/>
          <w:szCs w:val="22"/>
        </w:rPr>
        <w:t xml:space="preserve">resulted in the burning of </w:t>
      </w:r>
      <w:r w:rsidR="006D7662">
        <w:rPr>
          <w:sz w:val="22"/>
          <w:szCs w:val="22"/>
        </w:rPr>
        <w:t>Sardis</w:t>
      </w:r>
      <w:r w:rsidR="007F1265">
        <w:rPr>
          <w:sz w:val="22"/>
          <w:szCs w:val="22"/>
        </w:rPr>
        <w:t xml:space="preserve">, and caused the first </w:t>
      </w:r>
      <w:r w:rsidR="003C38BD">
        <w:rPr>
          <w:sz w:val="22"/>
          <w:szCs w:val="22"/>
        </w:rPr>
        <w:t xml:space="preserve">major </w:t>
      </w:r>
      <w:r w:rsidR="007F1265">
        <w:rPr>
          <w:sz w:val="22"/>
          <w:szCs w:val="22"/>
        </w:rPr>
        <w:t>invasion of the Persian wars, that ended with the Persian defeat in the battle of Marathon.</w:t>
      </w:r>
      <w:r w:rsidR="008D524C">
        <w:rPr>
          <w:rStyle w:val="FootnoteReference"/>
          <w:sz w:val="22"/>
          <w:szCs w:val="22"/>
        </w:rPr>
        <w:footnoteReference w:id="32"/>
      </w:r>
    </w:p>
    <w:p w14:paraId="0FF32EE9" w14:textId="4A826B55" w:rsidR="009F7C97" w:rsidRPr="00C25C9D" w:rsidRDefault="009F7C97" w:rsidP="000905F4">
      <w:pPr>
        <w:rPr>
          <w:sz w:val="22"/>
          <w:szCs w:val="22"/>
        </w:rPr>
      </w:pPr>
      <w:r>
        <w:rPr>
          <w:sz w:val="22"/>
          <w:szCs w:val="22"/>
        </w:rPr>
        <w:t>The revolts in Egypt took a slightly different form, they lacked the likelihood of support that the Ionian Greek city states could call on from the western Greek city states</w:t>
      </w:r>
      <w:r w:rsidR="00DC0019">
        <w:rPr>
          <w:sz w:val="22"/>
          <w:szCs w:val="22"/>
        </w:rPr>
        <w:t xml:space="preserve">, </w:t>
      </w:r>
      <w:r w:rsidR="000F5221">
        <w:rPr>
          <w:sz w:val="22"/>
          <w:szCs w:val="22"/>
        </w:rPr>
        <w:t>though sometimes the</w:t>
      </w:r>
      <w:r w:rsidR="00DC0019">
        <w:rPr>
          <w:sz w:val="22"/>
          <w:szCs w:val="22"/>
        </w:rPr>
        <w:t xml:space="preserve"> Egyptians</w:t>
      </w:r>
      <w:r w:rsidR="000F5221">
        <w:rPr>
          <w:sz w:val="22"/>
          <w:szCs w:val="22"/>
        </w:rPr>
        <w:t xml:space="preserve"> would get support from the Persian</w:t>
      </w:r>
      <w:r w:rsidR="00DC0019">
        <w:rPr>
          <w:sz w:val="22"/>
          <w:szCs w:val="22"/>
        </w:rPr>
        <w:t>’</w:t>
      </w:r>
      <w:r w:rsidR="000F5221">
        <w:rPr>
          <w:sz w:val="22"/>
          <w:szCs w:val="22"/>
        </w:rPr>
        <w:t>s enemies, such as the revolt</w:t>
      </w:r>
      <w:r w:rsidR="00DC0019">
        <w:rPr>
          <w:sz w:val="22"/>
          <w:szCs w:val="22"/>
        </w:rPr>
        <w:t xml:space="preserve"> circa. 460</w:t>
      </w:r>
      <w:r w:rsidR="000F5221">
        <w:rPr>
          <w:sz w:val="22"/>
          <w:szCs w:val="22"/>
        </w:rPr>
        <w:t xml:space="preserve"> during the time of the Delian League</w:t>
      </w:r>
      <w:r w:rsidR="00D77DC7">
        <w:rPr>
          <w:sz w:val="22"/>
          <w:szCs w:val="22"/>
        </w:rPr>
        <w:t>.</w:t>
      </w:r>
      <w:r w:rsidR="007379AE">
        <w:rPr>
          <w:sz w:val="22"/>
          <w:szCs w:val="22"/>
        </w:rPr>
        <w:t xml:space="preserve"> </w:t>
      </w:r>
      <w:r w:rsidR="0038688D">
        <w:rPr>
          <w:sz w:val="22"/>
          <w:szCs w:val="22"/>
        </w:rPr>
        <w:t>In that revolt, the Delian League (lead by the Athenians) decided to assist the Egyptians in their war, as it also aligned with the Delian League’s strategic aims (fighting the Achaemenid empire).</w:t>
      </w:r>
      <w:r w:rsidR="00EE661C">
        <w:rPr>
          <w:rStyle w:val="FootnoteReference"/>
          <w:sz w:val="22"/>
          <w:szCs w:val="22"/>
        </w:rPr>
        <w:footnoteReference w:id="33"/>
      </w:r>
      <w:r w:rsidR="00FA6339">
        <w:rPr>
          <w:sz w:val="22"/>
          <w:szCs w:val="22"/>
        </w:rPr>
        <w:t xml:space="preserve"> That war was lost, and marked one of the turning points of the Delian league’s war with the Persian Empire</w:t>
      </w:r>
      <w:r w:rsidR="00C9206D">
        <w:rPr>
          <w:sz w:val="22"/>
          <w:szCs w:val="22"/>
        </w:rPr>
        <w:t>, but did not mark the end of the Egyptian</w:t>
      </w:r>
      <w:r w:rsidR="005E61AA">
        <w:rPr>
          <w:sz w:val="22"/>
          <w:szCs w:val="22"/>
        </w:rPr>
        <w:t xml:space="preserve"> unrest, with several more revolts occurring over the course of the next couple of centuries.</w:t>
      </w:r>
      <w:r w:rsidR="00692BE6">
        <w:rPr>
          <w:rStyle w:val="FootnoteReference"/>
          <w:sz w:val="22"/>
          <w:szCs w:val="22"/>
        </w:rPr>
        <w:footnoteReference w:id="34"/>
      </w:r>
    </w:p>
    <w:p w14:paraId="0B2C665A" w14:textId="10580C16" w:rsidR="00A546B0" w:rsidRPr="00174687" w:rsidRDefault="00A546B0">
      <w:pPr>
        <w:rPr>
          <w:sz w:val="22"/>
          <w:szCs w:val="22"/>
        </w:rPr>
      </w:pPr>
    </w:p>
    <w:p w14:paraId="63A6D788" w14:textId="6A0A93B5" w:rsidR="004F7140" w:rsidRPr="004F7140" w:rsidRDefault="004F7140">
      <w:r w:rsidRPr="004F7140">
        <w:t>Conclusions and Final Notes</w:t>
      </w:r>
    </w:p>
    <w:p w14:paraId="26273BEE" w14:textId="3B03AE38" w:rsidR="00B063A8" w:rsidRDefault="004F7140">
      <w:pPr>
        <w:rPr>
          <w:sz w:val="22"/>
          <w:szCs w:val="22"/>
        </w:rPr>
      </w:pPr>
      <w:r>
        <w:rPr>
          <w:sz w:val="22"/>
          <w:szCs w:val="22"/>
        </w:rPr>
        <w:t>The</w:t>
      </w:r>
      <w:r w:rsidR="009E4808">
        <w:rPr>
          <w:sz w:val="22"/>
          <w:szCs w:val="22"/>
        </w:rPr>
        <w:t xml:space="preserve"> Achaemenid</w:t>
      </w:r>
      <w:r w:rsidR="005D1992">
        <w:rPr>
          <w:sz w:val="22"/>
          <w:szCs w:val="22"/>
        </w:rPr>
        <w:t xml:space="preserve"> Persian Empire has developed a number of innovative systems to aid in the running of their empire</w:t>
      </w:r>
      <w:r w:rsidR="009246BF">
        <w:rPr>
          <w:sz w:val="22"/>
          <w:szCs w:val="22"/>
        </w:rPr>
        <w:t xml:space="preserve">, </w:t>
      </w:r>
      <w:r w:rsidR="008F5930">
        <w:rPr>
          <w:sz w:val="22"/>
          <w:szCs w:val="22"/>
        </w:rPr>
        <w:t>these were innovative</w:t>
      </w:r>
      <w:r w:rsidR="000E6499">
        <w:rPr>
          <w:sz w:val="22"/>
          <w:szCs w:val="22"/>
        </w:rPr>
        <w:t xml:space="preserve"> </w:t>
      </w:r>
      <w:r w:rsidR="00290071">
        <w:rPr>
          <w:sz w:val="22"/>
          <w:szCs w:val="22"/>
        </w:rPr>
        <w:t>and, in many cases,</w:t>
      </w:r>
      <w:r w:rsidR="000E6499">
        <w:rPr>
          <w:sz w:val="22"/>
          <w:szCs w:val="22"/>
        </w:rPr>
        <w:t xml:space="preserve"> unique systems and approaches which were in many cases not seen anywhere else in the ancient world.</w:t>
      </w:r>
    </w:p>
    <w:p w14:paraId="7451F0FE" w14:textId="213BBF9C" w:rsidR="00F435B3" w:rsidRDefault="00F435B3">
      <w:pPr>
        <w:rPr>
          <w:sz w:val="22"/>
          <w:szCs w:val="22"/>
        </w:rPr>
      </w:pPr>
      <w:r>
        <w:rPr>
          <w:sz w:val="22"/>
          <w:szCs w:val="22"/>
        </w:rPr>
        <w:t>Almost all the decisions in the administration of the empire are touched in some way by the Achaemenid Persian “Multicultural Ideal”</w:t>
      </w:r>
      <w:r w:rsidR="00837082">
        <w:rPr>
          <w:sz w:val="22"/>
          <w:szCs w:val="22"/>
        </w:rPr>
        <w:t>, from their choices in the management (or lack thereof) of the satrapies, to the construction and placement of roads.</w:t>
      </w:r>
      <w:r w:rsidR="0044002A">
        <w:rPr>
          <w:sz w:val="22"/>
          <w:szCs w:val="22"/>
        </w:rPr>
        <w:t xml:space="preserve"> </w:t>
      </w:r>
      <w:r w:rsidR="000C1143">
        <w:rPr>
          <w:sz w:val="22"/>
          <w:szCs w:val="22"/>
        </w:rPr>
        <w:t xml:space="preserve">Despite that it is never black and white, and the exact policy greatly varies depending on the </w:t>
      </w:r>
      <w:r w:rsidR="00D129B3">
        <w:rPr>
          <w:sz w:val="22"/>
          <w:szCs w:val="22"/>
        </w:rPr>
        <w:t>specific emperor, w</w:t>
      </w:r>
      <w:r w:rsidR="00BD1B92">
        <w:rPr>
          <w:sz w:val="22"/>
          <w:szCs w:val="22"/>
        </w:rPr>
        <w:t>ith some supporting the</w:t>
      </w:r>
      <w:r w:rsidR="001C1B2E">
        <w:rPr>
          <w:sz w:val="22"/>
          <w:szCs w:val="22"/>
        </w:rPr>
        <w:t xml:space="preserve"> idea of multiculturalism and others opposing it.</w:t>
      </w:r>
      <w:r w:rsidR="00547D07">
        <w:rPr>
          <w:sz w:val="22"/>
          <w:szCs w:val="22"/>
        </w:rPr>
        <w:t xml:space="preserve"> </w:t>
      </w:r>
    </w:p>
    <w:p w14:paraId="0643010B" w14:textId="3F8E1690" w:rsidR="0014142A" w:rsidRDefault="0044002A">
      <w:pPr>
        <w:rPr>
          <w:sz w:val="22"/>
          <w:szCs w:val="22"/>
        </w:rPr>
      </w:pPr>
      <w:r>
        <w:rPr>
          <w:sz w:val="22"/>
          <w:szCs w:val="22"/>
        </w:rPr>
        <w:t xml:space="preserve">The </w:t>
      </w:r>
      <w:r w:rsidR="00C466B9">
        <w:rPr>
          <w:sz w:val="22"/>
          <w:szCs w:val="22"/>
        </w:rPr>
        <w:t xml:space="preserve">Achaemenid’s </w:t>
      </w:r>
      <w:r>
        <w:rPr>
          <w:sz w:val="22"/>
          <w:szCs w:val="22"/>
        </w:rPr>
        <w:t>administrations greatest issues (at least until Alexander the Great’s Invasion and</w:t>
      </w:r>
      <w:r w:rsidR="00C570D6">
        <w:rPr>
          <w:sz w:val="22"/>
          <w:szCs w:val="22"/>
        </w:rPr>
        <w:t xml:space="preserve"> the final</w:t>
      </w:r>
      <w:r>
        <w:rPr>
          <w:sz w:val="22"/>
          <w:szCs w:val="22"/>
        </w:rPr>
        <w:t xml:space="preserve"> destruction of the empire) was </w:t>
      </w:r>
      <w:r w:rsidR="009A32FA">
        <w:rPr>
          <w:sz w:val="22"/>
          <w:szCs w:val="22"/>
        </w:rPr>
        <w:t xml:space="preserve">its internal stability, particularly in regard to the </w:t>
      </w:r>
      <w:r w:rsidR="0014450E">
        <w:rPr>
          <w:sz w:val="22"/>
          <w:szCs w:val="22"/>
        </w:rPr>
        <w:t xml:space="preserve">succession crises and </w:t>
      </w:r>
      <w:r w:rsidR="00B17A1A">
        <w:rPr>
          <w:sz w:val="22"/>
          <w:szCs w:val="22"/>
        </w:rPr>
        <w:t>assassination of a number of kings.</w:t>
      </w:r>
      <w:r w:rsidR="009A32FA">
        <w:rPr>
          <w:sz w:val="22"/>
          <w:szCs w:val="22"/>
        </w:rPr>
        <w:t xml:space="preserve"> Though it caused surprisingly few full civil wars, and those civil wars were generally of relatively low in </w:t>
      </w:r>
      <w:r w:rsidR="00B17A1A">
        <w:rPr>
          <w:sz w:val="22"/>
          <w:szCs w:val="22"/>
        </w:rPr>
        <w:t>damage to the overall empire, with the Achaemenid empire managing to weather the storms off internal conflict entirely intact.</w:t>
      </w:r>
      <w:r w:rsidR="0014142A">
        <w:rPr>
          <w:sz w:val="22"/>
          <w:szCs w:val="22"/>
        </w:rPr>
        <w:br/>
        <w:t>At the time of its fall to Alexander, the Achaemenid Persian empire was, in most aspects just as strong</w:t>
      </w:r>
      <w:r w:rsidR="00000071">
        <w:rPr>
          <w:sz w:val="22"/>
          <w:szCs w:val="22"/>
        </w:rPr>
        <w:t xml:space="preserve"> as it had been centuries earlier in its wars with the Greek city states.</w:t>
      </w:r>
      <w:r w:rsidR="00710093">
        <w:rPr>
          <w:rStyle w:val="FootnoteReference"/>
          <w:sz w:val="22"/>
          <w:szCs w:val="22"/>
        </w:rPr>
        <w:footnoteReference w:id="35"/>
      </w:r>
    </w:p>
    <w:p w14:paraId="20DA2B0D" w14:textId="77777777" w:rsidR="00C25C9D" w:rsidRDefault="00C25C9D"/>
    <w:p w14:paraId="10FB25D6" w14:textId="233631F4" w:rsidR="00C25C9D" w:rsidRDefault="00C25C9D"/>
    <w:p w14:paraId="1D311740" w14:textId="51370C38" w:rsidR="00FE1CD5" w:rsidRDefault="00FE1CD5">
      <w:r>
        <w:lastRenderedPageBreak/>
        <w:t>Bibliography:</w:t>
      </w:r>
    </w:p>
    <w:p w14:paraId="77D9CECD" w14:textId="06881614" w:rsidR="00FE1CD5" w:rsidRPr="007F724E" w:rsidRDefault="00FE1CD5">
      <w:pPr>
        <w:rPr>
          <w:sz w:val="22"/>
          <w:szCs w:val="22"/>
        </w:rPr>
      </w:pPr>
      <w:r w:rsidRPr="007F724E">
        <w:rPr>
          <w:sz w:val="22"/>
          <w:szCs w:val="22"/>
        </w:rPr>
        <w:t>Mark, Joshua J.. "Behistun Inscription." World History Encyclopedia. World History Encyclopedia, 28 Nov 2019, https://www.worldhistory.org/Behistun_Inscription/. Web. 28 Apr 2025.</w:t>
      </w:r>
    </w:p>
    <w:p w14:paraId="6A260907" w14:textId="279825E6" w:rsidR="00BB1C7A" w:rsidRPr="007F724E" w:rsidRDefault="00BB1C7A" w:rsidP="00BB1C7A">
      <w:pPr>
        <w:rPr>
          <w:sz w:val="22"/>
          <w:szCs w:val="22"/>
        </w:rPr>
      </w:pPr>
      <w:r w:rsidRPr="007F724E">
        <w:rPr>
          <w:sz w:val="22"/>
          <w:szCs w:val="22"/>
        </w:rPr>
        <w:t>Tolman, Herbert Cushing, b.. “A guide to the Old Persian inscriptions.” New York, Cincinnati [etc.] American book company, 1893</w:t>
      </w:r>
      <w:r w:rsidR="00086A1D" w:rsidRPr="007F724E">
        <w:rPr>
          <w:sz w:val="22"/>
          <w:szCs w:val="22"/>
        </w:rPr>
        <w:t>.</w:t>
      </w:r>
      <w:r w:rsidRPr="007F724E">
        <w:rPr>
          <w:sz w:val="22"/>
          <w:szCs w:val="22"/>
        </w:rPr>
        <w:t xml:space="preserve"> </w:t>
      </w:r>
    </w:p>
    <w:p w14:paraId="408809F4" w14:textId="5C3358C5" w:rsidR="00086A1D" w:rsidRPr="007F724E" w:rsidRDefault="003D5B5F" w:rsidP="003D5B5F">
      <w:pPr>
        <w:rPr>
          <w:sz w:val="22"/>
          <w:szCs w:val="22"/>
        </w:rPr>
      </w:pPr>
      <w:r w:rsidRPr="007F724E">
        <w:rPr>
          <w:sz w:val="22"/>
          <w:szCs w:val="22"/>
        </w:rPr>
        <w:t xml:space="preserve">Herodotus. “Herodotus : the Histories.” </w:t>
      </w:r>
      <w:r w:rsidR="00A93373" w:rsidRPr="007F724E">
        <w:rPr>
          <w:sz w:val="22"/>
          <w:szCs w:val="22"/>
        </w:rPr>
        <w:t>Harvard University Press. 1920.</w:t>
      </w:r>
    </w:p>
    <w:p w14:paraId="51955496" w14:textId="77777777" w:rsidR="007F724E" w:rsidRPr="007F724E" w:rsidRDefault="007F724E" w:rsidP="007F724E">
      <w:pPr>
        <w:rPr>
          <w:sz w:val="22"/>
          <w:szCs w:val="22"/>
        </w:rPr>
      </w:pPr>
      <w:bookmarkStart w:id="2" w:name="_Hlk196823284"/>
      <w:r w:rsidRPr="007F724E">
        <w:rPr>
          <w:sz w:val="22"/>
          <w:szCs w:val="22"/>
        </w:rPr>
        <w:t>Colburn, Henry P.</w:t>
      </w:r>
      <w:bookmarkEnd w:id="2"/>
      <w:r w:rsidRPr="007F724E">
        <w:rPr>
          <w:sz w:val="22"/>
          <w:szCs w:val="22"/>
        </w:rPr>
        <w:t xml:space="preserve"> “Connectivity and Communication in the Achaemenid Empire.” </w:t>
      </w:r>
      <w:r w:rsidRPr="007F724E">
        <w:rPr>
          <w:i/>
          <w:iCs/>
          <w:sz w:val="22"/>
          <w:szCs w:val="22"/>
        </w:rPr>
        <w:t>Journal of the Economic and Social History of the Orient</w:t>
      </w:r>
      <w:r w:rsidRPr="007F724E">
        <w:rPr>
          <w:sz w:val="22"/>
          <w:szCs w:val="22"/>
        </w:rPr>
        <w:t xml:space="preserve">, vol. 56, no. 1, 2013, pp. 29–52. </w:t>
      </w:r>
      <w:r w:rsidRPr="007F724E">
        <w:rPr>
          <w:i/>
          <w:iCs/>
          <w:sz w:val="22"/>
          <w:szCs w:val="22"/>
        </w:rPr>
        <w:t>JSTOR</w:t>
      </w:r>
      <w:r w:rsidRPr="007F724E">
        <w:rPr>
          <w:sz w:val="22"/>
          <w:szCs w:val="22"/>
        </w:rPr>
        <w:t>, http://www.jstor.org/stable/43303512. Accessed 29 Apr. 2025.</w:t>
      </w:r>
    </w:p>
    <w:p w14:paraId="6087E5BF" w14:textId="77777777" w:rsidR="00083A47" w:rsidRPr="00083A47" w:rsidRDefault="00083A47" w:rsidP="00083A47">
      <w:pPr>
        <w:rPr>
          <w:sz w:val="22"/>
          <w:szCs w:val="22"/>
        </w:rPr>
      </w:pPr>
      <w:r w:rsidRPr="00083A47">
        <w:rPr>
          <w:sz w:val="22"/>
          <w:szCs w:val="22"/>
        </w:rPr>
        <w:t xml:space="preserve">Altaweel, Mark, and Andrea Squitieri. “The Development of Universal Governments.” </w:t>
      </w:r>
      <w:r w:rsidRPr="00083A47">
        <w:rPr>
          <w:i/>
          <w:iCs/>
          <w:sz w:val="22"/>
          <w:szCs w:val="22"/>
        </w:rPr>
        <w:t>Revolutionizing a World: From Small States to Universalism in the Pre-Islamic Near East</w:t>
      </w:r>
      <w:r w:rsidRPr="00083A47">
        <w:rPr>
          <w:sz w:val="22"/>
          <w:szCs w:val="22"/>
        </w:rPr>
        <w:t xml:space="preserve">, UCL Press, 2018, pp. 199–230. </w:t>
      </w:r>
      <w:r w:rsidRPr="00083A47">
        <w:rPr>
          <w:i/>
          <w:iCs/>
          <w:sz w:val="22"/>
          <w:szCs w:val="22"/>
        </w:rPr>
        <w:t>JSTOR</w:t>
      </w:r>
      <w:r w:rsidRPr="00083A47">
        <w:rPr>
          <w:sz w:val="22"/>
          <w:szCs w:val="22"/>
        </w:rPr>
        <w:t>, https://doi.org/10.2307/j.ctt21c4td4.12. Accessed 29 Apr. 2025.</w:t>
      </w:r>
    </w:p>
    <w:p w14:paraId="6F8CD84F" w14:textId="7EE10CBD" w:rsidR="003A4970" w:rsidRDefault="00395D3F" w:rsidP="003D5B5F">
      <w:pPr>
        <w:rPr>
          <w:sz w:val="22"/>
          <w:szCs w:val="22"/>
        </w:rPr>
      </w:pPr>
      <w:r>
        <w:rPr>
          <w:sz w:val="22"/>
          <w:szCs w:val="22"/>
        </w:rPr>
        <w:t>Institute for the Stud</w:t>
      </w:r>
      <w:r w:rsidR="00B96E54">
        <w:rPr>
          <w:sz w:val="22"/>
          <w:szCs w:val="22"/>
        </w:rPr>
        <w:t>y</w:t>
      </w:r>
      <w:r>
        <w:rPr>
          <w:sz w:val="22"/>
          <w:szCs w:val="22"/>
        </w:rPr>
        <w:t xml:space="preserve"> of Ancient Cultures. “</w:t>
      </w:r>
      <w:r w:rsidRPr="00395D3F">
        <w:rPr>
          <w:sz w:val="22"/>
          <w:szCs w:val="22"/>
        </w:rPr>
        <w:t>The Apadana</w:t>
      </w:r>
      <w:r>
        <w:rPr>
          <w:sz w:val="22"/>
          <w:szCs w:val="22"/>
        </w:rPr>
        <w:t xml:space="preserve">.” </w:t>
      </w:r>
      <w:r w:rsidR="00224777">
        <w:rPr>
          <w:sz w:val="22"/>
          <w:szCs w:val="22"/>
        </w:rPr>
        <w:t>Accessed 29/04/2025</w:t>
      </w:r>
      <w:r w:rsidR="00FB544A">
        <w:rPr>
          <w:sz w:val="22"/>
          <w:szCs w:val="22"/>
        </w:rPr>
        <w:t>,</w:t>
      </w:r>
      <w:r w:rsidR="00224777">
        <w:rPr>
          <w:sz w:val="22"/>
          <w:szCs w:val="22"/>
        </w:rPr>
        <w:t xml:space="preserve"> </w:t>
      </w:r>
      <w:hyperlink r:id="rId8" w:history="1">
        <w:r w:rsidR="00FB544A" w:rsidRPr="00677D8B">
          <w:rPr>
            <w:rStyle w:val="Hyperlink"/>
            <w:sz w:val="22"/>
            <w:szCs w:val="22"/>
          </w:rPr>
          <w:t>https://isac.uchicago.edu/collections/photographic-archives/persepolis/apadana</w:t>
        </w:r>
      </w:hyperlink>
    </w:p>
    <w:p w14:paraId="21D123F2" w14:textId="2B533A78" w:rsidR="00FB544A" w:rsidRDefault="00FB544A" w:rsidP="003D5B5F">
      <w:pPr>
        <w:rPr>
          <w:sz w:val="22"/>
          <w:szCs w:val="22"/>
        </w:rPr>
      </w:pPr>
      <w:r>
        <w:rPr>
          <w:sz w:val="22"/>
          <w:szCs w:val="22"/>
        </w:rPr>
        <w:t>Perseus Project. “</w:t>
      </w:r>
      <w:r w:rsidRPr="00FB544A">
        <w:rPr>
          <w:sz w:val="22"/>
          <w:szCs w:val="22"/>
        </w:rPr>
        <w:t>Histories, Herodotus with an English translation</w:t>
      </w:r>
      <w:r>
        <w:rPr>
          <w:sz w:val="22"/>
          <w:szCs w:val="22"/>
        </w:rPr>
        <w:t xml:space="preserve">.” Accessed 29/04/2025, </w:t>
      </w:r>
      <w:hyperlink r:id="rId9" w:history="1">
        <w:r w:rsidRPr="00677D8B">
          <w:rPr>
            <w:rStyle w:val="Hyperlink"/>
            <w:sz w:val="22"/>
            <w:szCs w:val="22"/>
          </w:rPr>
          <w:t>https://www.perseus.tufts.edu/hopper/text?doc=urn:cts:greekLit:tlg0016.tlg001.perseus-eng1:1</w:t>
        </w:r>
      </w:hyperlink>
    </w:p>
    <w:p w14:paraId="3067F12A" w14:textId="207396A4" w:rsidR="001B2494" w:rsidRDefault="00B96E54" w:rsidP="003D5B5F">
      <w:pPr>
        <w:rPr>
          <w:sz w:val="22"/>
          <w:szCs w:val="22"/>
        </w:rPr>
      </w:pPr>
      <w:r>
        <w:rPr>
          <w:sz w:val="22"/>
          <w:szCs w:val="22"/>
        </w:rPr>
        <w:t>Institute for the Study of Ancient Cultures, “</w:t>
      </w:r>
      <w:r w:rsidRPr="00B96E54">
        <w:rPr>
          <w:sz w:val="22"/>
          <w:szCs w:val="22"/>
        </w:rPr>
        <w:t>The Gate of Xerxes</w:t>
      </w:r>
      <w:r>
        <w:rPr>
          <w:sz w:val="22"/>
          <w:szCs w:val="22"/>
        </w:rPr>
        <w:t>.” Accessed 30/04/2025</w:t>
      </w:r>
      <w:r w:rsidR="001B2494">
        <w:rPr>
          <w:sz w:val="22"/>
          <w:szCs w:val="22"/>
        </w:rPr>
        <w:t xml:space="preserve">, </w:t>
      </w:r>
      <w:hyperlink r:id="rId10" w:history="1">
        <w:r w:rsidR="001B2494" w:rsidRPr="00677D8B">
          <w:rPr>
            <w:rStyle w:val="Hyperlink"/>
            <w:sz w:val="22"/>
            <w:szCs w:val="22"/>
          </w:rPr>
          <w:t>https://isac.uchicago.edu/collections/photographic-archives/persepolis/gate-xerxes</w:t>
        </w:r>
      </w:hyperlink>
    </w:p>
    <w:p w14:paraId="22465BF1" w14:textId="77777777" w:rsidR="003A236A" w:rsidRPr="003A236A" w:rsidRDefault="003A236A" w:rsidP="003A236A">
      <w:pPr>
        <w:rPr>
          <w:sz w:val="22"/>
          <w:szCs w:val="22"/>
        </w:rPr>
      </w:pPr>
      <w:r w:rsidRPr="003A236A">
        <w:rPr>
          <w:sz w:val="22"/>
          <w:szCs w:val="22"/>
        </w:rPr>
        <w:t xml:space="preserve">MUNSON, ROSARIA VlGNOLO. “Who Are Herodotus’ Persians?” </w:t>
      </w:r>
      <w:r w:rsidRPr="003A236A">
        <w:rPr>
          <w:i/>
          <w:iCs/>
          <w:sz w:val="22"/>
          <w:szCs w:val="22"/>
        </w:rPr>
        <w:t>The Classical World</w:t>
      </w:r>
      <w:r w:rsidRPr="003A236A">
        <w:rPr>
          <w:sz w:val="22"/>
          <w:szCs w:val="22"/>
        </w:rPr>
        <w:t xml:space="preserve">, vol. 102, no. 4, 2009, pp. 457–70. </w:t>
      </w:r>
      <w:r w:rsidRPr="003A236A">
        <w:rPr>
          <w:i/>
          <w:iCs/>
          <w:sz w:val="22"/>
          <w:szCs w:val="22"/>
        </w:rPr>
        <w:t>JSTOR</w:t>
      </w:r>
      <w:r w:rsidRPr="003A236A">
        <w:rPr>
          <w:sz w:val="22"/>
          <w:szCs w:val="22"/>
        </w:rPr>
        <w:t>, http://www.jstor.org/stable/40599878. Accessed 1 May 2025.</w:t>
      </w:r>
    </w:p>
    <w:p w14:paraId="584D34DD" w14:textId="58E53330" w:rsidR="003A236A" w:rsidRDefault="00A501C6" w:rsidP="00A501C6">
      <w:pPr>
        <w:rPr>
          <w:sz w:val="22"/>
          <w:szCs w:val="22"/>
        </w:rPr>
      </w:pPr>
      <w:r>
        <w:rPr>
          <w:sz w:val="22"/>
          <w:szCs w:val="22"/>
        </w:rPr>
        <w:t>Briant, P. “</w:t>
      </w:r>
      <w:r w:rsidRPr="00A501C6">
        <w:rPr>
          <w:sz w:val="22"/>
          <w:szCs w:val="22"/>
        </w:rPr>
        <w:t>From Cyrus to Alexander</w:t>
      </w:r>
      <w:r>
        <w:rPr>
          <w:sz w:val="22"/>
          <w:szCs w:val="22"/>
        </w:rPr>
        <w:t xml:space="preserve"> </w:t>
      </w:r>
      <w:r w:rsidRPr="00A501C6">
        <w:rPr>
          <w:sz w:val="22"/>
          <w:szCs w:val="22"/>
        </w:rPr>
        <w:t>A History of the Persian Empire</w:t>
      </w:r>
      <w:r>
        <w:rPr>
          <w:sz w:val="22"/>
          <w:szCs w:val="22"/>
        </w:rPr>
        <w:t xml:space="preserve">.” </w:t>
      </w:r>
      <w:r w:rsidRPr="00A501C6">
        <w:rPr>
          <w:sz w:val="22"/>
          <w:szCs w:val="22"/>
        </w:rPr>
        <w:t>Eisenbrauns</w:t>
      </w:r>
      <w:r>
        <w:rPr>
          <w:sz w:val="22"/>
          <w:szCs w:val="22"/>
        </w:rPr>
        <w:t xml:space="preserve">, </w:t>
      </w:r>
      <w:r w:rsidRPr="00A501C6">
        <w:rPr>
          <w:sz w:val="22"/>
          <w:szCs w:val="22"/>
        </w:rPr>
        <w:t>2002</w:t>
      </w:r>
    </w:p>
    <w:p w14:paraId="4E792774" w14:textId="77777777" w:rsidR="004D6176" w:rsidRPr="004D6176" w:rsidRDefault="004D6176" w:rsidP="004D6176">
      <w:pPr>
        <w:rPr>
          <w:sz w:val="22"/>
          <w:szCs w:val="22"/>
        </w:rPr>
      </w:pPr>
      <w:r w:rsidRPr="004D6176">
        <w:rPr>
          <w:sz w:val="22"/>
          <w:szCs w:val="22"/>
        </w:rPr>
        <w:t xml:space="preserve">Kuhrt, Amélie. “The Achaemenid Concept of Kingship.” </w:t>
      </w:r>
      <w:r w:rsidRPr="004D6176">
        <w:rPr>
          <w:i/>
          <w:iCs/>
          <w:sz w:val="22"/>
          <w:szCs w:val="22"/>
        </w:rPr>
        <w:t>Iran</w:t>
      </w:r>
      <w:r w:rsidRPr="004D6176">
        <w:rPr>
          <w:sz w:val="22"/>
          <w:szCs w:val="22"/>
        </w:rPr>
        <w:t xml:space="preserve">, vol. 22, 1984, pp. 156–60. </w:t>
      </w:r>
      <w:r w:rsidRPr="004D6176">
        <w:rPr>
          <w:i/>
          <w:iCs/>
          <w:sz w:val="22"/>
          <w:szCs w:val="22"/>
        </w:rPr>
        <w:t>JSTOR</w:t>
      </w:r>
      <w:r w:rsidRPr="004D6176">
        <w:rPr>
          <w:sz w:val="22"/>
          <w:szCs w:val="22"/>
        </w:rPr>
        <w:t>, https://doi.org/10.2307/4299742. Accessed 4 May 2025.</w:t>
      </w:r>
    </w:p>
    <w:p w14:paraId="7B47BED9" w14:textId="77777777" w:rsidR="0038688D" w:rsidRPr="0038688D" w:rsidRDefault="0038688D" w:rsidP="0038688D">
      <w:pPr>
        <w:rPr>
          <w:sz w:val="22"/>
          <w:szCs w:val="22"/>
        </w:rPr>
      </w:pPr>
      <w:r w:rsidRPr="0038688D">
        <w:rPr>
          <w:sz w:val="22"/>
          <w:szCs w:val="22"/>
        </w:rPr>
        <w:t xml:space="preserve">Libourel, Jan M. “The Athenian Disaster in Egypt.” </w:t>
      </w:r>
      <w:r w:rsidRPr="0038688D">
        <w:rPr>
          <w:i/>
          <w:iCs/>
          <w:sz w:val="22"/>
          <w:szCs w:val="22"/>
        </w:rPr>
        <w:t>The American Journal of Philology</w:t>
      </w:r>
      <w:r w:rsidRPr="0038688D">
        <w:rPr>
          <w:sz w:val="22"/>
          <w:szCs w:val="22"/>
        </w:rPr>
        <w:t xml:space="preserve">, vol. 92, no. 4, 1971, pp. 605–15. </w:t>
      </w:r>
      <w:r w:rsidRPr="0038688D">
        <w:rPr>
          <w:i/>
          <w:iCs/>
          <w:sz w:val="22"/>
          <w:szCs w:val="22"/>
        </w:rPr>
        <w:t>JSTOR</w:t>
      </w:r>
      <w:r w:rsidRPr="0038688D">
        <w:rPr>
          <w:sz w:val="22"/>
          <w:szCs w:val="22"/>
        </w:rPr>
        <w:t>, https://doi.org/10.2307/292666. Accessed 4 May 2025.</w:t>
      </w:r>
    </w:p>
    <w:p w14:paraId="2C3DB9A3" w14:textId="77777777" w:rsidR="004D6176" w:rsidRPr="007F724E" w:rsidRDefault="004D6176" w:rsidP="00A501C6">
      <w:pPr>
        <w:rPr>
          <w:sz w:val="22"/>
          <w:szCs w:val="22"/>
        </w:rPr>
      </w:pPr>
    </w:p>
    <w:sectPr w:rsidR="004D6176" w:rsidRPr="007F72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D972C3" w14:textId="77777777" w:rsidR="005D61ED" w:rsidRDefault="005D61ED" w:rsidP="00451903">
      <w:pPr>
        <w:spacing w:after="0" w:line="240" w:lineRule="auto"/>
      </w:pPr>
      <w:r>
        <w:separator/>
      </w:r>
    </w:p>
  </w:endnote>
  <w:endnote w:type="continuationSeparator" w:id="0">
    <w:p w14:paraId="2B2B9179" w14:textId="77777777" w:rsidR="005D61ED" w:rsidRDefault="005D61ED" w:rsidP="004519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307F1" w14:textId="77777777" w:rsidR="005D61ED" w:rsidRDefault="005D61ED" w:rsidP="00451903">
      <w:pPr>
        <w:spacing w:after="0" w:line="240" w:lineRule="auto"/>
      </w:pPr>
      <w:r>
        <w:separator/>
      </w:r>
    </w:p>
  </w:footnote>
  <w:footnote w:type="continuationSeparator" w:id="0">
    <w:p w14:paraId="5D93527D" w14:textId="77777777" w:rsidR="005D61ED" w:rsidRDefault="005D61ED" w:rsidP="00451903">
      <w:pPr>
        <w:spacing w:after="0" w:line="240" w:lineRule="auto"/>
      </w:pPr>
      <w:r>
        <w:continuationSeparator/>
      </w:r>
    </w:p>
  </w:footnote>
  <w:footnote w:id="1">
    <w:p w14:paraId="22662155" w14:textId="08050E29" w:rsidR="00451903" w:rsidRDefault="00451903">
      <w:pPr>
        <w:pStyle w:val="FootnoteText"/>
      </w:pPr>
      <w:r>
        <w:rPr>
          <w:rStyle w:val="FootnoteReference"/>
        </w:rPr>
        <w:footnoteRef/>
      </w:r>
      <w:r>
        <w:t xml:space="preserve"> Tolman, Herbert Cushing, b. 1893</w:t>
      </w:r>
    </w:p>
  </w:footnote>
  <w:footnote w:id="2">
    <w:p w14:paraId="79F72206" w14:textId="635DAEC3" w:rsidR="00F17EBC" w:rsidRDefault="00F17EBC">
      <w:pPr>
        <w:pStyle w:val="FootnoteText"/>
      </w:pPr>
      <w:r>
        <w:rPr>
          <w:rStyle w:val="FootnoteReference"/>
        </w:rPr>
        <w:footnoteRef/>
      </w:r>
      <w:r>
        <w:t xml:space="preserve"> </w:t>
      </w:r>
      <w:r w:rsidRPr="00F17EBC">
        <w:t>Altaweel, Mark, and Andrea Squitieri.</w:t>
      </w:r>
      <w:r>
        <w:t xml:space="preserve"> 2018</w:t>
      </w:r>
    </w:p>
  </w:footnote>
  <w:footnote w:id="3">
    <w:p w14:paraId="117CBD4B" w14:textId="4533A66D" w:rsidR="005B781C" w:rsidRDefault="005B781C">
      <w:pPr>
        <w:pStyle w:val="FootnoteText"/>
      </w:pPr>
      <w:r>
        <w:rPr>
          <w:rStyle w:val="FootnoteReference"/>
        </w:rPr>
        <w:footnoteRef/>
      </w:r>
      <w:r>
        <w:t xml:space="preserve"> </w:t>
      </w:r>
      <w:r w:rsidRPr="00F17EBC">
        <w:t>Altaweel, Mark, and Andrea Squitieri.</w:t>
      </w:r>
      <w:r>
        <w:t xml:space="preserve"> 2018</w:t>
      </w:r>
    </w:p>
  </w:footnote>
  <w:footnote w:id="4">
    <w:p w14:paraId="6F481923" w14:textId="3D2B0BBD" w:rsidR="008E4CA8" w:rsidRDefault="008E4CA8">
      <w:pPr>
        <w:pStyle w:val="FootnoteText"/>
      </w:pPr>
      <w:r>
        <w:rPr>
          <w:rStyle w:val="FootnoteReference"/>
        </w:rPr>
        <w:footnoteRef/>
      </w:r>
      <w:r>
        <w:t xml:space="preserve"> </w:t>
      </w:r>
      <w:bookmarkStart w:id="0" w:name="_Hlk196834196"/>
      <w:r>
        <w:t>Herodotus, 1920,</w:t>
      </w:r>
      <w:r w:rsidRPr="00114565">
        <w:t xml:space="preserve"> </w:t>
      </w:r>
      <w:bookmarkEnd w:id="0"/>
      <w:r w:rsidRPr="00114565">
        <w:t>7.133.1</w:t>
      </w:r>
    </w:p>
  </w:footnote>
  <w:footnote w:id="5">
    <w:p w14:paraId="0465EC39" w14:textId="3B2527EE" w:rsidR="008E4CA8" w:rsidRDefault="008E4CA8">
      <w:pPr>
        <w:pStyle w:val="FootnoteText"/>
      </w:pPr>
      <w:r>
        <w:rPr>
          <w:rStyle w:val="FootnoteReference"/>
        </w:rPr>
        <w:footnoteRef/>
      </w:r>
      <w:r w:rsidRPr="008E4CA8">
        <w:t xml:space="preserve"> </w:t>
      </w:r>
      <w:r w:rsidR="00E603F9" w:rsidRPr="00E603F9">
        <w:t xml:space="preserve">Herodotus, 1920, </w:t>
      </w:r>
      <w:r w:rsidRPr="008E4CA8">
        <w:t>7.132.1</w:t>
      </w:r>
    </w:p>
  </w:footnote>
  <w:footnote w:id="6">
    <w:p w14:paraId="5CBE388B" w14:textId="1EB2D6B1" w:rsidR="00114565" w:rsidRDefault="00114565">
      <w:pPr>
        <w:pStyle w:val="FootnoteText"/>
      </w:pPr>
      <w:r>
        <w:rPr>
          <w:rStyle w:val="FootnoteReference"/>
        </w:rPr>
        <w:footnoteRef/>
      </w:r>
      <w:r>
        <w:t xml:space="preserve"> Herodotus, 1920,</w:t>
      </w:r>
      <w:r w:rsidRPr="00114565">
        <w:t xml:space="preserve"> 7.133.1</w:t>
      </w:r>
    </w:p>
  </w:footnote>
  <w:footnote w:id="7">
    <w:p w14:paraId="32A5CC6E" w14:textId="1D5D23E3" w:rsidR="00224777" w:rsidRDefault="00224777">
      <w:pPr>
        <w:pStyle w:val="FootnoteText"/>
      </w:pPr>
      <w:r>
        <w:rPr>
          <w:rStyle w:val="FootnoteReference"/>
        </w:rPr>
        <w:footnoteRef/>
      </w:r>
      <w:r>
        <w:t xml:space="preserve"> </w:t>
      </w:r>
      <w:r>
        <w:rPr>
          <w:sz w:val="22"/>
          <w:szCs w:val="22"/>
        </w:rPr>
        <w:t>Institute for the Studs of Ancient Cultures. “</w:t>
      </w:r>
      <w:r w:rsidRPr="00395D3F">
        <w:rPr>
          <w:sz w:val="22"/>
          <w:szCs w:val="22"/>
        </w:rPr>
        <w:t>The Apadana</w:t>
      </w:r>
      <w:r>
        <w:rPr>
          <w:sz w:val="22"/>
          <w:szCs w:val="22"/>
        </w:rPr>
        <w:t>.”</w:t>
      </w:r>
    </w:p>
  </w:footnote>
  <w:footnote w:id="8">
    <w:p w14:paraId="219D3E5D" w14:textId="4DDC4141" w:rsidR="00B96E54" w:rsidRDefault="00B96E54">
      <w:pPr>
        <w:pStyle w:val="FootnoteText"/>
      </w:pPr>
      <w:r>
        <w:rPr>
          <w:rStyle w:val="FootnoteReference"/>
        </w:rPr>
        <w:footnoteRef/>
      </w:r>
      <w:r>
        <w:t xml:space="preserve"> </w:t>
      </w:r>
      <w:r w:rsidR="001B2494">
        <w:rPr>
          <w:sz w:val="22"/>
          <w:szCs w:val="22"/>
        </w:rPr>
        <w:t>Institute for the Study of Ancient Cultures, “</w:t>
      </w:r>
      <w:r w:rsidR="001B2494" w:rsidRPr="00B96E54">
        <w:rPr>
          <w:sz w:val="22"/>
          <w:szCs w:val="22"/>
        </w:rPr>
        <w:t>The Gate of Xerxes</w:t>
      </w:r>
      <w:r w:rsidR="001B2494">
        <w:rPr>
          <w:sz w:val="22"/>
          <w:szCs w:val="22"/>
        </w:rPr>
        <w:t>.”</w:t>
      </w:r>
    </w:p>
  </w:footnote>
  <w:footnote w:id="9">
    <w:p w14:paraId="00C1F900" w14:textId="46B81CA1" w:rsidR="00C06DE2" w:rsidRDefault="00C06DE2">
      <w:pPr>
        <w:pStyle w:val="FootnoteText"/>
      </w:pPr>
      <w:r>
        <w:rPr>
          <w:rStyle w:val="FootnoteReference"/>
        </w:rPr>
        <w:footnoteRef/>
      </w:r>
      <w:r>
        <w:t xml:space="preserve"> </w:t>
      </w:r>
      <w:r w:rsidRPr="00C06DE2">
        <w:t>Altaweel, Mark, and Andrea Squitieri.</w:t>
      </w:r>
      <w:r w:rsidR="000A4F70">
        <w:t xml:space="preserve"> 2018</w:t>
      </w:r>
    </w:p>
  </w:footnote>
  <w:footnote w:id="10">
    <w:p w14:paraId="1CB3A2FA" w14:textId="05DA363A" w:rsidR="000A4F70" w:rsidRDefault="000A4F70">
      <w:pPr>
        <w:pStyle w:val="FootnoteText"/>
      </w:pPr>
      <w:r>
        <w:rPr>
          <w:rStyle w:val="FootnoteReference"/>
        </w:rPr>
        <w:footnoteRef/>
      </w:r>
      <w:r>
        <w:t xml:space="preserve"> </w:t>
      </w:r>
      <w:r w:rsidRPr="000A4F70">
        <w:t>Briant, P. 2002</w:t>
      </w:r>
    </w:p>
  </w:footnote>
  <w:footnote w:id="11">
    <w:p w14:paraId="37848E22" w14:textId="4B15E9B7" w:rsidR="000A4F70" w:rsidRDefault="000A4F70">
      <w:pPr>
        <w:pStyle w:val="FootnoteText"/>
      </w:pPr>
      <w:r>
        <w:rPr>
          <w:rStyle w:val="FootnoteReference"/>
        </w:rPr>
        <w:footnoteRef/>
      </w:r>
      <w:r>
        <w:t xml:space="preserve"> </w:t>
      </w:r>
      <w:r w:rsidRPr="000A4F70">
        <w:t>Altaweel, Mark, and Andrea Squitieri.</w:t>
      </w:r>
      <w:r>
        <w:t xml:space="preserve"> 2018</w:t>
      </w:r>
    </w:p>
  </w:footnote>
  <w:footnote w:id="12">
    <w:p w14:paraId="51742041" w14:textId="04DE3D05" w:rsidR="00795438" w:rsidRDefault="00795438">
      <w:pPr>
        <w:pStyle w:val="FootnoteText"/>
      </w:pPr>
      <w:r>
        <w:rPr>
          <w:rStyle w:val="FootnoteReference"/>
        </w:rPr>
        <w:footnoteRef/>
      </w:r>
      <w:r>
        <w:t xml:space="preserve"> </w:t>
      </w:r>
      <w:r w:rsidRPr="00795438">
        <w:t>Kuhrt, Amélie.</w:t>
      </w:r>
      <w:r>
        <w:t>1984</w:t>
      </w:r>
    </w:p>
  </w:footnote>
  <w:footnote w:id="13">
    <w:p w14:paraId="4CF0C0B2" w14:textId="0EBACEEA" w:rsidR="001D753A" w:rsidRDefault="001D753A">
      <w:pPr>
        <w:pStyle w:val="FootnoteText"/>
      </w:pPr>
      <w:r>
        <w:rPr>
          <w:rStyle w:val="FootnoteReference"/>
        </w:rPr>
        <w:footnoteRef/>
      </w:r>
      <w:r>
        <w:t xml:space="preserve"> </w:t>
      </w:r>
      <w:r w:rsidRPr="000A490B">
        <w:t>Altaweel, Mark, and Andrea Squitieri. 2018</w:t>
      </w:r>
    </w:p>
  </w:footnote>
  <w:footnote w:id="14">
    <w:p w14:paraId="118F161B" w14:textId="46D58AFC" w:rsidR="00CF52DD" w:rsidRDefault="00CF52DD">
      <w:pPr>
        <w:pStyle w:val="FootnoteText"/>
      </w:pPr>
      <w:r>
        <w:rPr>
          <w:rStyle w:val="FootnoteReference"/>
        </w:rPr>
        <w:footnoteRef/>
      </w:r>
      <w:r>
        <w:t xml:space="preserve"> Herodotus. 1920, book 6</w:t>
      </w:r>
    </w:p>
  </w:footnote>
  <w:footnote w:id="15">
    <w:p w14:paraId="22E12D8A" w14:textId="10E862DD" w:rsidR="007B3575" w:rsidRDefault="007B3575">
      <w:pPr>
        <w:pStyle w:val="FootnoteText"/>
      </w:pPr>
      <w:r>
        <w:rPr>
          <w:rStyle w:val="FootnoteReference"/>
        </w:rPr>
        <w:footnoteRef/>
      </w:r>
      <w:r>
        <w:t xml:space="preserve"> </w:t>
      </w:r>
      <w:r w:rsidRPr="007B3575">
        <w:t>Altaweel, Mark, and Andrea Squitieri.</w:t>
      </w:r>
      <w:r>
        <w:t xml:space="preserve">  2018</w:t>
      </w:r>
    </w:p>
  </w:footnote>
  <w:footnote w:id="16">
    <w:p w14:paraId="02DF3C87" w14:textId="60022457" w:rsidR="00325897" w:rsidRDefault="00325897">
      <w:pPr>
        <w:pStyle w:val="FootnoteText"/>
      </w:pPr>
      <w:r>
        <w:rPr>
          <w:rStyle w:val="FootnoteReference"/>
        </w:rPr>
        <w:footnoteRef/>
      </w:r>
      <w:r>
        <w:t xml:space="preserve"> </w:t>
      </w:r>
      <w:r w:rsidRPr="00C06DE2">
        <w:t>Altaweel, Mark, and Andrea Squitieri.</w:t>
      </w:r>
      <w:r>
        <w:t xml:space="preserve"> 2018</w:t>
      </w:r>
    </w:p>
  </w:footnote>
  <w:footnote w:id="17">
    <w:p w14:paraId="14E2BBA3" w14:textId="16288BB7" w:rsidR="004D6176" w:rsidRDefault="004D6176">
      <w:pPr>
        <w:pStyle w:val="FootnoteText"/>
      </w:pPr>
      <w:r>
        <w:rPr>
          <w:rStyle w:val="FootnoteReference"/>
        </w:rPr>
        <w:footnoteRef/>
      </w:r>
      <w:r>
        <w:t xml:space="preserve"> </w:t>
      </w:r>
      <w:r w:rsidRPr="004D6176">
        <w:t>Kuhrt, Amélie.</w:t>
      </w:r>
      <w:r>
        <w:t xml:space="preserve"> </w:t>
      </w:r>
      <w:r w:rsidR="005F111C">
        <w:t>1</w:t>
      </w:r>
      <w:r>
        <w:t>984</w:t>
      </w:r>
    </w:p>
  </w:footnote>
  <w:footnote w:id="18">
    <w:p w14:paraId="311ADB24" w14:textId="61C89561" w:rsidR="00B12657" w:rsidRDefault="00B12657">
      <w:pPr>
        <w:pStyle w:val="FootnoteText"/>
      </w:pPr>
      <w:r>
        <w:rPr>
          <w:rStyle w:val="FootnoteReference"/>
        </w:rPr>
        <w:footnoteRef/>
      </w:r>
      <w:r>
        <w:t xml:space="preserve"> </w:t>
      </w:r>
      <w:r w:rsidRPr="00B12657">
        <w:t>Altaweel, Mark, and Andrea Squitieri.</w:t>
      </w:r>
      <w:r>
        <w:t xml:space="preserve"> 2018</w:t>
      </w:r>
    </w:p>
  </w:footnote>
  <w:footnote w:id="19">
    <w:p w14:paraId="7B6FAEF7" w14:textId="77777777" w:rsidR="000164F8" w:rsidRDefault="000164F8" w:rsidP="000164F8">
      <w:pPr>
        <w:pStyle w:val="FootnoteText"/>
      </w:pPr>
      <w:r>
        <w:rPr>
          <w:rStyle w:val="FootnoteReference"/>
        </w:rPr>
        <w:footnoteRef/>
      </w:r>
      <w:r>
        <w:t xml:space="preserve"> Herodotus, 1920</w:t>
      </w:r>
    </w:p>
  </w:footnote>
  <w:footnote w:id="20">
    <w:p w14:paraId="06982AF3" w14:textId="77777777" w:rsidR="000164F8" w:rsidRDefault="000164F8" w:rsidP="000164F8">
      <w:pPr>
        <w:pStyle w:val="FootnoteText"/>
      </w:pPr>
      <w:r>
        <w:rPr>
          <w:rStyle w:val="FootnoteReference"/>
        </w:rPr>
        <w:footnoteRef/>
      </w:r>
      <w:r>
        <w:t xml:space="preserve"> </w:t>
      </w:r>
      <w:r w:rsidRPr="00CC6297">
        <w:t>Colburn, Henry P.</w:t>
      </w:r>
      <w:r>
        <w:t xml:space="preserve"> 2013</w:t>
      </w:r>
    </w:p>
  </w:footnote>
  <w:footnote w:id="21">
    <w:p w14:paraId="16B47170" w14:textId="77777777" w:rsidR="000164F8" w:rsidRDefault="000164F8" w:rsidP="000164F8">
      <w:pPr>
        <w:pStyle w:val="FootnoteText"/>
      </w:pPr>
      <w:r>
        <w:rPr>
          <w:rStyle w:val="FootnoteReference"/>
        </w:rPr>
        <w:footnoteRef/>
      </w:r>
      <w:r>
        <w:t xml:space="preserve"> H</w:t>
      </w:r>
      <w:r w:rsidRPr="00EB23B0">
        <w:t>erodotus</w:t>
      </w:r>
      <w:r>
        <w:t>, 1920,</w:t>
      </w:r>
      <w:r w:rsidRPr="00EB23B0">
        <w:t xml:space="preserve"> </w:t>
      </w:r>
      <w:r>
        <w:t>book 8</w:t>
      </w:r>
    </w:p>
  </w:footnote>
  <w:footnote w:id="22">
    <w:p w14:paraId="2370A244" w14:textId="77777777" w:rsidR="000164F8" w:rsidRDefault="000164F8" w:rsidP="000164F8">
      <w:pPr>
        <w:pStyle w:val="FootnoteText"/>
      </w:pPr>
      <w:r>
        <w:rPr>
          <w:rStyle w:val="FootnoteReference"/>
        </w:rPr>
        <w:footnoteRef/>
      </w:r>
      <w:r>
        <w:t xml:space="preserve"> Herodotus, 1920, book 8</w:t>
      </w:r>
    </w:p>
  </w:footnote>
  <w:footnote w:id="23">
    <w:p w14:paraId="344EEB11" w14:textId="22FEDEF6" w:rsidR="00A933B4" w:rsidRDefault="00A933B4">
      <w:pPr>
        <w:pStyle w:val="FootnoteText"/>
      </w:pPr>
      <w:r>
        <w:rPr>
          <w:rStyle w:val="FootnoteReference"/>
        </w:rPr>
        <w:footnoteRef/>
      </w:r>
      <w:r>
        <w:t xml:space="preserve"> </w:t>
      </w:r>
      <w:r w:rsidRPr="00A933B4">
        <w:t>Colburn, Henry P., 2013</w:t>
      </w:r>
    </w:p>
  </w:footnote>
  <w:footnote w:id="24">
    <w:p w14:paraId="66317F91" w14:textId="5021891F" w:rsidR="00A933B4" w:rsidRDefault="00A933B4">
      <w:pPr>
        <w:pStyle w:val="FootnoteText"/>
      </w:pPr>
      <w:r>
        <w:rPr>
          <w:rStyle w:val="FootnoteReference"/>
        </w:rPr>
        <w:footnoteRef/>
      </w:r>
      <w:r>
        <w:t xml:space="preserve"> </w:t>
      </w:r>
      <w:r w:rsidRPr="00A933B4">
        <w:t>Colburn, Henry P., 2013</w:t>
      </w:r>
    </w:p>
  </w:footnote>
  <w:footnote w:id="25">
    <w:p w14:paraId="330DD69B" w14:textId="77777777" w:rsidR="000164F8" w:rsidRDefault="000164F8" w:rsidP="000164F8">
      <w:pPr>
        <w:pStyle w:val="FootnoteText"/>
      </w:pPr>
      <w:r>
        <w:rPr>
          <w:rStyle w:val="FootnoteReference"/>
        </w:rPr>
        <w:footnoteRef/>
      </w:r>
      <w:r>
        <w:t xml:space="preserve"> Herodotus, 1920, 5.52</w:t>
      </w:r>
    </w:p>
  </w:footnote>
  <w:footnote w:id="26">
    <w:p w14:paraId="34EED239" w14:textId="77777777" w:rsidR="000164F8" w:rsidRDefault="000164F8" w:rsidP="000164F8">
      <w:pPr>
        <w:pStyle w:val="FootnoteText"/>
      </w:pPr>
      <w:r>
        <w:rPr>
          <w:rStyle w:val="FootnoteReference"/>
        </w:rPr>
        <w:footnoteRef/>
      </w:r>
      <w:r>
        <w:t xml:space="preserve"> </w:t>
      </w:r>
      <w:r w:rsidRPr="00CC40F2">
        <w:t>Colburn, Henry P.</w:t>
      </w:r>
      <w:r>
        <w:t>, 2013</w:t>
      </w:r>
    </w:p>
  </w:footnote>
  <w:footnote w:id="27">
    <w:p w14:paraId="4903AD59" w14:textId="77777777" w:rsidR="000164F8" w:rsidRDefault="000164F8" w:rsidP="000164F8">
      <w:pPr>
        <w:pStyle w:val="FootnoteText"/>
      </w:pPr>
      <w:r>
        <w:rPr>
          <w:rStyle w:val="FootnoteReference"/>
        </w:rPr>
        <w:footnoteRef/>
      </w:r>
      <w:r>
        <w:t xml:space="preserve"> Herodotus, 1920, 5.52</w:t>
      </w:r>
    </w:p>
  </w:footnote>
  <w:footnote w:id="28">
    <w:p w14:paraId="1CD474B9" w14:textId="77777777" w:rsidR="000905F4" w:rsidRDefault="000905F4" w:rsidP="000905F4">
      <w:pPr>
        <w:pStyle w:val="FootnoteText"/>
      </w:pPr>
      <w:r>
        <w:rPr>
          <w:rStyle w:val="FootnoteReference"/>
        </w:rPr>
        <w:footnoteRef/>
      </w:r>
      <w:r>
        <w:t xml:space="preserve"> </w:t>
      </w:r>
      <w:r w:rsidRPr="00F12087">
        <w:t>Briant, P.</w:t>
      </w:r>
      <w:r>
        <w:t xml:space="preserve"> 2002</w:t>
      </w:r>
    </w:p>
  </w:footnote>
  <w:footnote w:id="29">
    <w:p w14:paraId="22ED4AA4" w14:textId="4F6F493F" w:rsidR="00960445" w:rsidRDefault="00960445">
      <w:pPr>
        <w:pStyle w:val="FootnoteText"/>
      </w:pPr>
      <w:r>
        <w:rPr>
          <w:rStyle w:val="FootnoteReference"/>
        </w:rPr>
        <w:footnoteRef/>
      </w:r>
      <w:r>
        <w:t xml:space="preserve"> </w:t>
      </w:r>
      <w:r w:rsidRPr="00F12087">
        <w:t>Briant, P.</w:t>
      </w:r>
      <w:r>
        <w:t xml:space="preserve"> 2002</w:t>
      </w:r>
    </w:p>
  </w:footnote>
  <w:footnote w:id="30">
    <w:p w14:paraId="5DFD287E" w14:textId="6224B8B0" w:rsidR="00BB28DB" w:rsidRDefault="00BB28DB">
      <w:pPr>
        <w:pStyle w:val="FootnoteText"/>
      </w:pPr>
      <w:r>
        <w:rPr>
          <w:rStyle w:val="FootnoteReference"/>
        </w:rPr>
        <w:footnoteRef/>
      </w:r>
      <w:r>
        <w:t xml:space="preserve"> </w:t>
      </w:r>
      <w:r w:rsidRPr="007F724E">
        <w:rPr>
          <w:sz w:val="22"/>
          <w:szCs w:val="22"/>
        </w:rPr>
        <w:t>Mark, Joshua J.</w:t>
      </w:r>
      <w:r>
        <w:rPr>
          <w:sz w:val="22"/>
          <w:szCs w:val="22"/>
        </w:rPr>
        <w:t xml:space="preserve"> 2019</w:t>
      </w:r>
    </w:p>
  </w:footnote>
  <w:footnote w:id="31">
    <w:p w14:paraId="1D8E90AF" w14:textId="77777777" w:rsidR="000905F4" w:rsidRDefault="000905F4" w:rsidP="000905F4">
      <w:pPr>
        <w:pStyle w:val="FootnoteText"/>
      </w:pPr>
      <w:r>
        <w:rPr>
          <w:rStyle w:val="FootnoteReference"/>
        </w:rPr>
        <w:footnoteRef/>
      </w:r>
      <w:r>
        <w:t xml:space="preserve"> </w:t>
      </w:r>
      <w:bookmarkStart w:id="1" w:name="_Hlk197271580"/>
      <w:r w:rsidRPr="00F12087">
        <w:t>Briant, P.</w:t>
      </w:r>
      <w:r>
        <w:t xml:space="preserve"> 2002</w:t>
      </w:r>
      <w:bookmarkEnd w:id="1"/>
    </w:p>
  </w:footnote>
  <w:footnote w:id="32">
    <w:p w14:paraId="79A70AFD" w14:textId="05CCF46D" w:rsidR="008D524C" w:rsidRDefault="008D524C">
      <w:pPr>
        <w:pStyle w:val="FootnoteText"/>
      </w:pPr>
      <w:r>
        <w:rPr>
          <w:rStyle w:val="FootnoteReference"/>
        </w:rPr>
        <w:footnoteRef/>
      </w:r>
      <w:r>
        <w:t xml:space="preserve"> Herodotus, 1920, book 5.</w:t>
      </w:r>
    </w:p>
  </w:footnote>
  <w:footnote w:id="33">
    <w:p w14:paraId="24966629" w14:textId="363E885B" w:rsidR="00EE661C" w:rsidRDefault="00EE661C">
      <w:pPr>
        <w:pStyle w:val="FootnoteText"/>
      </w:pPr>
      <w:r>
        <w:rPr>
          <w:rStyle w:val="FootnoteReference"/>
        </w:rPr>
        <w:footnoteRef/>
      </w:r>
      <w:r>
        <w:t xml:space="preserve"> </w:t>
      </w:r>
      <w:r w:rsidRPr="00EE661C">
        <w:t>Libourel, Jan M.</w:t>
      </w:r>
      <w:r>
        <w:t xml:space="preserve"> 1971</w:t>
      </w:r>
    </w:p>
  </w:footnote>
  <w:footnote w:id="34">
    <w:p w14:paraId="085C8B4D" w14:textId="4A2149CC" w:rsidR="00692BE6" w:rsidRDefault="00692BE6">
      <w:pPr>
        <w:pStyle w:val="FootnoteText"/>
      </w:pPr>
      <w:r>
        <w:rPr>
          <w:rStyle w:val="FootnoteReference"/>
        </w:rPr>
        <w:footnoteRef/>
      </w:r>
      <w:r>
        <w:t xml:space="preserve"> </w:t>
      </w:r>
      <w:r w:rsidRPr="00692BE6">
        <w:t>Briant, P. 2002</w:t>
      </w:r>
    </w:p>
  </w:footnote>
  <w:footnote w:id="35">
    <w:p w14:paraId="49047733" w14:textId="381CD44D" w:rsidR="00710093" w:rsidRDefault="00710093">
      <w:pPr>
        <w:pStyle w:val="FootnoteText"/>
      </w:pPr>
      <w:r>
        <w:rPr>
          <w:rStyle w:val="FootnoteReference"/>
        </w:rPr>
        <w:footnoteRef/>
      </w:r>
      <w:r>
        <w:t xml:space="preserve"> </w:t>
      </w:r>
      <w:r w:rsidRPr="00710093">
        <w:t>Altaweel, Mark, and Andrea Squitieri.</w:t>
      </w:r>
      <w:r>
        <w:t xml:space="preserve">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065DCF"/>
    <w:multiLevelType w:val="hybridMultilevel"/>
    <w:tmpl w:val="DBCA9900"/>
    <w:lvl w:ilvl="0" w:tplc="FC2CE4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6412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E92"/>
    <w:rsid w:val="00000071"/>
    <w:rsid w:val="0000573E"/>
    <w:rsid w:val="000164F8"/>
    <w:rsid w:val="0001660D"/>
    <w:rsid w:val="0002731A"/>
    <w:rsid w:val="00041BED"/>
    <w:rsid w:val="0004208C"/>
    <w:rsid w:val="0004349B"/>
    <w:rsid w:val="000540CB"/>
    <w:rsid w:val="00055F77"/>
    <w:rsid w:val="000579E3"/>
    <w:rsid w:val="00073A98"/>
    <w:rsid w:val="00083A47"/>
    <w:rsid w:val="00086A1D"/>
    <w:rsid w:val="000875A6"/>
    <w:rsid w:val="000905F4"/>
    <w:rsid w:val="000A2401"/>
    <w:rsid w:val="000A490B"/>
    <w:rsid w:val="000A4F70"/>
    <w:rsid w:val="000A6357"/>
    <w:rsid w:val="000B34BB"/>
    <w:rsid w:val="000C1143"/>
    <w:rsid w:val="000C1CDF"/>
    <w:rsid w:val="000C2445"/>
    <w:rsid w:val="000C4376"/>
    <w:rsid w:val="000D10C9"/>
    <w:rsid w:val="000E1103"/>
    <w:rsid w:val="000E1761"/>
    <w:rsid w:val="000E36AC"/>
    <w:rsid w:val="000E6499"/>
    <w:rsid w:val="000E6AF8"/>
    <w:rsid w:val="000F5221"/>
    <w:rsid w:val="0010001C"/>
    <w:rsid w:val="00104532"/>
    <w:rsid w:val="00113047"/>
    <w:rsid w:val="00114565"/>
    <w:rsid w:val="00124A28"/>
    <w:rsid w:val="00136F12"/>
    <w:rsid w:val="0014142A"/>
    <w:rsid w:val="00142BD9"/>
    <w:rsid w:val="0014450E"/>
    <w:rsid w:val="0014770A"/>
    <w:rsid w:val="00147CCC"/>
    <w:rsid w:val="00152BC3"/>
    <w:rsid w:val="00163F40"/>
    <w:rsid w:val="001650CC"/>
    <w:rsid w:val="001743C3"/>
    <w:rsid w:val="00174687"/>
    <w:rsid w:val="001749DD"/>
    <w:rsid w:val="0017520D"/>
    <w:rsid w:val="00176498"/>
    <w:rsid w:val="00181ECC"/>
    <w:rsid w:val="00192445"/>
    <w:rsid w:val="001B2494"/>
    <w:rsid w:val="001C1B2E"/>
    <w:rsid w:val="001D034A"/>
    <w:rsid w:val="001D26DB"/>
    <w:rsid w:val="001D753A"/>
    <w:rsid w:val="001E749A"/>
    <w:rsid w:val="001F38DB"/>
    <w:rsid w:val="001F6382"/>
    <w:rsid w:val="002011D4"/>
    <w:rsid w:val="00203ADA"/>
    <w:rsid w:val="00211A66"/>
    <w:rsid w:val="002177C5"/>
    <w:rsid w:val="00224777"/>
    <w:rsid w:val="002304E8"/>
    <w:rsid w:val="00235697"/>
    <w:rsid w:val="0024116B"/>
    <w:rsid w:val="00241993"/>
    <w:rsid w:val="00262357"/>
    <w:rsid w:val="002679F8"/>
    <w:rsid w:val="00271AC8"/>
    <w:rsid w:val="00290071"/>
    <w:rsid w:val="00291F9C"/>
    <w:rsid w:val="00294F8A"/>
    <w:rsid w:val="002D6A83"/>
    <w:rsid w:val="002E7697"/>
    <w:rsid w:val="002F71BD"/>
    <w:rsid w:val="0032092B"/>
    <w:rsid w:val="00325897"/>
    <w:rsid w:val="00327371"/>
    <w:rsid w:val="0033112F"/>
    <w:rsid w:val="0035223D"/>
    <w:rsid w:val="003605B6"/>
    <w:rsid w:val="00362502"/>
    <w:rsid w:val="00362E92"/>
    <w:rsid w:val="003630FF"/>
    <w:rsid w:val="00363A91"/>
    <w:rsid w:val="00370D85"/>
    <w:rsid w:val="00377109"/>
    <w:rsid w:val="0038185A"/>
    <w:rsid w:val="0038688D"/>
    <w:rsid w:val="003900BE"/>
    <w:rsid w:val="00392B87"/>
    <w:rsid w:val="00395D3F"/>
    <w:rsid w:val="003A203C"/>
    <w:rsid w:val="003A236A"/>
    <w:rsid w:val="003A4970"/>
    <w:rsid w:val="003C06D2"/>
    <w:rsid w:val="003C2AD4"/>
    <w:rsid w:val="003C38BD"/>
    <w:rsid w:val="003D5B5F"/>
    <w:rsid w:val="003D5E0F"/>
    <w:rsid w:val="003E34B4"/>
    <w:rsid w:val="004209A7"/>
    <w:rsid w:val="00431633"/>
    <w:rsid w:val="00436941"/>
    <w:rsid w:val="0044002A"/>
    <w:rsid w:val="00451903"/>
    <w:rsid w:val="00492A8E"/>
    <w:rsid w:val="00496680"/>
    <w:rsid w:val="004A5BDE"/>
    <w:rsid w:val="004B4F2D"/>
    <w:rsid w:val="004C31D2"/>
    <w:rsid w:val="004C660F"/>
    <w:rsid w:val="004D1414"/>
    <w:rsid w:val="004D6176"/>
    <w:rsid w:val="004D7F6C"/>
    <w:rsid w:val="004F1DBB"/>
    <w:rsid w:val="004F7140"/>
    <w:rsid w:val="00510EDD"/>
    <w:rsid w:val="0051376A"/>
    <w:rsid w:val="00520A96"/>
    <w:rsid w:val="00527F2B"/>
    <w:rsid w:val="00534A94"/>
    <w:rsid w:val="005351C2"/>
    <w:rsid w:val="0053596E"/>
    <w:rsid w:val="0054061D"/>
    <w:rsid w:val="005467A3"/>
    <w:rsid w:val="00547D07"/>
    <w:rsid w:val="0055457B"/>
    <w:rsid w:val="00555BB8"/>
    <w:rsid w:val="00555D96"/>
    <w:rsid w:val="00570CFE"/>
    <w:rsid w:val="00573E32"/>
    <w:rsid w:val="0058756F"/>
    <w:rsid w:val="00590702"/>
    <w:rsid w:val="005A12E2"/>
    <w:rsid w:val="005B6B09"/>
    <w:rsid w:val="005B781C"/>
    <w:rsid w:val="005C0CE0"/>
    <w:rsid w:val="005C1B9C"/>
    <w:rsid w:val="005C20C8"/>
    <w:rsid w:val="005C5D23"/>
    <w:rsid w:val="005D1992"/>
    <w:rsid w:val="005D61ED"/>
    <w:rsid w:val="005E61AA"/>
    <w:rsid w:val="005F111C"/>
    <w:rsid w:val="005F2A2C"/>
    <w:rsid w:val="006020EB"/>
    <w:rsid w:val="00615C0D"/>
    <w:rsid w:val="00616A0F"/>
    <w:rsid w:val="006264E5"/>
    <w:rsid w:val="00632C6B"/>
    <w:rsid w:val="00634929"/>
    <w:rsid w:val="00640109"/>
    <w:rsid w:val="00642E87"/>
    <w:rsid w:val="00643055"/>
    <w:rsid w:val="0064697D"/>
    <w:rsid w:val="00652282"/>
    <w:rsid w:val="00662FF9"/>
    <w:rsid w:val="00672B2E"/>
    <w:rsid w:val="006862EE"/>
    <w:rsid w:val="00692BE6"/>
    <w:rsid w:val="006939DB"/>
    <w:rsid w:val="006A377C"/>
    <w:rsid w:val="006A67F1"/>
    <w:rsid w:val="006B0EF8"/>
    <w:rsid w:val="006C3050"/>
    <w:rsid w:val="006D7662"/>
    <w:rsid w:val="006F4091"/>
    <w:rsid w:val="00704577"/>
    <w:rsid w:val="00710093"/>
    <w:rsid w:val="00710C5B"/>
    <w:rsid w:val="00711584"/>
    <w:rsid w:val="007126B9"/>
    <w:rsid w:val="00725E44"/>
    <w:rsid w:val="00726BD2"/>
    <w:rsid w:val="00731B6B"/>
    <w:rsid w:val="007379AE"/>
    <w:rsid w:val="0074009F"/>
    <w:rsid w:val="0074566D"/>
    <w:rsid w:val="00752CF3"/>
    <w:rsid w:val="0076087E"/>
    <w:rsid w:val="00762A4B"/>
    <w:rsid w:val="00776078"/>
    <w:rsid w:val="007808FA"/>
    <w:rsid w:val="00780D5F"/>
    <w:rsid w:val="00782C5D"/>
    <w:rsid w:val="00784D85"/>
    <w:rsid w:val="007874FA"/>
    <w:rsid w:val="00790FF5"/>
    <w:rsid w:val="00795438"/>
    <w:rsid w:val="007B1969"/>
    <w:rsid w:val="007B3575"/>
    <w:rsid w:val="007B77C6"/>
    <w:rsid w:val="007D7202"/>
    <w:rsid w:val="007D730D"/>
    <w:rsid w:val="007F1265"/>
    <w:rsid w:val="007F724E"/>
    <w:rsid w:val="00830D6D"/>
    <w:rsid w:val="0083550F"/>
    <w:rsid w:val="00837082"/>
    <w:rsid w:val="00880407"/>
    <w:rsid w:val="00882B4A"/>
    <w:rsid w:val="008834DA"/>
    <w:rsid w:val="008951DE"/>
    <w:rsid w:val="008953C0"/>
    <w:rsid w:val="008A7CEF"/>
    <w:rsid w:val="008B55D7"/>
    <w:rsid w:val="008C65CE"/>
    <w:rsid w:val="008D07C2"/>
    <w:rsid w:val="008D524C"/>
    <w:rsid w:val="008E4CA8"/>
    <w:rsid w:val="008E6627"/>
    <w:rsid w:val="008F132F"/>
    <w:rsid w:val="008F5930"/>
    <w:rsid w:val="00915012"/>
    <w:rsid w:val="009246BF"/>
    <w:rsid w:val="00926977"/>
    <w:rsid w:val="00960445"/>
    <w:rsid w:val="00960472"/>
    <w:rsid w:val="009627FD"/>
    <w:rsid w:val="009731D1"/>
    <w:rsid w:val="00975F62"/>
    <w:rsid w:val="00976B91"/>
    <w:rsid w:val="009816F6"/>
    <w:rsid w:val="00996BC2"/>
    <w:rsid w:val="009A32FA"/>
    <w:rsid w:val="009A34C6"/>
    <w:rsid w:val="009A460C"/>
    <w:rsid w:val="009A61DE"/>
    <w:rsid w:val="009A7A18"/>
    <w:rsid w:val="009B17B8"/>
    <w:rsid w:val="009B5CF1"/>
    <w:rsid w:val="009C0E7E"/>
    <w:rsid w:val="009D3A00"/>
    <w:rsid w:val="009E4808"/>
    <w:rsid w:val="009E5031"/>
    <w:rsid w:val="009F7C97"/>
    <w:rsid w:val="00A2215B"/>
    <w:rsid w:val="00A22D78"/>
    <w:rsid w:val="00A24250"/>
    <w:rsid w:val="00A32970"/>
    <w:rsid w:val="00A34736"/>
    <w:rsid w:val="00A36E03"/>
    <w:rsid w:val="00A44A25"/>
    <w:rsid w:val="00A4732A"/>
    <w:rsid w:val="00A501C6"/>
    <w:rsid w:val="00A519A0"/>
    <w:rsid w:val="00A546B0"/>
    <w:rsid w:val="00A55C3F"/>
    <w:rsid w:val="00A57994"/>
    <w:rsid w:val="00A6269F"/>
    <w:rsid w:val="00A70D0B"/>
    <w:rsid w:val="00A72DB7"/>
    <w:rsid w:val="00A776BD"/>
    <w:rsid w:val="00A77F18"/>
    <w:rsid w:val="00A82A0A"/>
    <w:rsid w:val="00A839C8"/>
    <w:rsid w:val="00A93373"/>
    <w:rsid w:val="00A933B4"/>
    <w:rsid w:val="00A96B5C"/>
    <w:rsid w:val="00AB3623"/>
    <w:rsid w:val="00AE4F26"/>
    <w:rsid w:val="00AE60C6"/>
    <w:rsid w:val="00AF602C"/>
    <w:rsid w:val="00B06042"/>
    <w:rsid w:val="00B063A8"/>
    <w:rsid w:val="00B12657"/>
    <w:rsid w:val="00B14532"/>
    <w:rsid w:val="00B158BD"/>
    <w:rsid w:val="00B17A1A"/>
    <w:rsid w:val="00B3485A"/>
    <w:rsid w:val="00B44CA4"/>
    <w:rsid w:val="00B467AD"/>
    <w:rsid w:val="00B53FEA"/>
    <w:rsid w:val="00B55CBB"/>
    <w:rsid w:val="00B73705"/>
    <w:rsid w:val="00B91925"/>
    <w:rsid w:val="00B96E54"/>
    <w:rsid w:val="00BA06DE"/>
    <w:rsid w:val="00BB1C7A"/>
    <w:rsid w:val="00BB28DB"/>
    <w:rsid w:val="00BB5CAC"/>
    <w:rsid w:val="00BB68F8"/>
    <w:rsid w:val="00BD0448"/>
    <w:rsid w:val="00BD1B92"/>
    <w:rsid w:val="00BD4382"/>
    <w:rsid w:val="00BE0CA8"/>
    <w:rsid w:val="00BE28CB"/>
    <w:rsid w:val="00BE2BB4"/>
    <w:rsid w:val="00BF27ED"/>
    <w:rsid w:val="00C00DA2"/>
    <w:rsid w:val="00C06DE2"/>
    <w:rsid w:val="00C16E92"/>
    <w:rsid w:val="00C22794"/>
    <w:rsid w:val="00C249C6"/>
    <w:rsid w:val="00C258A0"/>
    <w:rsid w:val="00C25C9D"/>
    <w:rsid w:val="00C40F09"/>
    <w:rsid w:val="00C466B9"/>
    <w:rsid w:val="00C522F7"/>
    <w:rsid w:val="00C534F8"/>
    <w:rsid w:val="00C570D6"/>
    <w:rsid w:val="00C9206D"/>
    <w:rsid w:val="00C927D1"/>
    <w:rsid w:val="00C92B4B"/>
    <w:rsid w:val="00C943D9"/>
    <w:rsid w:val="00C945EA"/>
    <w:rsid w:val="00C96844"/>
    <w:rsid w:val="00CB4A0F"/>
    <w:rsid w:val="00CB67A6"/>
    <w:rsid w:val="00CC40F2"/>
    <w:rsid w:val="00CC5094"/>
    <w:rsid w:val="00CC6297"/>
    <w:rsid w:val="00CD7920"/>
    <w:rsid w:val="00CF0A5B"/>
    <w:rsid w:val="00CF52DD"/>
    <w:rsid w:val="00CF7295"/>
    <w:rsid w:val="00D118FF"/>
    <w:rsid w:val="00D129B3"/>
    <w:rsid w:val="00D12BE3"/>
    <w:rsid w:val="00D2303D"/>
    <w:rsid w:val="00D31C2E"/>
    <w:rsid w:val="00D612DD"/>
    <w:rsid w:val="00D6738C"/>
    <w:rsid w:val="00D72713"/>
    <w:rsid w:val="00D74F96"/>
    <w:rsid w:val="00D776DD"/>
    <w:rsid w:val="00D77BC9"/>
    <w:rsid w:val="00D77DC7"/>
    <w:rsid w:val="00D83B22"/>
    <w:rsid w:val="00DA0193"/>
    <w:rsid w:val="00DA5CFD"/>
    <w:rsid w:val="00DA73DD"/>
    <w:rsid w:val="00DC0019"/>
    <w:rsid w:val="00DC642B"/>
    <w:rsid w:val="00DC6759"/>
    <w:rsid w:val="00DD55FC"/>
    <w:rsid w:val="00DE4973"/>
    <w:rsid w:val="00DE5C2D"/>
    <w:rsid w:val="00DF1B48"/>
    <w:rsid w:val="00DF204A"/>
    <w:rsid w:val="00DF2C36"/>
    <w:rsid w:val="00E12416"/>
    <w:rsid w:val="00E201C2"/>
    <w:rsid w:val="00E24865"/>
    <w:rsid w:val="00E403E4"/>
    <w:rsid w:val="00E4260F"/>
    <w:rsid w:val="00E52FA3"/>
    <w:rsid w:val="00E5675F"/>
    <w:rsid w:val="00E603F9"/>
    <w:rsid w:val="00E633BC"/>
    <w:rsid w:val="00E65C47"/>
    <w:rsid w:val="00E7389E"/>
    <w:rsid w:val="00E861B6"/>
    <w:rsid w:val="00E9056A"/>
    <w:rsid w:val="00EA5A78"/>
    <w:rsid w:val="00EB23B0"/>
    <w:rsid w:val="00EB7FE8"/>
    <w:rsid w:val="00EC338F"/>
    <w:rsid w:val="00EC5233"/>
    <w:rsid w:val="00ED2FB6"/>
    <w:rsid w:val="00ED7828"/>
    <w:rsid w:val="00EE465C"/>
    <w:rsid w:val="00EE661C"/>
    <w:rsid w:val="00EF1D0B"/>
    <w:rsid w:val="00EF41FB"/>
    <w:rsid w:val="00EF7DBA"/>
    <w:rsid w:val="00F013C8"/>
    <w:rsid w:val="00F015C9"/>
    <w:rsid w:val="00F12087"/>
    <w:rsid w:val="00F13268"/>
    <w:rsid w:val="00F17EBC"/>
    <w:rsid w:val="00F2011D"/>
    <w:rsid w:val="00F261B5"/>
    <w:rsid w:val="00F262A4"/>
    <w:rsid w:val="00F339DC"/>
    <w:rsid w:val="00F34741"/>
    <w:rsid w:val="00F435B3"/>
    <w:rsid w:val="00F54D60"/>
    <w:rsid w:val="00F56244"/>
    <w:rsid w:val="00F60CA8"/>
    <w:rsid w:val="00F8038D"/>
    <w:rsid w:val="00F93080"/>
    <w:rsid w:val="00FA6339"/>
    <w:rsid w:val="00FB46FD"/>
    <w:rsid w:val="00FB544A"/>
    <w:rsid w:val="00FB550D"/>
    <w:rsid w:val="00FB66EE"/>
    <w:rsid w:val="00FC0E2D"/>
    <w:rsid w:val="00FC65E2"/>
    <w:rsid w:val="00FD0A53"/>
    <w:rsid w:val="00FD40F7"/>
    <w:rsid w:val="00FE1B15"/>
    <w:rsid w:val="00FE1CD5"/>
    <w:rsid w:val="00FE5243"/>
    <w:rsid w:val="00FF0F72"/>
    <w:rsid w:val="00FF16A6"/>
    <w:rsid w:val="00FF3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06349"/>
  <w15:chartTrackingRefBased/>
  <w15:docId w15:val="{FD2641A6-E256-44C3-8463-EED0B7622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6E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6E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6E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6E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6E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6E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6E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6E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6E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E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6E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6E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6E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6E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6E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6E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6E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6E92"/>
    <w:rPr>
      <w:rFonts w:eastAsiaTheme="majorEastAsia" w:cstheme="majorBidi"/>
      <w:color w:val="272727" w:themeColor="text1" w:themeTint="D8"/>
    </w:rPr>
  </w:style>
  <w:style w:type="paragraph" w:styleId="Title">
    <w:name w:val="Title"/>
    <w:basedOn w:val="Normal"/>
    <w:next w:val="Normal"/>
    <w:link w:val="TitleChar"/>
    <w:uiPriority w:val="10"/>
    <w:qFormat/>
    <w:rsid w:val="00C16E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6E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6E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6E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6E92"/>
    <w:pPr>
      <w:spacing w:before="160"/>
      <w:jc w:val="center"/>
    </w:pPr>
    <w:rPr>
      <w:i/>
      <w:iCs/>
      <w:color w:val="404040" w:themeColor="text1" w:themeTint="BF"/>
    </w:rPr>
  </w:style>
  <w:style w:type="character" w:customStyle="1" w:styleId="QuoteChar">
    <w:name w:val="Quote Char"/>
    <w:basedOn w:val="DefaultParagraphFont"/>
    <w:link w:val="Quote"/>
    <w:uiPriority w:val="29"/>
    <w:rsid w:val="00C16E92"/>
    <w:rPr>
      <w:i/>
      <w:iCs/>
      <w:color w:val="404040" w:themeColor="text1" w:themeTint="BF"/>
    </w:rPr>
  </w:style>
  <w:style w:type="paragraph" w:styleId="ListParagraph">
    <w:name w:val="List Paragraph"/>
    <w:basedOn w:val="Normal"/>
    <w:uiPriority w:val="34"/>
    <w:qFormat/>
    <w:rsid w:val="00C16E92"/>
    <w:pPr>
      <w:ind w:left="720"/>
      <w:contextualSpacing/>
    </w:pPr>
  </w:style>
  <w:style w:type="character" w:styleId="IntenseEmphasis">
    <w:name w:val="Intense Emphasis"/>
    <w:basedOn w:val="DefaultParagraphFont"/>
    <w:uiPriority w:val="21"/>
    <w:qFormat/>
    <w:rsid w:val="00C16E92"/>
    <w:rPr>
      <w:i/>
      <w:iCs/>
      <w:color w:val="0F4761" w:themeColor="accent1" w:themeShade="BF"/>
    </w:rPr>
  </w:style>
  <w:style w:type="paragraph" w:styleId="IntenseQuote">
    <w:name w:val="Intense Quote"/>
    <w:basedOn w:val="Normal"/>
    <w:next w:val="Normal"/>
    <w:link w:val="IntenseQuoteChar"/>
    <w:uiPriority w:val="30"/>
    <w:qFormat/>
    <w:rsid w:val="00C16E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6E92"/>
    <w:rPr>
      <w:i/>
      <w:iCs/>
      <w:color w:val="0F4761" w:themeColor="accent1" w:themeShade="BF"/>
    </w:rPr>
  </w:style>
  <w:style w:type="character" w:styleId="IntenseReference">
    <w:name w:val="Intense Reference"/>
    <w:basedOn w:val="DefaultParagraphFont"/>
    <w:uiPriority w:val="32"/>
    <w:qFormat/>
    <w:rsid w:val="00C16E92"/>
    <w:rPr>
      <w:b/>
      <w:bCs/>
      <w:smallCaps/>
      <w:color w:val="0F4761" w:themeColor="accent1" w:themeShade="BF"/>
      <w:spacing w:val="5"/>
    </w:rPr>
  </w:style>
  <w:style w:type="character" w:styleId="Hyperlink">
    <w:name w:val="Hyperlink"/>
    <w:basedOn w:val="DefaultParagraphFont"/>
    <w:uiPriority w:val="99"/>
    <w:unhideWhenUsed/>
    <w:rsid w:val="00FE1CD5"/>
    <w:rPr>
      <w:color w:val="467886" w:themeColor="hyperlink"/>
      <w:u w:val="single"/>
    </w:rPr>
  </w:style>
  <w:style w:type="character" w:styleId="UnresolvedMention">
    <w:name w:val="Unresolved Mention"/>
    <w:basedOn w:val="DefaultParagraphFont"/>
    <w:uiPriority w:val="99"/>
    <w:semiHidden/>
    <w:unhideWhenUsed/>
    <w:rsid w:val="00FE1CD5"/>
    <w:rPr>
      <w:color w:val="605E5C"/>
      <w:shd w:val="clear" w:color="auto" w:fill="E1DFDD"/>
    </w:rPr>
  </w:style>
  <w:style w:type="paragraph" w:styleId="FootnoteText">
    <w:name w:val="footnote text"/>
    <w:basedOn w:val="Normal"/>
    <w:link w:val="FootnoteTextChar"/>
    <w:uiPriority w:val="99"/>
    <w:semiHidden/>
    <w:unhideWhenUsed/>
    <w:rsid w:val="004519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1903"/>
    <w:rPr>
      <w:sz w:val="20"/>
      <w:szCs w:val="20"/>
    </w:rPr>
  </w:style>
  <w:style w:type="character" w:styleId="FootnoteReference">
    <w:name w:val="footnote reference"/>
    <w:basedOn w:val="DefaultParagraphFont"/>
    <w:uiPriority w:val="99"/>
    <w:semiHidden/>
    <w:unhideWhenUsed/>
    <w:rsid w:val="00451903"/>
    <w:rPr>
      <w:vertAlign w:val="superscript"/>
    </w:rPr>
  </w:style>
  <w:style w:type="character" w:styleId="FollowedHyperlink">
    <w:name w:val="FollowedHyperlink"/>
    <w:basedOn w:val="DefaultParagraphFont"/>
    <w:uiPriority w:val="99"/>
    <w:semiHidden/>
    <w:unhideWhenUsed/>
    <w:rsid w:val="003A497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22369">
      <w:bodyDiv w:val="1"/>
      <w:marLeft w:val="0"/>
      <w:marRight w:val="0"/>
      <w:marTop w:val="0"/>
      <w:marBottom w:val="0"/>
      <w:divBdr>
        <w:top w:val="none" w:sz="0" w:space="0" w:color="auto"/>
        <w:left w:val="none" w:sz="0" w:space="0" w:color="auto"/>
        <w:bottom w:val="none" w:sz="0" w:space="0" w:color="auto"/>
        <w:right w:val="none" w:sz="0" w:space="0" w:color="auto"/>
      </w:divBdr>
      <w:divsChild>
        <w:div w:id="613177180">
          <w:marLeft w:val="0"/>
          <w:marRight w:val="0"/>
          <w:marTop w:val="0"/>
          <w:marBottom w:val="0"/>
          <w:divBdr>
            <w:top w:val="none" w:sz="0" w:space="0" w:color="auto"/>
            <w:left w:val="none" w:sz="0" w:space="0" w:color="auto"/>
            <w:bottom w:val="none" w:sz="0" w:space="0" w:color="auto"/>
            <w:right w:val="none" w:sz="0" w:space="0" w:color="auto"/>
          </w:divBdr>
          <w:divsChild>
            <w:div w:id="1571966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42915">
      <w:bodyDiv w:val="1"/>
      <w:marLeft w:val="0"/>
      <w:marRight w:val="0"/>
      <w:marTop w:val="0"/>
      <w:marBottom w:val="0"/>
      <w:divBdr>
        <w:top w:val="none" w:sz="0" w:space="0" w:color="auto"/>
        <w:left w:val="none" w:sz="0" w:space="0" w:color="auto"/>
        <w:bottom w:val="none" w:sz="0" w:space="0" w:color="auto"/>
        <w:right w:val="none" w:sz="0" w:space="0" w:color="auto"/>
      </w:divBdr>
    </w:div>
    <w:div w:id="161438719">
      <w:bodyDiv w:val="1"/>
      <w:marLeft w:val="0"/>
      <w:marRight w:val="0"/>
      <w:marTop w:val="0"/>
      <w:marBottom w:val="0"/>
      <w:divBdr>
        <w:top w:val="none" w:sz="0" w:space="0" w:color="auto"/>
        <w:left w:val="none" w:sz="0" w:space="0" w:color="auto"/>
        <w:bottom w:val="none" w:sz="0" w:space="0" w:color="auto"/>
        <w:right w:val="none" w:sz="0" w:space="0" w:color="auto"/>
      </w:divBdr>
      <w:divsChild>
        <w:div w:id="495658814">
          <w:marLeft w:val="0"/>
          <w:marRight w:val="0"/>
          <w:marTop w:val="0"/>
          <w:marBottom w:val="0"/>
          <w:divBdr>
            <w:top w:val="none" w:sz="0" w:space="0" w:color="auto"/>
            <w:left w:val="none" w:sz="0" w:space="0" w:color="auto"/>
            <w:bottom w:val="none" w:sz="0" w:space="0" w:color="auto"/>
            <w:right w:val="none" w:sz="0" w:space="0" w:color="auto"/>
          </w:divBdr>
          <w:divsChild>
            <w:div w:id="201660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14807">
      <w:bodyDiv w:val="1"/>
      <w:marLeft w:val="0"/>
      <w:marRight w:val="0"/>
      <w:marTop w:val="0"/>
      <w:marBottom w:val="0"/>
      <w:divBdr>
        <w:top w:val="none" w:sz="0" w:space="0" w:color="auto"/>
        <w:left w:val="none" w:sz="0" w:space="0" w:color="auto"/>
        <w:bottom w:val="none" w:sz="0" w:space="0" w:color="auto"/>
        <w:right w:val="none" w:sz="0" w:space="0" w:color="auto"/>
      </w:divBdr>
    </w:div>
    <w:div w:id="489755207">
      <w:bodyDiv w:val="1"/>
      <w:marLeft w:val="0"/>
      <w:marRight w:val="0"/>
      <w:marTop w:val="0"/>
      <w:marBottom w:val="0"/>
      <w:divBdr>
        <w:top w:val="none" w:sz="0" w:space="0" w:color="auto"/>
        <w:left w:val="none" w:sz="0" w:space="0" w:color="auto"/>
        <w:bottom w:val="none" w:sz="0" w:space="0" w:color="auto"/>
        <w:right w:val="none" w:sz="0" w:space="0" w:color="auto"/>
      </w:divBdr>
      <w:divsChild>
        <w:div w:id="1345327653">
          <w:marLeft w:val="0"/>
          <w:marRight w:val="0"/>
          <w:marTop w:val="0"/>
          <w:marBottom w:val="0"/>
          <w:divBdr>
            <w:top w:val="none" w:sz="0" w:space="0" w:color="auto"/>
            <w:left w:val="none" w:sz="0" w:space="0" w:color="auto"/>
            <w:bottom w:val="none" w:sz="0" w:space="0" w:color="auto"/>
            <w:right w:val="none" w:sz="0" w:space="0" w:color="auto"/>
          </w:divBdr>
          <w:divsChild>
            <w:div w:id="43445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370129">
      <w:bodyDiv w:val="1"/>
      <w:marLeft w:val="0"/>
      <w:marRight w:val="0"/>
      <w:marTop w:val="0"/>
      <w:marBottom w:val="0"/>
      <w:divBdr>
        <w:top w:val="none" w:sz="0" w:space="0" w:color="auto"/>
        <w:left w:val="none" w:sz="0" w:space="0" w:color="auto"/>
        <w:bottom w:val="none" w:sz="0" w:space="0" w:color="auto"/>
        <w:right w:val="none" w:sz="0" w:space="0" w:color="auto"/>
      </w:divBdr>
    </w:div>
    <w:div w:id="592737215">
      <w:bodyDiv w:val="1"/>
      <w:marLeft w:val="0"/>
      <w:marRight w:val="0"/>
      <w:marTop w:val="0"/>
      <w:marBottom w:val="0"/>
      <w:divBdr>
        <w:top w:val="none" w:sz="0" w:space="0" w:color="auto"/>
        <w:left w:val="none" w:sz="0" w:space="0" w:color="auto"/>
        <w:bottom w:val="none" w:sz="0" w:space="0" w:color="auto"/>
        <w:right w:val="none" w:sz="0" w:space="0" w:color="auto"/>
      </w:divBdr>
      <w:divsChild>
        <w:div w:id="610015074">
          <w:marLeft w:val="0"/>
          <w:marRight w:val="0"/>
          <w:marTop w:val="0"/>
          <w:marBottom w:val="0"/>
          <w:divBdr>
            <w:top w:val="none" w:sz="0" w:space="0" w:color="auto"/>
            <w:left w:val="none" w:sz="0" w:space="0" w:color="auto"/>
            <w:bottom w:val="none" w:sz="0" w:space="0" w:color="auto"/>
            <w:right w:val="none" w:sz="0" w:space="0" w:color="auto"/>
          </w:divBdr>
          <w:divsChild>
            <w:div w:id="70374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732917">
      <w:bodyDiv w:val="1"/>
      <w:marLeft w:val="0"/>
      <w:marRight w:val="0"/>
      <w:marTop w:val="0"/>
      <w:marBottom w:val="0"/>
      <w:divBdr>
        <w:top w:val="none" w:sz="0" w:space="0" w:color="auto"/>
        <w:left w:val="none" w:sz="0" w:space="0" w:color="auto"/>
        <w:bottom w:val="none" w:sz="0" w:space="0" w:color="auto"/>
        <w:right w:val="none" w:sz="0" w:space="0" w:color="auto"/>
      </w:divBdr>
      <w:divsChild>
        <w:div w:id="1835872554">
          <w:marLeft w:val="0"/>
          <w:marRight w:val="0"/>
          <w:marTop w:val="0"/>
          <w:marBottom w:val="0"/>
          <w:divBdr>
            <w:top w:val="none" w:sz="0" w:space="0" w:color="auto"/>
            <w:left w:val="none" w:sz="0" w:space="0" w:color="auto"/>
            <w:bottom w:val="none" w:sz="0" w:space="0" w:color="auto"/>
            <w:right w:val="none" w:sz="0" w:space="0" w:color="auto"/>
          </w:divBdr>
          <w:divsChild>
            <w:div w:id="97009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413552">
      <w:bodyDiv w:val="1"/>
      <w:marLeft w:val="0"/>
      <w:marRight w:val="0"/>
      <w:marTop w:val="0"/>
      <w:marBottom w:val="0"/>
      <w:divBdr>
        <w:top w:val="none" w:sz="0" w:space="0" w:color="auto"/>
        <w:left w:val="none" w:sz="0" w:space="0" w:color="auto"/>
        <w:bottom w:val="none" w:sz="0" w:space="0" w:color="auto"/>
        <w:right w:val="none" w:sz="0" w:space="0" w:color="auto"/>
      </w:divBdr>
      <w:divsChild>
        <w:div w:id="678973000">
          <w:marLeft w:val="0"/>
          <w:marRight w:val="0"/>
          <w:marTop w:val="0"/>
          <w:marBottom w:val="0"/>
          <w:divBdr>
            <w:top w:val="none" w:sz="0" w:space="0" w:color="auto"/>
            <w:left w:val="none" w:sz="0" w:space="0" w:color="auto"/>
            <w:bottom w:val="none" w:sz="0" w:space="0" w:color="auto"/>
            <w:right w:val="none" w:sz="0" w:space="0" w:color="auto"/>
          </w:divBdr>
          <w:divsChild>
            <w:div w:id="57135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869081">
      <w:bodyDiv w:val="1"/>
      <w:marLeft w:val="0"/>
      <w:marRight w:val="0"/>
      <w:marTop w:val="0"/>
      <w:marBottom w:val="0"/>
      <w:divBdr>
        <w:top w:val="none" w:sz="0" w:space="0" w:color="auto"/>
        <w:left w:val="none" w:sz="0" w:space="0" w:color="auto"/>
        <w:bottom w:val="none" w:sz="0" w:space="0" w:color="auto"/>
        <w:right w:val="none" w:sz="0" w:space="0" w:color="auto"/>
      </w:divBdr>
    </w:div>
    <w:div w:id="1150288265">
      <w:bodyDiv w:val="1"/>
      <w:marLeft w:val="0"/>
      <w:marRight w:val="0"/>
      <w:marTop w:val="0"/>
      <w:marBottom w:val="0"/>
      <w:divBdr>
        <w:top w:val="none" w:sz="0" w:space="0" w:color="auto"/>
        <w:left w:val="none" w:sz="0" w:space="0" w:color="auto"/>
        <w:bottom w:val="none" w:sz="0" w:space="0" w:color="auto"/>
        <w:right w:val="none" w:sz="0" w:space="0" w:color="auto"/>
      </w:divBdr>
    </w:div>
    <w:div w:id="1163204403">
      <w:bodyDiv w:val="1"/>
      <w:marLeft w:val="0"/>
      <w:marRight w:val="0"/>
      <w:marTop w:val="0"/>
      <w:marBottom w:val="0"/>
      <w:divBdr>
        <w:top w:val="none" w:sz="0" w:space="0" w:color="auto"/>
        <w:left w:val="none" w:sz="0" w:space="0" w:color="auto"/>
        <w:bottom w:val="none" w:sz="0" w:space="0" w:color="auto"/>
        <w:right w:val="none" w:sz="0" w:space="0" w:color="auto"/>
      </w:divBdr>
      <w:divsChild>
        <w:div w:id="548997593">
          <w:marLeft w:val="0"/>
          <w:marRight w:val="0"/>
          <w:marTop w:val="0"/>
          <w:marBottom w:val="0"/>
          <w:divBdr>
            <w:top w:val="none" w:sz="0" w:space="0" w:color="auto"/>
            <w:left w:val="none" w:sz="0" w:space="0" w:color="auto"/>
            <w:bottom w:val="none" w:sz="0" w:space="0" w:color="auto"/>
            <w:right w:val="none" w:sz="0" w:space="0" w:color="auto"/>
          </w:divBdr>
          <w:divsChild>
            <w:div w:id="51846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477699">
      <w:bodyDiv w:val="1"/>
      <w:marLeft w:val="0"/>
      <w:marRight w:val="0"/>
      <w:marTop w:val="0"/>
      <w:marBottom w:val="0"/>
      <w:divBdr>
        <w:top w:val="none" w:sz="0" w:space="0" w:color="auto"/>
        <w:left w:val="none" w:sz="0" w:space="0" w:color="auto"/>
        <w:bottom w:val="none" w:sz="0" w:space="0" w:color="auto"/>
        <w:right w:val="none" w:sz="0" w:space="0" w:color="auto"/>
      </w:divBdr>
      <w:divsChild>
        <w:div w:id="352389499">
          <w:marLeft w:val="0"/>
          <w:marRight w:val="0"/>
          <w:marTop w:val="0"/>
          <w:marBottom w:val="0"/>
          <w:divBdr>
            <w:top w:val="none" w:sz="0" w:space="0" w:color="auto"/>
            <w:left w:val="none" w:sz="0" w:space="0" w:color="auto"/>
            <w:bottom w:val="none" w:sz="0" w:space="0" w:color="auto"/>
            <w:right w:val="none" w:sz="0" w:space="0" w:color="auto"/>
          </w:divBdr>
          <w:divsChild>
            <w:div w:id="155007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504109">
      <w:bodyDiv w:val="1"/>
      <w:marLeft w:val="0"/>
      <w:marRight w:val="0"/>
      <w:marTop w:val="0"/>
      <w:marBottom w:val="0"/>
      <w:divBdr>
        <w:top w:val="none" w:sz="0" w:space="0" w:color="auto"/>
        <w:left w:val="none" w:sz="0" w:space="0" w:color="auto"/>
        <w:bottom w:val="none" w:sz="0" w:space="0" w:color="auto"/>
        <w:right w:val="none" w:sz="0" w:space="0" w:color="auto"/>
      </w:divBdr>
      <w:divsChild>
        <w:div w:id="1461341925">
          <w:marLeft w:val="0"/>
          <w:marRight w:val="0"/>
          <w:marTop w:val="0"/>
          <w:marBottom w:val="0"/>
          <w:divBdr>
            <w:top w:val="none" w:sz="0" w:space="0" w:color="auto"/>
            <w:left w:val="none" w:sz="0" w:space="0" w:color="auto"/>
            <w:bottom w:val="none" w:sz="0" w:space="0" w:color="auto"/>
            <w:right w:val="none" w:sz="0" w:space="0" w:color="auto"/>
          </w:divBdr>
          <w:divsChild>
            <w:div w:id="29911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820084">
      <w:bodyDiv w:val="1"/>
      <w:marLeft w:val="0"/>
      <w:marRight w:val="0"/>
      <w:marTop w:val="0"/>
      <w:marBottom w:val="0"/>
      <w:divBdr>
        <w:top w:val="none" w:sz="0" w:space="0" w:color="auto"/>
        <w:left w:val="none" w:sz="0" w:space="0" w:color="auto"/>
        <w:bottom w:val="none" w:sz="0" w:space="0" w:color="auto"/>
        <w:right w:val="none" w:sz="0" w:space="0" w:color="auto"/>
      </w:divBdr>
      <w:divsChild>
        <w:div w:id="1749384099">
          <w:marLeft w:val="0"/>
          <w:marRight w:val="0"/>
          <w:marTop w:val="0"/>
          <w:marBottom w:val="0"/>
          <w:divBdr>
            <w:top w:val="none" w:sz="0" w:space="0" w:color="auto"/>
            <w:left w:val="none" w:sz="0" w:space="0" w:color="auto"/>
            <w:bottom w:val="none" w:sz="0" w:space="0" w:color="auto"/>
            <w:right w:val="none" w:sz="0" w:space="0" w:color="auto"/>
          </w:divBdr>
          <w:divsChild>
            <w:div w:id="118574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330098">
      <w:bodyDiv w:val="1"/>
      <w:marLeft w:val="0"/>
      <w:marRight w:val="0"/>
      <w:marTop w:val="0"/>
      <w:marBottom w:val="0"/>
      <w:divBdr>
        <w:top w:val="none" w:sz="0" w:space="0" w:color="auto"/>
        <w:left w:val="none" w:sz="0" w:space="0" w:color="auto"/>
        <w:bottom w:val="none" w:sz="0" w:space="0" w:color="auto"/>
        <w:right w:val="none" w:sz="0" w:space="0" w:color="auto"/>
      </w:divBdr>
    </w:div>
    <w:div w:id="1317102570">
      <w:bodyDiv w:val="1"/>
      <w:marLeft w:val="0"/>
      <w:marRight w:val="0"/>
      <w:marTop w:val="0"/>
      <w:marBottom w:val="0"/>
      <w:divBdr>
        <w:top w:val="none" w:sz="0" w:space="0" w:color="auto"/>
        <w:left w:val="none" w:sz="0" w:space="0" w:color="auto"/>
        <w:bottom w:val="none" w:sz="0" w:space="0" w:color="auto"/>
        <w:right w:val="none" w:sz="0" w:space="0" w:color="auto"/>
      </w:divBdr>
      <w:divsChild>
        <w:div w:id="1453590724">
          <w:marLeft w:val="0"/>
          <w:marRight w:val="0"/>
          <w:marTop w:val="0"/>
          <w:marBottom w:val="0"/>
          <w:divBdr>
            <w:top w:val="none" w:sz="0" w:space="0" w:color="auto"/>
            <w:left w:val="none" w:sz="0" w:space="0" w:color="auto"/>
            <w:bottom w:val="none" w:sz="0" w:space="0" w:color="auto"/>
            <w:right w:val="none" w:sz="0" w:space="0" w:color="auto"/>
          </w:divBdr>
          <w:divsChild>
            <w:div w:id="49257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272083">
      <w:bodyDiv w:val="1"/>
      <w:marLeft w:val="0"/>
      <w:marRight w:val="0"/>
      <w:marTop w:val="0"/>
      <w:marBottom w:val="0"/>
      <w:divBdr>
        <w:top w:val="none" w:sz="0" w:space="0" w:color="auto"/>
        <w:left w:val="none" w:sz="0" w:space="0" w:color="auto"/>
        <w:bottom w:val="none" w:sz="0" w:space="0" w:color="auto"/>
        <w:right w:val="none" w:sz="0" w:space="0" w:color="auto"/>
      </w:divBdr>
    </w:div>
    <w:div w:id="1583493952">
      <w:bodyDiv w:val="1"/>
      <w:marLeft w:val="0"/>
      <w:marRight w:val="0"/>
      <w:marTop w:val="0"/>
      <w:marBottom w:val="0"/>
      <w:divBdr>
        <w:top w:val="none" w:sz="0" w:space="0" w:color="auto"/>
        <w:left w:val="none" w:sz="0" w:space="0" w:color="auto"/>
        <w:bottom w:val="none" w:sz="0" w:space="0" w:color="auto"/>
        <w:right w:val="none" w:sz="0" w:space="0" w:color="auto"/>
      </w:divBdr>
    </w:div>
    <w:div w:id="1715613740">
      <w:bodyDiv w:val="1"/>
      <w:marLeft w:val="0"/>
      <w:marRight w:val="0"/>
      <w:marTop w:val="0"/>
      <w:marBottom w:val="0"/>
      <w:divBdr>
        <w:top w:val="none" w:sz="0" w:space="0" w:color="auto"/>
        <w:left w:val="none" w:sz="0" w:space="0" w:color="auto"/>
        <w:bottom w:val="none" w:sz="0" w:space="0" w:color="auto"/>
        <w:right w:val="none" w:sz="0" w:space="0" w:color="auto"/>
      </w:divBdr>
    </w:div>
    <w:div w:id="1954629416">
      <w:bodyDiv w:val="1"/>
      <w:marLeft w:val="0"/>
      <w:marRight w:val="0"/>
      <w:marTop w:val="0"/>
      <w:marBottom w:val="0"/>
      <w:divBdr>
        <w:top w:val="none" w:sz="0" w:space="0" w:color="auto"/>
        <w:left w:val="none" w:sz="0" w:space="0" w:color="auto"/>
        <w:bottom w:val="none" w:sz="0" w:space="0" w:color="auto"/>
        <w:right w:val="none" w:sz="0" w:space="0" w:color="auto"/>
      </w:divBdr>
    </w:div>
    <w:div w:id="1970239359">
      <w:bodyDiv w:val="1"/>
      <w:marLeft w:val="0"/>
      <w:marRight w:val="0"/>
      <w:marTop w:val="0"/>
      <w:marBottom w:val="0"/>
      <w:divBdr>
        <w:top w:val="none" w:sz="0" w:space="0" w:color="auto"/>
        <w:left w:val="none" w:sz="0" w:space="0" w:color="auto"/>
        <w:bottom w:val="none" w:sz="0" w:space="0" w:color="auto"/>
        <w:right w:val="none" w:sz="0" w:space="0" w:color="auto"/>
      </w:divBdr>
    </w:div>
    <w:div w:id="1990132980">
      <w:bodyDiv w:val="1"/>
      <w:marLeft w:val="0"/>
      <w:marRight w:val="0"/>
      <w:marTop w:val="0"/>
      <w:marBottom w:val="0"/>
      <w:divBdr>
        <w:top w:val="none" w:sz="0" w:space="0" w:color="auto"/>
        <w:left w:val="none" w:sz="0" w:space="0" w:color="auto"/>
        <w:bottom w:val="none" w:sz="0" w:space="0" w:color="auto"/>
        <w:right w:val="none" w:sz="0" w:space="0" w:color="auto"/>
      </w:divBdr>
      <w:divsChild>
        <w:div w:id="1241284163">
          <w:marLeft w:val="0"/>
          <w:marRight w:val="0"/>
          <w:marTop w:val="0"/>
          <w:marBottom w:val="0"/>
          <w:divBdr>
            <w:top w:val="none" w:sz="0" w:space="0" w:color="auto"/>
            <w:left w:val="none" w:sz="0" w:space="0" w:color="auto"/>
            <w:bottom w:val="none" w:sz="0" w:space="0" w:color="auto"/>
            <w:right w:val="none" w:sz="0" w:space="0" w:color="auto"/>
          </w:divBdr>
          <w:divsChild>
            <w:div w:id="173958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689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sac.uchicago.edu/collections/photographic-archives/persepolis/apadan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isac.uchicago.edu/collections/photographic-archives/persepolis/gate-xerxes" TargetMode="External"/><Relationship Id="rId4" Type="http://schemas.openxmlformats.org/officeDocument/2006/relationships/settings" Target="settings.xml"/><Relationship Id="rId9" Type="http://schemas.openxmlformats.org/officeDocument/2006/relationships/hyperlink" Target="https://www.perseus.tufts.edu/hopper/text?doc=urn:cts:greekLit:tlg0016.tlg001.perseus-eng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00A1EC-C5B1-4CAA-B1DC-C5C33B794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6034</TotalTime>
  <Pages>8</Pages>
  <Words>3507</Words>
  <Characters>19991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Edwards (2304623)</dc:creator>
  <cp:keywords/>
  <dc:description/>
  <cp:lastModifiedBy>Robert Edwards (2304623)</cp:lastModifiedBy>
  <cp:revision>409</cp:revision>
  <dcterms:created xsi:type="dcterms:W3CDTF">2025-04-28T15:57:00Z</dcterms:created>
  <dcterms:modified xsi:type="dcterms:W3CDTF">2025-05-04T17:39:00Z</dcterms:modified>
</cp:coreProperties>
</file>