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7B38B" w14:textId="77777777" w:rsidR="00FD7520" w:rsidRDefault="00990206">
      <w:pPr>
        <w:pBdr>
          <w:top w:val="nil"/>
          <w:left w:val="nil"/>
          <w:bottom w:val="nil"/>
          <w:right w:val="nil"/>
          <w:between w:val="nil"/>
        </w:pBdr>
        <w:spacing w:line="276" w:lineRule="auto"/>
        <w:jc w:val="center"/>
        <w:rPr>
          <w:rFonts w:ascii="Cambria" w:eastAsia="Cambria" w:hAnsi="Cambria" w:cs="Cambria"/>
          <w:b/>
          <w:color w:val="000000"/>
          <w:sz w:val="22"/>
          <w:szCs w:val="22"/>
        </w:rPr>
      </w:pPr>
      <w:r>
        <w:rPr>
          <w:rFonts w:ascii="Cambria" w:eastAsia="Cambria" w:hAnsi="Cambria" w:cs="Cambria"/>
          <w:b/>
          <w:noProof/>
          <w:color w:val="000000"/>
          <w:sz w:val="22"/>
          <w:szCs w:val="22"/>
        </w:rPr>
        <w:drawing>
          <wp:inline distT="0" distB="0" distL="0" distR="0" wp14:anchorId="2914530C" wp14:editId="0BC2C51C">
            <wp:extent cx="2852367" cy="1584613"/>
            <wp:effectExtent l="0" t="0" r="0" b="0"/>
            <wp:docPr id="2" name="image1.png" descr="university-of-wales-trinity-saint-david-logo-vector.png"/>
            <wp:cNvGraphicFramePr/>
            <a:graphic xmlns:a="http://schemas.openxmlformats.org/drawingml/2006/main">
              <a:graphicData uri="http://schemas.openxmlformats.org/drawingml/2006/picture">
                <pic:pic xmlns:pic="http://schemas.openxmlformats.org/drawingml/2006/picture">
                  <pic:nvPicPr>
                    <pic:cNvPr id="0" name="image1.png" descr="university-of-wales-trinity-saint-david-logo-vector.png"/>
                    <pic:cNvPicPr preferRelativeResize="0"/>
                  </pic:nvPicPr>
                  <pic:blipFill>
                    <a:blip r:embed="rId9"/>
                    <a:srcRect/>
                    <a:stretch>
                      <a:fillRect/>
                    </a:stretch>
                  </pic:blipFill>
                  <pic:spPr>
                    <a:xfrm>
                      <a:off x="0" y="0"/>
                      <a:ext cx="2852367" cy="1584613"/>
                    </a:xfrm>
                    <a:prstGeom prst="rect">
                      <a:avLst/>
                    </a:prstGeom>
                    <a:ln/>
                  </pic:spPr>
                </pic:pic>
              </a:graphicData>
            </a:graphic>
          </wp:inline>
        </w:drawing>
      </w:r>
    </w:p>
    <w:p w14:paraId="56AFBFF9" w14:textId="77777777" w:rsidR="00FD7520" w:rsidRDefault="00FD7520">
      <w:pPr>
        <w:pBdr>
          <w:top w:val="nil"/>
          <w:left w:val="nil"/>
          <w:bottom w:val="nil"/>
          <w:right w:val="nil"/>
          <w:between w:val="nil"/>
        </w:pBdr>
        <w:spacing w:line="276" w:lineRule="auto"/>
        <w:jc w:val="center"/>
        <w:rPr>
          <w:rFonts w:ascii="Cambria" w:eastAsia="Cambria" w:hAnsi="Cambria" w:cs="Cambria"/>
          <w:b/>
          <w:color w:val="000000"/>
          <w:sz w:val="22"/>
          <w:szCs w:val="22"/>
        </w:rPr>
      </w:pPr>
    </w:p>
    <w:p w14:paraId="2F64A38D" w14:textId="77777777" w:rsidR="00FD7520" w:rsidRDefault="00FD7520">
      <w:pPr>
        <w:pBdr>
          <w:top w:val="nil"/>
          <w:left w:val="nil"/>
          <w:bottom w:val="nil"/>
          <w:right w:val="nil"/>
          <w:between w:val="nil"/>
        </w:pBdr>
        <w:spacing w:line="276" w:lineRule="auto"/>
        <w:jc w:val="center"/>
        <w:rPr>
          <w:rFonts w:ascii="Cambria" w:eastAsia="Cambria" w:hAnsi="Cambria" w:cs="Cambria"/>
          <w:b/>
          <w:color w:val="000000"/>
          <w:sz w:val="22"/>
          <w:szCs w:val="22"/>
        </w:rPr>
      </w:pPr>
    </w:p>
    <w:p w14:paraId="42E327DF" w14:textId="77777777" w:rsidR="00FD7520" w:rsidRDefault="00FD7520">
      <w:pPr>
        <w:pBdr>
          <w:top w:val="nil"/>
          <w:left w:val="nil"/>
          <w:bottom w:val="nil"/>
          <w:right w:val="nil"/>
          <w:between w:val="nil"/>
        </w:pBdr>
        <w:spacing w:line="276" w:lineRule="auto"/>
        <w:jc w:val="center"/>
        <w:rPr>
          <w:rFonts w:ascii="Cambria" w:eastAsia="Cambria" w:hAnsi="Cambria" w:cs="Cambria"/>
          <w:b/>
          <w:color w:val="000000"/>
          <w:sz w:val="22"/>
          <w:szCs w:val="22"/>
        </w:rPr>
      </w:pPr>
    </w:p>
    <w:p w14:paraId="1F7D7313" w14:textId="77777777" w:rsidR="00FD7520" w:rsidRDefault="00FD7520">
      <w:pPr>
        <w:pBdr>
          <w:top w:val="nil"/>
          <w:left w:val="nil"/>
          <w:bottom w:val="nil"/>
          <w:right w:val="nil"/>
          <w:between w:val="nil"/>
        </w:pBdr>
        <w:spacing w:line="276" w:lineRule="auto"/>
        <w:jc w:val="center"/>
        <w:rPr>
          <w:rFonts w:ascii="Cambria" w:eastAsia="Cambria" w:hAnsi="Cambria" w:cs="Cambria"/>
          <w:b/>
          <w:color w:val="000000"/>
          <w:sz w:val="22"/>
          <w:szCs w:val="22"/>
        </w:rPr>
      </w:pPr>
    </w:p>
    <w:p w14:paraId="2AB46A4F" w14:textId="77777777" w:rsidR="00FD7520" w:rsidRDefault="00FD7520">
      <w:pPr>
        <w:pBdr>
          <w:top w:val="nil"/>
          <w:left w:val="nil"/>
          <w:bottom w:val="nil"/>
          <w:right w:val="nil"/>
          <w:between w:val="nil"/>
        </w:pBdr>
        <w:spacing w:line="276" w:lineRule="auto"/>
        <w:jc w:val="center"/>
        <w:rPr>
          <w:rFonts w:ascii="Cambria" w:eastAsia="Cambria" w:hAnsi="Cambria" w:cs="Cambria"/>
          <w:b/>
          <w:color w:val="000000"/>
          <w:sz w:val="22"/>
          <w:szCs w:val="22"/>
        </w:rPr>
      </w:pPr>
    </w:p>
    <w:p w14:paraId="665F1A56" w14:textId="77777777" w:rsidR="00FD7520" w:rsidRDefault="00FD7520">
      <w:pPr>
        <w:pBdr>
          <w:top w:val="nil"/>
          <w:left w:val="nil"/>
          <w:bottom w:val="nil"/>
          <w:right w:val="nil"/>
          <w:between w:val="nil"/>
        </w:pBdr>
        <w:spacing w:line="276" w:lineRule="auto"/>
        <w:jc w:val="center"/>
        <w:rPr>
          <w:rFonts w:ascii="Cambria" w:eastAsia="Cambria" w:hAnsi="Cambria" w:cs="Cambria"/>
          <w:b/>
          <w:color w:val="000000"/>
          <w:sz w:val="22"/>
          <w:szCs w:val="22"/>
        </w:rPr>
      </w:pPr>
    </w:p>
    <w:p w14:paraId="69823393" w14:textId="77777777" w:rsidR="00FD7520" w:rsidRDefault="00FD7520">
      <w:pPr>
        <w:pBdr>
          <w:top w:val="nil"/>
          <w:left w:val="nil"/>
          <w:bottom w:val="nil"/>
          <w:right w:val="nil"/>
          <w:between w:val="nil"/>
        </w:pBdr>
        <w:spacing w:line="276" w:lineRule="auto"/>
        <w:jc w:val="center"/>
        <w:rPr>
          <w:rFonts w:ascii="Cambria" w:eastAsia="Cambria" w:hAnsi="Cambria" w:cs="Cambria"/>
          <w:b/>
          <w:color w:val="000000"/>
          <w:sz w:val="22"/>
          <w:szCs w:val="22"/>
        </w:rPr>
      </w:pPr>
    </w:p>
    <w:p w14:paraId="4301828B" w14:textId="77777777" w:rsidR="00FD7520" w:rsidRDefault="00990206">
      <w:pPr>
        <w:pBdr>
          <w:top w:val="nil"/>
          <w:left w:val="nil"/>
          <w:bottom w:val="nil"/>
          <w:right w:val="nil"/>
          <w:between w:val="nil"/>
        </w:pBdr>
        <w:spacing w:line="276" w:lineRule="auto"/>
        <w:jc w:val="center"/>
        <w:rPr>
          <w:b/>
          <w:color w:val="000000"/>
          <w:sz w:val="36"/>
          <w:szCs w:val="36"/>
        </w:rPr>
      </w:pPr>
      <w:r>
        <w:rPr>
          <w:b/>
          <w:color w:val="000000"/>
          <w:sz w:val="36"/>
          <w:szCs w:val="36"/>
        </w:rPr>
        <w:t>Module: Criminal Law</w:t>
      </w:r>
    </w:p>
    <w:p w14:paraId="2BF9D6CE" w14:textId="77777777" w:rsidR="00FD7520" w:rsidRDefault="00FD7520">
      <w:pPr>
        <w:pBdr>
          <w:top w:val="nil"/>
          <w:left w:val="nil"/>
          <w:bottom w:val="nil"/>
          <w:right w:val="nil"/>
          <w:between w:val="nil"/>
        </w:pBdr>
        <w:spacing w:line="276" w:lineRule="auto"/>
        <w:jc w:val="center"/>
        <w:rPr>
          <w:b/>
          <w:color w:val="000000"/>
        </w:rPr>
      </w:pPr>
    </w:p>
    <w:p w14:paraId="2AB25B2E" w14:textId="77777777" w:rsidR="00FD7520" w:rsidRDefault="00990206">
      <w:pPr>
        <w:pBdr>
          <w:top w:val="nil"/>
          <w:left w:val="nil"/>
          <w:bottom w:val="nil"/>
          <w:right w:val="nil"/>
          <w:between w:val="nil"/>
        </w:pBdr>
        <w:spacing w:line="276" w:lineRule="auto"/>
        <w:jc w:val="center"/>
        <w:rPr>
          <w:b/>
          <w:color w:val="000000"/>
        </w:rPr>
      </w:pPr>
      <w:r>
        <w:rPr>
          <w:b/>
          <w:color w:val="000000"/>
        </w:rPr>
        <w:t>Module Code: BMPL4009 BMLW4005</w:t>
      </w:r>
    </w:p>
    <w:p w14:paraId="1760ABFC" w14:textId="77777777" w:rsidR="00FD7520" w:rsidRDefault="00FD7520">
      <w:pPr>
        <w:pBdr>
          <w:top w:val="nil"/>
          <w:left w:val="nil"/>
          <w:bottom w:val="nil"/>
          <w:right w:val="nil"/>
          <w:between w:val="nil"/>
        </w:pBdr>
        <w:spacing w:line="276" w:lineRule="auto"/>
        <w:jc w:val="center"/>
        <w:rPr>
          <w:b/>
          <w:color w:val="000000"/>
        </w:rPr>
      </w:pPr>
    </w:p>
    <w:p w14:paraId="72B2A5D4" w14:textId="2094F222" w:rsidR="00FD7520" w:rsidRDefault="00990206">
      <w:pPr>
        <w:pBdr>
          <w:top w:val="nil"/>
          <w:left w:val="nil"/>
          <w:bottom w:val="nil"/>
          <w:right w:val="nil"/>
          <w:between w:val="nil"/>
        </w:pBdr>
        <w:spacing w:line="276" w:lineRule="auto"/>
        <w:jc w:val="center"/>
        <w:rPr>
          <w:b/>
          <w:color w:val="000000"/>
        </w:rPr>
      </w:pPr>
      <w:r>
        <w:rPr>
          <w:b/>
          <w:color w:val="000000"/>
        </w:rPr>
        <w:t>Student Name:</w:t>
      </w:r>
      <w:r w:rsidR="00CF4ABB">
        <w:rPr>
          <w:b/>
          <w:color w:val="000000"/>
        </w:rPr>
        <w:t xml:space="preserve"> Ionela Daniela Mirsu</w:t>
      </w:r>
    </w:p>
    <w:p w14:paraId="4A90BA90" w14:textId="775859AE" w:rsidR="00FD7520" w:rsidRDefault="00990206">
      <w:pPr>
        <w:pBdr>
          <w:top w:val="nil"/>
          <w:left w:val="nil"/>
          <w:bottom w:val="nil"/>
          <w:right w:val="nil"/>
          <w:between w:val="nil"/>
        </w:pBdr>
        <w:spacing w:line="276" w:lineRule="auto"/>
        <w:jc w:val="center"/>
        <w:rPr>
          <w:b/>
          <w:color w:val="000000"/>
        </w:rPr>
      </w:pPr>
      <w:r>
        <w:rPr>
          <w:b/>
          <w:color w:val="000000"/>
        </w:rPr>
        <w:t xml:space="preserve">Student ID: </w:t>
      </w:r>
      <w:r w:rsidR="00CF4ABB">
        <w:rPr>
          <w:b/>
          <w:color w:val="000000"/>
        </w:rPr>
        <w:t>2132560</w:t>
      </w:r>
    </w:p>
    <w:p w14:paraId="2D520C97" w14:textId="77777777" w:rsidR="00FD7520" w:rsidRDefault="00FD7520">
      <w:pPr>
        <w:pBdr>
          <w:top w:val="nil"/>
          <w:left w:val="nil"/>
          <w:bottom w:val="nil"/>
          <w:right w:val="nil"/>
          <w:between w:val="nil"/>
        </w:pBdr>
        <w:spacing w:line="276" w:lineRule="auto"/>
        <w:jc w:val="left"/>
        <w:rPr>
          <w:b/>
          <w:color w:val="000000"/>
        </w:rPr>
      </w:pPr>
    </w:p>
    <w:p w14:paraId="3FB9D45F" w14:textId="77777777" w:rsidR="00FD7520" w:rsidRDefault="00FD7520">
      <w:pPr>
        <w:pBdr>
          <w:top w:val="nil"/>
          <w:left w:val="nil"/>
          <w:bottom w:val="nil"/>
          <w:right w:val="nil"/>
          <w:between w:val="nil"/>
        </w:pBdr>
        <w:spacing w:line="276" w:lineRule="auto"/>
        <w:jc w:val="left"/>
        <w:rPr>
          <w:rFonts w:ascii="Cambria" w:eastAsia="Cambria" w:hAnsi="Cambria" w:cs="Cambria"/>
          <w:b/>
          <w:color w:val="000000"/>
          <w:sz w:val="22"/>
          <w:szCs w:val="22"/>
        </w:rPr>
      </w:pPr>
    </w:p>
    <w:p w14:paraId="57152058" w14:textId="77777777" w:rsidR="00FD7520" w:rsidRDefault="00FD7520">
      <w:pPr>
        <w:pBdr>
          <w:top w:val="nil"/>
          <w:left w:val="nil"/>
          <w:bottom w:val="nil"/>
          <w:right w:val="nil"/>
          <w:between w:val="nil"/>
        </w:pBdr>
        <w:spacing w:line="276" w:lineRule="auto"/>
        <w:jc w:val="left"/>
        <w:rPr>
          <w:rFonts w:ascii="Cambria" w:eastAsia="Cambria" w:hAnsi="Cambria" w:cs="Cambria"/>
          <w:b/>
          <w:color w:val="000000"/>
          <w:sz w:val="22"/>
          <w:szCs w:val="22"/>
        </w:rPr>
      </w:pPr>
    </w:p>
    <w:p w14:paraId="6086B605" w14:textId="77777777" w:rsidR="00FD7520" w:rsidRDefault="00FD7520">
      <w:pPr>
        <w:pBdr>
          <w:top w:val="nil"/>
          <w:left w:val="nil"/>
          <w:bottom w:val="nil"/>
          <w:right w:val="nil"/>
          <w:between w:val="nil"/>
        </w:pBdr>
        <w:spacing w:line="276" w:lineRule="auto"/>
        <w:jc w:val="left"/>
        <w:rPr>
          <w:rFonts w:ascii="Cambria" w:eastAsia="Cambria" w:hAnsi="Cambria" w:cs="Cambria"/>
          <w:b/>
          <w:color w:val="000000"/>
          <w:sz w:val="22"/>
          <w:szCs w:val="22"/>
        </w:rPr>
      </w:pPr>
    </w:p>
    <w:p w14:paraId="2B01C6CB" w14:textId="77777777" w:rsidR="00FD7520" w:rsidRDefault="00FD7520">
      <w:pPr>
        <w:pBdr>
          <w:top w:val="nil"/>
          <w:left w:val="nil"/>
          <w:bottom w:val="nil"/>
          <w:right w:val="nil"/>
          <w:between w:val="nil"/>
        </w:pBdr>
        <w:spacing w:line="276" w:lineRule="auto"/>
        <w:jc w:val="left"/>
        <w:rPr>
          <w:rFonts w:ascii="Cambria" w:eastAsia="Cambria" w:hAnsi="Cambria" w:cs="Cambria"/>
          <w:b/>
          <w:color w:val="000000"/>
          <w:sz w:val="22"/>
          <w:szCs w:val="22"/>
        </w:rPr>
      </w:pPr>
    </w:p>
    <w:p w14:paraId="7E341F93" w14:textId="77777777" w:rsidR="00FD7520" w:rsidRDefault="00FD7520">
      <w:pPr>
        <w:pBdr>
          <w:top w:val="nil"/>
          <w:left w:val="nil"/>
          <w:bottom w:val="nil"/>
          <w:right w:val="nil"/>
          <w:between w:val="nil"/>
        </w:pBdr>
        <w:spacing w:line="276" w:lineRule="auto"/>
        <w:jc w:val="left"/>
        <w:rPr>
          <w:rFonts w:ascii="Cambria" w:eastAsia="Cambria" w:hAnsi="Cambria" w:cs="Cambria"/>
          <w:b/>
          <w:color w:val="000000"/>
          <w:sz w:val="22"/>
          <w:szCs w:val="22"/>
        </w:rPr>
      </w:pPr>
    </w:p>
    <w:p w14:paraId="30AC55B2" w14:textId="77777777" w:rsidR="00FD7520" w:rsidRDefault="00FD7520">
      <w:pPr>
        <w:pBdr>
          <w:top w:val="nil"/>
          <w:left w:val="nil"/>
          <w:bottom w:val="nil"/>
          <w:right w:val="nil"/>
          <w:between w:val="nil"/>
        </w:pBdr>
        <w:spacing w:line="276" w:lineRule="auto"/>
        <w:jc w:val="left"/>
        <w:rPr>
          <w:rFonts w:ascii="Cambria" w:eastAsia="Cambria" w:hAnsi="Cambria" w:cs="Cambria"/>
          <w:b/>
          <w:color w:val="000000"/>
          <w:sz w:val="22"/>
          <w:szCs w:val="22"/>
        </w:rPr>
      </w:pPr>
    </w:p>
    <w:p w14:paraId="5E605AEA" w14:textId="77777777" w:rsidR="00FD7520" w:rsidRDefault="00FD7520">
      <w:pPr>
        <w:pBdr>
          <w:top w:val="nil"/>
          <w:left w:val="nil"/>
          <w:bottom w:val="nil"/>
          <w:right w:val="nil"/>
          <w:between w:val="nil"/>
        </w:pBdr>
        <w:spacing w:line="276" w:lineRule="auto"/>
        <w:jc w:val="left"/>
        <w:rPr>
          <w:rFonts w:ascii="Cambria" w:eastAsia="Cambria" w:hAnsi="Cambria" w:cs="Cambria"/>
          <w:b/>
          <w:color w:val="000000"/>
          <w:sz w:val="22"/>
          <w:szCs w:val="22"/>
        </w:rPr>
      </w:pPr>
    </w:p>
    <w:p w14:paraId="736DC71F" w14:textId="77777777" w:rsidR="00FD7520" w:rsidRDefault="00990206">
      <w:pPr>
        <w:spacing w:line="276" w:lineRule="auto"/>
        <w:jc w:val="left"/>
        <w:rPr>
          <w:b/>
          <w:sz w:val="28"/>
          <w:szCs w:val="28"/>
        </w:rPr>
      </w:pPr>
      <w:bookmarkStart w:id="0" w:name="_heading=h.gjdgxs" w:colFirst="0" w:colLast="0"/>
      <w:bookmarkEnd w:id="0"/>
      <w:r>
        <w:br w:type="page"/>
      </w:r>
    </w:p>
    <w:p w14:paraId="557CD2A4" w14:textId="77777777" w:rsidR="00FD7520" w:rsidRDefault="00990206">
      <w:pPr>
        <w:pStyle w:val="Heading1"/>
      </w:pPr>
      <w:bookmarkStart w:id="1" w:name="_heading=h.30j0zll" w:colFirst="0" w:colLast="0"/>
      <w:bookmarkEnd w:id="1"/>
      <w:r>
        <w:lastRenderedPageBreak/>
        <w:t xml:space="preserve">Introduction </w:t>
      </w:r>
    </w:p>
    <w:p w14:paraId="30A9CA73" w14:textId="77777777" w:rsidR="00FD7520" w:rsidRDefault="00990206">
      <w:r>
        <w:t xml:space="preserve">Within the UK, the English penal code focuses on transgressions, and associated mitigation, especially subsequent repercussions. Criminality appears to be a violation against the general public as opposed to merely particular persons involved. This assignment will focus on the legislation of criminals and its correspondence regarding diminished responsibility. This assignment will also focus on discussing the requirements of the S.2 Homicide Act 1957 and reasoning, advantages, disadvantages, and further recommendations for s.52 </w:t>
      </w:r>
      <w:r w:rsidRPr="00CF4ABB">
        <w:t>Coroners and Justice Act, 2009 of the UK, has impacted the legislation system and changed the law on criminal and coroners justice in Wales and England, and the provisions of this law are preventing criminals from gaining profit from any kind of publication of their crime (Richards, Aronson, and Heneghan, 2021). This assignment will critically evaluate ethical, moral, social,</w:t>
      </w:r>
      <w:r>
        <w:t xml:space="preserve"> and philosophical issues related to criminal law all over the UK. </w:t>
      </w:r>
    </w:p>
    <w:p w14:paraId="7CC874B1" w14:textId="77777777" w:rsidR="00FD7520" w:rsidRDefault="00990206">
      <w:pPr>
        <w:pStyle w:val="Heading1"/>
      </w:pPr>
      <w:bookmarkStart w:id="2" w:name="_heading=h.1fob9te" w:colFirst="0" w:colLast="0"/>
      <w:bookmarkEnd w:id="2"/>
      <w:r>
        <w:t xml:space="preserve">Main body </w:t>
      </w:r>
    </w:p>
    <w:p w14:paraId="31319F1D" w14:textId="6A0C1D5A" w:rsidR="00FD7520" w:rsidRPr="00CF4ABB" w:rsidRDefault="00990206">
      <w:pPr>
        <w:pStyle w:val="Heading2"/>
        <w:rPr>
          <w:sz w:val="22"/>
          <w:szCs w:val="24"/>
        </w:rPr>
      </w:pPr>
      <w:bookmarkStart w:id="3" w:name="_heading=h.3znysh7" w:colFirst="0" w:colLast="0"/>
      <w:bookmarkEnd w:id="3"/>
      <w:r>
        <w:t xml:space="preserve">Ethical, moral, social and philosophical issues related to criminal law in the </w:t>
      </w:r>
      <w:r w:rsidR="00CF4ABB">
        <w:t>UK.</w:t>
      </w:r>
    </w:p>
    <w:p w14:paraId="57B1FC44" w14:textId="537D8176" w:rsidR="00FD7520" w:rsidRPr="00CF4ABB" w:rsidRDefault="00990206">
      <w:r w:rsidRPr="00CF4ABB">
        <w:t xml:space="preserve">Ethics is the key principle of criminal justice throughout the history of humanity. In criminal justice, ethics are continuously being revised and revisited. According to the opinion of </w:t>
      </w:r>
      <w:proofErr w:type="spellStart"/>
      <w:r w:rsidRPr="00CF4ABB">
        <w:t>Zilka</w:t>
      </w:r>
      <w:proofErr w:type="spellEnd"/>
      <w:r w:rsidRPr="00CF4ABB">
        <w:t xml:space="preserve">, </w:t>
      </w:r>
      <w:proofErr w:type="spellStart"/>
      <w:r w:rsidRPr="00CF4ABB">
        <w:t>Sargeant</w:t>
      </w:r>
      <w:proofErr w:type="spellEnd"/>
      <w:r w:rsidRPr="00CF4ABB">
        <w:t xml:space="preserve">, and Weller (2022), the revision of ethics provides guidelines for the officers during their hours of off duty and emphasizes the significant importance of keeping aside personal feelings from work. The representatives and the officers of criminal justice face several issues related to ethics, moral, social, and philosophical issues in the UK. Determining a proper amount of force during arrests, balancing an ethical lifestyle, avoiding profiling, protecting the rights of the citizen while upholding the law, and acting impartially during the interaction with the citizen are some of the major ethical issues. The law of criminal justice relates to breaches and offences that negatively affect society. Social processes influence the prevalence and the investigation of crime. Social attitudes and changing times lead to the transformation or changes in criminal law. Based on the opinion of Mackay et al. (2018), criminal law in the UK is shaped by the value of people who </w:t>
      </w:r>
      <w:r w:rsidR="00CF4ABB" w:rsidRPr="00CF4ABB">
        <w:t>can affect</w:t>
      </w:r>
      <w:r w:rsidRPr="00CF4ABB">
        <w:t xml:space="preserve"> the development of law. The social system will only survive once it incorporates the protection </w:t>
      </w:r>
      <w:r w:rsidR="00CF4ABB" w:rsidRPr="00CF4ABB">
        <w:t>of</w:t>
      </w:r>
      <w:r w:rsidRPr="00CF4ABB">
        <w:t xml:space="preserve"> property, promises and </w:t>
      </w:r>
      <w:proofErr w:type="gramStart"/>
      <w:r w:rsidRPr="00CF4ABB">
        <w:t>persons</w:t>
      </w:r>
      <w:proofErr w:type="gramEnd"/>
      <w:r w:rsidRPr="00CF4ABB">
        <w:t>. However, these restrictions are variable. Therefore, criminal law can reflect prevailing moral opinion. The philosophical issues of criminal law are basically concerned with legal punishment. It emphasizes the issues about the acts of criminalization and the justification of the legal punishment.</w:t>
      </w:r>
    </w:p>
    <w:p w14:paraId="6227A9A6" w14:textId="77777777" w:rsidR="00FD7520" w:rsidRDefault="00FD7520"/>
    <w:p w14:paraId="26A42331" w14:textId="77777777" w:rsidR="00FD7520" w:rsidRDefault="00990206">
      <w:pPr>
        <w:pStyle w:val="Heading2"/>
      </w:pPr>
      <w:bookmarkStart w:id="4" w:name="_heading=h.2et92p0" w:colFirst="0" w:colLast="0"/>
      <w:bookmarkEnd w:id="4"/>
      <w:r>
        <w:t>The requirements of diminished responsibilities under S.2 Homicide Act 1957</w:t>
      </w:r>
    </w:p>
    <w:p w14:paraId="01E6D922" w14:textId="77777777" w:rsidR="00FD7520" w:rsidRDefault="00990206">
      <w:r>
        <w:t xml:space="preserve">Under the legislation of S.2 homicide Act 1957, the UK government clearly stated the requirements for justice due to criminal activities. </w:t>
      </w:r>
      <w:r w:rsidRPr="00CF4ABB">
        <w:t xml:space="preserve">The Homicide Act of 1957 is related to homicide and the punishment and trial of crime. It introduces the diminished responsibility with the partial </w:t>
      </w:r>
      <w:proofErr w:type="spellStart"/>
      <w:r w:rsidRPr="00CF4ABB">
        <w:t>defence</w:t>
      </w:r>
      <w:proofErr w:type="spellEnd"/>
      <w:r w:rsidRPr="00CF4ABB">
        <w:t xml:space="preserve"> to crime reformed law of suicide pacts and provocation.</w:t>
      </w:r>
      <w:r>
        <w:t xml:space="preserve">  The requirements of the S.2 Homicide Act for diminished responsibilities are listed below: </w:t>
      </w:r>
    </w:p>
    <w:p w14:paraId="1024A806" w14:textId="70A9F445" w:rsidR="00FD7520" w:rsidRPr="00CF4ABB" w:rsidRDefault="00990206">
      <w:pPr>
        <w:numPr>
          <w:ilvl w:val="0"/>
          <w:numId w:val="5"/>
        </w:numPr>
        <w:pBdr>
          <w:top w:val="nil"/>
          <w:left w:val="nil"/>
          <w:bottom w:val="nil"/>
          <w:right w:val="nil"/>
          <w:between w:val="nil"/>
        </w:pBdr>
        <w:spacing w:after="0"/>
      </w:pPr>
      <w:r w:rsidRPr="00CF4ABB">
        <w:t xml:space="preserve">When someone murders someone else in a massacre, they should not be considered murderers if they were under the influence of an irregular psychological illness that significantly reduces their capacity to take ownership of their </w:t>
      </w:r>
      <w:r w:rsidR="00CF4ABB" w:rsidRPr="00CF4ABB">
        <w:t>behaviors</w:t>
      </w:r>
      <w:r w:rsidRPr="00CF4ABB">
        <w:t xml:space="preserve"> as well as incompleteness (legislation.gov.uk, 2018). This disorder could have been caused by illness consciousness or an underlying psychological disorder. If someone has been accused of murder, then the prosecution must establish further that the accused also should not be culpable due to such provision (legislation.gov.uk, 2018). Anyone who, absent a search clause, is being accused of killing someone, regardless of whether they were primary or a bystander, would rather remain charged with manslaughter. The problem of if a homicide constituted death there in the instance of each additional participant to that though it is unaffected by the circumstance, so one person to a homicide being, thanks to this clause, neither subject to being charged with murder (legislation.gov.uk, 2018).</w:t>
      </w:r>
    </w:p>
    <w:p w14:paraId="694EAA46" w14:textId="77777777" w:rsidR="00FD7520" w:rsidRPr="00CF4ABB" w:rsidRDefault="00990206">
      <w:pPr>
        <w:numPr>
          <w:ilvl w:val="0"/>
          <w:numId w:val="1"/>
        </w:numPr>
        <w:pBdr>
          <w:top w:val="nil"/>
          <w:left w:val="nil"/>
          <w:bottom w:val="nil"/>
          <w:right w:val="nil"/>
          <w:between w:val="nil"/>
        </w:pBdr>
        <w:spacing w:after="0"/>
      </w:pPr>
      <w:r w:rsidRPr="00CF4ABB">
        <w:t>If someone has been accused of murder, then the prosecution must establish further that the accused also should not be culpable due to such a provision</w:t>
      </w:r>
      <w:r w:rsidRPr="00CF4ABB">
        <w:rPr>
          <w:color w:val="000000"/>
        </w:rPr>
        <w:t xml:space="preserve"> (legislation.gov.uk, 2018).</w:t>
      </w:r>
    </w:p>
    <w:p w14:paraId="09E723D6" w14:textId="77777777" w:rsidR="00FD7520" w:rsidRDefault="00990206">
      <w:pPr>
        <w:numPr>
          <w:ilvl w:val="0"/>
          <w:numId w:val="1"/>
        </w:numPr>
        <w:pBdr>
          <w:top w:val="nil"/>
          <w:left w:val="nil"/>
          <w:bottom w:val="nil"/>
          <w:right w:val="nil"/>
          <w:between w:val="nil"/>
        </w:pBdr>
        <w:spacing w:after="0"/>
        <w:rPr>
          <w:color w:val="000000"/>
        </w:rPr>
      </w:pPr>
      <w:r>
        <w:rPr>
          <w:color w:val="000000"/>
        </w:rPr>
        <w:t>Anyone who, absent such clause, is then accused of killing someone, regardless of whether they were primary or a bystander, would rather remain charged with manslaughter.</w:t>
      </w:r>
    </w:p>
    <w:p w14:paraId="03568B82" w14:textId="77777777" w:rsidR="00FD7520" w:rsidRDefault="00990206">
      <w:pPr>
        <w:numPr>
          <w:ilvl w:val="0"/>
          <w:numId w:val="1"/>
        </w:numPr>
        <w:pBdr>
          <w:top w:val="nil"/>
          <w:left w:val="nil"/>
          <w:bottom w:val="nil"/>
          <w:right w:val="nil"/>
          <w:between w:val="nil"/>
        </w:pBdr>
        <w:rPr>
          <w:color w:val="000000"/>
        </w:rPr>
      </w:pPr>
      <w:r>
        <w:rPr>
          <w:color w:val="000000"/>
        </w:rPr>
        <w:t xml:space="preserve">The problem of if a homicide constituted death there in the instance of each additional participant to that though is unaffected by the circumstance so one person to a homicide being, thanks to this clause, neither subject to being charged with murder (legislation.gov.uk, 2018). </w:t>
      </w:r>
    </w:p>
    <w:p w14:paraId="2A32A7A3" w14:textId="77777777" w:rsidR="00FD7520" w:rsidRDefault="00FD7520">
      <w:pPr>
        <w:pBdr>
          <w:top w:val="nil"/>
          <w:left w:val="nil"/>
          <w:bottom w:val="nil"/>
          <w:right w:val="nil"/>
          <w:between w:val="nil"/>
        </w:pBdr>
        <w:spacing w:line="276" w:lineRule="auto"/>
        <w:jc w:val="left"/>
        <w:rPr>
          <w:rFonts w:ascii="Cambria" w:eastAsia="Cambria" w:hAnsi="Cambria" w:cs="Cambria"/>
          <w:color w:val="000000"/>
        </w:rPr>
      </w:pPr>
    </w:p>
    <w:p w14:paraId="7455CE89" w14:textId="77777777" w:rsidR="00FD7520" w:rsidRDefault="00990206">
      <w:pPr>
        <w:pStyle w:val="Heading2"/>
      </w:pPr>
      <w:bookmarkStart w:id="5" w:name="_heading=h.tyjcwt" w:colFirst="0" w:colLast="0"/>
      <w:bookmarkEnd w:id="5"/>
      <w:r>
        <w:lastRenderedPageBreak/>
        <w:t xml:space="preserve">The need for change in S.2 homicide Act 1957 </w:t>
      </w:r>
    </w:p>
    <w:p w14:paraId="1AE15210" w14:textId="2121C1D0" w:rsidR="00FD7520" w:rsidRDefault="00990206">
      <w:r>
        <w:t xml:space="preserve">British Royal Commission on Death Punishment's 1953 assessment adopted their stance because psychosis particularly led toward lessened accountability, became quite frequent and therefore possibly significant to a diverse number of charges (legislation.gov.uk, 2018). Through </w:t>
      </w:r>
      <w:r w:rsidR="00CF4ABB">
        <w:t>a decree</w:t>
      </w:r>
      <w:r>
        <w:t xml:space="preserve"> permitting that judiciary should prevent administering this same capital punishment, the Commission declared that a "fundamental" revision towards the current statute might not be warranted. This contributory negligence argument has become possible under section 2 of the Act where the defendant had been, there at the time of the attack, experiencing a "malformation of said mentality" and significantly reduced personal psychological culpability regarding their misconduct ultimately resulted with manslaughter (legislation.gov.uk, 2022). Somebody condemned must provide evidence showing their level of accountability substantially decreased. Such strategy can be distinguished again from </w:t>
      </w:r>
      <w:proofErr w:type="spellStart"/>
      <w:r>
        <w:t>defences</w:t>
      </w:r>
      <w:proofErr w:type="spellEnd"/>
      <w:r>
        <w:t xml:space="preserve"> to absurdity in that the latter calls for a failure of rationality resulting out of a psychiatric illness, meanwhile the earlier calls for only a progressive decline in the knowledge </w:t>
      </w:r>
      <w:r w:rsidRPr="00CF4ABB">
        <w:t xml:space="preserve">and experiences stemming </w:t>
      </w:r>
      <w:r w:rsidR="00CF4ABB" w:rsidRPr="00CF4ABB">
        <w:t>off</w:t>
      </w:r>
      <w:r w:rsidRPr="00CF4ABB">
        <w:t xml:space="preserve"> an aberration of such mentality (justice.gov.uk, 2018). This same protection of diminished responsibility minimizes murder conviction to vehicular manslaughter, also known as “vehicular </w:t>
      </w:r>
      <w:r w:rsidR="00CF4ABB" w:rsidRPr="00CF4ABB">
        <w:t>homicide,</w:t>
      </w:r>
      <w:r w:rsidRPr="00CF4ABB">
        <w:t xml:space="preserve"> which causes the death of a human being due to illegal driving of an automobile also includes acts of drunk driving, speeding, reckless driving, and gross negligence.</w:t>
      </w:r>
      <w:r>
        <w:t xml:space="preserve"> Meanwhile, the prosecution of absurdity absolves the alleged perpetrator over all remorse (it can nevertheless call for the claimant to be deposited in special care, such as through instituting a healthcare order under Section 37 of the Mental Health Act 1983), as well as instinctive reflex consequences together in full verdict (legislation.gov.uk, 2020). Although consuming liquor has already become compulsive, alcoholism could not be considered a mental illness. Because it emphasizes the psychology of a</w:t>
      </w:r>
      <w:r w:rsidRPr="00CF4ABB">
        <w:t>ny such argument, the government Coroners and Justice Act [2009] s52(1) changed the Homicide Act 1957 by</w:t>
      </w:r>
      <w:r>
        <w:t xml:space="preserve"> inserting the language "deficient cognitive health" rather than "anomalous mentality." (legislation.gov.uk, 2021). </w:t>
      </w:r>
    </w:p>
    <w:p w14:paraId="5115DFB1" w14:textId="6C9217EC" w:rsidR="00FD7520" w:rsidRDefault="00990206">
      <w:pPr>
        <w:pStyle w:val="Heading2"/>
      </w:pPr>
      <w:bookmarkStart w:id="6" w:name="_heading=h.3dy6vkm" w:colFirst="0" w:colLast="0"/>
      <w:bookmarkEnd w:id="6"/>
      <w:r>
        <w:t xml:space="preserve">Alteration brought by s.52 Coroners and Justice Act 2009 </w:t>
      </w:r>
      <w:r w:rsidR="00C3092D">
        <w:t>law.</w:t>
      </w:r>
    </w:p>
    <w:p w14:paraId="4F3365C3" w14:textId="77777777" w:rsidR="00FD7520" w:rsidRDefault="00990206">
      <w:r>
        <w:t xml:space="preserve">The 2009 Act's Section 52 addresses the England and Wales version of such involuntary manslaughter justification against death. This substitutes a revised, greater contemporary understanding of such limited response for said preexisting approach. It accomplishes this by adding additional subsections (1) onto (2) to Section 2(1) of the Murder Act 1957. (1B) (legislation.gov.uk, 2021). Because the outcome of something like a comparison to a previous </w:t>
      </w:r>
      <w:r>
        <w:lastRenderedPageBreak/>
        <w:t xml:space="preserve">prosecution case would nonetheless come toward a misdemeanor decision over a criminal conviction (section 2(3) of the 1957 Act) (legislation.gov.uk, 2021). Corresponding to this, section 2(2) of said Murder Act from 1957 still requires this same opposition should demonstrate that such a complete response is applicable (on the balance of probabilities). </w:t>
      </w:r>
    </w:p>
    <w:p w14:paraId="01D3C93A" w14:textId="486FF70D" w:rsidR="00FD7520" w:rsidRDefault="00990206">
      <w:r>
        <w:t xml:space="preserve">One objective is to prevent cases where the prosecutor's psychological state had little or no bearing effect on actual </w:t>
      </w:r>
      <w:r w:rsidR="00CF4ABB">
        <w:t>behavior</w:t>
      </w:r>
      <w:r>
        <w:t>—i.e., instances in which they would likely commit independent of a given physical illness being successfully defended. (Hansard, March 3, 2009, Column 410). Combine that with the concept defined as decreased culpability where it currently stands, namely calls for an individual's psychological duty in being significantly compromised, although it fails to describe how (legislation.gov.uk, 2022). Particularly because everything concerns the affirmative argument claim of contributory negligence, subsection (2) changes the judicial terminology of section 6 of the Criminal Process (Insanity) Act 1964 such that it applies thereto "malformation for cognitive health" rather than on the previous "structural abnormalities in mentality." (legislation.gov.uk, 2018)</w:t>
      </w:r>
    </w:p>
    <w:p w14:paraId="34DB7250" w14:textId="77777777" w:rsidR="00FD7520" w:rsidRDefault="00FD7520">
      <w:pPr>
        <w:pBdr>
          <w:top w:val="nil"/>
          <w:left w:val="nil"/>
          <w:bottom w:val="nil"/>
          <w:right w:val="nil"/>
          <w:between w:val="nil"/>
        </w:pBdr>
        <w:spacing w:line="276" w:lineRule="auto"/>
        <w:jc w:val="left"/>
        <w:rPr>
          <w:rFonts w:ascii="Cambria" w:eastAsia="Cambria" w:hAnsi="Cambria" w:cs="Cambria"/>
          <w:color w:val="000000"/>
        </w:rPr>
      </w:pPr>
    </w:p>
    <w:p w14:paraId="61BD4267" w14:textId="77777777" w:rsidR="00FD7520" w:rsidRDefault="00990206">
      <w:pPr>
        <w:pStyle w:val="Heading2"/>
      </w:pPr>
      <w:bookmarkStart w:id="7" w:name="_heading=h.1t3h5sf" w:colFirst="0" w:colLast="0"/>
      <w:bookmarkEnd w:id="7"/>
      <w:r>
        <w:t xml:space="preserve">Advantages and Disadvantages of the discussed changes </w:t>
      </w:r>
    </w:p>
    <w:p w14:paraId="34A94402" w14:textId="77777777" w:rsidR="00FD7520" w:rsidRDefault="00990206">
      <w:pPr>
        <w:pBdr>
          <w:top w:val="nil"/>
          <w:left w:val="nil"/>
          <w:bottom w:val="nil"/>
          <w:right w:val="nil"/>
          <w:between w:val="nil"/>
        </w:pBdr>
        <w:spacing w:line="276" w:lineRule="auto"/>
        <w:jc w:val="left"/>
        <w:rPr>
          <w:b/>
          <w:i/>
          <w:color w:val="000000"/>
        </w:rPr>
      </w:pPr>
      <w:r>
        <w:rPr>
          <w:b/>
          <w:i/>
          <w:color w:val="000000"/>
        </w:rPr>
        <w:t>Advantages:</w:t>
      </w:r>
    </w:p>
    <w:p w14:paraId="5CA2CB5B" w14:textId="77777777" w:rsidR="00FD7520" w:rsidRDefault="00FD7520">
      <w:pPr>
        <w:pBdr>
          <w:top w:val="nil"/>
          <w:left w:val="nil"/>
          <w:bottom w:val="nil"/>
          <w:right w:val="nil"/>
          <w:between w:val="nil"/>
        </w:pBdr>
        <w:spacing w:line="276" w:lineRule="auto"/>
        <w:jc w:val="left"/>
        <w:rPr>
          <w:color w:val="000000"/>
        </w:rPr>
      </w:pPr>
    </w:p>
    <w:p w14:paraId="6C603899" w14:textId="6AAD330A" w:rsidR="00FD7520" w:rsidRPr="00CF4ABB" w:rsidRDefault="00990206">
      <w:pPr>
        <w:numPr>
          <w:ilvl w:val="0"/>
          <w:numId w:val="2"/>
        </w:numPr>
        <w:pBdr>
          <w:top w:val="nil"/>
          <w:left w:val="nil"/>
          <w:bottom w:val="nil"/>
          <w:right w:val="nil"/>
          <w:between w:val="nil"/>
        </w:pBdr>
        <w:spacing w:after="0"/>
      </w:pPr>
      <w:r w:rsidRPr="00CF4ABB">
        <w:t xml:space="preserve">Changes in the legislation provided room for more accountability which was not available earlier in the case of psychosis, which lessened </w:t>
      </w:r>
      <w:r w:rsidR="00CF4ABB" w:rsidRPr="00CF4ABB">
        <w:t>accountability</w:t>
      </w:r>
      <w:r w:rsidRPr="00CF4ABB">
        <w:t xml:space="preserve"> </w:t>
      </w:r>
      <w:r w:rsidR="00C3092D" w:rsidRPr="00CF4ABB">
        <w:t>(legislation.gov.uk</w:t>
      </w:r>
      <w:r w:rsidRPr="00CF4ABB">
        <w:t>, 2018).</w:t>
      </w:r>
    </w:p>
    <w:p w14:paraId="42683DEB" w14:textId="77777777" w:rsidR="00FD7520" w:rsidRDefault="00990206">
      <w:pPr>
        <w:numPr>
          <w:ilvl w:val="0"/>
          <w:numId w:val="2"/>
        </w:numPr>
        <w:pBdr>
          <w:top w:val="nil"/>
          <w:left w:val="nil"/>
          <w:bottom w:val="nil"/>
          <w:right w:val="nil"/>
          <w:between w:val="nil"/>
        </w:pBdr>
        <w:spacing w:after="0"/>
        <w:rPr>
          <w:color w:val="000000"/>
        </w:rPr>
      </w:pPr>
      <w:r>
        <w:rPr>
          <w:color w:val="000000"/>
        </w:rPr>
        <w:t>Changes between reduced obligation - incitement arguments in cases of murder.</w:t>
      </w:r>
    </w:p>
    <w:p w14:paraId="341C2F6C" w14:textId="5016632E" w:rsidR="00FD7520" w:rsidRDefault="00990206">
      <w:pPr>
        <w:numPr>
          <w:ilvl w:val="0"/>
          <w:numId w:val="2"/>
        </w:numPr>
        <w:pBdr>
          <w:top w:val="nil"/>
          <w:left w:val="nil"/>
          <w:bottom w:val="nil"/>
          <w:right w:val="nil"/>
          <w:between w:val="nil"/>
        </w:pBdr>
        <w:spacing w:after="0"/>
        <w:rPr>
          <w:color w:val="000000"/>
        </w:rPr>
      </w:pPr>
      <w:r>
        <w:rPr>
          <w:color w:val="000000"/>
        </w:rPr>
        <w:t xml:space="preserve">Clarifies appropriate terminology for a crime involving aiding and otherwise inciting </w:t>
      </w:r>
      <w:r w:rsidR="00C3092D">
        <w:rPr>
          <w:color w:val="000000"/>
        </w:rPr>
        <w:t>homicide.</w:t>
      </w:r>
    </w:p>
    <w:p w14:paraId="38540DEA" w14:textId="77777777" w:rsidR="00FD7520" w:rsidRDefault="00990206">
      <w:pPr>
        <w:numPr>
          <w:ilvl w:val="0"/>
          <w:numId w:val="2"/>
        </w:numPr>
        <w:pBdr>
          <w:top w:val="nil"/>
          <w:left w:val="nil"/>
          <w:bottom w:val="nil"/>
          <w:right w:val="nil"/>
          <w:between w:val="nil"/>
        </w:pBdr>
        <w:spacing w:after="0"/>
        <w:rPr>
          <w:color w:val="000000"/>
        </w:rPr>
      </w:pPr>
      <w:r>
        <w:rPr>
          <w:color w:val="000000"/>
        </w:rPr>
        <w:t xml:space="preserve">Eliminates any </w:t>
      </w:r>
      <w:proofErr w:type="spellStart"/>
      <w:r>
        <w:rPr>
          <w:color w:val="000000"/>
        </w:rPr>
        <w:t>defence</w:t>
      </w:r>
      <w:proofErr w:type="spellEnd"/>
      <w:r>
        <w:rPr>
          <w:color w:val="000000"/>
        </w:rPr>
        <w:t xml:space="preserve"> allowing "debate or judgment" under the </w:t>
      </w:r>
      <w:proofErr w:type="gramStart"/>
      <w:r>
        <w:rPr>
          <w:color w:val="000000"/>
        </w:rPr>
        <w:t>particular offence</w:t>
      </w:r>
      <w:proofErr w:type="gramEnd"/>
      <w:r>
        <w:rPr>
          <w:color w:val="000000"/>
        </w:rPr>
        <w:t xml:space="preserve"> that promotes hate because of sexual orientation (bills.parliament.uk, 2021).</w:t>
      </w:r>
    </w:p>
    <w:p w14:paraId="0BA68F05" w14:textId="62AF9803" w:rsidR="00FD7520" w:rsidRDefault="00990206">
      <w:pPr>
        <w:numPr>
          <w:ilvl w:val="0"/>
          <w:numId w:val="2"/>
        </w:numPr>
        <w:pBdr>
          <w:top w:val="nil"/>
          <w:left w:val="nil"/>
          <w:bottom w:val="nil"/>
          <w:right w:val="nil"/>
          <w:between w:val="nil"/>
        </w:pBdr>
        <w:spacing w:after="0"/>
        <w:rPr>
          <w:color w:val="000000"/>
        </w:rPr>
      </w:pPr>
      <w:r>
        <w:rPr>
          <w:color w:val="000000"/>
        </w:rPr>
        <w:t xml:space="preserve">Stretches its boundaries of legislation's prohibition on the ownership of child pornographic material towards non-photographic </w:t>
      </w:r>
      <w:r w:rsidR="00C3092D">
        <w:rPr>
          <w:color w:val="000000"/>
        </w:rPr>
        <w:t>pictures.</w:t>
      </w:r>
    </w:p>
    <w:p w14:paraId="0FC97176" w14:textId="77777777" w:rsidR="00FD7520" w:rsidRDefault="00990206">
      <w:pPr>
        <w:numPr>
          <w:ilvl w:val="0"/>
          <w:numId w:val="2"/>
        </w:numPr>
        <w:pBdr>
          <w:top w:val="nil"/>
          <w:left w:val="nil"/>
          <w:bottom w:val="nil"/>
          <w:right w:val="nil"/>
          <w:between w:val="nil"/>
        </w:pBdr>
        <w:spacing w:after="0"/>
        <w:rPr>
          <w:color w:val="000000"/>
        </w:rPr>
      </w:pPr>
      <w:r>
        <w:rPr>
          <w:color w:val="000000"/>
        </w:rPr>
        <w:t>Adaptability throughout the assistance provided when hesitant respondents provided testimony (bills.parliament.uk, 2021)</w:t>
      </w:r>
    </w:p>
    <w:p w14:paraId="3E1269A6" w14:textId="59DA8199" w:rsidR="00FD7520" w:rsidRDefault="00990206">
      <w:pPr>
        <w:numPr>
          <w:ilvl w:val="0"/>
          <w:numId w:val="2"/>
        </w:numPr>
        <w:pBdr>
          <w:top w:val="nil"/>
          <w:left w:val="nil"/>
          <w:bottom w:val="nil"/>
          <w:right w:val="nil"/>
          <w:between w:val="nil"/>
        </w:pBdr>
        <w:spacing w:after="0"/>
        <w:rPr>
          <w:color w:val="000000"/>
        </w:rPr>
      </w:pPr>
      <w:r>
        <w:rPr>
          <w:color w:val="000000"/>
        </w:rPr>
        <w:t xml:space="preserve">Laws concerning broadcast connection enabling offenders are </w:t>
      </w:r>
      <w:r w:rsidR="00CF4ABB">
        <w:rPr>
          <w:color w:val="000000"/>
        </w:rPr>
        <w:t>modified.</w:t>
      </w:r>
    </w:p>
    <w:p w14:paraId="636BDE78" w14:textId="79062782" w:rsidR="00FD7520" w:rsidRDefault="00990206">
      <w:pPr>
        <w:numPr>
          <w:ilvl w:val="0"/>
          <w:numId w:val="2"/>
        </w:numPr>
        <w:pBdr>
          <w:top w:val="nil"/>
          <w:left w:val="nil"/>
          <w:bottom w:val="nil"/>
          <w:right w:val="nil"/>
          <w:between w:val="nil"/>
        </w:pBdr>
        <w:spacing w:after="0"/>
        <w:rPr>
          <w:color w:val="000000"/>
        </w:rPr>
      </w:pPr>
      <w:r>
        <w:rPr>
          <w:color w:val="000000"/>
        </w:rPr>
        <w:lastRenderedPageBreak/>
        <w:t xml:space="preserve">Changes to that same way that detention is granted in heinous crimes alterations to </w:t>
      </w:r>
      <w:r w:rsidR="00CF4ABB">
        <w:rPr>
          <w:color w:val="000000"/>
        </w:rPr>
        <w:t>counsel.</w:t>
      </w:r>
    </w:p>
    <w:p w14:paraId="3C428147" w14:textId="77777777" w:rsidR="00FD7520" w:rsidRDefault="00990206">
      <w:pPr>
        <w:numPr>
          <w:ilvl w:val="0"/>
          <w:numId w:val="2"/>
        </w:numPr>
        <w:pBdr>
          <w:top w:val="nil"/>
          <w:left w:val="nil"/>
          <w:bottom w:val="nil"/>
          <w:right w:val="nil"/>
          <w:between w:val="nil"/>
        </w:pBdr>
        <w:rPr>
          <w:color w:val="000000"/>
        </w:rPr>
      </w:pPr>
      <w:r>
        <w:rPr>
          <w:color w:val="000000"/>
        </w:rPr>
        <w:t>Proposes methods designed to deter terrorists getting making money via reports concerning criminal misdeeds.</w:t>
      </w:r>
    </w:p>
    <w:p w14:paraId="5E6658E8" w14:textId="77777777" w:rsidR="00FD7520" w:rsidRDefault="00FD7520">
      <w:pPr>
        <w:pBdr>
          <w:top w:val="nil"/>
          <w:left w:val="nil"/>
          <w:bottom w:val="nil"/>
          <w:right w:val="nil"/>
          <w:between w:val="nil"/>
        </w:pBdr>
        <w:spacing w:line="276" w:lineRule="auto"/>
        <w:jc w:val="left"/>
        <w:rPr>
          <w:color w:val="000000"/>
        </w:rPr>
      </w:pPr>
    </w:p>
    <w:p w14:paraId="176DAD80" w14:textId="77777777" w:rsidR="00FD7520" w:rsidRDefault="00990206">
      <w:pPr>
        <w:rPr>
          <w:b/>
          <w:i/>
        </w:rPr>
      </w:pPr>
      <w:r>
        <w:rPr>
          <w:b/>
          <w:i/>
        </w:rPr>
        <w:t xml:space="preserve">Disadvantages: </w:t>
      </w:r>
    </w:p>
    <w:p w14:paraId="65A5CC95" w14:textId="77777777" w:rsidR="00FD7520" w:rsidRDefault="00990206">
      <w:pPr>
        <w:numPr>
          <w:ilvl w:val="0"/>
          <w:numId w:val="3"/>
        </w:numPr>
        <w:pBdr>
          <w:top w:val="nil"/>
          <w:left w:val="nil"/>
          <w:bottom w:val="nil"/>
          <w:right w:val="nil"/>
          <w:between w:val="nil"/>
        </w:pBdr>
        <w:spacing w:after="0"/>
        <w:rPr>
          <w:color w:val="000000"/>
        </w:rPr>
      </w:pPr>
      <w:r>
        <w:rPr>
          <w:color w:val="000000"/>
        </w:rPr>
        <w:t>The Coroners and Justice Act 2009 has been criticized for leading to a decrease in human rights and undermining access to justice (</w:t>
      </w:r>
      <w:r>
        <w:rPr>
          <w:color w:val="222222"/>
          <w:highlight w:val="white"/>
        </w:rPr>
        <w:t>Reed, Wake and Simpson, 2021)</w:t>
      </w:r>
      <w:r>
        <w:rPr>
          <w:color w:val="000000"/>
        </w:rPr>
        <w:t xml:space="preserve">. One of the main criticisms of the act is that it gives the Secretary of State the power to prevent inquests from taking place in certain circumstances, meaning that families of the deceased may not receive the justice they might expect from the state. </w:t>
      </w:r>
    </w:p>
    <w:p w14:paraId="24A65C1A" w14:textId="77777777" w:rsidR="00FD7520" w:rsidRDefault="00990206">
      <w:pPr>
        <w:numPr>
          <w:ilvl w:val="0"/>
          <w:numId w:val="3"/>
        </w:numPr>
        <w:pBdr>
          <w:top w:val="nil"/>
          <w:left w:val="nil"/>
          <w:bottom w:val="nil"/>
          <w:right w:val="nil"/>
          <w:between w:val="nil"/>
        </w:pBdr>
        <w:spacing w:after="0"/>
        <w:rPr>
          <w:color w:val="000000"/>
        </w:rPr>
      </w:pPr>
      <w:r>
        <w:rPr>
          <w:color w:val="000000"/>
        </w:rPr>
        <w:t>Furthermore, the act removed the right to jury inquests in certain cases, meaning that the decision-making process was further removed from the public (</w:t>
      </w:r>
      <w:r>
        <w:rPr>
          <w:color w:val="222222"/>
          <w:highlight w:val="white"/>
        </w:rPr>
        <w:t>Fortson, 2021)</w:t>
      </w:r>
      <w:r>
        <w:rPr>
          <w:color w:val="000000"/>
        </w:rPr>
        <w:t xml:space="preserve">. The act has also been criticized for giving public authorities the power to request anonymity in cases of death in custody, which could lead to a lack of accountability. </w:t>
      </w:r>
    </w:p>
    <w:p w14:paraId="1D282179" w14:textId="77777777" w:rsidR="00FD7520" w:rsidRDefault="00990206">
      <w:pPr>
        <w:numPr>
          <w:ilvl w:val="0"/>
          <w:numId w:val="3"/>
        </w:numPr>
        <w:pBdr>
          <w:top w:val="nil"/>
          <w:left w:val="nil"/>
          <w:bottom w:val="nil"/>
          <w:right w:val="nil"/>
          <w:between w:val="nil"/>
        </w:pBdr>
        <w:spacing w:after="0"/>
        <w:rPr>
          <w:color w:val="000000"/>
        </w:rPr>
      </w:pPr>
      <w:r>
        <w:rPr>
          <w:color w:val="000000"/>
        </w:rPr>
        <w:t>In addition, the act has been criticized for undermining access to justice for those who are unable to afford legal assistance. The act introduces a fee for legal representation during inquests, which may be unaffordable for many families of the deceased (</w:t>
      </w:r>
      <w:r>
        <w:rPr>
          <w:color w:val="222222"/>
          <w:highlight w:val="white"/>
        </w:rPr>
        <w:t>Crofts and Wake, 2021)</w:t>
      </w:r>
      <w:r>
        <w:rPr>
          <w:color w:val="000000"/>
        </w:rPr>
        <w:t xml:space="preserve">. This could mean that families are unable to challenge the decisions of the coroner, leading to a lack of transparency in the decision-making process. </w:t>
      </w:r>
    </w:p>
    <w:p w14:paraId="2798D223" w14:textId="77777777" w:rsidR="00FD7520" w:rsidRDefault="00990206">
      <w:pPr>
        <w:numPr>
          <w:ilvl w:val="0"/>
          <w:numId w:val="3"/>
        </w:numPr>
        <w:pBdr>
          <w:top w:val="nil"/>
          <w:left w:val="nil"/>
          <w:bottom w:val="nil"/>
          <w:right w:val="nil"/>
          <w:between w:val="nil"/>
        </w:pBdr>
        <w:spacing w:after="0"/>
        <w:rPr>
          <w:color w:val="000000"/>
        </w:rPr>
      </w:pPr>
      <w:r>
        <w:rPr>
          <w:color w:val="000000"/>
        </w:rPr>
        <w:t xml:space="preserve">Overall, the Coroners and Justice Act 2009 has been criticized for leading to a decrease in human rights and undermining access to justice. </w:t>
      </w:r>
    </w:p>
    <w:p w14:paraId="2CC23E84" w14:textId="77777777" w:rsidR="00FD7520" w:rsidRPr="00CF4ABB" w:rsidRDefault="00990206">
      <w:pPr>
        <w:numPr>
          <w:ilvl w:val="0"/>
          <w:numId w:val="3"/>
        </w:numPr>
        <w:pBdr>
          <w:top w:val="nil"/>
          <w:left w:val="nil"/>
          <w:bottom w:val="nil"/>
          <w:right w:val="nil"/>
          <w:between w:val="nil"/>
        </w:pBdr>
        <w:spacing w:after="0"/>
      </w:pPr>
      <w:r w:rsidRPr="00CF4ABB">
        <w:t>This act can possibly lead to less accessibility to justice at times, even discouraging the poor section of society from getting legal assistance which can further lead to less transparency in many cases.</w:t>
      </w:r>
    </w:p>
    <w:p w14:paraId="32E51177" w14:textId="77777777" w:rsidR="00FD7520" w:rsidRPr="00CF4ABB" w:rsidRDefault="00990206">
      <w:pPr>
        <w:numPr>
          <w:ilvl w:val="0"/>
          <w:numId w:val="3"/>
        </w:numPr>
        <w:pBdr>
          <w:top w:val="nil"/>
          <w:left w:val="nil"/>
          <w:bottom w:val="nil"/>
          <w:right w:val="nil"/>
          <w:between w:val="nil"/>
        </w:pBdr>
      </w:pPr>
      <w:r w:rsidRPr="00CF4ABB">
        <w:t>The act also opens the gate for power abuse, as a single post has been given the power to prevent inquest.</w:t>
      </w:r>
    </w:p>
    <w:p w14:paraId="18DBCEF6" w14:textId="77777777" w:rsidR="00FD7520" w:rsidRDefault="00990206">
      <w:pPr>
        <w:pStyle w:val="Heading1"/>
      </w:pPr>
      <w:bookmarkStart w:id="8" w:name="_heading=h.4d34og8" w:colFirst="0" w:colLast="0"/>
      <w:bookmarkEnd w:id="8"/>
      <w:r>
        <w:t>Recommendation</w:t>
      </w:r>
    </w:p>
    <w:p w14:paraId="439F66D8" w14:textId="71BC351A" w:rsidR="00FD7520" w:rsidRDefault="00990206">
      <w:pPr>
        <w:numPr>
          <w:ilvl w:val="0"/>
          <w:numId w:val="4"/>
        </w:numPr>
        <w:pBdr>
          <w:top w:val="nil"/>
          <w:left w:val="nil"/>
          <w:bottom w:val="nil"/>
          <w:right w:val="nil"/>
          <w:between w:val="nil"/>
        </w:pBdr>
        <w:spacing w:after="0"/>
        <w:rPr>
          <w:color w:val="000000"/>
        </w:rPr>
      </w:pPr>
      <w:r>
        <w:rPr>
          <w:color w:val="000000"/>
        </w:rPr>
        <w:t xml:space="preserve">The UK legislation system can utilize </w:t>
      </w:r>
      <w:r w:rsidR="00C3092D">
        <w:rPr>
          <w:color w:val="000000"/>
        </w:rPr>
        <w:t>stricter</w:t>
      </w:r>
      <w:r>
        <w:rPr>
          <w:color w:val="000000"/>
        </w:rPr>
        <w:t xml:space="preserve"> actions and regulations against hate crimes and criminal activity. Individuals who are being convicted of murder have </w:t>
      </w:r>
      <w:r>
        <w:rPr>
          <w:color w:val="000000"/>
        </w:rPr>
        <w:lastRenderedPageBreak/>
        <w:t>responsibilities and should be evaluated thoroughly, which background investigation of mental health records along with mental health facility documents (</w:t>
      </w:r>
      <w:r>
        <w:rPr>
          <w:color w:val="222222"/>
          <w:highlight w:val="white"/>
        </w:rPr>
        <w:t>Simpson, 2021)</w:t>
      </w:r>
      <w:r>
        <w:rPr>
          <w:color w:val="000000"/>
        </w:rPr>
        <w:t xml:space="preserve">. </w:t>
      </w:r>
    </w:p>
    <w:p w14:paraId="55393E24" w14:textId="7E692ADC" w:rsidR="00FD7520" w:rsidRDefault="00990206">
      <w:pPr>
        <w:numPr>
          <w:ilvl w:val="0"/>
          <w:numId w:val="4"/>
        </w:numPr>
        <w:pBdr>
          <w:top w:val="nil"/>
          <w:left w:val="nil"/>
          <w:bottom w:val="nil"/>
          <w:right w:val="nil"/>
          <w:between w:val="nil"/>
        </w:pBdr>
        <w:rPr>
          <w:color w:val="000000"/>
        </w:rPr>
      </w:pPr>
      <w:r>
        <w:rPr>
          <w:color w:val="000000"/>
        </w:rPr>
        <w:t>With this evolution, innocents can be convicted of murder charges and actual criminals can be set loose (</w:t>
      </w:r>
      <w:r>
        <w:rPr>
          <w:color w:val="222222"/>
          <w:highlight w:val="white"/>
        </w:rPr>
        <w:t>Bonnie, 2023)</w:t>
      </w:r>
      <w:r>
        <w:rPr>
          <w:color w:val="000000"/>
        </w:rPr>
        <w:t xml:space="preserve">. The act also grants bail to murder cases which are not justified in many scenarios. Even if the individual was under some kind of </w:t>
      </w:r>
      <w:r w:rsidR="00C3092D">
        <w:rPr>
          <w:color w:val="000000"/>
        </w:rPr>
        <w:t>influence,</w:t>
      </w:r>
      <w:r>
        <w:rPr>
          <w:color w:val="000000"/>
        </w:rPr>
        <w:t xml:space="preserve"> then a period of probationer time in prison.</w:t>
      </w:r>
    </w:p>
    <w:p w14:paraId="1011C479" w14:textId="77777777" w:rsidR="00FD7520" w:rsidRDefault="00990206">
      <w:pPr>
        <w:pStyle w:val="Heading1"/>
      </w:pPr>
      <w:bookmarkStart w:id="9" w:name="_heading=h.2s8eyo1" w:colFirst="0" w:colLast="0"/>
      <w:bookmarkEnd w:id="9"/>
      <w:r>
        <w:t xml:space="preserve">Conclusion </w:t>
      </w:r>
    </w:p>
    <w:p w14:paraId="14AAFDD2" w14:textId="77777777" w:rsidR="00FD7520" w:rsidRDefault="00990206">
      <w:r>
        <w:t xml:space="preserve">This assignment has successfully evaluated the competency of the mentioned acts and diminished responsibilities. The assessment of the evolution has provided clear evidence that there are certain drawbacks to the act, which has impacted the social stability of the UK gravely. The advantages and disadvantages of the act have provided clear evidence and justification as to why the changes were first implemented and why there is a scope for further alteration in this </w:t>
      </w:r>
      <w:proofErr w:type="gramStart"/>
      <w:r>
        <w:t>particular legislation</w:t>
      </w:r>
      <w:proofErr w:type="gramEnd"/>
      <w:r>
        <w:t xml:space="preserve">. </w:t>
      </w:r>
    </w:p>
    <w:p w14:paraId="7ED82D0A" w14:textId="77777777" w:rsidR="00FD7520" w:rsidRDefault="00FD7520">
      <w:pPr>
        <w:pBdr>
          <w:top w:val="nil"/>
          <w:left w:val="nil"/>
          <w:bottom w:val="nil"/>
          <w:right w:val="nil"/>
          <w:between w:val="nil"/>
        </w:pBdr>
        <w:spacing w:line="276" w:lineRule="auto"/>
        <w:jc w:val="left"/>
        <w:rPr>
          <w:rFonts w:ascii="Calibri" w:eastAsia="Calibri" w:hAnsi="Calibri" w:cs="Calibri"/>
          <w:color w:val="000000"/>
          <w:sz w:val="22"/>
          <w:szCs w:val="22"/>
        </w:rPr>
      </w:pPr>
    </w:p>
    <w:p w14:paraId="4644CAF9" w14:textId="77777777" w:rsidR="00FD7520" w:rsidRDefault="00990206">
      <w:pPr>
        <w:spacing w:line="276" w:lineRule="auto"/>
        <w:jc w:val="left"/>
        <w:rPr>
          <w:b/>
          <w:sz w:val="28"/>
          <w:szCs w:val="28"/>
        </w:rPr>
      </w:pPr>
      <w:bookmarkStart w:id="10" w:name="_heading=h.17dp8vu" w:colFirst="0" w:colLast="0"/>
      <w:bookmarkEnd w:id="10"/>
      <w:r>
        <w:br w:type="page"/>
      </w:r>
    </w:p>
    <w:p w14:paraId="582B937D" w14:textId="77777777" w:rsidR="00FD7520" w:rsidRDefault="00990206">
      <w:pPr>
        <w:pStyle w:val="Heading1"/>
      </w:pPr>
      <w:bookmarkStart w:id="11" w:name="_heading=h.3rdcrjn" w:colFirst="0" w:colLast="0"/>
      <w:bookmarkEnd w:id="11"/>
      <w:r>
        <w:lastRenderedPageBreak/>
        <w:t xml:space="preserve">Reference </w:t>
      </w:r>
    </w:p>
    <w:p w14:paraId="1AC604DE" w14:textId="77777777" w:rsidR="00FD7520" w:rsidRDefault="00990206">
      <w:r>
        <w:t xml:space="preserve">bills.parliament.uk (2021) </w:t>
      </w:r>
      <w:r>
        <w:rPr>
          <w:i/>
        </w:rPr>
        <w:t>Coroners and justice - parliamentary bills - UK parliament</w:t>
      </w:r>
      <w:r>
        <w:t>. Available at:</w:t>
      </w:r>
      <w:hyperlink r:id="rId10">
        <w:r>
          <w:t xml:space="preserve"> </w:t>
        </w:r>
      </w:hyperlink>
      <w:hyperlink r:id="rId11">
        <w:r>
          <w:rPr>
            <w:color w:val="1155CC"/>
            <w:u w:val="single"/>
          </w:rPr>
          <w:t>https://bills.parliament.uk/bills/372</w:t>
        </w:r>
      </w:hyperlink>
      <w:r>
        <w:t xml:space="preserve"> (Accessed: February 27, 2023).</w:t>
      </w:r>
    </w:p>
    <w:p w14:paraId="39B5860D" w14:textId="77777777" w:rsidR="00FD7520" w:rsidRDefault="00990206">
      <w:r>
        <w:rPr>
          <w:color w:val="222222"/>
          <w:highlight w:val="white"/>
        </w:rPr>
        <w:t xml:space="preserve">Bonnie, R.J., 2023. Severe Mental Illness and the Death Penalty: A Menu of Legislative Options. </w:t>
      </w:r>
      <w:r>
        <w:rPr>
          <w:i/>
        </w:rPr>
        <w:t>Journal of Civil Rights and Social Justice, forthcoming</w:t>
      </w:r>
      <w:r>
        <w:t>. Available at:</w:t>
      </w:r>
      <w:hyperlink r:id="rId12">
        <w:r>
          <w:t xml:space="preserve"> </w:t>
        </w:r>
      </w:hyperlink>
      <w:hyperlink r:id="rId13">
        <w:r>
          <w:rPr>
            <w:color w:val="1155CC"/>
            <w:highlight w:val="white"/>
            <w:u w:val="single"/>
          </w:rPr>
          <w:t>https://doi.org/abstract=4365139</w:t>
        </w:r>
      </w:hyperlink>
      <w:r>
        <w:rPr>
          <w:color w:val="222222"/>
          <w:highlight w:val="white"/>
        </w:rPr>
        <w:t xml:space="preserve"> </w:t>
      </w:r>
      <w:r>
        <w:t>(Accessed: February 27, 2023).</w:t>
      </w:r>
    </w:p>
    <w:p w14:paraId="03E46C8E" w14:textId="77777777" w:rsidR="00FD7520" w:rsidRDefault="00990206">
      <w:r>
        <w:rPr>
          <w:color w:val="222222"/>
          <w:highlight w:val="white"/>
        </w:rPr>
        <w:t xml:space="preserve">Crofts, T. and Wake, N., 2021. Diminished responsibility determinations in England and Wales and New South Wales: whose role is it </w:t>
      </w:r>
      <w:proofErr w:type="gramStart"/>
      <w:r>
        <w:rPr>
          <w:color w:val="222222"/>
          <w:highlight w:val="white"/>
        </w:rPr>
        <w:t>anyway?.</w:t>
      </w:r>
      <w:proofErr w:type="gramEnd"/>
      <w:r>
        <w:rPr>
          <w:color w:val="222222"/>
          <w:highlight w:val="white"/>
        </w:rPr>
        <w:t xml:space="preserve"> </w:t>
      </w:r>
      <w:r>
        <w:rPr>
          <w:i/>
        </w:rPr>
        <w:t>Northern Ireland Legal Quarterly</w:t>
      </w:r>
      <w:r>
        <w:t xml:space="preserve">, </w:t>
      </w:r>
      <w:r>
        <w:rPr>
          <w:i/>
        </w:rPr>
        <w:t>72</w:t>
      </w:r>
      <w:r>
        <w:t>(2), pp.324-362. Available at:</w:t>
      </w:r>
      <w:hyperlink r:id="rId14">
        <w:r>
          <w:t xml:space="preserve"> </w:t>
        </w:r>
      </w:hyperlink>
      <w:hyperlink r:id="rId15">
        <w:r>
          <w:rPr>
            <w:color w:val="1155CC"/>
            <w:highlight w:val="white"/>
            <w:u w:val="single"/>
          </w:rPr>
          <w:t>http://doi.org/10.53386/nilq.v72i2.874</w:t>
        </w:r>
      </w:hyperlink>
      <w:r>
        <w:rPr>
          <w:color w:val="222222"/>
          <w:highlight w:val="white"/>
        </w:rPr>
        <w:t xml:space="preserve"> </w:t>
      </w:r>
      <w:r>
        <w:t>(Accessed: February 27, 2023).</w:t>
      </w:r>
    </w:p>
    <w:p w14:paraId="6D25302A" w14:textId="77777777" w:rsidR="00FD7520" w:rsidRDefault="00990206">
      <w:r>
        <w:rPr>
          <w:color w:val="222222"/>
          <w:highlight w:val="white"/>
        </w:rPr>
        <w:t xml:space="preserve">Fortson, R., 2021. Partial </w:t>
      </w:r>
      <w:proofErr w:type="spellStart"/>
      <w:r>
        <w:rPr>
          <w:color w:val="222222"/>
          <w:highlight w:val="white"/>
        </w:rPr>
        <w:t>defences</w:t>
      </w:r>
      <w:proofErr w:type="spellEnd"/>
      <w:r>
        <w:rPr>
          <w:color w:val="222222"/>
          <w:highlight w:val="white"/>
        </w:rPr>
        <w:t xml:space="preserve"> to murder: changed landscape and nomenclature. </w:t>
      </w:r>
      <w:r>
        <w:rPr>
          <w:i/>
        </w:rPr>
        <w:t>Northern Ireland Legal Quarterly</w:t>
      </w:r>
      <w:r>
        <w:t xml:space="preserve">, </w:t>
      </w:r>
      <w:r>
        <w:rPr>
          <w:i/>
        </w:rPr>
        <w:t>72</w:t>
      </w:r>
      <w:r>
        <w:t>(2), pp.171-199. Available at:</w:t>
      </w:r>
      <w:hyperlink r:id="rId16">
        <w:r>
          <w:t xml:space="preserve"> </w:t>
        </w:r>
      </w:hyperlink>
      <w:hyperlink r:id="rId17">
        <w:r>
          <w:rPr>
            <w:color w:val="1155CC"/>
            <w:highlight w:val="white"/>
            <w:u w:val="single"/>
          </w:rPr>
          <w:t>https://doi.org/10.53386/nilq.v72i2.897</w:t>
        </w:r>
      </w:hyperlink>
      <w:r>
        <w:rPr>
          <w:color w:val="222222"/>
          <w:highlight w:val="white"/>
        </w:rPr>
        <w:t xml:space="preserve"> </w:t>
      </w:r>
      <w:r>
        <w:t>(Accessed: February 27, 2023).</w:t>
      </w:r>
    </w:p>
    <w:p w14:paraId="46B5BE62" w14:textId="77777777" w:rsidR="00FD7520" w:rsidRDefault="00990206">
      <w:r>
        <w:t xml:space="preserve">justice.gov.uk (2018) </w:t>
      </w:r>
      <w:r>
        <w:rPr>
          <w:i/>
        </w:rPr>
        <w:t xml:space="preserve">Partial </w:t>
      </w:r>
      <w:proofErr w:type="spellStart"/>
      <w:r>
        <w:rPr>
          <w:i/>
        </w:rPr>
        <w:t>defences</w:t>
      </w:r>
      <w:proofErr w:type="spellEnd"/>
      <w:r>
        <w:rPr>
          <w:i/>
        </w:rPr>
        <w:t xml:space="preserve"> to murder: Loss of control and diminished ... - justice</w:t>
      </w:r>
      <w:r>
        <w:t>. Available at:</w:t>
      </w:r>
      <w:hyperlink r:id="rId18">
        <w:r>
          <w:t xml:space="preserve"> </w:t>
        </w:r>
      </w:hyperlink>
      <w:hyperlink r:id="rId19">
        <w:r>
          <w:rPr>
            <w:color w:val="1155CC"/>
            <w:u w:val="single"/>
          </w:rPr>
          <w:t>https://www.justice.gov.uk/downloads/legislation/bills-acts/circulars/moj/2010/circular-12-2010-coroners-justice-act-homicide-provisions.pdf</w:t>
        </w:r>
      </w:hyperlink>
      <w:r>
        <w:t xml:space="preserve"> (Accessed: February 27, 2023).</w:t>
      </w:r>
    </w:p>
    <w:p w14:paraId="45558AA5" w14:textId="77777777" w:rsidR="00FD7520" w:rsidRDefault="00990206">
      <w:r>
        <w:t xml:space="preserve">legislation.gov.uk (2018) </w:t>
      </w:r>
      <w:r>
        <w:rPr>
          <w:i/>
        </w:rPr>
        <w:t>Homicide act, 1957 - legislation.gov.uk</w:t>
      </w:r>
      <w:r>
        <w:t>. Available at:</w:t>
      </w:r>
      <w:hyperlink r:id="rId20">
        <w:r>
          <w:t xml:space="preserve"> </w:t>
        </w:r>
      </w:hyperlink>
      <w:hyperlink r:id="rId21">
        <w:r>
          <w:rPr>
            <w:color w:val="1155CC"/>
            <w:u w:val="single"/>
          </w:rPr>
          <w:t>https://www.legislation.gov.uk/ukpga/1957/11/pdfs/ukpga_19570011_en.pdf</w:t>
        </w:r>
      </w:hyperlink>
      <w:r>
        <w:t xml:space="preserve"> (Accessed: February 27, 2023).</w:t>
      </w:r>
    </w:p>
    <w:p w14:paraId="7DB4BBFF" w14:textId="77777777" w:rsidR="00FD7520" w:rsidRDefault="00990206">
      <w:r>
        <w:t xml:space="preserve">legislation.gov.uk (2021) </w:t>
      </w:r>
      <w:r>
        <w:rPr>
          <w:i/>
        </w:rPr>
        <w:t>Homicide act 1957</w:t>
      </w:r>
      <w:r>
        <w:t xml:space="preserve">, </w:t>
      </w:r>
      <w:r>
        <w:rPr>
          <w:i/>
        </w:rPr>
        <w:t>Legislation.gov.uk</w:t>
      </w:r>
      <w:r>
        <w:t>. Queen's Printer of Acts of Parliament. Available at:</w:t>
      </w:r>
      <w:hyperlink r:id="rId22">
        <w:r>
          <w:t xml:space="preserve"> </w:t>
        </w:r>
      </w:hyperlink>
      <w:hyperlink r:id="rId23">
        <w:r>
          <w:rPr>
            <w:color w:val="1155CC"/>
            <w:u w:val="single"/>
          </w:rPr>
          <w:t>https://www.legislation.gov.uk/ukpga/Eliz2/5-6/11/enacted</w:t>
        </w:r>
      </w:hyperlink>
      <w:r>
        <w:t xml:space="preserve"> (Accessed: February 27, 2023).</w:t>
      </w:r>
    </w:p>
    <w:p w14:paraId="199D2099" w14:textId="77777777" w:rsidR="00FD7520" w:rsidRDefault="00990206">
      <w:r>
        <w:t xml:space="preserve">legislation.gov.uk (2021) </w:t>
      </w:r>
      <w:r>
        <w:rPr>
          <w:i/>
        </w:rPr>
        <w:t>Homicide act 1957</w:t>
      </w:r>
      <w:r>
        <w:t xml:space="preserve">, </w:t>
      </w:r>
      <w:r>
        <w:rPr>
          <w:i/>
        </w:rPr>
        <w:t>Legislation.gov.uk</w:t>
      </w:r>
      <w:r>
        <w:t>. Queen's Printer of Acts of Parliament. Available at:</w:t>
      </w:r>
      <w:hyperlink r:id="rId24">
        <w:r>
          <w:t xml:space="preserve"> </w:t>
        </w:r>
      </w:hyperlink>
      <w:hyperlink r:id="rId25">
        <w:r>
          <w:rPr>
            <w:color w:val="1155CC"/>
            <w:u w:val="single"/>
          </w:rPr>
          <w:t>https://www.legislation.gov.uk/ukpga/Eliz2/5-6/11/section/2/enacted</w:t>
        </w:r>
      </w:hyperlink>
      <w:r>
        <w:t xml:space="preserve"> (Accessed: February 27, 2023).</w:t>
      </w:r>
    </w:p>
    <w:p w14:paraId="3BF843E8" w14:textId="77777777" w:rsidR="00FD7520" w:rsidRDefault="00990206">
      <w:r>
        <w:t xml:space="preserve">legislation.gov.uk (2022) </w:t>
      </w:r>
      <w:r>
        <w:rPr>
          <w:i/>
        </w:rPr>
        <w:t>Homicide act 1957</w:t>
      </w:r>
      <w:r>
        <w:t xml:space="preserve">, </w:t>
      </w:r>
      <w:r>
        <w:rPr>
          <w:i/>
        </w:rPr>
        <w:t>Legislation.gov.uk</w:t>
      </w:r>
      <w:r>
        <w:t>. Queen's Printer of Acts of Parliament. Available at:</w:t>
      </w:r>
      <w:hyperlink r:id="rId26" w:anchor=":~:text=2Persons%20suffering%20from%20diminished%20responsibility&amp;text=(2)On%20a%20charge%20of,to%20be%20convicted%20of%20murder">
        <w:r>
          <w:t xml:space="preserve"> </w:t>
        </w:r>
      </w:hyperlink>
      <w:hyperlink r:id="rId27" w:anchor=":~:text=2Persons%20suffering%20from%20diminished%20responsibility&amp;text=(2)On%20a%20charge%20of,to%20be%20convicted%20of%20murder">
        <w:r>
          <w:rPr>
            <w:color w:val="1155CC"/>
            <w:u w:val="single"/>
          </w:rPr>
          <w:t>https://www.legislation.gov.uk/ukpga/Eliz2/5-6/11/section/2/enacted#:~:text=2Persons%20suffering%20from%20diminished%20responsib</w:t>
        </w:r>
        <w:r>
          <w:rPr>
            <w:color w:val="1155CC"/>
            <w:u w:val="single"/>
          </w:rPr>
          <w:lastRenderedPageBreak/>
          <w:t>ility&amp;text=(2)On%20a%20charge%20of,to%20be%20convicted%20of%20murder</w:t>
        </w:r>
      </w:hyperlink>
      <w:r>
        <w:t>. (Accessed: February 27, 2023).</w:t>
      </w:r>
    </w:p>
    <w:p w14:paraId="3E51E935" w14:textId="77777777" w:rsidR="00FD7520" w:rsidRDefault="00990206">
      <w:r>
        <w:rPr>
          <w:color w:val="222222"/>
          <w:highlight w:val="white"/>
        </w:rPr>
        <w:t xml:space="preserve">Reed, A., Wake, N. and Simpson, B., 2021. </w:t>
      </w:r>
      <w:proofErr w:type="spellStart"/>
      <w:proofErr w:type="gramStart"/>
      <w:r>
        <w:rPr>
          <w:color w:val="222222"/>
          <w:highlight w:val="white"/>
        </w:rPr>
        <w:t>Introduction:‘</w:t>
      </w:r>
      <w:proofErr w:type="gramEnd"/>
      <w:r>
        <w:rPr>
          <w:color w:val="222222"/>
          <w:highlight w:val="white"/>
        </w:rPr>
        <w:t>Domestic</w:t>
      </w:r>
      <w:proofErr w:type="spellEnd"/>
      <w:r>
        <w:rPr>
          <w:color w:val="222222"/>
          <w:highlight w:val="white"/>
        </w:rPr>
        <w:t xml:space="preserve"> and comparative perspectives on loss of self-control and diminished responsibility as partial </w:t>
      </w:r>
      <w:proofErr w:type="spellStart"/>
      <w:r>
        <w:rPr>
          <w:color w:val="222222"/>
          <w:highlight w:val="white"/>
        </w:rPr>
        <w:t>defences</w:t>
      </w:r>
      <w:proofErr w:type="spellEnd"/>
      <w:r>
        <w:rPr>
          <w:color w:val="222222"/>
          <w:highlight w:val="white"/>
        </w:rPr>
        <w:t xml:space="preserve"> to murder: a 10-year review of the Coroners and Justice Act 2009 reform framework’. </w:t>
      </w:r>
      <w:r>
        <w:rPr>
          <w:i/>
        </w:rPr>
        <w:t>Northern Ireland Legal Quarterly</w:t>
      </w:r>
      <w:r>
        <w:t xml:space="preserve">, </w:t>
      </w:r>
      <w:r>
        <w:rPr>
          <w:i/>
        </w:rPr>
        <w:t>72</w:t>
      </w:r>
      <w:r>
        <w:t>(2), pp.161-170. Available at:</w:t>
      </w:r>
      <w:hyperlink r:id="rId28">
        <w:r>
          <w:t xml:space="preserve"> </w:t>
        </w:r>
      </w:hyperlink>
      <w:hyperlink r:id="rId29">
        <w:r>
          <w:rPr>
            <w:color w:val="1155CC"/>
            <w:highlight w:val="white"/>
            <w:u w:val="single"/>
          </w:rPr>
          <w:t>http://doi.org/10.53386/nilq.v72i2.930</w:t>
        </w:r>
      </w:hyperlink>
      <w:r>
        <w:rPr>
          <w:color w:val="222222"/>
          <w:highlight w:val="white"/>
        </w:rPr>
        <w:t xml:space="preserve"> </w:t>
      </w:r>
      <w:r>
        <w:t>(Accessed: February 27, 2023).</w:t>
      </w:r>
    </w:p>
    <w:p w14:paraId="676C6C7F" w14:textId="77777777" w:rsidR="00FD7520" w:rsidRDefault="00990206">
      <w:r>
        <w:rPr>
          <w:color w:val="222222"/>
          <w:highlight w:val="white"/>
        </w:rPr>
        <w:t xml:space="preserve">Simpson, B., 2021. R v Foy (Nicholas): voluntary intoxication, mental health and the case for diminished responsibility. </w:t>
      </w:r>
      <w:r>
        <w:rPr>
          <w:i/>
        </w:rPr>
        <w:t>Northern Ireland Legal Quarterly</w:t>
      </w:r>
      <w:r>
        <w:t xml:space="preserve">, </w:t>
      </w:r>
      <w:r>
        <w:rPr>
          <w:i/>
        </w:rPr>
        <w:t>72</w:t>
      </w:r>
      <w:r>
        <w:t>(2), pp.397-405. Available at:</w:t>
      </w:r>
      <w:hyperlink r:id="rId30">
        <w:r>
          <w:t xml:space="preserve"> </w:t>
        </w:r>
      </w:hyperlink>
      <w:hyperlink r:id="rId31">
        <w:r>
          <w:rPr>
            <w:color w:val="1155CC"/>
            <w:highlight w:val="white"/>
            <w:u w:val="single"/>
          </w:rPr>
          <w:t>https://doi.org/10.53386/nilq.v72i2.880</w:t>
        </w:r>
      </w:hyperlink>
      <w:r>
        <w:rPr>
          <w:color w:val="222222"/>
          <w:highlight w:val="white"/>
        </w:rPr>
        <w:t xml:space="preserve"> </w:t>
      </w:r>
      <w:r>
        <w:t>(Accessed: February 27, 2023).</w:t>
      </w:r>
    </w:p>
    <w:p w14:paraId="458B2099" w14:textId="77777777" w:rsidR="00FD7520" w:rsidRPr="00CF4ABB" w:rsidRDefault="00990206">
      <w:proofErr w:type="spellStart"/>
      <w:r>
        <w:t>Szczucki</w:t>
      </w:r>
      <w:proofErr w:type="spellEnd"/>
      <w:r>
        <w:t xml:space="preserve">, K. (2018). Ethical legitimacy of criminal law. </w:t>
      </w:r>
      <w:r>
        <w:rPr>
          <w:i/>
        </w:rPr>
        <w:t>International Journal of Law, Crime, and Justice</w:t>
      </w:r>
      <w:r>
        <w:t xml:space="preserve">, </w:t>
      </w:r>
      <w:r>
        <w:rPr>
          <w:i/>
        </w:rPr>
        <w:t>53</w:t>
      </w:r>
      <w:r>
        <w:t>, 67-76. Available at:</w:t>
      </w:r>
      <w:hyperlink r:id="rId32">
        <w:r>
          <w:t xml:space="preserve"> </w:t>
        </w:r>
      </w:hyperlink>
      <w:hyperlink r:id="rId33">
        <w:r>
          <w:rPr>
            <w:color w:val="1155CC"/>
            <w:u w:val="single"/>
          </w:rPr>
          <w:t>https://doi.org/10.1016/j.ijlcj.2018.03.002</w:t>
        </w:r>
      </w:hyperlink>
      <w:r>
        <w:t xml:space="preserve"> (Accessed: </w:t>
      </w:r>
      <w:r w:rsidRPr="00CF4ABB">
        <w:t>February 27, 2023).</w:t>
      </w:r>
    </w:p>
    <w:p w14:paraId="056E6CF8" w14:textId="70C047CF" w:rsidR="00FD7520" w:rsidRPr="00CF4ABB" w:rsidRDefault="00990206">
      <w:r w:rsidRPr="00CF4ABB">
        <w:t xml:space="preserve">Richards, G.C., Aronson, J.K. and Heneghan, C., 2021. Coroners’ concerns to prevent </w:t>
      </w:r>
      <w:r w:rsidR="00CF4ABB" w:rsidRPr="00CF4ABB">
        <w:t>harm</w:t>
      </w:r>
      <w:r w:rsidRPr="00CF4ABB">
        <w:t xml:space="preserve">: a series of coroners’ case reports to serve patient safety and educate the public, clinicians and </w:t>
      </w:r>
      <w:proofErr w:type="gramStart"/>
      <w:r w:rsidRPr="00CF4ABB">
        <w:t>policy-makers</w:t>
      </w:r>
      <w:proofErr w:type="gramEnd"/>
      <w:r w:rsidRPr="00CF4ABB">
        <w:t xml:space="preserve">. BMJ Evidence-Based Medicine, 26(2), pp.37-38. Available at: </w:t>
      </w:r>
      <w:hyperlink r:id="rId34">
        <w:r w:rsidRPr="00CF4ABB">
          <w:rPr>
            <w:color w:val="1155CC"/>
            <w:u w:val="single"/>
          </w:rPr>
          <w:t>http://dx.doi.org/10.1136/bmjebm-2020-111567</w:t>
        </w:r>
      </w:hyperlink>
      <w:r w:rsidRPr="00CF4ABB">
        <w:t xml:space="preserve">  [Accessed on: 07 July 2023]</w:t>
      </w:r>
    </w:p>
    <w:p w14:paraId="78572255" w14:textId="77777777" w:rsidR="00FD7520" w:rsidRPr="00CF4ABB" w:rsidRDefault="00990206">
      <w:proofErr w:type="spellStart"/>
      <w:r w:rsidRPr="00CF4ABB">
        <w:t>Zilka</w:t>
      </w:r>
      <w:proofErr w:type="spellEnd"/>
      <w:r w:rsidRPr="00CF4ABB">
        <w:t xml:space="preserve">, M., </w:t>
      </w:r>
      <w:proofErr w:type="spellStart"/>
      <w:r w:rsidRPr="00CF4ABB">
        <w:t>Sargeant</w:t>
      </w:r>
      <w:proofErr w:type="spellEnd"/>
      <w:r w:rsidRPr="00CF4ABB">
        <w:t xml:space="preserve">, H. and Weller, A., 2022, July. Transparency, governance and regulation of algorithmic tools deployed in the criminal justice system: a UK case study. In Proceedings of the 2022 AAAI/ACM Conference on AI, Ethics, and Society (pp. 880-889). Available at: </w:t>
      </w:r>
      <w:hyperlink r:id="rId35">
        <w:r w:rsidRPr="00CF4ABB">
          <w:rPr>
            <w:color w:val="1155CC"/>
            <w:u w:val="single"/>
          </w:rPr>
          <w:t>https://doi.org/10.1145/3514094.3534200</w:t>
        </w:r>
      </w:hyperlink>
      <w:r w:rsidRPr="00CF4ABB">
        <w:t xml:space="preserve">  [Accessed on: 11 July 2023]</w:t>
      </w:r>
    </w:p>
    <w:p w14:paraId="41CD1894" w14:textId="77777777" w:rsidR="00FD7520" w:rsidRPr="00CF4ABB" w:rsidRDefault="00990206">
      <w:r w:rsidRPr="00CF4ABB">
        <w:t>Mackay, J., Bowen, E., Walker, K. and O&amp;#</w:t>
      </w:r>
      <w:proofErr w:type="gramStart"/>
      <w:r w:rsidRPr="00CF4ABB">
        <w:t>39;Doherty</w:t>
      </w:r>
      <w:proofErr w:type="gramEnd"/>
      <w:r w:rsidRPr="00CF4ABB">
        <w:t xml:space="preserve">, L., 2018. Risk factors </w:t>
      </w:r>
      <w:proofErr w:type="spellStart"/>
      <w:r w:rsidRPr="00CF4ABB">
        <w:t>forfemale</w:t>
      </w:r>
      <w:proofErr w:type="spellEnd"/>
      <w:r w:rsidRPr="00CF4ABB">
        <w:t xml:space="preserve"> perpetrators of intimate partner violence within criminal justice </w:t>
      </w:r>
      <w:proofErr w:type="spellStart"/>
      <w:proofErr w:type="gramStart"/>
      <w:r w:rsidRPr="00CF4ABB">
        <w:t>settings:A</w:t>
      </w:r>
      <w:proofErr w:type="spellEnd"/>
      <w:proofErr w:type="gramEnd"/>
      <w:r w:rsidRPr="00CF4ABB">
        <w:t xml:space="preserve"> systematic review. Aggression and Violent Behavior, 41, pp.128-146. Available </w:t>
      </w:r>
      <w:proofErr w:type="spellStart"/>
      <w:r w:rsidRPr="00CF4ABB">
        <w:t>at:</w:t>
      </w:r>
      <w:hyperlink r:id="rId36">
        <w:r w:rsidRPr="00CF4ABB">
          <w:rPr>
            <w:color w:val="1155CC"/>
            <w:u w:val="single"/>
          </w:rPr>
          <w:t>https</w:t>
        </w:r>
        <w:proofErr w:type="spellEnd"/>
        <w:r w:rsidRPr="00CF4ABB">
          <w:rPr>
            <w:color w:val="1155CC"/>
            <w:u w:val="single"/>
          </w:rPr>
          <w:t>://doi.org/10.1016/j.avb.2018.06.004</w:t>
        </w:r>
      </w:hyperlink>
      <w:r w:rsidRPr="00CF4ABB">
        <w:t xml:space="preserve">  [Accessed on: 11 July 2023]</w:t>
      </w:r>
    </w:p>
    <w:p w14:paraId="7434CFC9" w14:textId="77777777" w:rsidR="00FD7520" w:rsidRDefault="00FD7520"/>
    <w:sectPr w:rsidR="00FD7520">
      <w:footerReference w:type="default" r:id="rId3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62183" w14:textId="77777777" w:rsidR="00CB17DB" w:rsidRDefault="00CB17DB">
      <w:pPr>
        <w:spacing w:after="0" w:line="240" w:lineRule="auto"/>
      </w:pPr>
      <w:r>
        <w:separator/>
      </w:r>
    </w:p>
  </w:endnote>
  <w:endnote w:type="continuationSeparator" w:id="0">
    <w:p w14:paraId="19AD95EA" w14:textId="77777777" w:rsidR="00CB17DB" w:rsidRDefault="00CB1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98B3D" w14:textId="77777777" w:rsidR="00FD7520" w:rsidRDefault="00990206">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431B9B">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431B9B">
      <w:rPr>
        <w:b/>
        <w:noProof/>
        <w:color w:val="000000"/>
      </w:rPr>
      <w:t>2</w:t>
    </w:r>
    <w:r>
      <w:rPr>
        <w:b/>
        <w:color w:val="000000"/>
      </w:rPr>
      <w:fldChar w:fldCharType="end"/>
    </w:r>
  </w:p>
  <w:p w14:paraId="59EF513D" w14:textId="77777777" w:rsidR="00FD7520" w:rsidRDefault="00FD752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BCFBA" w14:textId="77777777" w:rsidR="00CB17DB" w:rsidRDefault="00CB17DB">
      <w:pPr>
        <w:spacing w:after="0" w:line="240" w:lineRule="auto"/>
      </w:pPr>
      <w:r>
        <w:separator/>
      </w:r>
    </w:p>
  </w:footnote>
  <w:footnote w:type="continuationSeparator" w:id="0">
    <w:p w14:paraId="4BF9130F" w14:textId="77777777" w:rsidR="00CB17DB" w:rsidRDefault="00CB17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20E7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40177E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CA36D3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94B0CFB"/>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D740D43"/>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37247961">
    <w:abstractNumId w:val="1"/>
  </w:num>
  <w:num w:numId="2" w16cid:durableId="258101203">
    <w:abstractNumId w:val="2"/>
  </w:num>
  <w:num w:numId="3" w16cid:durableId="923105933">
    <w:abstractNumId w:val="3"/>
  </w:num>
  <w:num w:numId="4" w16cid:durableId="846480828">
    <w:abstractNumId w:val="4"/>
  </w:num>
  <w:num w:numId="5" w16cid:durableId="1157378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7520"/>
    <w:rsid w:val="00431B9B"/>
    <w:rsid w:val="00990206"/>
    <w:rsid w:val="009C2A30"/>
    <w:rsid w:val="00BB139B"/>
    <w:rsid w:val="00C3092D"/>
    <w:rsid w:val="00CB17DB"/>
    <w:rsid w:val="00CF4ABB"/>
    <w:rsid w:val="00FD7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90C34"/>
  <w15:docId w15:val="{722A494A-5FA3-574E-8695-BCF3A0B83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39A"/>
  </w:style>
  <w:style w:type="paragraph" w:styleId="Heading1">
    <w:name w:val="heading 1"/>
    <w:basedOn w:val="Normal"/>
    <w:next w:val="Normal"/>
    <w:link w:val="Heading1Char"/>
    <w:uiPriority w:val="9"/>
    <w:qFormat/>
    <w:rsid w:val="003F339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3F339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3F339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F339A"/>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3F339A"/>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3F339A"/>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F339A"/>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F339A"/>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3F339A"/>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339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customStyle="1" w:styleId="Normal1">
    <w:name w:val="Normal1"/>
    <w:rsid w:val="00183353"/>
  </w:style>
  <w:style w:type="paragraph" w:styleId="Subtitle">
    <w:name w:val="Subtitle"/>
    <w:basedOn w:val="Normal"/>
    <w:next w:val="Normal"/>
    <w:link w:val="SubtitleChar"/>
    <w:uiPriority w:val="11"/>
    <w:qFormat/>
    <w:rPr>
      <w:rFonts w:ascii="Calibri" w:eastAsia="Calibri" w:hAnsi="Calibri" w:cs="Calibri"/>
      <w:i/>
      <w:color w:val="4F81BD"/>
    </w:rPr>
  </w:style>
  <w:style w:type="character" w:customStyle="1" w:styleId="Heading1Char">
    <w:name w:val="Heading 1 Char"/>
    <w:basedOn w:val="DefaultParagraphFont"/>
    <w:link w:val="Heading1"/>
    <w:uiPriority w:val="9"/>
    <w:rsid w:val="003F339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3F339A"/>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3F339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3F339A"/>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3F339A"/>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3F339A"/>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3F339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3F339A"/>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3F339A"/>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F339A"/>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3F339A"/>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3F339A"/>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3F339A"/>
    <w:rPr>
      <w:b/>
      <w:bCs/>
    </w:rPr>
  </w:style>
  <w:style w:type="character" w:styleId="Emphasis">
    <w:name w:val="Emphasis"/>
    <w:basedOn w:val="DefaultParagraphFont"/>
    <w:uiPriority w:val="20"/>
    <w:qFormat/>
    <w:rsid w:val="003F339A"/>
    <w:rPr>
      <w:i/>
      <w:iCs/>
    </w:rPr>
  </w:style>
  <w:style w:type="paragraph" w:styleId="NoSpacing">
    <w:name w:val="No Spacing"/>
    <w:uiPriority w:val="1"/>
    <w:qFormat/>
    <w:rsid w:val="003F339A"/>
    <w:pPr>
      <w:spacing w:after="0" w:line="240" w:lineRule="auto"/>
    </w:pPr>
  </w:style>
  <w:style w:type="paragraph" w:styleId="ListParagraph">
    <w:name w:val="List Paragraph"/>
    <w:basedOn w:val="Normal"/>
    <w:uiPriority w:val="34"/>
    <w:qFormat/>
    <w:rsid w:val="003F339A"/>
    <w:pPr>
      <w:ind w:left="720"/>
      <w:contextualSpacing/>
    </w:pPr>
  </w:style>
  <w:style w:type="paragraph" w:styleId="Quote">
    <w:name w:val="Quote"/>
    <w:basedOn w:val="Normal"/>
    <w:next w:val="Normal"/>
    <w:link w:val="QuoteChar"/>
    <w:uiPriority w:val="29"/>
    <w:qFormat/>
    <w:rsid w:val="003F339A"/>
    <w:rPr>
      <w:i/>
      <w:iCs/>
      <w:color w:val="000000" w:themeColor="text1"/>
    </w:rPr>
  </w:style>
  <w:style w:type="character" w:customStyle="1" w:styleId="QuoteChar">
    <w:name w:val="Quote Char"/>
    <w:basedOn w:val="DefaultParagraphFont"/>
    <w:link w:val="Quote"/>
    <w:uiPriority w:val="29"/>
    <w:rsid w:val="003F339A"/>
    <w:rPr>
      <w:i/>
      <w:iCs/>
      <w:color w:val="000000" w:themeColor="text1"/>
    </w:rPr>
  </w:style>
  <w:style w:type="paragraph" w:styleId="IntenseQuote">
    <w:name w:val="Intense Quote"/>
    <w:basedOn w:val="Normal"/>
    <w:next w:val="Normal"/>
    <w:link w:val="IntenseQuoteChar"/>
    <w:uiPriority w:val="30"/>
    <w:qFormat/>
    <w:rsid w:val="003F339A"/>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3F339A"/>
    <w:rPr>
      <w:b/>
      <w:bCs/>
      <w:i/>
      <w:iCs/>
      <w:color w:val="4F81BD" w:themeColor="accent1"/>
    </w:rPr>
  </w:style>
  <w:style w:type="character" w:styleId="SubtleEmphasis">
    <w:name w:val="Subtle Emphasis"/>
    <w:basedOn w:val="DefaultParagraphFont"/>
    <w:uiPriority w:val="19"/>
    <w:qFormat/>
    <w:rsid w:val="003F339A"/>
    <w:rPr>
      <w:i/>
      <w:iCs/>
      <w:color w:val="808080" w:themeColor="text1" w:themeTint="7F"/>
    </w:rPr>
  </w:style>
  <w:style w:type="character" w:styleId="IntenseEmphasis">
    <w:name w:val="Intense Emphasis"/>
    <w:basedOn w:val="DefaultParagraphFont"/>
    <w:uiPriority w:val="21"/>
    <w:qFormat/>
    <w:rsid w:val="003F339A"/>
    <w:rPr>
      <w:b/>
      <w:bCs/>
      <w:i/>
      <w:iCs/>
      <w:color w:val="4F81BD" w:themeColor="accent1"/>
    </w:rPr>
  </w:style>
  <w:style w:type="character" w:styleId="SubtleReference">
    <w:name w:val="Subtle Reference"/>
    <w:basedOn w:val="DefaultParagraphFont"/>
    <w:uiPriority w:val="31"/>
    <w:qFormat/>
    <w:rsid w:val="003F339A"/>
    <w:rPr>
      <w:smallCaps/>
      <w:color w:val="C0504D" w:themeColor="accent2"/>
      <w:u w:val="single"/>
    </w:rPr>
  </w:style>
  <w:style w:type="character" w:styleId="IntenseReference">
    <w:name w:val="Intense Reference"/>
    <w:basedOn w:val="DefaultParagraphFont"/>
    <w:uiPriority w:val="32"/>
    <w:qFormat/>
    <w:rsid w:val="003F339A"/>
    <w:rPr>
      <w:b/>
      <w:bCs/>
      <w:smallCaps/>
      <w:color w:val="C0504D" w:themeColor="accent2"/>
      <w:spacing w:val="5"/>
      <w:u w:val="single"/>
    </w:rPr>
  </w:style>
  <w:style w:type="character" w:styleId="BookTitle">
    <w:name w:val="Book Title"/>
    <w:basedOn w:val="DefaultParagraphFont"/>
    <w:uiPriority w:val="33"/>
    <w:qFormat/>
    <w:rsid w:val="003F339A"/>
    <w:rPr>
      <w:b/>
      <w:bCs/>
      <w:smallCaps/>
      <w:spacing w:val="5"/>
    </w:rPr>
  </w:style>
  <w:style w:type="paragraph" w:styleId="TOCHeading">
    <w:name w:val="TOC Heading"/>
    <w:basedOn w:val="Heading1"/>
    <w:next w:val="Normal"/>
    <w:uiPriority w:val="39"/>
    <w:unhideWhenUsed/>
    <w:qFormat/>
    <w:rsid w:val="003F339A"/>
    <w:pPr>
      <w:outlineLvl w:val="9"/>
    </w:pPr>
  </w:style>
  <w:style w:type="paragraph" w:styleId="BalloonText">
    <w:name w:val="Balloon Text"/>
    <w:basedOn w:val="Normal"/>
    <w:link w:val="BalloonTextChar"/>
    <w:uiPriority w:val="99"/>
    <w:semiHidden/>
    <w:unhideWhenUsed/>
    <w:rsid w:val="003F33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339A"/>
    <w:rPr>
      <w:rFonts w:ascii="Tahoma" w:hAnsi="Tahoma" w:cs="Tahoma"/>
      <w:sz w:val="16"/>
      <w:szCs w:val="16"/>
    </w:rPr>
  </w:style>
  <w:style w:type="paragraph" w:styleId="TOC1">
    <w:name w:val="toc 1"/>
    <w:basedOn w:val="Normal"/>
    <w:next w:val="Normal"/>
    <w:autoRedefine/>
    <w:uiPriority w:val="39"/>
    <w:unhideWhenUsed/>
    <w:rsid w:val="003F339A"/>
    <w:pPr>
      <w:spacing w:after="100"/>
    </w:pPr>
  </w:style>
  <w:style w:type="paragraph" w:styleId="TOC2">
    <w:name w:val="toc 2"/>
    <w:basedOn w:val="Normal"/>
    <w:next w:val="Normal"/>
    <w:autoRedefine/>
    <w:uiPriority w:val="39"/>
    <w:unhideWhenUsed/>
    <w:rsid w:val="003F339A"/>
    <w:pPr>
      <w:spacing w:after="100"/>
      <w:ind w:left="240"/>
    </w:pPr>
  </w:style>
  <w:style w:type="character" w:styleId="Hyperlink">
    <w:name w:val="Hyperlink"/>
    <w:basedOn w:val="DefaultParagraphFont"/>
    <w:uiPriority w:val="99"/>
    <w:unhideWhenUsed/>
    <w:rsid w:val="003F339A"/>
    <w:rPr>
      <w:color w:val="0000FF" w:themeColor="hyperlink"/>
      <w:u w:val="single"/>
    </w:rPr>
  </w:style>
  <w:style w:type="paragraph" w:styleId="Header">
    <w:name w:val="header"/>
    <w:basedOn w:val="Normal"/>
    <w:link w:val="HeaderChar"/>
    <w:uiPriority w:val="99"/>
    <w:semiHidden/>
    <w:unhideWhenUsed/>
    <w:rsid w:val="003F339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F339A"/>
    <w:rPr>
      <w:rFonts w:ascii="Times New Roman" w:hAnsi="Times New Roman"/>
      <w:sz w:val="24"/>
    </w:rPr>
  </w:style>
  <w:style w:type="paragraph" w:styleId="Footer">
    <w:name w:val="footer"/>
    <w:basedOn w:val="Normal"/>
    <w:link w:val="FooterChar"/>
    <w:uiPriority w:val="99"/>
    <w:unhideWhenUsed/>
    <w:rsid w:val="003F33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339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abstract=4365139" TargetMode="External"/><Relationship Id="rId18" Type="http://schemas.openxmlformats.org/officeDocument/2006/relationships/hyperlink" Target="https://www.justice.gov.uk/downloads/legislation/bills-acts/circulars/moj/2010/circular-12-2010-coroners-justice-act-homicide-provisions.pdf" TargetMode="External"/><Relationship Id="rId26" Type="http://schemas.openxmlformats.org/officeDocument/2006/relationships/hyperlink" Target="https://www.legislation.gov.uk/ukpga/Eliz2/5-6/11/section/2/enacted" TargetMode="External"/><Relationship Id="rId39" Type="http://schemas.openxmlformats.org/officeDocument/2006/relationships/theme" Target="theme/theme1.xml"/><Relationship Id="rId21" Type="http://schemas.openxmlformats.org/officeDocument/2006/relationships/hyperlink" Target="https://www.legislation.gov.uk/ukpga/1957/11/pdfs/ukpga_19570011_en.pdf" TargetMode="External"/><Relationship Id="rId34" Type="http://schemas.openxmlformats.org/officeDocument/2006/relationships/hyperlink" Target="http://dx.doi.org/10.1136/bmjebm-2020-111567" TargetMode="External"/><Relationship Id="rId7" Type="http://schemas.openxmlformats.org/officeDocument/2006/relationships/footnotes" Target="footnotes.xml"/><Relationship Id="rId12" Type="http://schemas.openxmlformats.org/officeDocument/2006/relationships/hyperlink" Target="https://doi.org/abstract=4365139" TargetMode="External"/><Relationship Id="rId17" Type="http://schemas.openxmlformats.org/officeDocument/2006/relationships/hyperlink" Target="https://doi.org/10.53386/nilq.v72i2.897" TargetMode="External"/><Relationship Id="rId25" Type="http://schemas.openxmlformats.org/officeDocument/2006/relationships/hyperlink" Target="https://www.legislation.gov.uk/ukpga/Eliz2/5-6/11/section/2/enacted" TargetMode="External"/><Relationship Id="rId33" Type="http://schemas.openxmlformats.org/officeDocument/2006/relationships/hyperlink" Target="https://doi.org/10.1016/j.ijlcj.2018.03.002"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53386/nilq.v72i2.897" TargetMode="External"/><Relationship Id="rId20" Type="http://schemas.openxmlformats.org/officeDocument/2006/relationships/hyperlink" Target="https://www.legislation.gov.uk/ukpga/1957/11/pdfs/ukpga_19570011_en.pdf" TargetMode="External"/><Relationship Id="rId29" Type="http://schemas.openxmlformats.org/officeDocument/2006/relationships/hyperlink" Target="http://doi.org/10.53386/nilq.v72i2.93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ills.parliament.uk/bills/372" TargetMode="External"/><Relationship Id="rId24" Type="http://schemas.openxmlformats.org/officeDocument/2006/relationships/hyperlink" Target="https://www.legislation.gov.uk/ukpga/Eliz2/5-6/11/section/2/enacted" TargetMode="External"/><Relationship Id="rId32" Type="http://schemas.openxmlformats.org/officeDocument/2006/relationships/hyperlink" Target="https://doi.org/10.1016/j.ijlcj.2018.03.002" TargetMode="External"/><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doi.org/10.53386/nilq.v72i2.874" TargetMode="External"/><Relationship Id="rId23" Type="http://schemas.openxmlformats.org/officeDocument/2006/relationships/hyperlink" Target="https://www.legislation.gov.uk/ukpga/Eliz2/5-6/11/enacted" TargetMode="External"/><Relationship Id="rId28" Type="http://schemas.openxmlformats.org/officeDocument/2006/relationships/hyperlink" Target="http://doi.org/10.53386/nilq.v72i2.930" TargetMode="External"/><Relationship Id="rId36" Type="http://schemas.openxmlformats.org/officeDocument/2006/relationships/hyperlink" Target="https://doi.org/10.1016/j.avb.2018.06.004" TargetMode="External"/><Relationship Id="rId10" Type="http://schemas.openxmlformats.org/officeDocument/2006/relationships/hyperlink" Target="https://bills.parliament.uk/bills/372" TargetMode="External"/><Relationship Id="rId19" Type="http://schemas.openxmlformats.org/officeDocument/2006/relationships/hyperlink" Target="https://www.justice.gov.uk/downloads/legislation/bills-acts/circulars/moj/2010/circular-12-2010-coroners-justice-act-homicide-provisions.pdf" TargetMode="External"/><Relationship Id="rId31" Type="http://schemas.openxmlformats.org/officeDocument/2006/relationships/hyperlink" Target="https://doi.org/10.53386/nilq.v72i2.88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doi.org/10.53386/nilq.v72i2.874" TargetMode="External"/><Relationship Id="rId22" Type="http://schemas.openxmlformats.org/officeDocument/2006/relationships/hyperlink" Target="https://www.legislation.gov.uk/ukpga/Eliz2/5-6/11/enacted" TargetMode="External"/><Relationship Id="rId27" Type="http://schemas.openxmlformats.org/officeDocument/2006/relationships/hyperlink" Target="https://www.legislation.gov.uk/ukpga/Eliz2/5-6/11/section/2/enacted" TargetMode="External"/><Relationship Id="rId30" Type="http://schemas.openxmlformats.org/officeDocument/2006/relationships/hyperlink" Target="https://doi.org/10.53386/nilq.v72i2.880" TargetMode="External"/><Relationship Id="rId35" Type="http://schemas.openxmlformats.org/officeDocument/2006/relationships/hyperlink" Target="https://doi.org/10.1145/3514094.3534200"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CW9bAi3FBzJbN6mmqzQMZhF0KQ==">CgMxLjAyCGguZ2pkZ3hzMgloLjMwajB6bGwyCWguMWZvYjl0ZTIJaC4zem55c2g3MgloLjJldDkycDAyCGgudHlqY3d0MgloLjNkeTZ2a20yCWguMXQzaDVzZjIJaC40ZDM0b2c4MgloLjJzOGV5bzEyCWguMTdkcDh2dTIJaC4zcmRjcmpuOAByITFTbnl2Zm9KX09qd1BJNWRPaURZMVNOM3hNSG02bjNsYQ==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215C842-C6AD-4BD4-A3A7-768F9E372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2879</Words>
  <Characters>16414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Ionela Daniela Mirsu (2132560)</cp:lastModifiedBy>
  <cp:revision>3</cp:revision>
  <dcterms:created xsi:type="dcterms:W3CDTF">2023-07-20T19:55:00Z</dcterms:created>
  <dcterms:modified xsi:type="dcterms:W3CDTF">2023-07-20T20:10:00Z</dcterms:modified>
</cp:coreProperties>
</file>