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E9D5AD3" w14:textId="77777777" w:rsidR="000C46DE" w:rsidRPr="000C46DE" w:rsidRDefault="000C46DE" w:rsidP="000C46DE">
      <w:pPr>
        <w:jc w:val="center"/>
        <w:rPr>
          <w:rFonts w:ascii="Arial" w:hAnsi="Arial" w:cs="Arial"/>
          <w:b/>
          <w:bCs/>
          <w:sz w:val="24"/>
          <w:szCs w:val="24"/>
          <w:u w:val="single"/>
        </w:rPr>
      </w:pPr>
      <w:r w:rsidRPr="000C46DE">
        <w:rPr>
          <w:rFonts w:ascii="Arial" w:hAnsi="Arial" w:cs="Arial"/>
          <w:b/>
          <w:bCs/>
          <w:sz w:val="24"/>
          <w:szCs w:val="24"/>
          <w:u w:val="single"/>
        </w:rPr>
        <w:t>Making a Difference (change title)</w:t>
      </w:r>
    </w:p>
    <w:p w14:paraId="75B2446A" w14:textId="77777777" w:rsidR="000C46DE" w:rsidRPr="000C46DE" w:rsidRDefault="000C46DE" w:rsidP="000C46DE">
      <w:pPr>
        <w:jc w:val="center"/>
        <w:rPr>
          <w:rFonts w:ascii="Arial" w:hAnsi="Arial" w:cs="Arial"/>
          <w:b/>
          <w:bCs/>
          <w:sz w:val="24"/>
          <w:szCs w:val="24"/>
          <w:u w:val="single"/>
        </w:rPr>
      </w:pPr>
    </w:p>
    <w:p w14:paraId="52F788C6" w14:textId="77777777" w:rsidR="000C46DE" w:rsidRPr="000C46DE" w:rsidRDefault="000C46DE" w:rsidP="000C46DE">
      <w:pPr>
        <w:rPr>
          <w:rFonts w:ascii="Arial" w:hAnsi="Arial" w:cs="Arial"/>
          <w:color w:val="7030A0"/>
          <w:sz w:val="24"/>
          <w:szCs w:val="24"/>
        </w:rPr>
      </w:pPr>
      <w:r w:rsidRPr="000C46DE">
        <w:rPr>
          <w:rFonts w:ascii="Arial" w:hAnsi="Arial" w:cs="Arial"/>
          <w:sz w:val="24"/>
          <w:szCs w:val="24"/>
        </w:rPr>
        <w:t>1.</w:t>
      </w:r>
      <w:r w:rsidRPr="000C46DE">
        <w:rPr>
          <w:rFonts w:ascii="Arial" w:hAnsi="Arial" w:cs="Arial"/>
          <w:sz w:val="24"/>
          <w:szCs w:val="24"/>
        </w:rPr>
        <w:tab/>
        <w:t xml:space="preserve">Introduction to the portfolio </w:t>
      </w:r>
      <w:r w:rsidRPr="000C46DE">
        <w:rPr>
          <w:rFonts w:ascii="Arial" w:hAnsi="Arial" w:cs="Arial"/>
          <w:color w:val="7030A0"/>
          <w:sz w:val="24"/>
          <w:szCs w:val="24"/>
        </w:rPr>
        <w:t xml:space="preserve">– Introduce main themes e.g., what you will talk about such as multi-agency working, person centred planning and the agency </w:t>
      </w:r>
      <w:proofErr w:type="gramStart"/>
      <w:r w:rsidRPr="000C46DE">
        <w:rPr>
          <w:rFonts w:ascii="Arial" w:hAnsi="Arial" w:cs="Arial"/>
          <w:color w:val="7030A0"/>
          <w:sz w:val="24"/>
          <w:szCs w:val="24"/>
        </w:rPr>
        <w:t>you  will</w:t>
      </w:r>
      <w:proofErr w:type="gramEnd"/>
      <w:r w:rsidRPr="000C46DE">
        <w:rPr>
          <w:rFonts w:ascii="Arial" w:hAnsi="Arial" w:cs="Arial"/>
          <w:color w:val="7030A0"/>
          <w:sz w:val="24"/>
          <w:szCs w:val="24"/>
        </w:rPr>
        <w:t xml:space="preserve"> be using (short) •</w:t>
      </w:r>
      <w:r w:rsidRPr="000C46DE">
        <w:rPr>
          <w:rFonts w:ascii="Arial" w:hAnsi="Arial" w:cs="Arial"/>
          <w:color w:val="7030A0"/>
          <w:sz w:val="24"/>
          <w:szCs w:val="24"/>
        </w:rPr>
        <w:tab/>
        <w:t>A good introduction will capture the audience’s attention</w:t>
      </w:r>
    </w:p>
    <w:p w14:paraId="7D46EDEA" w14:textId="77777777" w:rsidR="000C46DE" w:rsidRPr="000C46DE" w:rsidRDefault="000C46DE" w:rsidP="000C46DE">
      <w:pPr>
        <w:rPr>
          <w:rFonts w:ascii="Arial" w:hAnsi="Arial" w:cs="Arial"/>
          <w:color w:val="7030A0"/>
          <w:sz w:val="24"/>
          <w:szCs w:val="24"/>
        </w:rPr>
      </w:pPr>
      <w:r w:rsidRPr="000C46DE">
        <w:rPr>
          <w:rFonts w:ascii="Arial" w:hAnsi="Arial" w:cs="Arial"/>
          <w:sz w:val="24"/>
          <w:szCs w:val="24"/>
        </w:rPr>
        <w:t>2.</w:t>
      </w:r>
      <w:r w:rsidRPr="000C46DE">
        <w:rPr>
          <w:rFonts w:ascii="Arial" w:hAnsi="Arial" w:cs="Arial"/>
          <w:sz w:val="24"/>
          <w:szCs w:val="24"/>
        </w:rPr>
        <w:tab/>
        <w:t xml:space="preserve">Analysis of definitions of multiagency working </w:t>
      </w:r>
      <w:r w:rsidRPr="000C46DE">
        <w:rPr>
          <w:rFonts w:ascii="Arial" w:hAnsi="Arial" w:cs="Arial"/>
          <w:color w:val="7030A0"/>
          <w:sz w:val="24"/>
          <w:szCs w:val="24"/>
        </w:rPr>
        <w:t>– General (may be quite short)</w:t>
      </w:r>
    </w:p>
    <w:p w14:paraId="25222FFB" w14:textId="77777777" w:rsidR="000C46DE" w:rsidRPr="000C46DE" w:rsidRDefault="000C46DE" w:rsidP="000C46DE">
      <w:pPr>
        <w:rPr>
          <w:rFonts w:ascii="Arial" w:hAnsi="Arial" w:cs="Arial"/>
          <w:color w:val="7030A0"/>
          <w:sz w:val="24"/>
          <w:szCs w:val="24"/>
        </w:rPr>
      </w:pPr>
      <w:r w:rsidRPr="000C46DE">
        <w:rPr>
          <w:rFonts w:ascii="Arial" w:hAnsi="Arial" w:cs="Arial"/>
          <w:sz w:val="24"/>
          <w:szCs w:val="24"/>
        </w:rPr>
        <w:t>3.</w:t>
      </w:r>
      <w:r w:rsidRPr="000C46DE">
        <w:rPr>
          <w:rFonts w:ascii="Arial" w:hAnsi="Arial" w:cs="Arial"/>
          <w:sz w:val="24"/>
          <w:szCs w:val="24"/>
        </w:rPr>
        <w:tab/>
        <w:t xml:space="preserve">Benefits and challenges of multiagency working </w:t>
      </w:r>
      <w:r w:rsidRPr="000C46DE">
        <w:rPr>
          <w:rFonts w:ascii="Arial" w:hAnsi="Arial" w:cs="Arial"/>
          <w:color w:val="7030A0"/>
          <w:sz w:val="24"/>
          <w:szCs w:val="24"/>
        </w:rPr>
        <w:t xml:space="preserve">– General, compare what different sources say about benefits and the same with challenges </w:t>
      </w:r>
    </w:p>
    <w:p w14:paraId="2B978155" w14:textId="77777777" w:rsidR="000C46DE" w:rsidRPr="000C46DE" w:rsidRDefault="000C46DE" w:rsidP="000C46DE">
      <w:pPr>
        <w:rPr>
          <w:rFonts w:ascii="Arial" w:hAnsi="Arial" w:cs="Arial"/>
          <w:color w:val="7030A0"/>
          <w:sz w:val="24"/>
          <w:szCs w:val="24"/>
        </w:rPr>
      </w:pPr>
      <w:r w:rsidRPr="000C46DE">
        <w:rPr>
          <w:rFonts w:ascii="Arial" w:hAnsi="Arial" w:cs="Arial"/>
          <w:sz w:val="24"/>
          <w:szCs w:val="24"/>
        </w:rPr>
        <w:t>4.</w:t>
      </w:r>
      <w:r w:rsidRPr="000C46DE">
        <w:rPr>
          <w:rFonts w:ascii="Arial" w:hAnsi="Arial" w:cs="Arial"/>
          <w:sz w:val="24"/>
          <w:szCs w:val="24"/>
        </w:rPr>
        <w:tab/>
        <w:t xml:space="preserve">Background to your chosen service (including theoretical perspective) </w:t>
      </w:r>
      <w:r w:rsidRPr="000C46DE">
        <w:rPr>
          <w:rFonts w:ascii="Arial" w:hAnsi="Arial" w:cs="Arial"/>
          <w:color w:val="7030A0"/>
          <w:sz w:val="24"/>
          <w:szCs w:val="24"/>
        </w:rPr>
        <w:t>– Pick a service e.g., M.A.S.H.</w:t>
      </w:r>
    </w:p>
    <w:p w14:paraId="6E4968DA" w14:textId="77777777" w:rsidR="000C46DE" w:rsidRPr="000C46DE" w:rsidRDefault="000C46DE" w:rsidP="000C46DE">
      <w:pPr>
        <w:rPr>
          <w:rFonts w:ascii="Arial" w:hAnsi="Arial" w:cs="Arial"/>
          <w:color w:val="7030A0"/>
          <w:sz w:val="24"/>
          <w:szCs w:val="24"/>
        </w:rPr>
      </w:pPr>
      <w:r w:rsidRPr="000C46DE">
        <w:rPr>
          <w:rFonts w:ascii="Arial" w:hAnsi="Arial" w:cs="Arial"/>
          <w:color w:val="7030A0"/>
          <w:sz w:val="24"/>
          <w:szCs w:val="24"/>
        </w:rPr>
        <w:t xml:space="preserve">How the service has </w:t>
      </w:r>
      <w:proofErr w:type="gramStart"/>
      <w:r w:rsidRPr="000C46DE">
        <w:rPr>
          <w:rFonts w:ascii="Arial" w:hAnsi="Arial" w:cs="Arial"/>
          <w:color w:val="7030A0"/>
          <w:sz w:val="24"/>
          <w:szCs w:val="24"/>
        </w:rPr>
        <w:t>evolved</w:t>
      </w:r>
      <w:proofErr w:type="gramEnd"/>
    </w:p>
    <w:p w14:paraId="11485E45" w14:textId="77777777" w:rsidR="000C46DE" w:rsidRPr="000C46DE" w:rsidRDefault="000C46DE" w:rsidP="000C46DE">
      <w:pPr>
        <w:rPr>
          <w:rFonts w:ascii="Arial" w:hAnsi="Arial" w:cs="Arial"/>
          <w:color w:val="7030A0"/>
          <w:sz w:val="24"/>
          <w:szCs w:val="24"/>
        </w:rPr>
      </w:pPr>
      <w:r w:rsidRPr="000C46DE">
        <w:rPr>
          <w:rFonts w:ascii="Arial" w:hAnsi="Arial" w:cs="Arial"/>
          <w:color w:val="7030A0"/>
          <w:sz w:val="24"/>
          <w:szCs w:val="24"/>
        </w:rPr>
        <w:t xml:space="preserve">How it was set up </w:t>
      </w:r>
    </w:p>
    <w:p w14:paraId="20554646" w14:textId="77777777" w:rsidR="000C46DE" w:rsidRPr="000C46DE" w:rsidRDefault="000C46DE" w:rsidP="000C46DE">
      <w:pPr>
        <w:rPr>
          <w:rFonts w:ascii="Arial" w:hAnsi="Arial" w:cs="Arial"/>
          <w:color w:val="7030A0"/>
          <w:sz w:val="24"/>
          <w:szCs w:val="24"/>
        </w:rPr>
      </w:pPr>
      <w:r w:rsidRPr="000C46DE">
        <w:rPr>
          <w:rFonts w:ascii="Arial" w:hAnsi="Arial" w:cs="Arial"/>
          <w:color w:val="7030A0"/>
          <w:sz w:val="24"/>
          <w:szCs w:val="24"/>
        </w:rPr>
        <w:t xml:space="preserve">Theories around why it’s </w:t>
      </w:r>
      <w:proofErr w:type="gramStart"/>
      <w:r w:rsidRPr="000C46DE">
        <w:rPr>
          <w:rFonts w:ascii="Arial" w:hAnsi="Arial" w:cs="Arial"/>
          <w:color w:val="7030A0"/>
          <w:sz w:val="24"/>
          <w:szCs w:val="24"/>
        </w:rPr>
        <w:t>there</w:t>
      </w:r>
      <w:proofErr w:type="gramEnd"/>
    </w:p>
    <w:p w14:paraId="0275B0AB" w14:textId="77777777" w:rsidR="000C46DE" w:rsidRPr="000C46DE" w:rsidRDefault="000C46DE" w:rsidP="000C46DE">
      <w:pPr>
        <w:rPr>
          <w:rFonts w:ascii="Arial" w:hAnsi="Arial" w:cs="Arial"/>
          <w:color w:val="7030A0"/>
          <w:sz w:val="24"/>
          <w:szCs w:val="24"/>
        </w:rPr>
      </w:pPr>
      <w:r w:rsidRPr="000C46DE">
        <w:rPr>
          <w:rFonts w:ascii="Arial" w:hAnsi="Arial" w:cs="Arial"/>
          <w:color w:val="7030A0"/>
          <w:sz w:val="24"/>
          <w:szCs w:val="24"/>
        </w:rPr>
        <w:t xml:space="preserve">Developing multi-professional p.11 </w:t>
      </w:r>
      <w:proofErr w:type="spellStart"/>
      <w:r w:rsidRPr="000C46DE">
        <w:rPr>
          <w:rFonts w:ascii="Arial" w:hAnsi="Arial" w:cs="Arial"/>
          <w:color w:val="7030A0"/>
          <w:sz w:val="24"/>
          <w:szCs w:val="24"/>
        </w:rPr>
        <w:t>wenger</w:t>
      </w:r>
      <w:proofErr w:type="spellEnd"/>
    </w:p>
    <w:p w14:paraId="78073D4D" w14:textId="77777777" w:rsidR="000C46DE" w:rsidRPr="000C46DE" w:rsidRDefault="000C46DE" w:rsidP="000C46DE">
      <w:pPr>
        <w:rPr>
          <w:rFonts w:ascii="Arial" w:hAnsi="Arial" w:cs="Arial"/>
          <w:color w:val="7030A0"/>
          <w:sz w:val="24"/>
          <w:szCs w:val="24"/>
        </w:rPr>
      </w:pPr>
      <w:r w:rsidRPr="000C46DE">
        <w:rPr>
          <w:rFonts w:ascii="Arial" w:hAnsi="Arial" w:cs="Arial"/>
          <w:sz w:val="24"/>
          <w:szCs w:val="24"/>
        </w:rPr>
        <w:t>5.</w:t>
      </w:r>
      <w:r w:rsidRPr="000C46DE">
        <w:rPr>
          <w:rFonts w:ascii="Arial" w:hAnsi="Arial" w:cs="Arial"/>
          <w:sz w:val="24"/>
          <w:szCs w:val="24"/>
        </w:rPr>
        <w:tab/>
        <w:t xml:space="preserve">Multiagency partner overview (including legislative perspective) - </w:t>
      </w:r>
      <w:r w:rsidRPr="000C46DE">
        <w:rPr>
          <w:rFonts w:ascii="Arial" w:hAnsi="Arial" w:cs="Arial"/>
          <w:color w:val="7030A0"/>
          <w:sz w:val="24"/>
          <w:szCs w:val="24"/>
        </w:rPr>
        <w:t>Who is working within that service</w:t>
      </w:r>
    </w:p>
    <w:p w14:paraId="48C7A11F" w14:textId="77777777" w:rsidR="000C46DE" w:rsidRPr="000C46DE" w:rsidRDefault="000C46DE" w:rsidP="000C46DE">
      <w:pPr>
        <w:rPr>
          <w:rFonts w:ascii="Arial" w:hAnsi="Arial" w:cs="Arial"/>
          <w:color w:val="7030A0"/>
          <w:sz w:val="24"/>
          <w:szCs w:val="24"/>
        </w:rPr>
      </w:pPr>
      <w:r w:rsidRPr="000C46DE">
        <w:rPr>
          <w:rFonts w:ascii="Arial" w:hAnsi="Arial" w:cs="Arial"/>
          <w:color w:val="7030A0"/>
          <w:sz w:val="24"/>
          <w:szCs w:val="24"/>
        </w:rPr>
        <w:t>Who are the multi-</w:t>
      </w:r>
      <w:proofErr w:type="gramStart"/>
      <w:r w:rsidRPr="000C46DE">
        <w:rPr>
          <w:rFonts w:ascii="Arial" w:hAnsi="Arial" w:cs="Arial"/>
          <w:color w:val="7030A0"/>
          <w:sz w:val="24"/>
          <w:szCs w:val="24"/>
        </w:rPr>
        <w:t>agencies involved</w:t>
      </w:r>
      <w:proofErr w:type="gramEnd"/>
    </w:p>
    <w:p w14:paraId="2D7CED44" w14:textId="77777777" w:rsidR="000C46DE" w:rsidRPr="000C46DE" w:rsidRDefault="000C46DE" w:rsidP="000C46DE">
      <w:pPr>
        <w:rPr>
          <w:rFonts w:ascii="Arial" w:hAnsi="Arial" w:cs="Arial"/>
          <w:color w:val="7030A0"/>
          <w:sz w:val="24"/>
          <w:szCs w:val="24"/>
        </w:rPr>
      </w:pPr>
      <w:r w:rsidRPr="000C46DE">
        <w:rPr>
          <w:rFonts w:ascii="Arial" w:hAnsi="Arial" w:cs="Arial"/>
          <w:color w:val="7030A0"/>
          <w:sz w:val="24"/>
          <w:szCs w:val="24"/>
        </w:rPr>
        <w:t xml:space="preserve">What is governing the way they are working together e.g., Children Act, Social Services and Wellbeing Act in Wales </w:t>
      </w:r>
    </w:p>
    <w:p w14:paraId="2CA71CBA" w14:textId="77777777" w:rsidR="000C46DE" w:rsidRPr="000C46DE" w:rsidRDefault="000C46DE" w:rsidP="000C46DE">
      <w:pPr>
        <w:rPr>
          <w:rFonts w:ascii="Arial" w:hAnsi="Arial" w:cs="Arial"/>
          <w:sz w:val="24"/>
          <w:szCs w:val="24"/>
        </w:rPr>
      </w:pPr>
      <w:proofErr w:type="spellStart"/>
      <w:r w:rsidRPr="000C46DE">
        <w:rPr>
          <w:rFonts w:ascii="Arial" w:hAnsi="Arial" w:cs="Arial"/>
          <w:color w:val="7030A0"/>
          <w:sz w:val="24"/>
          <w:szCs w:val="24"/>
        </w:rPr>
        <w:t>percy</w:t>
      </w:r>
      <w:proofErr w:type="spellEnd"/>
    </w:p>
    <w:p w14:paraId="2205C8F0" w14:textId="77777777" w:rsidR="000C46DE" w:rsidRPr="000C46DE" w:rsidRDefault="000C46DE" w:rsidP="000C46DE">
      <w:pPr>
        <w:rPr>
          <w:rFonts w:ascii="Arial" w:hAnsi="Arial" w:cs="Arial"/>
          <w:sz w:val="24"/>
          <w:szCs w:val="24"/>
        </w:rPr>
      </w:pPr>
      <w:r w:rsidRPr="000C46DE">
        <w:rPr>
          <w:rFonts w:ascii="Arial" w:hAnsi="Arial" w:cs="Arial"/>
          <w:sz w:val="24"/>
          <w:szCs w:val="24"/>
        </w:rPr>
        <w:t>6.</w:t>
      </w:r>
      <w:r w:rsidRPr="000C46DE">
        <w:rPr>
          <w:rFonts w:ascii="Arial" w:hAnsi="Arial" w:cs="Arial"/>
          <w:sz w:val="24"/>
          <w:szCs w:val="24"/>
        </w:rPr>
        <w:tab/>
        <w:t>Roles and responsibilities</w:t>
      </w:r>
    </w:p>
    <w:p w14:paraId="52FA6FF6" w14:textId="77777777" w:rsidR="000C46DE" w:rsidRPr="000C46DE" w:rsidRDefault="000C46DE" w:rsidP="000C46DE">
      <w:pPr>
        <w:rPr>
          <w:rFonts w:ascii="Arial" w:hAnsi="Arial" w:cs="Arial"/>
          <w:color w:val="7030A0"/>
          <w:sz w:val="24"/>
          <w:szCs w:val="24"/>
        </w:rPr>
      </w:pPr>
      <w:r w:rsidRPr="000C46DE">
        <w:rPr>
          <w:rFonts w:ascii="Arial" w:hAnsi="Arial" w:cs="Arial"/>
          <w:sz w:val="24"/>
          <w:szCs w:val="24"/>
        </w:rPr>
        <w:t>7.</w:t>
      </w:r>
      <w:r w:rsidRPr="000C46DE">
        <w:rPr>
          <w:rFonts w:ascii="Arial" w:hAnsi="Arial" w:cs="Arial"/>
          <w:sz w:val="24"/>
          <w:szCs w:val="24"/>
        </w:rPr>
        <w:tab/>
        <w:t xml:space="preserve">Person-centred planning approach with critique – </w:t>
      </w:r>
      <w:r w:rsidRPr="000C46DE">
        <w:rPr>
          <w:rFonts w:ascii="Arial" w:hAnsi="Arial" w:cs="Arial"/>
          <w:color w:val="7030A0"/>
          <w:sz w:val="24"/>
          <w:szCs w:val="24"/>
        </w:rPr>
        <w:t xml:space="preserve">How is it part of what they do, being critical around how </w:t>
      </w:r>
      <w:proofErr w:type="gramStart"/>
      <w:r w:rsidRPr="000C46DE">
        <w:rPr>
          <w:rFonts w:ascii="Arial" w:hAnsi="Arial" w:cs="Arial"/>
          <w:color w:val="7030A0"/>
          <w:sz w:val="24"/>
          <w:szCs w:val="24"/>
        </w:rPr>
        <w:t>it’s</w:t>
      </w:r>
      <w:proofErr w:type="gramEnd"/>
      <w:r w:rsidRPr="000C46DE">
        <w:rPr>
          <w:rFonts w:ascii="Arial" w:hAnsi="Arial" w:cs="Arial"/>
          <w:color w:val="7030A0"/>
          <w:sz w:val="24"/>
          <w:szCs w:val="24"/>
        </w:rPr>
        <w:t xml:space="preserve"> used</w:t>
      </w:r>
    </w:p>
    <w:p w14:paraId="6CA602DC" w14:textId="77777777" w:rsidR="000C46DE" w:rsidRPr="000C46DE" w:rsidRDefault="000C46DE" w:rsidP="000C46DE">
      <w:pPr>
        <w:rPr>
          <w:rFonts w:ascii="Arial" w:hAnsi="Arial" w:cs="Arial"/>
          <w:color w:val="7030A0"/>
          <w:sz w:val="24"/>
          <w:szCs w:val="24"/>
        </w:rPr>
      </w:pPr>
      <w:r w:rsidRPr="000C46DE">
        <w:rPr>
          <w:rFonts w:ascii="Arial" w:hAnsi="Arial" w:cs="Arial"/>
          <w:sz w:val="24"/>
          <w:szCs w:val="24"/>
        </w:rPr>
        <w:t>8.</w:t>
      </w:r>
      <w:r w:rsidRPr="000C46DE">
        <w:rPr>
          <w:rFonts w:ascii="Arial" w:hAnsi="Arial" w:cs="Arial"/>
          <w:sz w:val="24"/>
          <w:szCs w:val="24"/>
        </w:rPr>
        <w:tab/>
        <w:t xml:space="preserve">Conclusions – </w:t>
      </w:r>
      <w:r w:rsidRPr="000C46DE">
        <w:rPr>
          <w:rFonts w:ascii="Arial" w:hAnsi="Arial" w:cs="Arial"/>
          <w:color w:val="7030A0"/>
          <w:sz w:val="24"/>
          <w:szCs w:val="24"/>
        </w:rPr>
        <w:t xml:space="preserve">Linked to service and how </w:t>
      </w:r>
      <w:proofErr w:type="gramStart"/>
      <w:r w:rsidRPr="000C46DE">
        <w:rPr>
          <w:rFonts w:ascii="Arial" w:hAnsi="Arial" w:cs="Arial"/>
          <w:color w:val="7030A0"/>
          <w:sz w:val="24"/>
          <w:szCs w:val="24"/>
        </w:rPr>
        <w:t>it’s</w:t>
      </w:r>
      <w:proofErr w:type="gramEnd"/>
      <w:r w:rsidRPr="000C46DE">
        <w:rPr>
          <w:rFonts w:ascii="Arial" w:hAnsi="Arial" w:cs="Arial"/>
          <w:color w:val="7030A0"/>
          <w:sz w:val="24"/>
          <w:szCs w:val="24"/>
        </w:rPr>
        <w:t xml:space="preserve"> used but can be linked to multi-agency working and person-centred planning in general</w:t>
      </w:r>
    </w:p>
    <w:p w14:paraId="37C8B19A" w14:textId="77777777" w:rsidR="000C46DE" w:rsidRPr="000C46DE" w:rsidRDefault="000C46DE" w:rsidP="000C46DE">
      <w:pPr>
        <w:rPr>
          <w:rFonts w:ascii="Arial" w:hAnsi="Arial" w:cs="Arial"/>
          <w:color w:val="7030A0"/>
          <w:sz w:val="24"/>
          <w:szCs w:val="24"/>
        </w:rPr>
      </w:pPr>
    </w:p>
    <w:p w14:paraId="29522834" w14:textId="77777777" w:rsidR="000C46DE" w:rsidRPr="000C46DE" w:rsidRDefault="000C46DE" w:rsidP="000C46DE">
      <w:pPr>
        <w:rPr>
          <w:rFonts w:ascii="Arial" w:hAnsi="Arial" w:cs="Arial"/>
          <w:b/>
          <w:bCs/>
          <w:sz w:val="24"/>
          <w:szCs w:val="24"/>
        </w:rPr>
      </w:pPr>
      <w:r w:rsidRPr="000C46DE">
        <w:rPr>
          <w:rFonts w:ascii="Arial" w:hAnsi="Arial" w:cs="Arial"/>
          <w:b/>
          <w:bCs/>
          <w:sz w:val="24"/>
          <w:szCs w:val="24"/>
        </w:rPr>
        <w:t>Introduction (150 words)</w:t>
      </w:r>
    </w:p>
    <w:p w14:paraId="4FDD22C3" w14:textId="77777777" w:rsidR="000C46DE" w:rsidRPr="000C46DE" w:rsidRDefault="000C46DE" w:rsidP="000C46DE">
      <w:pPr>
        <w:rPr>
          <w:rFonts w:ascii="Arial" w:hAnsi="Arial" w:cs="Arial"/>
          <w:b/>
          <w:bCs/>
          <w:sz w:val="24"/>
          <w:szCs w:val="24"/>
        </w:rPr>
      </w:pPr>
    </w:p>
    <w:p w14:paraId="718B84CE" w14:textId="77777777" w:rsidR="000C46DE" w:rsidRPr="000C46DE" w:rsidRDefault="000C46DE" w:rsidP="000C46DE">
      <w:pPr>
        <w:rPr>
          <w:rFonts w:ascii="Arial" w:hAnsi="Arial" w:cs="Arial"/>
          <w:sz w:val="24"/>
          <w:szCs w:val="24"/>
        </w:rPr>
      </w:pPr>
      <w:r w:rsidRPr="000C46DE">
        <w:rPr>
          <w:rFonts w:ascii="Arial" w:hAnsi="Arial" w:cs="Arial"/>
          <w:sz w:val="24"/>
          <w:szCs w:val="24"/>
        </w:rPr>
        <w:t xml:space="preserve">Multi-agency working is fundamental to ensuring many important rights are met such as education, safety, and health. These rights transpire to services which meet these needs such as education services, social services, and healthcare. Within this portfolio, there will be an analysis of what is meant by multi-agency working and the benefits and challenges that arise with it. Theoretical and legislative perspectives will also be included. Given that there are a large range of multi-agencies organisations such as Flying Start and SNAP Cymru, this portfolio will be focusing on Multi-Agency Safeguarding Hubs, otherwise known as MASH. A key aspect of MASH, along with </w:t>
      </w:r>
      <w:r w:rsidRPr="000C46DE">
        <w:rPr>
          <w:rFonts w:ascii="Arial" w:hAnsi="Arial" w:cs="Arial"/>
          <w:sz w:val="24"/>
          <w:szCs w:val="24"/>
        </w:rPr>
        <w:lastRenderedPageBreak/>
        <w:t>all multi-agency services alike, is person centred planning. Person centred planning is essential for ensuring that both an individual’s needs, and their families need are met. This portfolio aims to discuss how MASH use and integrate person centred planning within their service and how it is used.</w:t>
      </w:r>
    </w:p>
    <w:p w14:paraId="1072B73E" w14:textId="77777777" w:rsidR="000C46DE" w:rsidRPr="000C46DE" w:rsidRDefault="000C46DE" w:rsidP="000C46DE">
      <w:pPr>
        <w:rPr>
          <w:rFonts w:ascii="Arial" w:hAnsi="Arial" w:cs="Arial"/>
          <w:sz w:val="24"/>
          <w:szCs w:val="24"/>
        </w:rPr>
      </w:pPr>
    </w:p>
    <w:p w14:paraId="1BEC8849" w14:textId="77777777" w:rsidR="000C46DE" w:rsidRPr="000C46DE" w:rsidRDefault="000C46DE" w:rsidP="000C46DE">
      <w:pPr>
        <w:rPr>
          <w:rFonts w:ascii="Arial" w:hAnsi="Arial" w:cs="Arial"/>
          <w:color w:val="7030A0"/>
          <w:sz w:val="24"/>
          <w:szCs w:val="24"/>
        </w:rPr>
      </w:pPr>
      <w:r w:rsidRPr="000C46DE">
        <w:rPr>
          <w:rFonts w:ascii="Arial" w:hAnsi="Arial" w:cs="Arial"/>
          <w:color w:val="7030A0"/>
          <w:sz w:val="24"/>
          <w:szCs w:val="24"/>
        </w:rPr>
        <w:t xml:space="preserve">A good introduction will capture the audience’s </w:t>
      </w:r>
      <w:proofErr w:type="gramStart"/>
      <w:r w:rsidRPr="000C46DE">
        <w:rPr>
          <w:rFonts w:ascii="Arial" w:hAnsi="Arial" w:cs="Arial"/>
          <w:color w:val="7030A0"/>
          <w:sz w:val="24"/>
          <w:szCs w:val="24"/>
        </w:rPr>
        <w:t>attention</w:t>
      </w:r>
      <w:proofErr w:type="gramEnd"/>
    </w:p>
    <w:p w14:paraId="5C352C4A" w14:textId="77777777" w:rsidR="000C46DE" w:rsidRPr="000C46DE" w:rsidRDefault="000C46DE" w:rsidP="000C46DE">
      <w:pPr>
        <w:rPr>
          <w:rFonts w:ascii="Arial" w:hAnsi="Arial" w:cs="Arial"/>
          <w:color w:val="7030A0"/>
          <w:sz w:val="24"/>
          <w:szCs w:val="24"/>
        </w:rPr>
      </w:pPr>
    </w:p>
    <w:p w14:paraId="7EF0EF91" w14:textId="77777777" w:rsidR="000C46DE" w:rsidRPr="000C46DE" w:rsidRDefault="000C46DE" w:rsidP="000C46DE">
      <w:pPr>
        <w:spacing w:after="120" w:line="240" w:lineRule="auto"/>
        <w:rPr>
          <w:rFonts w:ascii="Arial" w:eastAsia="Times New Roman" w:hAnsi="Arial" w:cs="Arial"/>
          <w:b/>
          <w:bCs/>
          <w:sz w:val="24"/>
          <w:szCs w:val="24"/>
          <w:lang w:eastAsia="en-GB"/>
        </w:rPr>
      </w:pPr>
      <w:r w:rsidRPr="000C46DE">
        <w:rPr>
          <w:rFonts w:ascii="Arial" w:eastAsia="Times New Roman" w:hAnsi="Arial" w:cs="Arial"/>
          <w:b/>
          <w:bCs/>
          <w:sz w:val="24"/>
          <w:szCs w:val="24"/>
          <w:lang w:eastAsia="en-GB"/>
        </w:rPr>
        <w:t>Analysis of definitions of multiagency working (520)</w:t>
      </w:r>
    </w:p>
    <w:p w14:paraId="7C2381F6" w14:textId="77777777" w:rsidR="000C46DE" w:rsidRPr="000C46DE" w:rsidRDefault="000C46DE" w:rsidP="000C46DE">
      <w:pPr>
        <w:numPr>
          <w:ilvl w:val="0"/>
          <w:numId w:val="1"/>
        </w:numPr>
        <w:spacing w:after="120" w:line="240" w:lineRule="auto"/>
        <w:rPr>
          <w:rFonts w:ascii="Arial" w:eastAsia="Times New Roman" w:hAnsi="Arial" w:cs="Arial"/>
          <w:color w:val="7030A0"/>
          <w:lang w:eastAsia="en-GB"/>
        </w:rPr>
      </w:pPr>
      <w:r w:rsidRPr="000C46DE">
        <w:rPr>
          <w:rFonts w:ascii="Arial" w:eastAsia="Times New Roman" w:hAnsi="Arial" w:cs="Arial"/>
          <w:color w:val="7030A0"/>
          <w:lang w:eastAsia="en-GB"/>
        </w:rPr>
        <w:t xml:space="preserve">Discuss the term multiagency working and </w:t>
      </w:r>
      <w:proofErr w:type="spellStart"/>
      <w:r w:rsidRPr="000C46DE">
        <w:rPr>
          <w:rFonts w:ascii="Arial" w:eastAsia="Times New Roman" w:hAnsi="Arial" w:cs="Arial"/>
          <w:color w:val="7030A0"/>
          <w:lang w:eastAsia="en-GB"/>
        </w:rPr>
        <w:t>pcp</w:t>
      </w:r>
      <w:proofErr w:type="spellEnd"/>
      <w:r w:rsidRPr="000C46DE">
        <w:rPr>
          <w:rFonts w:ascii="Arial" w:eastAsia="Times New Roman" w:hAnsi="Arial" w:cs="Arial"/>
          <w:color w:val="7030A0"/>
          <w:lang w:eastAsia="en-GB"/>
        </w:rPr>
        <w:t xml:space="preserve"> (reflect on other terminology used to mean the same thing </w:t>
      </w:r>
      <w:proofErr w:type="spellStart"/>
      <w:r w:rsidRPr="000C46DE">
        <w:rPr>
          <w:rFonts w:ascii="Arial" w:eastAsia="Times New Roman" w:hAnsi="Arial" w:cs="Arial"/>
          <w:color w:val="7030A0"/>
          <w:lang w:eastAsia="en-GB"/>
        </w:rPr>
        <w:t>e.g</w:t>
      </w:r>
      <w:proofErr w:type="spellEnd"/>
      <w:r w:rsidRPr="000C46DE">
        <w:rPr>
          <w:rFonts w:ascii="Arial" w:eastAsia="Times New Roman" w:hAnsi="Arial" w:cs="Arial"/>
          <w:color w:val="7030A0"/>
          <w:lang w:eastAsia="en-GB"/>
        </w:rPr>
        <w:t xml:space="preserve"> multidisciplinary working)</w:t>
      </w:r>
    </w:p>
    <w:p w14:paraId="793DB6F8" w14:textId="77777777" w:rsidR="000C46DE" w:rsidRPr="000C46DE" w:rsidRDefault="000C46DE" w:rsidP="000C46DE">
      <w:pPr>
        <w:numPr>
          <w:ilvl w:val="0"/>
          <w:numId w:val="1"/>
        </w:numPr>
        <w:spacing w:after="120" w:line="240" w:lineRule="auto"/>
        <w:rPr>
          <w:rFonts w:ascii="Arial" w:eastAsia="Times New Roman" w:hAnsi="Arial" w:cs="Arial"/>
          <w:color w:val="7030A0"/>
          <w:lang w:eastAsia="en-GB"/>
        </w:rPr>
      </w:pPr>
      <w:r w:rsidRPr="000C46DE">
        <w:rPr>
          <w:rFonts w:ascii="Arial" w:eastAsia="Times New Roman" w:hAnsi="Arial" w:cs="Arial"/>
          <w:color w:val="7030A0"/>
          <w:lang w:eastAsia="en-GB"/>
        </w:rPr>
        <w:t>Consider different definitions using a range of literature sources (refer to the reading list for this module, journal articles, government policy guidelines etc)</w:t>
      </w:r>
    </w:p>
    <w:p w14:paraId="4FA14AFE" w14:textId="77777777" w:rsidR="000C46DE" w:rsidRPr="000C46DE" w:rsidRDefault="000C46DE" w:rsidP="000C46DE">
      <w:pPr>
        <w:spacing w:after="120" w:line="240" w:lineRule="auto"/>
        <w:rPr>
          <w:rFonts w:ascii="Arial" w:eastAsia="Times New Roman" w:hAnsi="Arial" w:cs="Arial"/>
          <w:sz w:val="24"/>
          <w:szCs w:val="24"/>
          <w:lang w:eastAsia="en-GB"/>
        </w:rPr>
      </w:pPr>
    </w:p>
    <w:p w14:paraId="79C6D8B2" w14:textId="77777777" w:rsidR="000C46DE" w:rsidRPr="000C46DE" w:rsidRDefault="000C46DE" w:rsidP="000C46DE">
      <w:pPr>
        <w:rPr>
          <w:rFonts w:ascii="Arial" w:hAnsi="Arial" w:cs="Arial"/>
          <w:sz w:val="24"/>
          <w:szCs w:val="24"/>
        </w:rPr>
      </w:pPr>
      <w:r w:rsidRPr="000C46DE">
        <w:rPr>
          <w:rFonts w:ascii="Arial" w:hAnsi="Arial" w:cs="Arial"/>
          <w:sz w:val="24"/>
          <w:szCs w:val="24"/>
        </w:rPr>
        <w:t xml:space="preserve">The Social Care Institute for Excellence define multi-agency working as providing a seamless response to </w:t>
      </w:r>
      <w:proofErr w:type="spellStart"/>
      <w:r w:rsidRPr="000C46DE">
        <w:rPr>
          <w:rFonts w:ascii="Arial" w:hAnsi="Arial" w:cs="Arial"/>
          <w:sz w:val="24"/>
          <w:szCs w:val="24"/>
        </w:rPr>
        <w:t>individuals</w:t>
      </w:r>
      <w:proofErr w:type="spellEnd"/>
      <w:r w:rsidRPr="000C46DE">
        <w:rPr>
          <w:rFonts w:ascii="Arial" w:hAnsi="Arial" w:cs="Arial"/>
          <w:sz w:val="24"/>
          <w:szCs w:val="24"/>
        </w:rPr>
        <w:t xml:space="preserve"> needs (The Social Care Institute for Excellence, 2021) though there can be wide interpretations and definitions. There are different variants of the term such as ‘multi-disciplinary, ‘inter-disciplinary’, ‘multi-professional work’ and ‘partnership working’. Percy-Smith (2006) says difficulty posed in agreeing on a definition is due to the amount of these different terms across policies. The term ‘multi-agency working’ along with its variants embodies a multitude of interlocking concepts. Two key words when trying to define multi-agency working are ‘collaboration’ and ‘partnership’ (Gasper, 2010). Whittington (2003, quoted in, Gasper, 2010, p. 5) speaks about partnership as being a state of a relationship and goes on to say that ‘collaboration is the active process of partnership in action’. Another definition given by the UK Centre for the Advancement of Interprofessional Education (CAIPE) is based around the ideology that it is a situation where ‘any two or more professionals share learning with, from and about each other to </w:t>
      </w:r>
      <w:proofErr w:type="spellStart"/>
      <w:r w:rsidRPr="000C46DE">
        <w:rPr>
          <w:rFonts w:ascii="Arial" w:hAnsi="Arial" w:cs="Arial"/>
          <w:sz w:val="24"/>
          <w:szCs w:val="24"/>
        </w:rPr>
        <w:t>to</w:t>
      </w:r>
      <w:proofErr w:type="spellEnd"/>
      <w:r w:rsidRPr="000C46DE">
        <w:rPr>
          <w:rFonts w:ascii="Arial" w:hAnsi="Arial" w:cs="Arial"/>
          <w:sz w:val="24"/>
          <w:szCs w:val="24"/>
        </w:rPr>
        <w:t xml:space="preserve"> develop and improve collaborative practice’ (CAIPE, 2005, quoted in Gasper, 2010, p.5). This in turn improves outcomes for the service user. In summary of these terms and definitions, multi-agency working is essentially agencies working together to respond to an issue. There are three different models of multi-agency working. These models are multi-agency panels, multi-agency teams and integrated services (Every Child Matters, 2005). Multi-agency panels remain employed by their own companies but meet on a regular basis as a panel to discuss children who would benefit from a multi-agency output (Every Child Matters, 2005). Multi-agency teams are made up of practitioners who have come together from agencies for an independent project or task focus (Anning, 2010). The practitioners are either recruited or seconded for </w:t>
      </w:r>
      <w:proofErr w:type="gramStart"/>
      <w:r w:rsidRPr="000C46DE">
        <w:rPr>
          <w:rFonts w:ascii="Arial" w:hAnsi="Arial" w:cs="Arial"/>
          <w:sz w:val="24"/>
          <w:szCs w:val="24"/>
        </w:rPr>
        <w:t>a period of time</w:t>
      </w:r>
      <w:proofErr w:type="gramEnd"/>
      <w:r w:rsidRPr="000C46DE">
        <w:rPr>
          <w:rFonts w:ascii="Arial" w:hAnsi="Arial" w:cs="Arial"/>
          <w:sz w:val="24"/>
          <w:szCs w:val="24"/>
        </w:rPr>
        <w:t xml:space="preserve"> (Every Child Matters, 2005). Lastly, integrated service comes in the form of a hub available to a community, separate services work within the hub in a collaborative way (Every Child Matters, 2005).  </w:t>
      </w:r>
    </w:p>
    <w:p w14:paraId="5C74307B" w14:textId="77777777" w:rsidR="000C46DE" w:rsidRPr="000C46DE" w:rsidRDefault="000C46DE" w:rsidP="000C46DE">
      <w:pPr>
        <w:rPr>
          <w:rFonts w:ascii="Arial" w:hAnsi="Arial" w:cs="Arial"/>
          <w:sz w:val="24"/>
          <w:szCs w:val="24"/>
        </w:rPr>
      </w:pPr>
    </w:p>
    <w:p w14:paraId="7074B66C" w14:textId="77777777" w:rsidR="000C46DE" w:rsidRPr="000C46DE" w:rsidRDefault="000C46DE" w:rsidP="000C46DE">
      <w:pPr>
        <w:rPr>
          <w:rFonts w:ascii="Arial" w:hAnsi="Arial" w:cs="Arial"/>
          <w:sz w:val="24"/>
          <w:szCs w:val="24"/>
        </w:rPr>
      </w:pPr>
      <w:r w:rsidRPr="000C46DE">
        <w:rPr>
          <w:rFonts w:ascii="Arial" w:hAnsi="Arial" w:cs="Arial"/>
          <w:sz w:val="24"/>
          <w:szCs w:val="24"/>
        </w:rPr>
        <w:lastRenderedPageBreak/>
        <w:t>Person centred planning is another important term that will be discussed within this portfolio. Person centred planning puts the individual’s need at the centre of all planning and decision making which will affect them (Council for Disabled Children, 2021). Person centred planning ensures that children feel that they are listened to and that their opinions and needs are valued. O’Brien and O’Brien (2000) describe it as:</w:t>
      </w:r>
    </w:p>
    <w:p w14:paraId="488741F9" w14:textId="77777777" w:rsidR="000C46DE" w:rsidRPr="000C46DE" w:rsidRDefault="000C46DE" w:rsidP="000C46DE">
      <w:pPr>
        <w:ind w:left="284" w:right="284"/>
        <w:rPr>
          <w:rFonts w:ascii="Arial" w:hAnsi="Arial" w:cs="Arial"/>
          <w:sz w:val="24"/>
          <w:szCs w:val="24"/>
        </w:rPr>
      </w:pPr>
      <w:r w:rsidRPr="000C46DE">
        <w:rPr>
          <w:rFonts w:ascii="Arial" w:hAnsi="Arial" w:cs="Arial"/>
          <w:sz w:val="24"/>
          <w:szCs w:val="24"/>
        </w:rPr>
        <w:t xml:space="preserve">A conscious search for new categories through which to understand the experience of people with developmental disabilities and work with them and their allies to change that experience for the better (O’Brien and O’Brien, 2000, p. 20). </w:t>
      </w:r>
    </w:p>
    <w:p w14:paraId="07FAC74D" w14:textId="77777777" w:rsidR="000C46DE" w:rsidRPr="000C46DE" w:rsidRDefault="000C46DE" w:rsidP="000C46DE">
      <w:pPr>
        <w:rPr>
          <w:rFonts w:ascii="Arial" w:hAnsi="Arial" w:cs="Arial"/>
          <w:sz w:val="24"/>
          <w:szCs w:val="24"/>
        </w:rPr>
      </w:pPr>
      <w:r w:rsidRPr="000C46DE">
        <w:rPr>
          <w:rFonts w:ascii="Arial" w:hAnsi="Arial" w:cs="Arial"/>
          <w:sz w:val="24"/>
          <w:szCs w:val="24"/>
        </w:rPr>
        <w:t>Whilst O’Brien and O’Brien (2000) speak specifically about disability, this can also extend to others with different needs and vulnerabilities.</w:t>
      </w:r>
    </w:p>
    <w:p w14:paraId="3ABC8048" w14:textId="77777777" w:rsidR="000C46DE" w:rsidRPr="000C46DE" w:rsidRDefault="000C46DE" w:rsidP="000C46DE">
      <w:pPr>
        <w:rPr>
          <w:rFonts w:ascii="Arial" w:hAnsi="Arial" w:cs="Arial"/>
          <w:sz w:val="24"/>
          <w:szCs w:val="24"/>
        </w:rPr>
      </w:pPr>
      <w:r w:rsidRPr="000C46DE">
        <w:rPr>
          <w:rFonts w:ascii="Arial" w:hAnsi="Arial" w:cs="Arial"/>
          <w:sz w:val="24"/>
          <w:szCs w:val="24"/>
        </w:rPr>
        <w:t>Person centred planning gives children and their families both control and freedom. Mercer (2003) describes that it gives them freedom to make decisions regardless of how big or small they are. When children feel that they are listened to, it enables adults to help get to know children better and learn about the likes and dislikes (Council for Disabled Children, 2003). This helps to ensure that there are opportunities to engage in activities with the correct support and assistance (Mercer, 2003).</w:t>
      </w:r>
    </w:p>
    <w:p w14:paraId="6C92238B" w14:textId="77777777" w:rsidR="000C46DE" w:rsidRPr="000C46DE" w:rsidRDefault="000C46DE" w:rsidP="000C46DE">
      <w:pPr>
        <w:rPr>
          <w:rFonts w:ascii="Arial" w:hAnsi="Arial" w:cs="Arial"/>
          <w:b/>
          <w:bCs/>
          <w:sz w:val="24"/>
          <w:szCs w:val="24"/>
        </w:rPr>
      </w:pPr>
    </w:p>
    <w:p w14:paraId="3D6A8016" w14:textId="77777777" w:rsidR="000C46DE" w:rsidRPr="000C46DE" w:rsidRDefault="000C46DE" w:rsidP="000C46DE">
      <w:pPr>
        <w:rPr>
          <w:rFonts w:ascii="Arial" w:hAnsi="Arial" w:cs="Arial"/>
          <w:b/>
          <w:bCs/>
          <w:sz w:val="24"/>
          <w:szCs w:val="24"/>
        </w:rPr>
      </w:pPr>
      <w:r w:rsidRPr="000C46DE">
        <w:rPr>
          <w:rFonts w:ascii="Arial" w:hAnsi="Arial" w:cs="Arial"/>
          <w:b/>
          <w:bCs/>
          <w:sz w:val="24"/>
          <w:szCs w:val="24"/>
        </w:rPr>
        <w:t xml:space="preserve">Benefits and challenges of multi-agency </w:t>
      </w:r>
      <w:proofErr w:type="gramStart"/>
      <w:r w:rsidRPr="000C46DE">
        <w:rPr>
          <w:rFonts w:ascii="Arial" w:hAnsi="Arial" w:cs="Arial"/>
          <w:b/>
          <w:bCs/>
          <w:sz w:val="24"/>
          <w:szCs w:val="24"/>
        </w:rPr>
        <w:t>working</w:t>
      </w:r>
      <w:proofErr w:type="gramEnd"/>
    </w:p>
    <w:p w14:paraId="39C097BF" w14:textId="77777777" w:rsidR="000C46DE" w:rsidRPr="000C46DE" w:rsidRDefault="000C46DE" w:rsidP="000C46DE">
      <w:pPr>
        <w:rPr>
          <w:rFonts w:ascii="Arial" w:hAnsi="Arial" w:cs="Arial"/>
          <w:b/>
          <w:bCs/>
          <w:sz w:val="24"/>
          <w:szCs w:val="24"/>
        </w:rPr>
      </w:pPr>
    </w:p>
    <w:p w14:paraId="2C8A465E" w14:textId="77777777" w:rsidR="000C46DE" w:rsidRPr="000C46DE" w:rsidRDefault="000C46DE" w:rsidP="000C46DE">
      <w:pPr>
        <w:rPr>
          <w:rFonts w:ascii="Arial" w:hAnsi="Arial" w:cs="Arial"/>
          <w:color w:val="7030A0"/>
          <w:sz w:val="24"/>
          <w:szCs w:val="24"/>
        </w:rPr>
      </w:pPr>
      <w:r w:rsidRPr="000C46DE">
        <w:rPr>
          <w:rFonts w:ascii="Arial" w:hAnsi="Arial" w:cs="Arial"/>
          <w:color w:val="7030A0"/>
          <w:sz w:val="24"/>
          <w:szCs w:val="24"/>
        </w:rPr>
        <w:t>Challenges:</w:t>
      </w:r>
    </w:p>
    <w:p w14:paraId="4FBA3EAB" w14:textId="77777777" w:rsidR="000C46DE" w:rsidRPr="000C46DE" w:rsidRDefault="000C46DE" w:rsidP="000C46DE">
      <w:pPr>
        <w:rPr>
          <w:rFonts w:ascii="Arial" w:hAnsi="Arial" w:cs="Arial"/>
          <w:b/>
          <w:bCs/>
          <w:color w:val="7030A0"/>
          <w:sz w:val="24"/>
          <w:szCs w:val="24"/>
        </w:rPr>
      </w:pPr>
      <w:r w:rsidRPr="000C46DE">
        <w:rPr>
          <w:rFonts w:ascii="Arial" w:hAnsi="Arial" w:cs="Arial"/>
          <w:color w:val="7030A0"/>
          <w:sz w:val="24"/>
          <w:szCs w:val="24"/>
        </w:rPr>
        <w:t xml:space="preserve">Professional models – multi </w:t>
      </w:r>
      <w:proofErr w:type="spellStart"/>
      <w:r w:rsidRPr="000C46DE">
        <w:rPr>
          <w:rFonts w:ascii="Arial" w:hAnsi="Arial" w:cs="Arial"/>
          <w:color w:val="7030A0"/>
          <w:sz w:val="24"/>
          <w:szCs w:val="24"/>
        </w:rPr>
        <w:t>proffessional</w:t>
      </w:r>
      <w:proofErr w:type="spellEnd"/>
      <w:r w:rsidRPr="000C46DE">
        <w:rPr>
          <w:rFonts w:ascii="Arial" w:hAnsi="Arial" w:cs="Arial"/>
          <w:color w:val="7030A0"/>
          <w:sz w:val="24"/>
          <w:szCs w:val="24"/>
        </w:rPr>
        <w:t xml:space="preserve"> p. </w:t>
      </w:r>
    </w:p>
    <w:p w14:paraId="3702FAA4" w14:textId="77777777" w:rsidR="000C46DE" w:rsidRPr="000C46DE" w:rsidRDefault="000C46DE" w:rsidP="000C46DE">
      <w:pPr>
        <w:rPr>
          <w:rFonts w:ascii="Arial" w:hAnsi="Arial" w:cs="Arial"/>
          <w:b/>
          <w:bCs/>
          <w:sz w:val="24"/>
          <w:szCs w:val="24"/>
        </w:rPr>
      </w:pPr>
    </w:p>
    <w:p w14:paraId="08563B3A" w14:textId="77777777" w:rsidR="000C46DE" w:rsidRPr="000C46DE" w:rsidRDefault="000C46DE" w:rsidP="000C46DE">
      <w:pPr>
        <w:rPr>
          <w:rFonts w:ascii="Arial" w:hAnsi="Arial" w:cs="Arial"/>
          <w:sz w:val="24"/>
          <w:szCs w:val="24"/>
        </w:rPr>
      </w:pPr>
      <w:r w:rsidRPr="000C46DE">
        <w:rPr>
          <w:rFonts w:ascii="Arial" w:hAnsi="Arial" w:cs="Arial"/>
          <w:sz w:val="24"/>
          <w:szCs w:val="24"/>
        </w:rPr>
        <w:t xml:space="preserve">Multi-agency working ultimately came </w:t>
      </w:r>
      <w:proofErr w:type="gramStart"/>
      <w:r w:rsidRPr="000C46DE">
        <w:rPr>
          <w:rFonts w:ascii="Arial" w:hAnsi="Arial" w:cs="Arial"/>
          <w:sz w:val="24"/>
          <w:szCs w:val="24"/>
        </w:rPr>
        <w:t>as a result of</w:t>
      </w:r>
      <w:proofErr w:type="gramEnd"/>
      <w:r w:rsidRPr="000C46DE">
        <w:rPr>
          <w:rFonts w:ascii="Arial" w:hAnsi="Arial" w:cs="Arial"/>
          <w:sz w:val="24"/>
          <w:szCs w:val="24"/>
        </w:rPr>
        <w:t xml:space="preserve"> many devastating cases where there have been tragedies as a consequence of information not being passed from services and a lack of designated responsibility. Therefore, multi-agency working aims to improve services to ensure that needs are identified and met, that there is early intervention, the correct support is provided and to improve outcomes for children and their families through sharing information and working together (Atkinson et al. 2010). When agencies work together, there are more chances to identify needs and ensure they are dealt with holistically. Resources are also more focused which means actions are part of a coherent shared strategy (Gasper, 2010). Furthermore, by working together agencies can save time resulting in earlier identification and faster outcomes. The National Evaluation of Sure Start (2004) has found that multi-agency working has improved access to childcare and education, enabled access to more services, improved well-being and reduced some of the worst effects of poverty (Gasper, 2010). </w:t>
      </w:r>
    </w:p>
    <w:p w14:paraId="6F2AC4C8" w14:textId="77777777" w:rsidR="000C46DE" w:rsidRPr="000C46DE" w:rsidRDefault="000C46DE" w:rsidP="000C46DE">
      <w:pPr>
        <w:rPr>
          <w:rFonts w:ascii="Arial" w:hAnsi="Arial" w:cs="Arial"/>
          <w:sz w:val="24"/>
          <w:szCs w:val="24"/>
        </w:rPr>
      </w:pPr>
    </w:p>
    <w:p w14:paraId="56CC2D02" w14:textId="77777777" w:rsidR="000C46DE" w:rsidRPr="000C46DE" w:rsidRDefault="000C46DE" w:rsidP="000C46DE">
      <w:pPr>
        <w:rPr>
          <w:rFonts w:ascii="Arial" w:hAnsi="Arial" w:cs="Arial"/>
          <w:sz w:val="24"/>
          <w:szCs w:val="24"/>
        </w:rPr>
      </w:pPr>
      <w:r w:rsidRPr="000C46DE">
        <w:rPr>
          <w:rFonts w:ascii="Arial" w:hAnsi="Arial" w:cs="Arial"/>
          <w:sz w:val="24"/>
          <w:szCs w:val="24"/>
        </w:rPr>
        <w:lastRenderedPageBreak/>
        <w:t xml:space="preserve">Through working together, positive, and effective relationships have developed between services. Collaborative working has led to an increase of communication between services which has resulted in an increased understanding of other services roles. To further this, </w:t>
      </w:r>
      <w:proofErr w:type="spellStart"/>
      <w:r w:rsidRPr="000C46DE">
        <w:rPr>
          <w:rFonts w:ascii="Arial" w:hAnsi="Arial" w:cs="Arial"/>
          <w:sz w:val="24"/>
          <w:szCs w:val="24"/>
        </w:rPr>
        <w:t>Allnock</w:t>
      </w:r>
      <w:proofErr w:type="spellEnd"/>
      <w:r w:rsidRPr="000C46DE">
        <w:rPr>
          <w:rFonts w:ascii="Arial" w:hAnsi="Arial" w:cs="Arial"/>
          <w:sz w:val="24"/>
          <w:szCs w:val="24"/>
        </w:rPr>
        <w:t xml:space="preserve"> et al. 2006 and Dickson et al. 2004 state that having a good knowledge of other services could help contribute to effective multi-agency working (</w:t>
      </w:r>
      <w:proofErr w:type="spellStart"/>
      <w:r w:rsidRPr="000C46DE">
        <w:rPr>
          <w:rFonts w:ascii="Arial" w:hAnsi="Arial" w:cs="Arial"/>
          <w:sz w:val="24"/>
          <w:szCs w:val="24"/>
        </w:rPr>
        <w:t>Allnock</w:t>
      </w:r>
      <w:proofErr w:type="spellEnd"/>
      <w:r w:rsidRPr="000C46DE">
        <w:rPr>
          <w:rFonts w:ascii="Arial" w:hAnsi="Arial" w:cs="Arial"/>
          <w:sz w:val="24"/>
          <w:szCs w:val="24"/>
        </w:rPr>
        <w:t xml:space="preserve"> et al. 2006 and Dickinson et all 2004, quoted in Atkinson, </w:t>
      </w:r>
      <w:proofErr w:type="gramStart"/>
      <w:r w:rsidRPr="000C46DE">
        <w:rPr>
          <w:rFonts w:ascii="Arial" w:hAnsi="Arial" w:cs="Arial"/>
          <w:sz w:val="24"/>
          <w:szCs w:val="24"/>
        </w:rPr>
        <w:t>Jones</w:t>
      </w:r>
      <w:proofErr w:type="gramEnd"/>
      <w:r w:rsidRPr="000C46DE">
        <w:rPr>
          <w:rFonts w:ascii="Arial" w:hAnsi="Arial" w:cs="Arial"/>
          <w:sz w:val="24"/>
          <w:szCs w:val="24"/>
        </w:rPr>
        <w:t xml:space="preserve"> and Lamont, 2007). Understanding between agencies, along with trust, can lead to ‘willingness to take risks, enhanced potential for innovation and improved outcomes’ (</w:t>
      </w:r>
      <w:proofErr w:type="spellStart"/>
      <w:r w:rsidRPr="000C46DE">
        <w:rPr>
          <w:rFonts w:ascii="Arial" w:hAnsi="Arial" w:cs="Arial"/>
          <w:sz w:val="24"/>
          <w:szCs w:val="24"/>
        </w:rPr>
        <w:t>Akinson</w:t>
      </w:r>
      <w:proofErr w:type="spellEnd"/>
      <w:r w:rsidRPr="000C46DE">
        <w:rPr>
          <w:rFonts w:ascii="Arial" w:hAnsi="Arial" w:cs="Arial"/>
          <w:sz w:val="24"/>
          <w:szCs w:val="24"/>
        </w:rPr>
        <w:t xml:space="preserve">, Jones and Lamont, 2007, p. 29). Effective partnerships result in improved services, identification in service gaps and improved integration (Fox and Butler, 2014). Moran et al. (2007) says social workers have voiced that they felt that their developing relationships with schools would result in better outcomes for children and their families as there is greater understanding of child protection which leads to early identification and faster referrals. </w:t>
      </w:r>
    </w:p>
    <w:p w14:paraId="71E78568" w14:textId="77777777" w:rsidR="000C46DE" w:rsidRPr="000C46DE" w:rsidRDefault="000C46DE" w:rsidP="000C46DE">
      <w:pPr>
        <w:rPr>
          <w:rFonts w:ascii="Arial" w:hAnsi="Arial" w:cs="Arial"/>
          <w:sz w:val="24"/>
          <w:szCs w:val="24"/>
        </w:rPr>
      </w:pPr>
    </w:p>
    <w:p w14:paraId="59F5E542" w14:textId="77777777" w:rsidR="000C46DE" w:rsidRPr="000C46DE" w:rsidRDefault="000C46DE" w:rsidP="000C46DE">
      <w:pPr>
        <w:rPr>
          <w:rFonts w:ascii="Arial" w:hAnsi="Arial" w:cs="Arial"/>
          <w:sz w:val="24"/>
          <w:szCs w:val="24"/>
        </w:rPr>
      </w:pPr>
      <w:r w:rsidRPr="000C46DE">
        <w:rPr>
          <w:rFonts w:ascii="Arial" w:hAnsi="Arial" w:cs="Arial"/>
          <w:sz w:val="24"/>
          <w:szCs w:val="24"/>
        </w:rPr>
        <w:t xml:space="preserve">The social workers in which Moran et al (2007) writes about also discuss how they felt settings away from the social services’ office, such as community hubs, help families feel less stigmatised by their involvement. Similarly, having social services integrated within school settings helps improve approachability. A study showed how parents who would usually avoid speaking to the social workers at open evenings in schools began to build positive relationships with them over time when regularly introduced at said evenings. This positively impacted family’s perceptions which meant it was more likely that there would be earlier intervention and reduction in family difficulties (Moran et al. 2007). This affirms Fox and Butler (2014) in which they state that effective partnerships should appear to be integrated services from the service user’s viewpoint (Fox and Butler, 2014). </w:t>
      </w:r>
    </w:p>
    <w:p w14:paraId="49690631" w14:textId="77777777" w:rsidR="000C46DE" w:rsidRPr="000C46DE" w:rsidRDefault="000C46DE" w:rsidP="000C46DE">
      <w:pPr>
        <w:rPr>
          <w:rFonts w:ascii="Arial" w:hAnsi="Arial" w:cs="Arial"/>
          <w:sz w:val="24"/>
          <w:szCs w:val="24"/>
        </w:rPr>
      </w:pPr>
    </w:p>
    <w:p w14:paraId="5D1F713F" w14:textId="668DBAFF" w:rsidR="000C46DE" w:rsidRDefault="000C46DE" w:rsidP="000C46DE">
      <w:pPr>
        <w:rPr>
          <w:rFonts w:ascii="Arial" w:hAnsi="Arial" w:cs="Arial"/>
          <w:sz w:val="24"/>
          <w:szCs w:val="24"/>
        </w:rPr>
      </w:pPr>
      <w:r w:rsidRPr="000C46DE">
        <w:rPr>
          <w:rFonts w:ascii="Arial" w:hAnsi="Arial" w:cs="Arial"/>
          <w:sz w:val="24"/>
          <w:szCs w:val="24"/>
        </w:rPr>
        <w:t xml:space="preserve">Though multi-agency working has many benefits, it also comes with its challenges. Communication has been identified as one of the largest challenges in multi-agency working (Atkinson, Doherty and Kinder, 2003). Sharing information is essential within multi-agency working however this can be difficult sometimes due to the Data Protection Act 1998. Some agencies may be unsure of what information they are able to pass on, Gasper (2010) speaks of how an Act designed to protect people can now sometimes be a barrier in enabling closer partnership which would provide better outcomes. Similarly, challenges can also occur when agencies are unaware of each other’s roles and responsibilities (Dunhill, </w:t>
      </w:r>
      <w:proofErr w:type="gramStart"/>
      <w:r w:rsidRPr="000C46DE">
        <w:rPr>
          <w:rFonts w:ascii="Arial" w:hAnsi="Arial" w:cs="Arial"/>
          <w:sz w:val="24"/>
          <w:szCs w:val="24"/>
        </w:rPr>
        <w:t>Elliott</w:t>
      </w:r>
      <w:proofErr w:type="gramEnd"/>
      <w:r w:rsidRPr="000C46DE">
        <w:rPr>
          <w:rFonts w:ascii="Arial" w:hAnsi="Arial" w:cs="Arial"/>
          <w:sz w:val="24"/>
          <w:szCs w:val="24"/>
        </w:rPr>
        <w:t xml:space="preserve"> and Shaw, 2010). When this occurs, there may be conflict over areas of responsibility along with disagreements over which actions to take (Atkinson, Doherty and Kinder, 2003).</w:t>
      </w:r>
    </w:p>
    <w:p w14:paraId="664BB8F4" w14:textId="02034D33" w:rsidR="000C46DE" w:rsidRDefault="000C46DE" w:rsidP="000C46DE">
      <w:pPr>
        <w:rPr>
          <w:rFonts w:ascii="Arial" w:hAnsi="Arial" w:cs="Arial"/>
          <w:sz w:val="24"/>
          <w:szCs w:val="24"/>
        </w:rPr>
      </w:pPr>
    </w:p>
    <w:p w14:paraId="53B547DC" w14:textId="23AACE41" w:rsidR="000C46DE" w:rsidRPr="000C46DE" w:rsidRDefault="000C46DE" w:rsidP="000C46DE">
      <w:pPr>
        <w:rPr>
          <w:rFonts w:ascii="Arial" w:hAnsi="Arial" w:cs="Arial"/>
          <w:sz w:val="24"/>
          <w:szCs w:val="24"/>
        </w:rPr>
      </w:pPr>
      <w:r>
        <w:rPr>
          <w:rFonts w:ascii="Arial" w:hAnsi="Arial" w:cs="Arial"/>
          <w:sz w:val="24"/>
          <w:szCs w:val="24"/>
        </w:rPr>
        <w:t xml:space="preserve">Different agencies and professionals having different models of understanding and views also cause challenges when working together. In Anning’s (2010) study, she found that within the five multi-agency teams present, each had prominent models in </w:t>
      </w:r>
      <w:r>
        <w:rPr>
          <w:rFonts w:ascii="Arial" w:hAnsi="Arial" w:cs="Arial"/>
          <w:sz w:val="24"/>
          <w:szCs w:val="24"/>
        </w:rPr>
        <w:lastRenderedPageBreak/>
        <w:t xml:space="preserve">which they based their practice on. The child development team based their practice on the medical model, therefore focused mostly on medical diagnoses. </w:t>
      </w:r>
    </w:p>
    <w:p w14:paraId="4A67C230" w14:textId="2ADB1266" w:rsidR="00B8334E" w:rsidRDefault="00B8334E"/>
    <w:p w14:paraId="315DA075" w14:textId="6FE17454" w:rsidR="000C46DE" w:rsidRDefault="000C46DE"/>
    <w:p w14:paraId="3738B3D3" w14:textId="1557827E" w:rsidR="000C46DE" w:rsidRDefault="000C46DE"/>
    <w:p w14:paraId="5935D145" w14:textId="00AA386F" w:rsidR="000C46DE" w:rsidRDefault="000C46DE"/>
    <w:p w14:paraId="4FDFEB48" w14:textId="77777777" w:rsidR="000C46DE" w:rsidRDefault="000C46DE" w:rsidP="000C46DE">
      <w:pPr>
        <w:rPr>
          <w:rFonts w:ascii="Arial" w:hAnsi="Arial" w:cs="Arial"/>
          <w:b/>
          <w:bCs/>
          <w:sz w:val="24"/>
          <w:szCs w:val="24"/>
        </w:rPr>
      </w:pPr>
      <w:r>
        <w:rPr>
          <w:rFonts w:ascii="Arial" w:hAnsi="Arial" w:cs="Arial"/>
          <w:b/>
          <w:bCs/>
          <w:sz w:val="24"/>
          <w:szCs w:val="24"/>
        </w:rPr>
        <w:t>Reference List</w:t>
      </w:r>
    </w:p>
    <w:p w14:paraId="5C51F7C1" w14:textId="77777777" w:rsidR="000C46DE" w:rsidRDefault="000C46DE" w:rsidP="000C46DE">
      <w:pPr>
        <w:rPr>
          <w:rFonts w:ascii="Arial" w:hAnsi="Arial" w:cs="Arial"/>
          <w:b/>
          <w:bCs/>
          <w:sz w:val="24"/>
          <w:szCs w:val="24"/>
        </w:rPr>
      </w:pPr>
    </w:p>
    <w:p w14:paraId="4F9A95B5" w14:textId="77777777" w:rsidR="000C46DE" w:rsidRPr="00A34669" w:rsidRDefault="000C46DE" w:rsidP="000C46DE">
      <w:pPr>
        <w:rPr>
          <w:rFonts w:ascii="Arial" w:hAnsi="Arial" w:cs="Arial"/>
          <w:sz w:val="24"/>
          <w:szCs w:val="24"/>
        </w:rPr>
      </w:pPr>
      <w:r>
        <w:rPr>
          <w:rFonts w:ascii="Arial" w:hAnsi="Arial" w:cs="Arial"/>
          <w:sz w:val="24"/>
          <w:szCs w:val="24"/>
        </w:rPr>
        <w:t xml:space="preserve">The Social Care Institute of Excellence (2021) </w:t>
      </w:r>
      <w:r>
        <w:rPr>
          <w:rFonts w:ascii="Arial" w:hAnsi="Arial" w:cs="Arial"/>
          <w:i/>
          <w:iCs/>
          <w:sz w:val="24"/>
          <w:szCs w:val="24"/>
        </w:rPr>
        <w:t xml:space="preserve">Multi-agency working. </w:t>
      </w:r>
      <w:r>
        <w:rPr>
          <w:rFonts w:ascii="Arial" w:hAnsi="Arial" w:cs="Arial"/>
          <w:sz w:val="24"/>
          <w:szCs w:val="24"/>
        </w:rPr>
        <w:t xml:space="preserve">Available at: </w:t>
      </w:r>
      <w:hyperlink r:id="rId5" w:anchor=":~:text=Multi%2Dagency%20working%20is%20about,on%20an%20ad%20hoc%20basis" w:history="1">
        <w:r w:rsidRPr="00A2482B">
          <w:rPr>
            <w:rStyle w:val="Hyperlink"/>
            <w:rFonts w:ascii="Arial" w:hAnsi="Arial" w:cs="Arial"/>
            <w:sz w:val="24"/>
            <w:szCs w:val="24"/>
          </w:rPr>
          <w:t>https://www.scie.org.uk/publications/nqswtool/multiagencyworking/#:~:text=Multi%2Dagency%20working%20is%20about,on%20an%20ad%20hoc%20basis</w:t>
        </w:r>
      </w:hyperlink>
      <w:r>
        <w:rPr>
          <w:rFonts w:ascii="Arial" w:hAnsi="Arial" w:cs="Arial"/>
          <w:sz w:val="24"/>
          <w:szCs w:val="24"/>
        </w:rPr>
        <w:t xml:space="preserve"> (Accessed: 15 February 2021).</w:t>
      </w:r>
    </w:p>
    <w:p w14:paraId="786E1E7C" w14:textId="77777777" w:rsidR="000C46DE" w:rsidRDefault="000C46DE" w:rsidP="000C46DE">
      <w:pPr>
        <w:rPr>
          <w:rFonts w:ascii="Arial" w:hAnsi="Arial" w:cs="Arial"/>
          <w:sz w:val="24"/>
          <w:szCs w:val="24"/>
        </w:rPr>
      </w:pPr>
    </w:p>
    <w:p w14:paraId="3394842B" w14:textId="77777777" w:rsidR="000C46DE" w:rsidRPr="00DA7C5D" w:rsidRDefault="000C46DE" w:rsidP="000C46DE">
      <w:pPr>
        <w:rPr>
          <w:rFonts w:ascii="Arial" w:hAnsi="Arial" w:cs="Arial"/>
          <w:sz w:val="24"/>
          <w:szCs w:val="24"/>
        </w:rPr>
      </w:pPr>
      <w:r>
        <w:rPr>
          <w:rFonts w:ascii="Arial" w:hAnsi="Arial" w:cs="Arial"/>
          <w:sz w:val="24"/>
          <w:szCs w:val="24"/>
        </w:rPr>
        <w:t xml:space="preserve">Hobart, C. and Frankel, J. (2010) </w:t>
      </w:r>
      <w:r>
        <w:rPr>
          <w:rFonts w:ascii="Arial" w:hAnsi="Arial" w:cs="Arial"/>
          <w:i/>
          <w:iCs/>
          <w:sz w:val="24"/>
          <w:szCs w:val="24"/>
        </w:rPr>
        <w:t xml:space="preserve">Good practice in safeguarding children. </w:t>
      </w:r>
      <w:r>
        <w:rPr>
          <w:rFonts w:ascii="Arial" w:hAnsi="Arial" w:cs="Arial"/>
          <w:sz w:val="24"/>
          <w:szCs w:val="24"/>
        </w:rPr>
        <w:t>3</w:t>
      </w:r>
      <w:r w:rsidRPr="006F701A">
        <w:rPr>
          <w:rFonts w:ascii="Arial" w:hAnsi="Arial" w:cs="Arial"/>
          <w:sz w:val="24"/>
          <w:szCs w:val="24"/>
          <w:vertAlign w:val="superscript"/>
        </w:rPr>
        <w:t>rd</w:t>
      </w:r>
      <w:r>
        <w:rPr>
          <w:rFonts w:ascii="Arial" w:hAnsi="Arial" w:cs="Arial"/>
          <w:sz w:val="24"/>
          <w:szCs w:val="24"/>
        </w:rPr>
        <w:t xml:space="preserve"> ed. Cheltenham: Nelson Thornes.</w:t>
      </w:r>
    </w:p>
    <w:p w14:paraId="639F28AE" w14:textId="77777777" w:rsidR="000C46DE" w:rsidRDefault="000C46DE" w:rsidP="000C46DE">
      <w:pPr>
        <w:rPr>
          <w:rFonts w:ascii="Arial" w:hAnsi="Arial" w:cs="Arial"/>
          <w:sz w:val="24"/>
          <w:szCs w:val="24"/>
        </w:rPr>
      </w:pPr>
    </w:p>
    <w:p w14:paraId="6BE88ADA" w14:textId="77777777" w:rsidR="000C46DE" w:rsidRPr="000C5EDA" w:rsidRDefault="000C46DE" w:rsidP="000C46DE">
      <w:pPr>
        <w:rPr>
          <w:rFonts w:ascii="Arial" w:hAnsi="Arial" w:cs="Arial"/>
          <w:sz w:val="24"/>
          <w:szCs w:val="24"/>
        </w:rPr>
      </w:pPr>
      <w:r>
        <w:rPr>
          <w:rFonts w:ascii="Arial" w:hAnsi="Arial" w:cs="Arial"/>
          <w:sz w:val="24"/>
          <w:szCs w:val="24"/>
        </w:rPr>
        <w:t xml:space="preserve">Every Child Matters (2005) </w:t>
      </w:r>
      <w:r>
        <w:rPr>
          <w:rFonts w:ascii="Arial" w:hAnsi="Arial" w:cs="Arial"/>
          <w:i/>
          <w:iCs/>
          <w:sz w:val="24"/>
          <w:szCs w:val="24"/>
        </w:rPr>
        <w:t xml:space="preserve">Multi-agency working. </w:t>
      </w:r>
      <w:r>
        <w:rPr>
          <w:rFonts w:ascii="Arial" w:hAnsi="Arial" w:cs="Arial"/>
          <w:sz w:val="24"/>
          <w:szCs w:val="24"/>
        </w:rPr>
        <w:t xml:space="preserve">Available at: </w:t>
      </w:r>
      <w:hyperlink r:id="rId6" w:history="1">
        <w:r w:rsidRPr="00A2482B">
          <w:rPr>
            <w:rStyle w:val="Hyperlink"/>
            <w:rFonts w:ascii="Arial" w:hAnsi="Arial" w:cs="Arial"/>
            <w:sz w:val="24"/>
            <w:szCs w:val="24"/>
          </w:rPr>
          <w:t>https://www.wokingham.gov.uk/EasysiteWeb/getresource.axd?AssetID=75433&amp;</w:t>
        </w:r>
      </w:hyperlink>
      <w:r>
        <w:rPr>
          <w:rFonts w:ascii="Arial" w:hAnsi="Arial" w:cs="Arial"/>
          <w:sz w:val="24"/>
          <w:szCs w:val="24"/>
        </w:rPr>
        <w:t xml:space="preserve"> (Accessed: 15 February 2021).</w:t>
      </w:r>
    </w:p>
    <w:p w14:paraId="5323BFC3" w14:textId="77777777" w:rsidR="000C46DE" w:rsidRDefault="000C46DE" w:rsidP="000C46DE">
      <w:pPr>
        <w:rPr>
          <w:rFonts w:ascii="Arial" w:hAnsi="Arial" w:cs="Arial"/>
          <w:b/>
          <w:bCs/>
          <w:color w:val="000000" w:themeColor="text1"/>
          <w:sz w:val="24"/>
          <w:szCs w:val="24"/>
        </w:rPr>
      </w:pPr>
    </w:p>
    <w:p w14:paraId="1D806B57" w14:textId="77777777" w:rsidR="000C46DE" w:rsidRDefault="000C46DE" w:rsidP="000C46DE">
      <w:pPr>
        <w:rPr>
          <w:rFonts w:ascii="Arial" w:hAnsi="Arial" w:cs="Arial"/>
          <w:color w:val="000000" w:themeColor="text1"/>
          <w:sz w:val="24"/>
          <w:szCs w:val="24"/>
        </w:rPr>
      </w:pPr>
      <w:r>
        <w:rPr>
          <w:rFonts w:ascii="Arial" w:hAnsi="Arial" w:cs="Arial"/>
          <w:color w:val="000000" w:themeColor="text1"/>
          <w:sz w:val="24"/>
          <w:szCs w:val="24"/>
        </w:rPr>
        <w:t xml:space="preserve">Anning, A. (2010) </w:t>
      </w:r>
      <w:r>
        <w:rPr>
          <w:rFonts w:ascii="Arial" w:hAnsi="Arial" w:cs="Arial"/>
          <w:i/>
          <w:iCs/>
          <w:color w:val="000000" w:themeColor="text1"/>
          <w:sz w:val="24"/>
          <w:szCs w:val="24"/>
        </w:rPr>
        <w:t xml:space="preserve">Developing multi-professional teamwork for integrated children’s services research, policy, and practice. </w:t>
      </w:r>
      <w:r>
        <w:rPr>
          <w:rFonts w:ascii="Arial" w:hAnsi="Arial" w:cs="Arial"/>
          <w:color w:val="000000" w:themeColor="text1"/>
          <w:sz w:val="24"/>
          <w:szCs w:val="24"/>
        </w:rPr>
        <w:t>2</w:t>
      </w:r>
      <w:r w:rsidRPr="00CE23DB">
        <w:rPr>
          <w:rFonts w:ascii="Arial" w:hAnsi="Arial" w:cs="Arial"/>
          <w:color w:val="000000" w:themeColor="text1"/>
          <w:sz w:val="24"/>
          <w:szCs w:val="24"/>
          <w:vertAlign w:val="superscript"/>
        </w:rPr>
        <w:t>nd</w:t>
      </w:r>
      <w:r>
        <w:rPr>
          <w:rFonts w:ascii="Arial" w:hAnsi="Arial" w:cs="Arial"/>
          <w:color w:val="000000" w:themeColor="text1"/>
          <w:sz w:val="24"/>
          <w:szCs w:val="24"/>
        </w:rPr>
        <w:t xml:space="preserve"> ed. Berkshire: Open University Press.</w:t>
      </w:r>
    </w:p>
    <w:p w14:paraId="62A2B7BA" w14:textId="77777777" w:rsidR="000C46DE" w:rsidRDefault="000C46DE" w:rsidP="000C46DE">
      <w:pPr>
        <w:rPr>
          <w:rFonts w:ascii="Arial" w:hAnsi="Arial" w:cs="Arial"/>
          <w:color w:val="000000" w:themeColor="text1"/>
          <w:sz w:val="24"/>
          <w:szCs w:val="24"/>
        </w:rPr>
      </w:pPr>
    </w:p>
    <w:p w14:paraId="176F5395" w14:textId="77777777" w:rsidR="000C46DE" w:rsidRDefault="000C46DE" w:rsidP="000C46DE">
      <w:pPr>
        <w:rPr>
          <w:rFonts w:ascii="Arial" w:hAnsi="Arial" w:cs="Arial"/>
          <w:color w:val="000000" w:themeColor="text1"/>
          <w:sz w:val="24"/>
          <w:szCs w:val="24"/>
        </w:rPr>
      </w:pPr>
      <w:r>
        <w:rPr>
          <w:rFonts w:ascii="Arial" w:hAnsi="Arial" w:cs="Arial"/>
          <w:color w:val="000000" w:themeColor="text1"/>
          <w:sz w:val="24"/>
          <w:szCs w:val="24"/>
        </w:rPr>
        <w:t>Council for Disabled Children (2021) W</w:t>
      </w:r>
      <w:r>
        <w:rPr>
          <w:rFonts w:ascii="Arial" w:hAnsi="Arial" w:cs="Arial"/>
          <w:i/>
          <w:iCs/>
          <w:color w:val="000000" w:themeColor="text1"/>
          <w:sz w:val="24"/>
          <w:szCs w:val="24"/>
        </w:rPr>
        <w:t xml:space="preserve">hat is Person Centred Planning? </w:t>
      </w:r>
      <w:r>
        <w:rPr>
          <w:rFonts w:ascii="Arial" w:hAnsi="Arial" w:cs="Arial"/>
          <w:color w:val="000000" w:themeColor="text1"/>
          <w:sz w:val="24"/>
          <w:szCs w:val="24"/>
        </w:rPr>
        <w:t xml:space="preserve">Available at: </w:t>
      </w:r>
      <w:hyperlink r:id="rId7" w:history="1">
        <w:r w:rsidRPr="00A2482B">
          <w:rPr>
            <w:rStyle w:val="Hyperlink"/>
            <w:rFonts w:ascii="Arial" w:hAnsi="Arial" w:cs="Arial"/>
            <w:sz w:val="24"/>
            <w:szCs w:val="24"/>
          </w:rPr>
          <w:t>https://councilfordisabledchildren.org.uk/information-advice-and-support-programme/useful-resources-publications-animations/what-person-centred-planning</w:t>
        </w:r>
      </w:hyperlink>
      <w:r>
        <w:rPr>
          <w:rFonts w:ascii="Arial" w:hAnsi="Arial" w:cs="Arial"/>
          <w:color w:val="000000" w:themeColor="text1"/>
          <w:sz w:val="24"/>
          <w:szCs w:val="24"/>
        </w:rPr>
        <w:t xml:space="preserve">  (Accessed 15 February 2021).</w:t>
      </w:r>
    </w:p>
    <w:p w14:paraId="24E63C05" w14:textId="77777777" w:rsidR="000C46DE" w:rsidRDefault="000C46DE" w:rsidP="000C46DE">
      <w:pPr>
        <w:rPr>
          <w:rFonts w:ascii="Arial" w:hAnsi="Arial" w:cs="Arial"/>
          <w:color w:val="000000" w:themeColor="text1"/>
          <w:sz w:val="24"/>
          <w:szCs w:val="24"/>
        </w:rPr>
      </w:pPr>
    </w:p>
    <w:p w14:paraId="2F994AD5" w14:textId="77777777" w:rsidR="000C46DE" w:rsidRDefault="000C46DE" w:rsidP="000C46DE">
      <w:pPr>
        <w:rPr>
          <w:rFonts w:ascii="Arial" w:hAnsi="Arial" w:cs="Arial"/>
          <w:color w:val="000000" w:themeColor="text1"/>
          <w:sz w:val="24"/>
          <w:szCs w:val="24"/>
        </w:rPr>
      </w:pPr>
      <w:r>
        <w:rPr>
          <w:rFonts w:ascii="Arial" w:hAnsi="Arial" w:cs="Arial"/>
          <w:color w:val="000000" w:themeColor="text1"/>
          <w:sz w:val="24"/>
          <w:szCs w:val="24"/>
        </w:rPr>
        <w:t xml:space="preserve">Mercer, M. (2003) </w:t>
      </w:r>
      <w:r>
        <w:rPr>
          <w:rFonts w:ascii="Arial" w:hAnsi="Arial" w:cs="Arial"/>
          <w:i/>
          <w:iCs/>
          <w:color w:val="000000" w:themeColor="text1"/>
          <w:sz w:val="24"/>
          <w:szCs w:val="24"/>
        </w:rPr>
        <w:t xml:space="preserve">Person Centred Planning. Helping People with Disabilities Achieve Personal Outcomes. </w:t>
      </w:r>
      <w:r>
        <w:rPr>
          <w:rFonts w:ascii="Arial" w:hAnsi="Arial" w:cs="Arial"/>
          <w:color w:val="000000" w:themeColor="text1"/>
          <w:sz w:val="24"/>
          <w:szCs w:val="24"/>
        </w:rPr>
        <w:t>Illinois: High Tide Press.</w:t>
      </w:r>
    </w:p>
    <w:p w14:paraId="26D89E01" w14:textId="77777777" w:rsidR="000C46DE" w:rsidRDefault="000C46DE" w:rsidP="000C46DE">
      <w:pPr>
        <w:rPr>
          <w:rFonts w:ascii="Arial" w:hAnsi="Arial" w:cs="Arial"/>
          <w:color w:val="000000" w:themeColor="text1"/>
          <w:sz w:val="24"/>
          <w:szCs w:val="24"/>
        </w:rPr>
      </w:pPr>
    </w:p>
    <w:p w14:paraId="5F3250EC" w14:textId="77777777" w:rsidR="000C46DE" w:rsidRPr="00356CCE" w:rsidRDefault="000C46DE" w:rsidP="000C46DE">
      <w:pPr>
        <w:rPr>
          <w:rFonts w:ascii="Arial" w:hAnsi="Arial" w:cs="Arial"/>
          <w:sz w:val="24"/>
          <w:szCs w:val="24"/>
        </w:rPr>
      </w:pPr>
      <w:r w:rsidRPr="00356CCE">
        <w:rPr>
          <w:rFonts w:ascii="Arial" w:hAnsi="Arial" w:cs="Arial"/>
          <w:sz w:val="24"/>
          <w:szCs w:val="24"/>
        </w:rPr>
        <w:t>O’Brien</w:t>
      </w:r>
      <w:r>
        <w:rPr>
          <w:rFonts w:ascii="Arial" w:hAnsi="Arial" w:cs="Arial"/>
          <w:sz w:val="24"/>
          <w:szCs w:val="24"/>
        </w:rPr>
        <w:t>, J.</w:t>
      </w:r>
      <w:r w:rsidRPr="00356CCE">
        <w:rPr>
          <w:rFonts w:ascii="Arial" w:hAnsi="Arial" w:cs="Arial"/>
          <w:sz w:val="24"/>
          <w:szCs w:val="24"/>
        </w:rPr>
        <w:t xml:space="preserve"> </w:t>
      </w:r>
      <w:r>
        <w:rPr>
          <w:rFonts w:ascii="Arial" w:hAnsi="Arial" w:cs="Arial"/>
          <w:sz w:val="24"/>
          <w:szCs w:val="24"/>
        </w:rPr>
        <w:t xml:space="preserve">and </w:t>
      </w:r>
      <w:r w:rsidRPr="00356CCE">
        <w:rPr>
          <w:rFonts w:ascii="Arial" w:hAnsi="Arial" w:cs="Arial"/>
          <w:sz w:val="24"/>
          <w:szCs w:val="24"/>
        </w:rPr>
        <w:t>O’Brien</w:t>
      </w:r>
      <w:r>
        <w:rPr>
          <w:rFonts w:ascii="Arial" w:hAnsi="Arial" w:cs="Arial"/>
          <w:sz w:val="24"/>
          <w:szCs w:val="24"/>
        </w:rPr>
        <w:t>, L.</w:t>
      </w:r>
      <w:r w:rsidRPr="00356CCE">
        <w:rPr>
          <w:rFonts w:ascii="Arial" w:hAnsi="Arial" w:cs="Arial"/>
          <w:sz w:val="24"/>
          <w:szCs w:val="24"/>
        </w:rPr>
        <w:t xml:space="preserve"> (2000) </w:t>
      </w:r>
      <w:r w:rsidRPr="00F90014">
        <w:rPr>
          <w:rFonts w:ascii="Arial" w:hAnsi="Arial" w:cs="Arial"/>
          <w:i/>
          <w:iCs/>
          <w:sz w:val="24"/>
          <w:szCs w:val="24"/>
        </w:rPr>
        <w:t>A Little Book About Person Centred Planning</w:t>
      </w:r>
      <w:r w:rsidRPr="00356CCE">
        <w:rPr>
          <w:rFonts w:ascii="Arial" w:hAnsi="Arial" w:cs="Arial"/>
          <w:sz w:val="24"/>
          <w:szCs w:val="24"/>
        </w:rPr>
        <w:t>. Ontario: Inclusion Press</w:t>
      </w:r>
      <w:r>
        <w:rPr>
          <w:rFonts w:ascii="Arial" w:hAnsi="Arial" w:cs="Arial"/>
          <w:sz w:val="24"/>
          <w:szCs w:val="24"/>
        </w:rPr>
        <w:t>.</w:t>
      </w:r>
    </w:p>
    <w:p w14:paraId="28574F4B" w14:textId="77777777" w:rsidR="000C46DE" w:rsidRDefault="000C46DE" w:rsidP="000C46DE">
      <w:pPr>
        <w:rPr>
          <w:rFonts w:ascii="Arial" w:hAnsi="Arial" w:cs="Arial"/>
          <w:color w:val="000000" w:themeColor="text1"/>
          <w:sz w:val="24"/>
          <w:szCs w:val="24"/>
        </w:rPr>
      </w:pPr>
    </w:p>
    <w:p w14:paraId="3889B6C1" w14:textId="77777777" w:rsidR="000C46DE" w:rsidRDefault="000C46DE" w:rsidP="000C46DE">
      <w:pPr>
        <w:rPr>
          <w:rFonts w:ascii="Arial" w:hAnsi="Arial" w:cs="Arial"/>
          <w:color w:val="000000" w:themeColor="text1"/>
          <w:sz w:val="24"/>
          <w:szCs w:val="24"/>
        </w:rPr>
      </w:pPr>
      <w:r>
        <w:rPr>
          <w:rFonts w:ascii="Arial" w:hAnsi="Arial" w:cs="Arial"/>
          <w:color w:val="000000" w:themeColor="text1"/>
          <w:sz w:val="24"/>
          <w:szCs w:val="24"/>
        </w:rPr>
        <w:lastRenderedPageBreak/>
        <w:t xml:space="preserve">Gasper, M. (2010) </w:t>
      </w:r>
      <w:r>
        <w:rPr>
          <w:rFonts w:ascii="Arial" w:hAnsi="Arial" w:cs="Arial"/>
          <w:i/>
          <w:iCs/>
          <w:color w:val="000000" w:themeColor="text1"/>
          <w:sz w:val="24"/>
          <w:szCs w:val="24"/>
        </w:rPr>
        <w:t xml:space="preserve">Multi-agency working in the early </w:t>
      </w:r>
      <w:proofErr w:type="gramStart"/>
      <w:r>
        <w:rPr>
          <w:rFonts w:ascii="Arial" w:hAnsi="Arial" w:cs="Arial"/>
          <w:i/>
          <w:iCs/>
          <w:color w:val="000000" w:themeColor="text1"/>
          <w:sz w:val="24"/>
          <w:szCs w:val="24"/>
        </w:rPr>
        <w:t>years</w:t>
      </w:r>
      <w:proofErr w:type="gramEnd"/>
      <w:r>
        <w:rPr>
          <w:rFonts w:ascii="Arial" w:hAnsi="Arial" w:cs="Arial"/>
          <w:i/>
          <w:iCs/>
          <w:color w:val="000000" w:themeColor="text1"/>
          <w:sz w:val="24"/>
          <w:szCs w:val="24"/>
        </w:rPr>
        <w:t xml:space="preserve"> challenges and opportunities. </w:t>
      </w:r>
      <w:r>
        <w:rPr>
          <w:rFonts w:ascii="Arial" w:hAnsi="Arial" w:cs="Arial"/>
          <w:color w:val="000000" w:themeColor="text1"/>
          <w:sz w:val="24"/>
          <w:szCs w:val="24"/>
        </w:rPr>
        <w:t>London: SAGE.</w:t>
      </w:r>
    </w:p>
    <w:p w14:paraId="1634E108" w14:textId="77777777" w:rsidR="000C46DE" w:rsidRDefault="000C46DE" w:rsidP="000C46DE">
      <w:pPr>
        <w:rPr>
          <w:rFonts w:ascii="Arial" w:hAnsi="Arial" w:cs="Arial"/>
          <w:color w:val="000000" w:themeColor="text1"/>
          <w:sz w:val="24"/>
          <w:szCs w:val="24"/>
        </w:rPr>
      </w:pPr>
    </w:p>
    <w:p w14:paraId="05A9BE5C" w14:textId="77777777" w:rsidR="000C46DE" w:rsidRDefault="000C46DE" w:rsidP="000C46DE">
      <w:pPr>
        <w:rPr>
          <w:rFonts w:ascii="Arial" w:hAnsi="Arial" w:cs="Arial"/>
          <w:color w:val="000000" w:themeColor="text1"/>
          <w:sz w:val="24"/>
          <w:szCs w:val="24"/>
        </w:rPr>
      </w:pPr>
      <w:r w:rsidRPr="00201430">
        <w:rPr>
          <w:rFonts w:ascii="Arial" w:hAnsi="Arial" w:cs="Arial"/>
          <w:color w:val="000000" w:themeColor="text1"/>
          <w:sz w:val="24"/>
          <w:szCs w:val="24"/>
        </w:rPr>
        <w:t xml:space="preserve">Atkinson, M. Wilkin, A. Stott, A. Doherty. P </w:t>
      </w:r>
      <w:r>
        <w:rPr>
          <w:rFonts w:ascii="Arial" w:hAnsi="Arial" w:cs="Arial"/>
          <w:color w:val="000000" w:themeColor="text1"/>
          <w:sz w:val="24"/>
          <w:szCs w:val="24"/>
        </w:rPr>
        <w:t>and</w:t>
      </w:r>
      <w:r w:rsidRPr="00201430">
        <w:rPr>
          <w:rFonts w:ascii="Arial" w:hAnsi="Arial" w:cs="Arial"/>
          <w:color w:val="000000" w:themeColor="text1"/>
          <w:sz w:val="24"/>
          <w:szCs w:val="24"/>
        </w:rPr>
        <w:t xml:space="preserve"> Kinder, K. (2002) </w:t>
      </w:r>
      <w:r>
        <w:rPr>
          <w:rFonts w:ascii="Arial" w:hAnsi="Arial" w:cs="Arial"/>
          <w:i/>
          <w:iCs/>
          <w:color w:val="000000" w:themeColor="text1"/>
          <w:sz w:val="24"/>
          <w:szCs w:val="24"/>
        </w:rPr>
        <w:t>M</w:t>
      </w:r>
      <w:r w:rsidRPr="00201430">
        <w:rPr>
          <w:rFonts w:ascii="Arial" w:hAnsi="Arial" w:cs="Arial"/>
          <w:i/>
          <w:iCs/>
          <w:color w:val="000000" w:themeColor="text1"/>
          <w:sz w:val="24"/>
          <w:szCs w:val="24"/>
        </w:rPr>
        <w:t>ulti-agency working: a detailed study</w:t>
      </w:r>
      <w:r>
        <w:rPr>
          <w:rFonts w:ascii="Arial" w:hAnsi="Arial" w:cs="Arial"/>
          <w:color w:val="000000" w:themeColor="text1"/>
          <w:sz w:val="24"/>
          <w:szCs w:val="24"/>
        </w:rPr>
        <w:t>.</w:t>
      </w:r>
      <w:r w:rsidRPr="00201430">
        <w:rPr>
          <w:rFonts w:ascii="Arial" w:hAnsi="Arial" w:cs="Arial"/>
          <w:color w:val="000000" w:themeColor="text1"/>
          <w:sz w:val="24"/>
          <w:szCs w:val="24"/>
        </w:rPr>
        <w:t xml:space="preserve"> Slough: NFER</w:t>
      </w:r>
      <w:r>
        <w:rPr>
          <w:rFonts w:ascii="Arial" w:hAnsi="Arial" w:cs="Arial"/>
          <w:color w:val="000000" w:themeColor="text1"/>
          <w:sz w:val="24"/>
          <w:szCs w:val="24"/>
        </w:rPr>
        <w:t>.</w:t>
      </w:r>
    </w:p>
    <w:p w14:paraId="5BF889B7" w14:textId="77777777" w:rsidR="000C46DE" w:rsidRDefault="000C46DE" w:rsidP="000C46DE">
      <w:pPr>
        <w:rPr>
          <w:rFonts w:ascii="Arial" w:hAnsi="Arial" w:cs="Arial"/>
          <w:color w:val="000000" w:themeColor="text1"/>
          <w:sz w:val="24"/>
          <w:szCs w:val="24"/>
        </w:rPr>
      </w:pPr>
    </w:p>
    <w:p w14:paraId="68C81775" w14:textId="77777777" w:rsidR="000C46DE" w:rsidRDefault="000C46DE" w:rsidP="000C46DE">
      <w:pPr>
        <w:rPr>
          <w:rFonts w:ascii="Arial" w:hAnsi="Arial" w:cs="Arial"/>
          <w:color w:val="000000" w:themeColor="text1"/>
          <w:sz w:val="24"/>
          <w:szCs w:val="24"/>
        </w:rPr>
      </w:pPr>
      <w:r>
        <w:rPr>
          <w:rFonts w:ascii="Arial" w:hAnsi="Arial" w:cs="Arial"/>
          <w:color w:val="000000" w:themeColor="text1"/>
          <w:sz w:val="24"/>
          <w:szCs w:val="24"/>
        </w:rPr>
        <w:t>Atkinson et al. (2001)</w:t>
      </w:r>
      <w:r w:rsidRPr="009169D2">
        <w:rPr>
          <w:rFonts w:ascii="Arial" w:hAnsi="Arial" w:cs="Arial"/>
          <w:i/>
          <w:iCs/>
          <w:color w:val="000000" w:themeColor="text1"/>
          <w:sz w:val="24"/>
          <w:szCs w:val="24"/>
        </w:rPr>
        <w:t xml:space="preserve"> Multi-agency working: a detailed study</w:t>
      </w:r>
      <w:r>
        <w:rPr>
          <w:rFonts w:ascii="Arial" w:hAnsi="Arial" w:cs="Arial"/>
          <w:i/>
          <w:iCs/>
          <w:color w:val="000000" w:themeColor="text1"/>
          <w:sz w:val="24"/>
          <w:szCs w:val="24"/>
        </w:rPr>
        <w:t xml:space="preserve">. </w:t>
      </w:r>
      <w:r>
        <w:rPr>
          <w:rFonts w:ascii="Arial" w:hAnsi="Arial" w:cs="Arial"/>
          <w:color w:val="000000" w:themeColor="text1"/>
          <w:sz w:val="24"/>
          <w:szCs w:val="24"/>
        </w:rPr>
        <w:t xml:space="preserve">Available at: </w:t>
      </w:r>
      <w:hyperlink r:id="rId8" w:history="1">
        <w:r w:rsidRPr="00A2482B">
          <w:rPr>
            <w:rStyle w:val="Hyperlink"/>
            <w:rFonts w:ascii="Arial" w:hAnsi="Arial" w:cs="Arial"/>
            <w:sz w:val="24"/>
            <w:szCs w:val="24"/>
          </w:rPr>
          <w:t>https://www.nfer.ac.uk/publications/CSS02/CSS02.pdf</w:t>
        </w:r>
      </w:hyperlink>
      <w:r>
        <w:rPr>
          <w:rFonts w:ascii="Arial" w:hAnsi="Arial" w:cs="Arial"/>
          <w:color w:val="000000" w:themeColor="text1"/>
          <w:sz w:val="24"/>
          <w:szCs w:val="24"/>
        </w:rPr>
        <w:t xml:space="preserve"> (Accessed: 15 February 2021).</w:t>
      </w:r>
    </w:p>
    <w:p w14:paraId="5F38C582" w14:textId="77777777" w:rsidR="000C46DE" w:rsidRDefault="000C46DE" w:rsidP="000C46DE">
      <w:pPr>
        <w:rPr>
          <w:rFonts w:ascii="Arial" w:hAnsi="Arial" w:cs="Arial"/>
          <w:color w:val="000000" w:themeColor="text1"/>
          <w:sz w:val="24"/>
          <w:szCs w:val="24"/>
        </w:rPr>
      </w:pPr>
    </w:p>
    <w:p w14:paraId="1FFDFC8C" w14:textId="77777777" w:rsidR="000C46DE" w:rsidRDefault="000C46DE" w:rsidP="000C46DE">
      <w:pPr>
        <w:rPr>
          <w:rFonts w:ascii="Arial" w:hAnsi="Arial" w:cs="Arial"/>
          <w:color w:val="000000" w:themeColor="text1"/>
          <w:sz w:val="24"/>
          <w:szCs w:val="24"/>
        </w:rPr>
      </w:pPr>
      <w:r>
        <w:rPr>
          <w:rFonts w:ascii="Arial" w:hAnsi="Arial" w:cs="Arial"/>
          <w:color w:val="000000" w:themeColor="text1"/>
          <w:sz w:val="24"/>
          <w:szCs w:val="24"/>
        </w:rPr>
        <w:t xml:space="preserve">Moran, P. et al. (2007) ‘Multi-agency working: implications for an early-intervention social work team’, </w:t>
      </w:r>
      <w:r>
        <w:rPr>
          <w:rFonts w:ascii="Arial" w:hAnsi="Arial" w:cs="Arial"/>
          <w:i/>
          <w:iCs/>
          <w:color w:val="000000" w:themeColor="text1"/>
          <w:sz w:val="24"/>
          <w:szCs w:val="24"/>
        </w:rPr>
        <w:t xml:space="preserve">Children and Family Social Work, </w:t>
      </w:r>
      <w:r>
        <w:rPr>
          <w:rFonts w:ascii="Arial" w:hAnsi="Arial" w:cs="Arial"/>
          <w:color w:val="000000" w:themeColor="text1"/>
          <w:sz w:val="24"/>
          <w:szCs w:val="24"/>
        </w:rPr>
        <w:t>12(2), pp. 143-151.</w:t>
      </w:r>
    </w:p>
    <w:p w14:paraId="6DCE450C" w14:textId="77777777" w:rsidR="000C46DE" w:rsidRDefault="000C46DE" w:rsidP="000C46DE">
      <w:pPr>
        <w:rPr>
          <w:rFonts w:ascii="Arial" w:hAnsi="Arial" w:cs="Arial"/>
          <w:color w:val="000000" w:themeColor="text1"/>
          <w:sz w:val="24"/>
          <w:szCs w:val="24"/>
        </w:rPr>
      </w:pPr>
    </w:p>
    <w:p w14:paraId="1D3BD46C" w14:textId="77777777" w:rsidR="000C46DE" w:rsidRDefault="000C46DE" w:rsidP="000C46DE">
      <w:pPr>
        <w:rPr>
          <w:rFonts w:ascii="Arial" w:hAnsi="Arial" w:cs="Arial"/>
          <w:color w:val="000000" w:themeColor="text1"/>
          <w:sz w:val="24"/>
          <w:szCs w:val="24"/>
        </w:rPr>
      </w:pPr>
      <w:r>
        <w:rPr>
          <w:rFonts w:ascii="Arial" w:hAnsi="Arial" w:cs="Arial"/>
          <w:color w:val="000000" w:themeColor="text1"/>
          <w:sz w:val="24"/>
          <w:szCs w:val="24"/>
        </w:rPr>
        <w:t xml:space="preserve">Percy-Smith, J. (2006) ‘What Works in Strategic Partnerships for Children: </w:t>
      </w:r>
      <w:proofErr w:type="gramStart"/>
      <w:r>
        <w:rPr>
          <w:rFonts w:ascii="Arial" w:hAnsi="Arial" w:cs="Arial"/>
          <w:color w:val="000000" w:themeColor="text1"/>
          <w:sz w:val="24"/>
          <w:szCs w:val="24"/>
        </w:rPr>
        <w:t>a</w:t>
      </w:r>
      <w:proofErr w:type="gramEnd"/>
      <w:r>
        <w:rPr>
          <w:rFonts w:ascii="Arial" w:hAnsi="Arial" w:cs="Arial"/>
          <w:color w:val="000000" w:themeColor="text1"/>
          <w:sz w:val="24"/>
          <w:szCs w:val="24"/>
        </w:rPr>
        <w:t xml:space="preserve"> Research Review’, </w:t>
      </w:r>
      <w:r>
        <w:rPr>
          <w:rFonts w:ascii="Arial" w:hAnsi="Arial" w:cs="Arial"/>
          <w:i/>
          <w:iCs/>
          <w:color w:val="000000" w:themeColor="text1"/>
          <w:sz w:val="24"/>
          <w:szCs w:val="24"/>
        </w:rPr>
        <w:t xml:space="preserve">Children &amp; Society, </w:t>
      </w:r>
      <w:r>
        <w:rPr>
          <w:rFonts w:ascii="Arial" w:hAnsi="Arial" w:cs="Arial"/>
          <w:color w:val="000000" w:themeColor="text1"/>
          <w:sz w:val="24"/>
          <w:szCs w:val="24"/>
        </w:rPr>
        <w:t>20(4), pp. 313-323.</w:t>
      </w:r>
    </w:p>
    <w:p w14:paraId="1B50FED7" w14:textId="77777777" w:rsidR="000C46DE" w:rsidRDefault="000C46DE" w:rsidP="000C46DE">
      <w:pPr>
        <w:rPr>
          <w:rFonts w:ascii="Arial" w:hAnsi="Arial" w:cs="Arial"/>
          <w:color w:val="000000" w:themeColor="text1"/>
          <w:sz w:val="24"/>
          <w:szCs w:val="24"/>
        </w:rPr>
      </w:pPr>
    </w:p>
    <w:p w14:paraId="0D4D3C26" w14:textId="77777777" w:rsidR="000C46DE" w:rsidRPr="00ED0B00" w:rsidRDefault="000C46DE" w:rsidP="000C46DE">
      <w:pPr>
        <w:rPr>
          <w:rFonts w:ascii="Arial" w:hAnsi="Arial" w:cs="Arial"/>
          <w:color w:val="000000" w:themeColor="text1"/>
          <w:sz w:val="24"/>
          <w:szCs w:val="24"/>
        </w:rPr>
      </w:pPr>
      <w:r>
        <w:rPr>
          <w:rFonts w:ascii="Arial" w:hAnsi="Arial" w:cs="Arial"/>
          <w:color w:val="000000" w:themeColor="text1"/>
          <w:sz w:val="24"/>
          <w:szCs w:val="24"/>
        </w:rPr>
        <w:t xml:space="preserve">Atkinson, M. and Jones, M. and Lamont, E. (2007) </w:t>
      </w:r>
      <w:r>
        <w:rPr>
          <w:rFonts w:ascii="Arial" w:hAnsi="Arial" w:cs="Arial"/>
          <w:i/>
          <w:iCs/>
          <w:color w:val="000000" w:themeColor="text1"/>
          <w:sz w:val="24"/>
          <w:szCs w:val="24"/>
        </w:rPr>
        <w:t xml:space="preserve">Multi-agency working and its implications for practice: a review of the literature. </w:t>
      </w:r>
      <w:r>
        <w:rPr>
          <w:rFonts w:ascii="Arial" w:hAnsi="Arial" w:cs="Arial"/>
          <w:color w:val="000000" w:themeColor="text1"/>
          <w:sz w:val="24"/>
          <w:szCs w:val="24"/>
        </w:rPr>
        <w:t xml:space="preserve">Available at: </w:t>
      </w:r>
      <w:hyperlink r:id="rId9" w:history="1">
        <w:r w:rsidRPr="00742B4C">
          <w:rPr>
            <w:rStyle w:val="Hyperlink"/>
            <w:rFonts w:ascii="Arial" w:hAnsi="Arial" w:cs="Arial"/>
            <w:sz w:val="24"/>
            <w:szCs w:val="24"/>
          </w:rPr>
          <w:t>https://www.nfer.ac.uk/media/2001/mad01.pdf</w:t>
        </w:r>
      </w:hyperlink>
      <w:r>
        <w:rPr>
          <w:rFonts w:ascii="Arial" w:hAnsi="Arial" w:cs="Arial"/>
          <w:color w:val="000000" w:themeColor="text1"/>
          <w:sz w:val="24"/>
          <w:szCs w:val="24"/>
        </w:rPr>
        <w:t xml:space="preserve"> (Accessed: 18 February 2021).</w:t>
      </w:r>
    </w:p>
    <w:p w14:paraId="67094090" w14:textId="77777777" w:rsidR="000C46DE" w:rsidRDefault="000C46DE" w:rsidP="000C46DE">
      <w:pPr>
        <w:rPr>
          <w:rFonts w:ascii="Arial" w:hAnsi="Arial" w:cs="Arial"/>
          <w:color w:val="000000" w:themeColor="text1"/>
          <w:sz w:val="24"/>
          <w:szCs w:val="24"/>
        </w:rPr>
      </w:pPr>
    </w:p>
    <w:p w14:paraId="68FECE72" w14:textId="77777777" w:rsidR="000C46DE" w:rsidRDefault="000C46DE" w:rsidP="000C46DE">
      <w:pPr>
        <w:rPr>
          <w:rFonts w:ascii="Arial" w:hAnsi="Arial" w:cs="Arial"/>
          <w:color w:val="000000" w:themeColor="text1"/>
          <w:sz w:val="24"/>
          <w:szCs w:val="24"/>
        </w:rPr>
      </w:pPr>
      <w:r>
        <w:rPr>
          <w:rFonts w:ascii="Arial" w:hAnsi="Arial" w:cs="Arial"/>
          <w:color w:val="000000" w:themeColor="text1"/>
          <w:sz w:val="24"/>
          <w:szCs w:val="24"/>
        </w:rPr>
        <w:t xml:space="preserve">Fox, C. and Butler, G. (2004) ‘Partnerships: where next?’, </w:t>
      </w:r>
      <w:r>
        <w:rPr>
          <w:rFonts w:ascii="Arial" w:hAnsi="Arial" w:cs="Arial"/>
          <w:i/>
          <w:iCs/>
          <w:color w:val="000000" w:themeColor="text1"/>
          <w:sz w:val="24"/>
          <w:szCs w:val="24"/>
        </w:rPr>
        <w:t xml:space="preserve">Community Safety Journal, </w:t>
      </w:r>
      <w:r>
        <w:rPr>
          <w:rFonts w:ascii="Arial" w:hAnsi="Arial" w:cs="Arial"/>
          <w:color w:val="000000" w:themeColor="text1"/>
          <w:sz w:val="24"/>
          <w:szCs w:val="24"/>
        </w:rPr>
        <w:t>3(3), pp. 36-44.</w:t>
      </w:r>
    </w:p>
    <w:p w14:paraId="1242C81A" w14:textId="77777777" w:rsidR="000C46DE" w:rsidRDefault="000C46DE" w:rsidP="000C46DE">
      <w:pPr>
        <w:rPr>
          <w:rFonts w:ascii="Arial" w:hAnsi="Arial" w:cs="Arial"/>
          <w:color w:val="000000" w:themeColor="text1"/>
          <w:sz w:val="24"/>
          <w:szCs w:val="24"/>
        </w:rPr>
      </w:pPr>
    </w:p>
    <w:p w14:paraId="27035B5F" w14:textId="77777777" w:rsidR="000C46DE" w:rsidRDefault="000C46DE" w:rsidP="000C46DE">
      <w:pPr>
        <w:rPr>
          <w:rFonts w:ascii="Arial" w:hAnsi="Arial" w:cs="Arial"/>
          <w:color w:val="000000" w:themeColor="text1"/>
          <w:sz w:val="24"/>
          <w:szCs w:val="24"/>
        </w:rPr>
      </w:pPr>
      <w:r>
        <w:rPr>
          <w:rFonts w:ascii="Arial" w:hAnsi="Arial" w:cs="Arial"/>
          <w:color w:val="000000" w:themeColor="text1"/>
          <w:sz w:val="24"/>
          <w:szCs w:val="24"/>
        </w:rPr>
        <w:t xml:space="preserve">Atkinson, M. and Doherty, P. and Kinder, K. (2003) ‘Multi-agency working: models, challenges, and key factors for success’, </w:t>
      </w:r>
      <w:r>
        <w:rPr>
          <w:rFonts w:ascii="Arial" w:hAnsi="Arial" w:cs="Arial"/>
          <w:i/>
          <w:iCs/>
          <w:color w:val="000000" w:themeColor="text1"/>
          <w:sz w:val="24"/>
          <w:szCs w:val="24"/>
        </w:rPr>
        <w:t xml:space="preserve">Journal of early childhood research. </w:t>
      </w:r>
      <w:r>
        <w:rPr>
          <w:rFonts w:ascii="Arial" w:hAnsi="Arial" w:cs="Arial"/>
          <w:color w:val="000000" w:themeColor="text1"/>
          <w:sz w:val="24"/>
          <w:szCs w:val="24"/>
        </w:rPr>
        <w:t>3(1), pp. 7-17.</w:t>
      </w:r>
    </w:p>
    <w:p w14:paraId="46D521C1" w14:textId="77777777" w:rsidR="000C46DE" w:rsidRDefault="000C46DE" w:rsidP="000C46DE">
      <w:pPr>
        <w:rPr>
          <w:rFonts w:ascii="Arial" w:hAnsi="Arial" w:cs="Arial"/>
          <w:color w:val="000000" w:themeColor="text1"/>
          <w:sz w:val="24"/>
          <w:szCs w:val="24"/>
        </w:rPr>
      </w:pPr>
    </w:p>
    <w:p w14:paraId="797CC592" w14:textId="77777777" w:rsidR="000C46DE" w:rsidRPr="00D756BC" w:rsidRDefault="000C46DE" w:rsidP="000C46DE">
      <w:pPr>
        <w:rPr>
          <w:rFonts w:ascii="Arial" w:hAnsi="Arial" w:cs="Arial"/>
          <w:color w:val="000000" w:themeColor="text1"/>
          <w:sz w:val="24"/>
          <w:szCs w:val="24"/>
        </w:rPr>
      </w:pPr>
      <w:r>
        <w:rPr>
          <w:rFonts w:ascii="Arial" w:hAnsi="Arial" w:cs="Arial"/>
          <w:color w:val="000000" w:themeColor="text1"/>
          <w:sz w:val="24"/>
          <w:szCs w:val="24"/>
        </w:rPr>
        <w:t xml:space="preserve">Dunhill, A. and Elliott, B. and Shaw, B. (2010) </w:t>
      </w:r>
      <w:r>
        <w:rPr>
          <w:rFonts w:ascii="Arial" w:hAnsi="Arial" w:cs="Arial"/>
          <w:i/>
          <w:iCs/>
          <w:color w:val="000000" w:themeColor="text1"/>
          <w:sz w:val="24"/>
          <w:szCs w:val="24"/>
        </w:rPr>
        <w:t xml:space="preserve">Effective Communication and Engagement with Children and Young People, Their Families and Carers. </w:t>
      </w:r>
      <w:r>
        <w:rPr>
          <w:rFonts w:ascii="Arial" w:hAnsi="Arial" w:cs="Arial"/>
          <w:color w:val="000000" w:themeColor="text1"/>
          <w:sz w:val="24"/>
          <w:szCs w:val="24"/>
        </w:rPr>
        <w:t>Exeter: Learning Matters.</w:t>
      </w:r>
    </w:p>
    <w:p w14:paraId="42B477C9" w14:textId="77777777" w:rsidR="000C46DE" w:rsidRPr="00800694" w:rsidRDefault="000C46DE" w:rsidP="000C46DE">
      <w:pPr>
        <w:rPr>
          <w:rFonts w:ascii="Arial" w:hAnsi="Arial" w:cs="Arial"/>
          <w:color w:val="000000" w:themeColor="text1"/>
          <w:sz w:val="24"/>
          <w:szCs w:val="24"/>
        </w:rPr>
      </w:pPr>
    </w:p>
    <w:p w14:paraId="1D43B12D" w14:textId="77777777" w:rsidR="000C46DE" w:rsidRDefault="000C46DE"/>
    <w:sectPr w:rsidR="000C46D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656B1226"/>
    <w:multiLevelType w:val="hybridMultilevel"/>
    <w:tmpl w:val="C7A23D4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46DE"/>
    <w:rsid w:val="000C46DE"/>
    <w:rsid w:val="00B833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205892"/>
  <w15:chartTrackingRefBased/>
  <w15:docId w15:val="{32DF4411-C5CD-4AE1-B23C-7E1F0AC846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C46D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fer.ac.uk/publications/CSS02/CSS02.pdf" TargetMode="External"/><Relationship Id="rId3" Type="http://schemas.openxmlformats.org/officeDocument/2006/relationships/settings" Target="settings.xml"/><Relationship Id="rId7" Type="http://schemas.openxmlformats.org/officeDocument/2006/relationships/hyperlink" Target="https://councilfordisabledchildren.org.uk/information-advice-and-support-programme/useful-resources-publications-animations/what-person-centred-planning"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wokingham.gov.uk/EasysiteWeb/getresource.axd?AssetID=75433&amp;" TargetMode="External"/><Relationship Id="rId11" Type="http://schemas.openxmlformats.org/officeDocument/2006/relationships/theme" Target="theme/theme1.xml"/><Relationship Id="rId5" Type="http://schemas.openxmlformats.org/officeDocument/2006/relationships/hyperlink" Target="https://www.scie.org.uk/publications/nqswtool/multiagencyworking/"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nfer.ac.uk/media/2001/mad0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6</Pages>
  <Words>2063</Words>
  <Characters>11763</Characters>
  <Application>Microsoft Office Word</Application>
  <DocSecurity>0</DocSecurity>
  <Lines>98</Lines>
  <Paragraphs>27</Paragraphs>
  <ScaleCrop>false</ScaleCrop>
  <Company/>
  <LinksUpToDate>false</LinksUpToDate>
  <CharactersWithSpaces>13799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Leanne Marie</dc:creator>
  <cp:keywords/>
  <dc:description/>
  <cp:lastModifiedBy>Leanne Marie</cp:lastModifiedBy>
  <cp:revision>1</cp:revision>
  <dcterms:created xsi:type="dcterms:W3CDTF">2021-02-28T19:40:00Z</dcterms:created>
  <dcterms:modified xsi:type="dcterms:W3CDTF">2021-02-28T19:46:00Z</dcterms:modified>
</cp:coreProperties>
</file>