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A9D7D" w14:textId="77777777" w:rsidR="006638BF" w:rsidRPr="00854A11" w:rsidRDefault="006638BF" w:rsidP="001A3CDD">
      <w:pPr>
        <w:spacing w:line="360" w:lineRule="auto"/>
        <w:rPr>
          <w:rFonts w:ascii="Times New Roman" w:hAnsi="Times New Roman" w:cs="Times New Roman"/>
          <w:b/>
          <w:bCs/>
          <w:sz w:val="28"/>
          <w:szCs w:val="28"/>
          <w:u w:val="single"/>
        </w:rPr>
      </w:pPr>
      <w:r w:rsidRPr="00854A11">
        <w:rPr>
          <w:rFonts w:ascii="Times New Roman" w:hAnsi="Times New Roman" w:cs="Times New Roman"/>
          <w:b/>
          <w:bCs/>
          <w:sz w:val="28"/>
          <w:szCs w:val="28"/>
          <w:u w:val="single"/>
        </w:rPr>
        <w:t xml:space="preserve">Discuss how Carl  rogers’ person centred therapeutic approach and other humanist theories support the work of T.A.s and LSAs in schools. </w:t>
      </w:r>
    </w:p>
    <w:p w14:paraId="7D287B7B" w14:textId="77777777" w:rsidR="006638BF" w:rsidRPr="00C27523" w:rsidRDefault="006638BF" w:rsidP="00C27523">
      <w:pPr>
        <w:pStyle w:val="NormalWeb"/>
        <w:spacing w:line="360" w:lineRule="auto"/>
      </w:pPr>
      <w:r w:rsidRPr="00C27523">
        <w:t>In this essay, I will explore Carl Rogers’ person-centred therapeutic approach and how his ideas, alongside other humanist theories, influence and support the work of Learning Support Assistants (LSAs) and Teaching Assistants (TAs) in educational settings. Rogers’ approach, which was the first research programme developed to investigate the effectiveness of psychotherapy, highlights the importance of positive relationships, the social environment, and understanding the person as an individual (Joseph, 2025). Originally developed as a therapeutic model within psychotherapy, his principles were later applied more broadly to other areas, including education.</w:t>
      </w:r>
    </w:p>
    <w:p w14:paraId="15160AEF" w14:textId="77777777" w:rsidR="006638BF" w:rsidRPr="00C27523" w:rsidRDefault="006638BF" w:rsidP="00C27523">
      <w:pPr>
        <w:pStyle w:val="NormalWeb"/>
        <w:spacing w:line="360" w:lineRule="auto"/>
      </w:pPr>
      <w:r w:rsidRPr="00C27523">
        <w:t>Rogers’ person-centred theories continue to provide valuable guidance for supporting pupils’ emotional and academic needs. Within schools, LSAs often provide not only academic assistance but also emotional support, such as through the role of Emotional Literacy Support Assistants (ELSAs), and frequently form close relationships with pupils. This essay will examine these humanist approaches and demonstrate how they are essential in equipping LSAs and TAs to promote pupils’ wellbeing and contribute to a positive learning environment.</w:t>
      </w:r>
    </w:p>
    <w:p w14:paraId="66791C25" w14:textId="1CDB49CC" w:rsidR="006638BF" w:rsidRPr="00C27523" w:rsidRDefault="006638BF" w:rsidP="00C27523">
      <w:pPr>
        <w:pStyle w:val="NormalWeb"/>
        <w:spacing w:line="360" w:lineRule="auto"/>
      </w:pPr>
      <w:r w:rsidRPr="00C27523">
        <w:t>Carl Rogers’ person</w:t>
      </w:r>
      <w:r w:rsidRPr="00C27523">
        <w:noBreakHyphen/>
        <w:t>centred approach has played an i</w:t>
      </w:r>
      <w:r w:rsidR="00843980" w:rsidRPr="00C27523">
        <w:t>mportant</w:t>
      </w:r>
      <w:r w:rsidRPr="00C27523">
        <w:t xml:space="preserve"> role in guiding the design of the Welsh curriculum, particularly in its emphasis on relationships, wellbeing, and the development of the whole child. The Curriculum for Wales guidance </w:t>
      </w:r>
      <w:r w:rsidR="00843980" w:rsidRPr="00C27523">
        <w:t xml:space="preserve">states </w:t>
      </w:r>
      <w:r w:rsidRPr="00C27523">
        <w:t>wellbeing and emotional development as central aims, supporting children to become “healthy, confident individuals, building their mental and emotional well-being by developing confidence, resilience and empathy” (Welsh Government, 2022).</w:t>
      </w:r>
    </w:p>
    <w:p w14:paraId="4F399A1F" w14:textId="0C2B4191" w:rsidR="006638BF" w:rsidRPr="00C27523" w:rsidRDefault="006638BF" w:rsidP="00C27523">
      <w:pPr>
        <w:pStyle w:val="NormalWeb"/>
        <w:spacing w:line="360" w:lineRule="auto"/>
      </w:pPr>
      <w:r w:rsidRPr="00C27523">
        <w:t>Rogers (1969) argued that for a person to grow, they require an environment characterised by genuineness, unconditional positive regard, and empathy.</w:t>
      </w:r>
      <w:r w:rsidRPr="00C27523">
        <w:t xml:space="preserve"> This </w:t>
      </w:r>
      <w:r w:rsidRPr="00C27523">
        <w:t>environment creates the conditions necessary for growth and development, which</w:t>
      </w:r>
      <w:r w:rsidRPr="00C27523">
        <w:t xml:space="preserve"> links</w:t>
      </w:r>
      <w:r w:rsidRPr="00C27523">
        <w:t xml:space="preserve"> directly with the Welsh Government’s focus on placing pupil wellbeing at the</w:t>
      </w:r>
      <w:r w:rsidRPr="00C27523">
        <w:t xml:space="preserve"> forefront</w:t>
      </w:r>
      <w:r w:rsidRPr="00C27523">
        <w:t xml:space="preserve"> of educational practice. The curriculum further emphasises that enabling adults — including LSAs, TAs, and teachers — must foster emotionally safe environments where learners can express and regulate </w:t>
      </w:r>
      <w:r w:rsidR="008016B6" w:rsidRPr="00C27523">
        <w:t xml:space="preserve">emotions </w:t>
      </w:r>
      <w:r w:rsidRPr="00C27523">
        <w:t>and behaviours. It highlights the importance of sensitive, responsive interactions and valuing each learner’s unique identity and pace of development (Welsh Government, 2022).</w:t>
      </w:r>
    </w:p>
    <w:p w14:paraId="6FDA7991" w14:textId="67F946F7" w:rsidR="006638BF" w:rsidRPr="00C27523" w:rsidRDefault="006638BF" w:rsidP="00C27523">
      <w:pPr>
        <w:pStyle w:val="NormalWeb"/>
        <w:spacing w:line="360" w:lineRule="auto"/>
      </w:pPr>
      <w:r w:rsidRPr="00C27523">
        <w:lastRenderedPageBreak/>
        <w:t xml:space="preserve">This approach reflects Rogers’ </w:t>
      </w:r>
      <w:r w:rsidR="00BD5930" w:rsidRPr="00C27523">
        <w:t>theory</w:t>
      </w:r>
      <w:r w:rsidRPr="00C27523">
        <w:t xml:space="preserve"> that learning and personal growth occur in environments where adults are empathic, genuine, and responsive to the individual needs of learners. Within the Health &amp; Well-Being Area of Learning and Experience (</w:t>
      </w:r>
      <w:proofErr w:type="spellStart"/>
      <w:r w:rsidRPr="00C27523">
        <w:t>AoLE</w:t>
      </w:r>
      <w:proofErr w:type="spellEnd"/>
      <w:r w:rsidRPr="00C27523">
        <w:t>), learners are supported to develop emotional intelligence, decision-making skills, interpersonal skills, and an understanding of social i</w:t>
      </w:r>
      <w:r w:rsidRPr="00C27523">
        <w:t>nteractions</w:t>
      </w:r>
      <w:r w:rsidRPr="00C27523">
        <w:t xml:space="preserve">. This includes acquiring “skills to manage emotions, build healthy relationships and make choices that support wellbeing” (Welsh Government, 2022). Person-centred theory </w:t>
      </w:r>
      <w:r w:rsidRPr="00C27523">
        <w:t>links</w:t>
      </w:r>
      <w:r w:rsidRPr="00C27523">
        <w:t xml:space="preserve"> the development of the whole child, emotional and social growth as essential</w:t>
      </w:r>
      <w:r w:rsidRPr="00C27523">
        <w:t xml:space="preserve"> in the journey</w:t>
      </w:r>
      <w:r w:rsidRPr="00C27523">
        <w:t xml:space="preserve"> of learning. Welsh guidance for health and wellbeing demonstrates a commitment to helping pupils “explore emotions, develop empathy and understand themselves and others,” </w:t>
      </w:r>
      <w:r w:rsidR="0075451B" w:rsidRPr="00C27523">
        <w:t>These principles are at the</w:t>
      </w:r>
      <w:r w:rsidRPr="00C27523">
        <w:t xml:space="preserve"> forefront</w:t>
      </w:r>
      <w:r w:rsidRPr="00C27523">
        <w:t xml:space="preserve"> </w:t>
      </w:r>
      <w:r w:rsidR="0075451B" w:rsidRPr="00C27523">
        <w:t xml:space="preserve">of </w:t>
      </w:r>
      <w:r w:rsidRPr="00C27523">
        <w:t>Rogers’ work.</w:t>
      </w:r>
    </w:p>
    <w:p w14:paraId="2B769581" w14:textId="30C8936B" w:rsidR="006638BF" w:rsidRPr="00C27523" w:rsidRDefault="006638BF" w:rsidP="00C27523">
      <w:pPr>
        <w:pStyle w:val="NormalWeb"/>
        <w:spacing w:line="360" w:lineRule="auto"/>
      </w:pPr>
      <w:r w:rsidRPr="00C27523">
        <w:t>Joseph (2021) explains that Rogers believed individuals move towards becoming fully functioning when placed in supportive environments, and that the social environment plays a pivotal role in fostering wellbeing and change. As Joseph (2021) notes, “If people are to change, it is not the person that we must try to change but their social environment.” In schools, LSAs help c</w:t>
      </w:r>
      <w:r w:rsidRPr="00C27523">
        <w:t>reate</w:t>
      </w:r>
      <w:r w:rsidRPr="00C27523">
        <w:t xml:space="preserve"> emotionally supportive environments where pupils feel safe and accepted, </w:t>
      </w:r>
      <w:r w:rsidRPr="00C27523">
        <w:t>this is in line</w:t>
      </w:r>
      <w:r w:rsidRPr="00C27523">
        <w:t xml:space="preserve"> with Rogers’ idea that positive relationships and environments enhance academic performance and overall wellbeing rather than relying solely on teacher-led initiatives.</w:t>
      </w:r>
    </w:p>
    <w:p w14:paraId="6B22D9D9" w14:textId="047583A4" w:rsidR="00F2459C" w:rsidRPr="00C27523" w:rsidRDefault="00F2459C" w:rsidP="00C27523">
      <w:pPr>
        <w:pStyle w:val="NormalWeb"/>
        <w:spacing w:line="360" w:lineRule="auto"/>
      </w:pPr>
      <w:r w:rsidRPr="00C27523">
        <w:t xml:space="preserve">LSAs can further support pupils by tailoring environments in which learners feel safe, valued and capable. This may include ensuring that children have access to a clear daily routine, such as visual timetables and </w:t>
      </w:r>
      <w:r w:rsidRPr="00C27523">
        <w:rPr>
          <w:rStyle w:val="Emphasis"/>
          <w:rFonts w:eastAsiaTheme="majorEastAsia"/>
          <w:i w:val="0"/>
          <w:iCs w:val="0"/>
        </w:rPr>
        <w:t>now and next</w:t>
      </w:r>
      <w:r w:rsidRPr="00C27523">
        <w:t xml:space="preserve"> boards, where appropriate. It also involves offering choices, for example around lunch options or how pupils spend their</w:t>
      </w:r>
      <w:r w:rsidR="00473100" w:rsidRPr="00C27523">
        <w:t xml:space="preserve"> choosing</w:t>
      </w:r>
      <w:r w:rsidRPr="00C27523">
        <w:t xml:space="preserve"> time, and ensuring that children have the tools they need to participate fully in class activities. These tools may include ear defenders, fidget toys, augmentative and alternative communication (AAC) systems, and other supportive resources.</w:t>
      </w:r>
    </w:p>
    <w:p w14:paraId="330C5D2F" w14:textId="77777777" w:rsidR="00F2459C" w:rsidRPr="00C27523" w:rsidRDefault="00F2459C" w:rsidP="00C27523">
      <w:pPr>
        <w:pStyle w:val="NormalWeb"/>
        <w:spacing w:line="360" w:lineRule="auto"/>
      </w:pPr>
      <w:r w:rsidRPr="00C27523">
        <w:t>In addition, LSAs help to ensure that individual interventions are carried out to support pupils’ development and independence. These may include speech and language support, Emotional Literacy Support Assistant (ELSA) sessions, Trauma Informed Schools (TIS) approaches, nurture groups, life skills programmes, physiotherapy, and targeted maths and literacy interventions.</w:t>
      </w:r>
    </w:p>
    <w:p w14:paraId="54974875" w14:textId="51F07D92" w:rsidR="00475694" w:rsidRPr="00C27523" w:rsidRDefault="00F2459C" w:rsidP="00C27523">
      <w:pPr>
        <w:pStyle w:val="NormalWeb"/>
        <w:spacing w:line="360" w:lineRule="auto"/>
      </w:pPr>
      <w:r w:rsidRPr="00C27523">
        <w:lastRenderedPageBreak/>
        <w:t>According to Rogers, the optimal social environment is one that is experienced as unconditional, positively regarding, empathic and genuine. These qualities are the core conditions necessary for pupils to feel secure. LSAs and TAs who respond with empathy, genuineness and non-judgement help to create an environment in which learners are more likely to engage in learning and feel emotionally supported.</w:t>
      </w:r>
    </w:p>
    <w:p w14:paraId="18BC1333" w14:textId="77777777" w:rsidR="000543C5" w:rsidRPr="00C27523" w:rsidRDefault="000543C5" w:rsidP="00C27523">
      <w:pPr>
        <w:pStyle w:val="NormalWeb"/>
        <w:spacing w:line="360" w:lineRule="auto"/>
      </w:pPr>
      <w:r w:rsidRPr="00C27523">
        <w:t xml:space="preserve">Gerard Egan is another important humanist theorist whose work has directly influenced education as we know it today. Egan developed the </w:t>
      </w:r>
      <w:r w:rsidRPr="00C27523">
        <w:rPr>
          <w:rStyle w:val="Emphasis"/>
          <w:rFonts w:eastAsiaTheme="majorEastAsia"/>
          <w:i w:val="0"/>
          <w:iCs w:val="0"/>
        </w:rPr>
        <w:t>Skilled Helper Model</w:t>
      </w:r>
      <w:r w:rsidRPr="00C27523">
        <w:t>, which builds on the humanistic principles of Rogers and emphasises empathy, active listening, and structured support to help individuals solve problems and achieve personal goals. Egan describes helping as a natural process that supports change, stating that “…the model has to do with the structure of the human mind and the way we think about change” (Egan, in Sugarman, 1995).</w:t>
      </w:r>
    </w:p>
    <w:p w14:paraId="02395C27" w14:textId="0F01C7FA" w:rsidR="000543C5" w:rsidRPr="00C27523" w:rsidRDefault="000543C5" w:rsidP="00C27523">
      <w:pPr>
        <w:pStyle w:val="NormalWeb"/>
        <w:spacing w:line="360" w:lineRule="auto"/>
      </w:pPr>
      <w:r w:rsidRPr="00C27523">
        <w:t>In schools, LSAs and TAs can apply Egan’s approach by guiding pupils through challenges, supporting decision-making, and fostering emotional wellbeing, while maintaining a learner-centred and supportive environment. LSAs can do this within a classroom environment, but more commonly through individual interventions guided by professionals. Examples include allowing children to be proactive in labelling how they feel and giving them the tools to address these feelings using learned strategies that help regulate their emotions, such as those taught through Emotional Literacy Support.</w:t>
      </w:r>
    </w:p>
    <w:p w14:paraId="5A3785D1" w14:textId="2B4711AF" w:rsidR="00C511F4" w:rsidRPr="00C27523" w:rsidRDefault="000543C5" w:rsidP="00C27523">
      <w:pPr>
        <w:pStyle w:val="NormalWeb"/>
        <w:spacing w:line="360" w:lineRule="auto"/>
      </w:pPr>
      <w:r w:rsidRPr="00C27523">
        <w:t>LSAs work under the guidance of educational psychologists to gain the skills needed to implement these approaches within schools. This also helps to free up professionals, who often have limited time to deliver the interventions themselves. Egan’s model complements Rogers’ person-centred theory by combining empathy with practical strategies, making it particularly useful in educational settings.</w:t>
      </w:r>
    </w:p>
    <w:p w14:paraId="3894A32A" w14:textId="77777777" w:rsidR="003C02D5" w:rsidRPr="00C27523" w:rsidRDefault="003C02D5" w:rsidP="00C27523">
      <w:pPr>
        <w:pStyle w:val="NormalWeb"/>
        <w:spacing w:line="360" w:lineRule="auto"/>
      </w:pPr>
      <w:r w:rsidRPr="00C27523">
        <w:t xml:space="preserve">The third humanist theorist I will be examining is Abraham Maslow. Although his theories were similar to those of Rogers and Egan, Maslow focused more on the needs that must be fulfilled within an individual rather than on the external environment. According to Maslow (1943), “human needs arrange themselves in hierarchies of pre-potency. That is to say, the appearance of one need usually rests on the prior satisfaction of another, more pre-potent need.” From this, Maslow developed his </w:t>
      </w:r>
      <w:r w:rsidRPr="00C27523">
        <w:rPr>
          <w:rStyle w:val="Emphasis"/>
          <w:rFonts w:eastAsiaTheme="majorEastAsia"/>
          <w:i w:val="0"/>
          <w:iCs w:val="0"/>
        </w:rPr>
        <w:t>Hierarchy of Needs</w:t>
      </w:r>
      <w:r w:rsidRPr="00C27523">
        <w:t>, commonly represented as a pyramid.</w:t>
      </w:r>
    </w:p>
    <w:p w14:paraId="39445FFE" w14:textId="77777777" w:rsidR="003C02D5" w:rsidRPr="00C27523" w:rsidRDefault="003C02D5" w:rsidP="00C27523">
      <w:pPr>
        <w:pStyle w:val="NormalWeb"/>
        <w:spacing w:line="360" w:lineRule="auto"/>
      </w:pPr>
      <w:r w:rsidRPr="00C27523">
        <w:lastRenderedPageBreak/>
        <w:t>The base of the pyramid represents the most basic physiological needs, such as food, water and rest. This then builds upwards to safety, belongingness and love, esteem, and finally self-actualisation.</w:t>
      </w:r>
    </w:p>
    <w:p w14:paraId="4F2954EC" w14:textId="26C8DBFB" w:rsidR="003C02D5" w:rsidRPr="00C27523" w:rsidRDefault="003C02D5" w:rsidP="00C27523">
      <w:pPr>
        <w:pStyle w:val="NormalWeb"/>
        <w:spacing w:line="360" w:lineRule="auto"/>
      </w:pPr>
      <w:r w:rsidRPr="00C27523">
        <w:t>When considering Maslow’s hierarchy of needs within education, it highlights the importance of ensuring that basic needs are met before any academic or emotional progress can be made. Within schools, it often falls to LSAs to provide this support, particularly for children with Additional Learning Need</w:t>
      </w:r>
      <w:r w:rsidR="00DF4B78" w:rsidRPr="00C27523">
        <w:t>s</w:t>
      </w:r>
      <w:r w:rsidRPr="00C27523">
        <w:t>, those from unstable home environments, and pupils experiencing poverty.</w:t>
      </w:r>
      <w:r w:rsidR="00BC3520" w:rsidRPr="00C27523">
        <w:t xml:space="preserve"> </w:t>
      </w:r>
      <w:r w:rsidRPr="00C27523">
        <w:t xml:space="preserve"> The Welsh Government (2024) states that “LSA roles now include support for learners, behaviour interventions, addressing the social and emotional problems of pupils, parental engagement, inclusion work and support for the curriculum”.</w:t>
      </w:r>
    </w:p>
    <w:p w14:paraId="77E8A1BE" w14:textId="77777777" w:rsidR="00CB749F" w:rsidRPr="00C27523" w:rsidRDefault="00CB749F" w:rsidP="00C27523">
      <w:pPr>
        <w:pStyle w:val="NormalWeb"/>
        <w:spacing w:line="360" w:lineRule="auto"/>
      </w:pPr>
      <w:r w:rsidRPr="00C27523">
        <w:t>Carl Rogers, Abraham Maslow and Gerard Egan are all key humanist theorists whose work has influenced education and the way pupils are supported in schools. Humanist theory focuses on the whole person, personal growth and the belief that individuals have the ability to develop and improve when given the right support.</w:t>
      </w:r>
    </w:p>
    <w:p w14:paraId="3291F301" w14:textId="16CB8397" w:rsidR="00CB749F" w:rsidRPr="00C27523" w:rsidRDefault="00745BDA" w:rsidP="00C27523">
      <w:pPr>
        <w:pStyle w:val="NormalWeb"/>
        <w:spacing w:line="360" w:lineRule="auto"/>
      </w:pPr>
      <w:r w:rsidRPr="00C27523">
        <w:t xml:space="preserve">The main </w:t>
      </w:r>
      <w:r w:rsidR="00CB749F" w:rsidRPr="00C27523">
        <w:t>similarity between all three theorists is the emphasis on the individual. Rogers’ person-centred theory highlights the importance of empathy, unconditional positive regard and active listening to help individuals feel valued and understood.  Egan’s Skilled Helper Model also places importance on empathy and listening, but adds a more structured approach to problem-solving and change</w:t>
      </w:r>
      <w:r w:rsidR="00106AC3" w:rsidRPr="00C27523">
        <w:t>, which is particular</w:t>
      </w:r>
      <w:r w:rsidR="006F4E00" w:rsidRPr="00C27523">
        <w:t>ly useful within an education</w:t>
      </w:r>
      <w:r w:rsidR="00BF680A" w:rsidRPr="00C27523">
        <w:t>al</w:t>
      </w:r>
      <w:r w:rsidR="006F4E00" w:rsidRPr="00C27523">
        <w:t xml:space="preserve"> setting, allowing </w:t>
      </w:r>
      <w:r w:rsidR="00531AD2" w:rsidRPr="00C27523">
        <w:t>LSAs and T</w:t>
      </w:r>
      <w:r w:rsidR="00BF680A" w:rsidRPr="00C27523">
        <w:t>A</w:t>
      </w:r>
      <w:r w:rsidR="00531AD2" w:rsidRPr="00C27523">
        <w:t>s to step into the ‘helper role’.</w:t>
      </w:r>
      <w:r w:rsidR="00CB749F" w:rsidRPr="00C27523">
        <w:t xml:space="preserve"> Maslow, while less focused on </w:t>
      </w:r>
      <w:r w:rsidR="005F0ED9" w:rsidRPr="00C27523">
        <w:t>external</w:t>
      </w:r>
      <w:r w:rsidR="00D53818" w:rsidRPr="00C27523">
        <w:t xml:space="preserve"> needs</w:t>
      </w:r>
      <w:r w:rsidR="00CB749F" w:rsidRPr="00C27523">
        <w:t xml:space="preserve">, also centres on the individual by identifying the needs that must be met </w:t>
      </w:r>
      <w:r w:rsidR="00D53818" w:rsidRPr="00C27523">
        <w:t>within f</w:t>
      </w:r>
      <w:r w:rsidR="00CB749F" w:rsidRPr="00C27523">
        <w:t>or personal growth to occur.</w:t>
      </w:r>
    </w:p>
    <w:p w14:paraId="2424464E" w14:textId="3F195C6D" w:rsidR="00CB749F" w:rsidRPr="00C27523" w:rsidRDefault="00CB749F" w:rsidP="00C27523">
      <w:pPr>
        <w:pStyle w:val="NormalWeb"/>
        <w:spacing w:line="360" w:lineRule="auto"/>
      </w:pPr>
      <w:r w:rsidRPr="00C27523">
        <w:t xml:space="preserve">The main difference between the theories </w:t>
      </w:r>
      <w:r w:rsidR="00654221" w:rsidRPr="00C27523">
        <w:t>is</w:t>
      </w:r>
      <w:r w:rsidRPr="00C27523">
        <w:t xml:space="preserve"> how </w:t>
      </w:r>
      <w:r w:rsidR="00654221" w:rsidRPr="00C27523">
        <w:t xml:space="preserve">the </w:t>
      </w:r>
      <w:r w:rsidRPr="00C27523">
        <w:t>support is provided. Maslow’s hierarchy of needs focuses on fulfilling basic needs such as food, safety and belonging before higher-level learning or self-actualisation can take place. In contrast, Rogers focuses more on the quality of relationships and emotional safety, rather than physical needs. Egan</w:t>
      </w:r>
      <w:r w:rsidR="004777E9" w:rsidRPr="00C27523">
        <w:t xml:space="preserve"> brings together</w:t>
      </w:r>
      <w:r w:rsidRPr="00C27523">
        <w:t xml:space="preserve"> these ideas by combining Rogers’ empathic approach with practical strategies that help individuals understand their problems and take action.</w:t>
      </w:r>
    </w:p>
    <w:p w14:paraId="1EA9E91E" w14:textId="291921BB" w:rsidR="00CB749F" w:rsidRPr="00C27523" w:rsidRDefault="00CB749F" w:rsidP="00C27523">
      <w:pPr>
        <w:pStyle w:val="NormalWeb"/>
        <w:spacing w:line="360" w:lineRule="auto"/>
      </w:pPr>
      <w:r w:rsidRPr="00C27523">
        <w:t xml:space="preserve">In education, these theories are highly relevant to the role of Learning Support Assistants (LSAs). Maslow’s theory highlights the importance of ensuring pupils’ basic needs are met </w:t>
      </w:r>
      <w:r w:rsidRPr="00C27523">
        <w:lastRenderedPageBreak/>
        <w:t>so they are ready to learn, which LSAs often support</w:t>
      </w:r>
      <w:r w:rsidR="00D13BED" w:rsidRPr="00C27523">
        <w:t xml:space="preserve"> through induvial interventions and</w:t>
      </w:r>
      <w:r w:rsidR="00504B8A">
        <w:t xml:space="preserve"> </w:t>
      </w:r>
      <w:r w:rsidR="00546AA8" w:rsidRPr="00C27523">
        <w:t>strong relationship</w:t>
      </w:r>
      <w:r w:rsidR="00504B8A">
        <w:t>s</w:t>
      </w:r>
      <w:r w:rsidRPr="00C27523">
        <w:t xml:space="preserve">. Rogers’ approach supports LSAs in building </w:t>
      </w:r>
      <w:r w:rsidR="00B92D5F" w:rsidRPr="00C27523">
        <w:t>valued</w:t>
      </w:r>
      <w:r w:rsidRPr="00C27523">
        <w:t xml:space="preserve"> relationships with pupils, helping them feel safe and confident. Egan’s model provides LSAs with practical tools to guide pupils through challenges, support decision-making and develop emotional regulation skills. Together, these theories help LSAs provide effective, </w:t>
      </w:r>
      <w:r w:rsidR="00B92D5F" w:rsidRPr="00C27523">
        <w:t xml:space="preserve">whole child </w:t>
      </w:r>
      <w:r w:rsidRPr="00C27523">
        <w:t>support that promotes both wellbeing and learning</w:t>
      </w:r>
      <w:r w:rsidR="00B92D5F" w:rsidRPr="00C27523">
        <w:t>.</w:t>
      </w:r>
    </w:p>
    <w:p w14:paraId="1D97841C" w14:textId="77777777" w:rsidR="002B2007" w:rsidRPr="00C27523" w:rsidRDefault="002B2007" w:rsidP="00C27523">
      <w:pPr>
        <w:pStyle w:val="NormalWeb"/>
        <w:spacing w:line="360" w:lineRule="auto"/>
      </w:pPr>
    </w:p>
    <w:p w14:paraId="063E8C27" w14:textId="77777777" w:rsidR="002B2007" w:rsidRPr="00C27523" w:rsidRDefault="002B2007" w:rsidP="00C27523">
      <w:pPr>
        <w:pStyle w:val="NormalWeb"/>
        <w:spacing w:line="360" w:lineRule="auto"/>
      </w:pPr>
    </w:p>
    <w:p w14:paraId="301B8438" w14:textId="77777777" w:rsidR="009A0C26" w:rsidRPr="00C27523" w:rsidRDefault="009A0C26" w:rsidP="00C27523">
      <w:pPr>
        <w:pStyle w:val="NormalWeb"/>
        <w:spacing w:line="360" w:lineRule="auto"/>
      </w:pPr>
    </w:p>
    <w:p w14:paraId="29CEF51A" w14:textId="77777777" w:rsidR="009A0C26" w:rsidRPr="00C27523" w:rsidRDefault="009A0C26" w:rsidP="00C27523">
      <w:pPr>
        <w:pStyle w:val="NormalWeb"/>
        <w:spacing w:line="360" w:lineRule="auto"/>
      </w:pPr>
    </w:p>
    <w:p w14:paraId="55652803" w14:textId="77777777" w:rsidR="009A0C26" w:rsidRPr="00C27523" w:rsidRDefault="009A0C26" w:rsidP="00C27523">
      <w:pPr>
        <w:pStyle w:val="NormalWeb"/>
        <w:spacing w:line="360" w:lineRule="auto"/>
      </w:pPr>
    </w:p>
    <w:p w14:paraId="7A3BEBE6" w14:textId="77777777" w:rsidR="009A0C26" w:rsidRPr="00C27523" w:rsidRDefault="009A0C26" w:rsidP="00C27523">
      <w:pPr>
        <w:pStyle w:val="NormalWeb"/>
        <w:spacing w:line="360" w:lineRule="auto"/>
      </w:pPr>
    </w:p>
    <w:p w14:paraId="10A1FBED" w14:textId="51D5F903" w:rsidR="009A0C26" w:rsidRPr="00C27523" w:rsidRDefault="009A0C26" w:rsidP="00C27523">
      <w:pPr>
        <w:pStyle w:val="NormalWeb"/>
        <w:spacing w:line="360" w:lineRule="auto"/>
      </w:pPr>
    </w:p>
    <w:p w14:paraId="75887FF6" w14:textId="77777777" w:rsidR="009A0C26" w:rsidRPr="00C27523" w:rsidRDefault="009A0C26" w:rsidP="00C27523">
      <w:pPr>
        <w:pStyle w:val="NormalWeb"/>
        <w:spacing w:line="360" w:lineRule="auto"/>
      </w:pPr>
    </w:p>
    <w:p w14:paraId="79C66DE4" w14:textId="77777777" w:rsidR="003C02D5" w:rsidRPr="00C27523" w:rsidRDefault="003C02D5" w:rsidP="00C27523">
      <w:pPr>
        <w:pStyle w:val="NormalWeb"/>
        <w:spacing w:line="360" w:lineRule="auto"/>
      </w:pPr>
    </w:p>
    <w:p w14:paraId="127A794C" w14:textId="676B1921" w:rsidR="00ED3F1C" w:rsidRPr="00C27523" w:rsidRDefault="009D0EA3" w:rsidP="00C27523">
      <w:pPr>
        <w:pStyle w:val="NormalWeb"/>
        <w:spacing w:line="360" w:lineRule="auto"/>
      </w:pPr>
      <w:r w:rsidRPr="00C27523">
        <w:t xml:space="preserve"> </w:t>
      </w:r>
    </w:p>
    <w:p w14:paraId="626EF664" w14:textId="77777777" w:rsidR="00475694" w:rsidRDefault="00475694" w:rsidP="00C27523">
      <w:pPr>
        <w:spacing w:line="360" w:lineRule="auto"/>
        <w:rPr>
          <w:rFonts w:ascii="Times New Roman" w:hAnsi="Times New Roman" w:cs="Times New Roman"/>
        </w:rPr>
      </w:pPr>
    </w:p>
    <w:p w14:paraId="12E7DFA8" w14:textId="77777777" w:rsidR="00E85C92" w:rsidRDefault="00E85C92" w:rsidP="00C27523">
      <w:pPr>
        <w:spacing w:line="360" w:lineRule="auto"/>
        <w:rPr>
          <w:rFonts w:ascii="Times New Roman" w:hAnsi="Times New Roman" w:cs="Times New Roman"/>
        </w:rPr>
      </w:pPr>
    </w:p>
    <w:p w14:paraId="02B682AA" w14:textId="77777777" w:rsidR="00E85C92" w:rsidRDefault="00E85C92" w:rsidP="00C27523">
      <w:pPr>
        <w:spacing w:line="360" w:lineRule="auto"/>
        <w:rPr>
          <w:rFonts w:ascii="Times New Roman" w:hAnsi="Times New Roman" w:cs="Times New Roman"/>
        </w:rPr>
      </w:pPr>
    </w:p>
    <w:p w14:paraId="0218C142" w14:textId="77777777" w:rsidR="00E85C92" w:rsidRDefault="00E85C92" w:rsidP="00C27523">
      <w:pPr>
        <w:spacing w:line="360" w:lineRule="auto"/>
        <w:rPr>
          <w:rFonts w:ascii="Times New Roman" w:hAnsi="Times New Roman" w:cs="Times New Roman"/>
        </w:rPr>
      </w:pPr>
    </w:p>
    <w:p w14:paraId="3598AF9D" w14:textId="77777777" w:rsidR="00E85C92" w:rsidRDefault="00E85C92" w:rsidP="00C27523">
      <w:pPr>
        <w:spacing w:line="360" w:lineRule="auto"/>
        <w:rPr>
          <w:rFonts w:ascii="Times New Roman" w:hAnsi="Times New Roman" w:cs="Times New Roman"/>
        </w:rPr>
      </w:pPr>
    </w:p>
    <w:p w14:paraId="3901D8D8" w14:textId="77777777" w:rsidR="00E85C92" w:rsidRDefault="00E85C92" w:rsidP="00C27523">
      <w:pPr>
        <w:spacing w:line="360" w:lineRule="auto"/>
        <w:rPr>
          <w:rFonts w:ascii="Times New Roman" w:hAnsi="Times New Roman" w:cs="Times New Roman"/>
        </w:rPr>
      </w:pPr>
    </w:p>
    <w:p w14:paraId="74D25A1F" w14:textId="77777777" w:rsidR="00E85C92" w:rsidRDefault="00E85C92" w:rsidP="00C27523">
      <w:pPr>
        <w:spacing w:line="360" w:lineRule="auto"/>
        <w:rPr>
          <w:rFonts w:ascii="Times New Roman" w:hAnsi="Times New Roman" w:cs="Times New Roman"/>
        </w:rPr>
      </w:pPr>
    </w:p>
    <w:p w14:paraId="3AC5A039" w14:textId="77777777" w:rsidR="00E85C92" w:rsidRDefault="00E85C92" w:rsidP="00C27523">
      <w:pPr>
        <w:spacing w:line="360" w:lineRule="auto"/>
        <w:rPr>
          <w:rFonts w:ascii="Times New Roman" w:hAnsi="Times New Roman" w:cs="Times New Roman"/>
        </w:rPr>
      </w:pPr>
    </w:p>
    <w:p w14:paraId="2077B280" w14:textId="3CA0E012" w:rsidR="001356E9" w:rsidRPr="00572B4C" w:rsidRDefault="00E85C92" w:rsidP="00572B4C">
      <w:pPr>
        <w:spacing w:line="240" w:lineRule="auto"/>
        <w:rPr>
          <w:rFonts w:ascii="Times New Roman" w:hAnsi="Times New Roman" w:cs="Times New Roman"/>
          <w:b/>
          <w:bCs/>
          <w:sz w:val="28"/>
          <w:szCs w:val="28"/>
          <w:u w:val="single"/>
        </w:rPr>
      </w:pPr>
      <w:r w:rsidRPr="00572B4C">
        <w:rPr>
          <w:rFonts w:ascii="Times New Roman" w:hAnsi="Times New Roman" w:cs="Times New Roman"/>
          <w:b/>
          <w:bCs/>
          <w:sz w:val="28"/>
          <w:szCs w:val="28"/>
          <w:u w:val="single"/>
        </w:rPr>
        <w:t xml:space="preserve">References </w:t>
      </w:r>
    </w:p>
    <w:p w14:paraId="03399130" w14:textId="77777777" w:rsidR="00952167" w:rsidRDefault="00952167" w:rsidP="00572B4C">
      <w:pPr>
        <w:pStyle w:val="NormalWeb"/>
      </w:pPr>
      <w:r>
        <w:t xml:space="preserve">Joseph, S.A. (2025) </w:t>
      </w:r>
      <w:r>
        <w:rPr>
          <w:rStyle w:val="Emphasis"/>
          <w:rFonts w:eastAsiaTheme="majorEastAsia"/>
        </w:rPr>
        <w:t>The humanistic psychology of Carl Rogers: Understanding the person-centred approach</w:t>
      </w:r>
      <w:r>
        <w:t>. 1st ed. Oxford: Oxford University Press.</w:t>
      </w:r>
    </w:p>
    <w:p w14:paraId="52838540" w14:textId="77777777" w:rsidR="00952167" w:rsidRDefault="00952167" w:rsidP="00572B4C">
      <w:pPr>
        <w:pStyle w:val="NormalWeb"/>
      </w:pPr>
      <w:r>
        <w:t xml:space="preserve">Joseph, S. (2021) ‘How humanistic is positive psychology? Lessons in positive psychology from Carl Rogers’ person-centred approach — it’s the social environment that must change’, </w:t>
      </w:r>
      <w:r>
        <w:rPr>
          <w:rStyle w:val="Emphasis"/>
          <w:rFonts w:eastAsiaTheme="majorEastAsia"/>
        </w:rPr>
        <w:t>Frontiers in Psychology</w:t>
      </w:r>
      <w:r>
        <w:t>, 12, p. 709789.</w:t>
      </w:r>
    </w:p>
    <w:p w14:paraId="4FBA620D" w14:textId="35E8310A" w:rsidR="00EB243B" w:rsidRDefault="00EB243B" w:rsidP="00572B4C">
      <w:pPr>
        <w:pStyle w:val="NormalWeb"/>
        <w:spacing w:before="200" w:beforeAutospacing="0" w:after="0" w:afterAutospacing="0"/>
      </w:pPr>
      <w:r>
        <w:rPr>
          <w:rFonts w:eastAsiaTheme="minorEastAsia"/>
          <w:color w:val="404040" w:themeColor="text1" w:themeTint="BF"/>
          <w:kern w:val="24"/>
          <w:sz w:val="28"/>
          <w:szCs w:val="28"/>
        </w:rPr>
        <w:t>Maslow, A.H. (1943). </w:t>
      </w:r>
      <w:r>
        <w:rPr>
          <w:rFonts w:eastAsiaTheme="minorEastAsia"/>
          <w:i/>
          <w:iCs/>
          <w:color w:val="404040" w:themeColor="text1" w:themeTint="BF"/>
          <w:kern w:val="24"/>
          <w:sz w:val="28"/>
          <w:szCs w:val="28"/>
        </w:rPr>
        <w:t>A theory of human motivation. Psychological Review</w:t>
      </w:r>
      <w:r>
        <w:rPr>
          <w:rFonts w:eastAsiaTheme="minorEastAsia"/>
          <w:color w:val="404040" w:themeColor="text1" w:themeTint="BF"/>
          <w:kern w:val="24"/>
          <w:sz w:val="28"/>
          <w:szCs w:val="28"/>
        </w:rPr>
        <w:t>. Paris: Eyrolles, Dl , Cop.</w:t>
      </w:r>
    </w:p>
    <w:p w14:paraId="1A9BC58A" w14:textId="77777777" w:rsidR="00952167" w:rsidRDefault="00952167" w:rsidP="00572B4C">
      <w:pPr>
        <w:pStyle w:val="NormalWeb"/>
      </w:pPr>
      <w:proofErr w:type="spellStart"/>
      <w:r>
        <w:t>Pichère</w:t>
      </w:r>
      <w:proofErr w:type="spellEnd"/>
      <w:r>
        <w:t xml:space="preserve">, P. and </w:t>
      </w:r>
      <w:proofErr w:type="spellStart"/>
      <w:r>
        <w:t>Cadiat</w:t>
      </w:r>
      <w:proofErr w:type="spellEnd"/>
      <w:r>
        <w:t xml:space="preserve">, A.-C. (2015) </w:t>
      </w:r>
      <w:r>
        <w:rPr>
          <w:rStyle w:val="Emphasis"/>
          <w:rFonts w:eastAsiaTheme="majorEastAsia"/>
        </w:rPr>
        <w:t>Maslow’s hierarchy of needs</w:t>
      </w:r>
      <w:r>
        <w:t>. Translated by C. Probert. Namur: Lemaitre Publishing.</w:t>
      </w:r>
    </w:p>
    <w:p w14:paraId="64F60F14" w14:textId="77777777" w:rsidR="00952167" w:rsidRDefault="00952167" w:rsidP="00572B4C">
      <w:pPr>
        <w:pStyle w:val="NormalWeb"/>
      </w:pPr>
      <w:r>
        <w:t xml:space="preserve">Rogers, C.R. (1969) </w:t>
      </w:r>
      <w:r>
        <w:rPr>
          <w:rStyle w:val="Emphasis"/>
          <w:rFonts w:eastAsiaTheme="majorEastAsia"/>
        </w:rPr>
        <w:t>Freedom to learn</w:t>
      </w:r>
      <w:r>
        <w:t>. Columbus, OH: Charles E. Merrill.</w:t>
      </w:r>
    </w:p>
    <w:p w14:paraId="4EAD6B33" w14:textId="77777777" w:rsidR="00952167" w:rsidRDefault="00952167" w:rsidP="00572B4C">
      <w:pPr>
        <w:pStyle w:val="NormalWeb"/>
      </w:pPr>
      <w:r>
        <w:t xml:space="preserve">Sugarman, L. (1995) ‘Action man: An interview with Gerard Egan’, </w:t>
      </w:r>
      <w:r>
        <w:rPr>
          <w:rStyle w:val="Emphasis"/>
          <w:rFonts w:eastAsiaTheme="majorEastAsia"/>
        </w:rPr>
        <w:t>British Journal of Guidance and Counselling</w:t>
      </w:r>
      <w:r>
        <w:t>, 23(2), pp. 275–286.</w:t>
      </w:r>
    </w:p>
    <w:p w14:paraId="6DF663CF" w14:textId="77777777" w:rsidR="00952167" w:rsidRDefault="00952167" w:rsidP="00572B4C">
      <w:pPr>
        <w:pStyle w:val="NormalWeb"/>
      </w:pPr>
      <w:r>
        <w:t xml:space="preserve">Welsh Government (2021) </w:t>
      </w:r>
      <w:r>
        <w:rPr>
          <w:rStyle w:val="Emphasis"/>
          <w:rFonts w:eastAsiaTheme="majorEastAsia"/>
        </w:rPr>
        <w:t>Framework on embedding a whole-school approach to emotional and mental well-being</w:t>
      </w:r>
      <w:r>
        <w:t xml:space="preserve">. Cardiff: Welsh Government. Available at: </w:t>
      </w:r>
      <w:hyperlink r:id="rId10" w:tgtFrame="_new" w:history="1">
        <w:r>
          <w:rPr>
            <w:rStyle w:val="Hyperlink"/>
            <w:rFonts w:eastAsiaTheme="majorEastAsia"/>
          </w:rPr>
          <w:t>https://www.gov.wales/framework-embedding-whole-school-approach-emotional-and-mental-well-being</w:t>
        </w:r>
      </w:hyperlink>
      <w:r>
        <w:t xml:space="preserve"> (Accessed: 3 January 2026).</w:t>
      </w:r>
    </w:p>
    <w:p w14:paraId="205FE5B3" w14:textId="4A1F06DB" w:rsidR="00952167" w:rsidRDefault="00952167" w:rsidP="00572B4C">
      <w:pPr>
        <w:pStyle w:val="NormalWeb"/>
      </w:pPr>
      <w:r>
        <w:t xml:space="preserve">Welsh Government (2022) </w:t>
      </w:r>
      <w:r>
        <w:rPr>
          <w:rStyle w:val="Emphasis"/>
          <w:rFonts w:eastAsiaTheme="majorEastAsia"/>
        </w:rPr>
        <w:t>Curriculum for Wales: Enabling learning</w:t>
      </w:r>
      <w:r>
        <w:t xml:space="preserve">. Cardiff: Welsh Government. Available at: </w:t>
      </w:r>
      <w:hyperlink r:id="rId11" w:tgtFrame="_new" w:history="1">
        <w:r>
          <w:rPr>
            <w:rStyle w:val="Hyperlink"/>
            <w:rFonts w:eastAsiaTheme="majorEastAsia"/>
          </w:rPr>
          <w:t>https://hwb.gov.wales/curriculum-for-wales/designing-your-curriculum/enabling-learning</w:t>
        </w:r>
      </w:hyperlink>
      <w:r>
        <w:t xml:space="preserve"> (Accessed: 3 January 2026).</w:t>
      </w:r>
    </w:p>
    <w:p w14:paraId="19FBD447" w14:textId="2356CE4F" w:rsidR="00952167" w:rsidRDefault="00952167" w:rsidP="00572B4C">
      <w:pPr>
        <w:pStyle w:val="NormalWeb"/>
      </w:pPr>
      <w:r>
        <w:t xml:space="preserve">Welsh Government (2022) </w:t>
      </w:r>
      <w:r>
        <w:rPr>
          <w:rStyle w:val="Emphasis"/>
          <w:rFonts w:eastAsiaTheme="majorEastAsia"/>
        </w:rPr>
        <w:t>Curriculum for Wales: Framework guidance</w:t>
      </w:r>
      <w:r>
        <w:t xml:space="preserve">. Cardiff: Welsh Government. Available at: </w:t>
      </w:r>
      <w:hyperlink r:id="rId12" w:tgtFrame="_new" w:history="1">
        <w:r>
          <w:rPr>
            <w:rStyle w:val="Hyperlink"/>
            <w:rFonts w:eastAsiaTheme="majorEastAsia"/>
          </w:rPr>
          <w:t>https://hwb.gov.wales/curriculum-for-wales</w:t>
        </w:r>
      </w:hyperlink>
      <w:r>
        <w:t xml:space="preserve"> (Accessed: 3 January 2026).</w:t>
      </w:r>
    </w:p>
    <w:p w14:paraId="6D0B6FDF" w14:textId="543582DE" w:rsidR="00952167" w:rsidRDefault="00952167" w:rsidP="00572B4C">
      <w:pPr>
        <w:pStyle w:val="NormalWeb"/>
      </w:pPr>
      <w:r>
        <w:t xml:space="preserve">Welsh Government (2022) </w:t>
      </w:r>
      <w:r>
        <w:rPr>
          <w:rStyle w:val="Emphasis"/>
          <w:rFonts w:eastAsiaTheme="majorEastAsia"/>
        </w:rPr>
        <w:t>Curriculum for Wales: Health and well-being area of learning and experience</w:t>
      </w:r>
      <w:r>
        <w:t xml:space="preserve">. Cardiff: Welsh Government. Available at: </w:t>
      </w:r>
      <w:hyperlink r:id="rId13" w:tgtFrame="_new" w:history="1">
        <w:r>
          <w:rPr>
            <w:rStyle w:val="Hyperlink"/>
            <w:rFonts w:eastAsiaTheme="majorEastAsia"/>
          </w:rPr>
          <w:t>https://hwb.gov.wales/curriculum-for-wales/health-and-well-being</w:t>
        </w:r>
      </w:hyperlink>
      <w:r>
        <w:t xml:space="preserve"> (Accessed: 3 January 2026).</w:t>
      </w:r>
    </w:p>
    <w:p w14:paraId="6ACFB42C" w14:textId="23EA5425" w:rsidR="00952167" w:rsidRDefault="00952167" w:rsidP="00572B4C">
      <w:pPr>
        <w:pStyle w:val="NormalWeb"/>
      </w:pPr>
      <w:r>
        <w:t xml:space="preserve">Welsh Government (2022) </w:t>
      </w:r>
      <w:r>
        <w:rPr>
          <w:rStyle w:val="Emphasis"/>
          <w:rFonts w:eastAsiaTheme="majorEastAsia"/>
        </w:rPr>
        <w:t>Curriculum for Wales: Introduction to the curriculum</w:t>
      </w:r>
      <w:r>
        <w:t xml:space="preserve">. Cardiff: Welsh Government. Available at: </w:t>
      </w:r>
      <w:hyperlink r:id="rId14" w:tgtFrame="_new" w:history="1">
        <w:r>
          <w:rPr>
            <w:rStyle w:val="Hyperlink"/>
            <w:rFonts w:eastAsiaTheme="majorEastAsia"/>
          </w:rPr>
          <w:t>https://hwb.gov.wales/curriculum-for-wales/introduction-to-curriculum-for-wales-guidance</w:t>
        </w:r>
      </w:hyperlink>
      <w:r>
        <w:t xml:space="preserve"> (Accessed: 3 January 2026).</w:t>
      </w:r>
    </w:p>
    <w:p w14:paraId="0BBAF553" w14:textId="751A4148" w:rsidR="005A5638" w:rsidRDefault="005A5638" w:rsidP="00572B4C">
      <w:pPr>
        <w:pStyle w:val="NormalWeb"/>
        <w:spacing w:before="200" w:beforeAutospacing="0" w:after="0" w:afterAutospacing="0"/>
      </w:pPr>
      <w:r>
        <w:rPr>
          <w:rFonts w:eastAsiaTheme="minorEastAsia"/>
          <w:color w:val="404040" w:themeColor="text1" w:themeTint="BF"/>
          <w:kern w:val="24"/>
          <w:sz w:val="28"/>
          <w:szCs w:val="28"/>
        </w:rPr>
        <w:t>Welsh Government (2024). </w:t>
      </w:r>
      <w:r>
        <w:rPr>
          <w:rFonts w:eastAsiaTheme="minorEastAsia"/>
          <w:i/>
          <w:iCs/>
          <w:color w:val="404040" w:themeColor="text1" w:themeTint="BF"/>
          <w:kern w:val="24"/>
          <w:sz w:val="28"/>
          <w:szCs w:val="28"/>
        </w:rPr>
        <w:t>Schools’ Census results: January 2024 [HTML] | GOV.WALES</w:t>
      </w:r>
      <w:r>
        <w:rPr>
          <w:rFonts w:eastAsiaTheme="minorEastAsia"/>
          <w:color w:val="404040" w:themeColor="text1" w:themeTint="BF"/>
          <w:kern w:val="24"/>
          <w:sz w:val="28"/>
          <w:szCs w:val="28"/>
        </w:rPr>
        <w:t xml:space="preserve">. [online] GOV.WALES. Available at: </w:t>
      </w:r>
      <w:hyperlink r:id="rId15" w:history="1">
        <w:r>
          <w:rPr>
            <w:rStyle w:val="Hyperlink"/>
            <w:rFonts w:eastAsiaTheme="minorEastAsia"/>
            <w:color w:val="404040" w:themeColor="text1" w:themeTint="BF"/>
            <w:kern w:val="24"/>
          </w:rPr>
          <w:t>https://www.gov.wales/schools-census-results-january-2024-html</w:t>
        </w:r>
      </w:hyperlink>
      <w:r>
        <w:rPr>
          <w:rFonts w:eastAsiaTheme="minorEastAsia"/>
          <w:color w:val="404040" w:themeColor="text1" w:themeTint="BF"/>
          <w:kern w:val="24"/>
          <w:sz w:val="28"/>
          <w:szCs w:val="28"/>
        </w:rPr>
        <w:t>.</w:t>
      </w:r>
      <w:r w:rsidR="008A2C34">
        <w:rPr>
          <w:rFonts w:eastAsiaTheme="minorEastAsia"/>
          <w:color w:val="404040" w:themeColor="text1" w:themeTint="BF"/>
          <w:kern w:val="24"/>
          <w:sz w:val="28"/>
          <w:szCs w:val="28"/>
        </w:rPr>
        <w:t xml:space="preserve"> </w:t>
      </w:r>
      <w:r>
        <w:rPr>
          <w:rFonts w:eastAsiaTheme="minorEastAsia"/>
          <w:color w:val="404040" w:themeColor="text1" w:themeTint="BF"/>
          <w:kern w:val="24"/>
          <w:sz w:val="28"/>
          <w:szCs w:val="28"/>
        </w:rPr>
        <w:t>( Accessed:20 December 2025)</w:t>
      </w:r>
    </w:p>
    <w:p w14:paraId="2B07AC0C" w14:textId="6FCBB637" w:rsidR="001356E9" w:rsidRDefault="008A2C34" w:rsidP="00572B4C">
      <w:pPr>
        <w:spacing w:line="240" w:lineRule="auto"/>
        <w:rPr>
          <w:rFonts w:ascii="Times New Roman" w:hAnsi="Times New Roman" w:cs="Times New Roman"/>
        </w:rPr>
      </w:pPr>
      <w:r>
        <w:rPr>
          <w:rFonts w:ascii="Times New Roman" w:hAnsi="Times New Roman" w:cs="Times New Roman"/>
        </w:rPr>
        <w:t xml:space="preserve"> </w:t>
      </w:r>
    </w:p>
    <w:p w14:paraId="60601024" w14:textId="77777777" w:rsidR="001356E9" w:rsidRDefault="001356E9" w:rsidP="00572B4C">
      <w:pPr>
        <w:spacing w:line="240" w:lineRule="auto"/>
        <w:rPr>
          <w:rFonts w:ascii="Times New Roman" w:hAnsi="Times New Roman" w:cs="Times New Roman"/>
        </w:rPr>
      </w:pPr>
    </w:p>
    <w:p w14:paraId="60580F5D" w14:textId="77777777" w:rsidR="001356E9" w:rsidRDefault="001356E9" w:rsidP="00572B4C">
      <w:pPr>
        <w:spacing w:line="240" w:lineRule="auto"/>
        <w:rPr>
          <w:rFonts w:ascii="Times New Roman" w:hAnsi="Times New Roman" w:cs="Times New Roman"/>
        </w:rPr>
      </w:pPr>
    </w:p>
    <w:p w14:paraId="2D525E45" w14:textId="77777777" w:rsidR="001356E9" w:rsidRDefault="001356E9" w:rsidP="00572B4C">
      <w:pPr>
        <w:spacing w:line="240" w:lineRule="auto"/>
        <w:rPr>
          <w:rFonts w:ascii="Times New Roman" w:hAnsi="Times New Roman" w:cs="Times New Roman"/>
        </w:rPr>
      </w:pPr>
    </w:p>
    <w:p w14:paraId="1BC74361" w14:textId="77777777" w:rsidR="009D7684" w:rsidRPr="00C27523" w:rsidRDefault="009D7684" w:rsidP="00572B4C">
      <w:pPr>
        <w:spacing w:line="240" w:lineRule="auto"/>
        <w:rPr>
          <w:rFonts w:ascii="Times New Roman" w:hAnsi="Times New Roman" w:cs="Times New Roman"/>
        </w:rPr>
      </w:pPr>
    </w:p>
    <w:sectPr w:rsidR="009D7684" w:rsidRPr="00C2752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5B29F" w14:textId="77777777" w:rsidR="007A7A85" w:rsidRDefault="007A7A85" w:rsidP="00CF7AC0">
      <w:pPr>
        <w:spacing w:after="0" w:line="240" w:lineRule="auto"/>
      </w:pPr>
      <w:r>
        <w:separator/>
      </w:r>
    </w:p>
  </w:endnote>
  <w:endnote w:type="continuationSeparator" w:id="0">
    <w:p w14:paraId="725A202B" w14:textId="77777777" w:rsidR="007A7A85" w:rsidRDefault="007A7A85" w:rsidP="00CF7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709289"/>
      <w:docPartObj>
        <w:docPartGallery w:val="Page Numbers (Bottom of Page)"/>
        <w:docPartUnique/>
      </w:docPartObj>
    </w:sdtPr>
    <w:sdtContent>
      <w:p w14:paraId="2436AF5C" w14:textId="46C00A94" w:rsidR="00CF7AC0" w:rsidRDefault="00CF7AC0">
        <w:pPr>
          <w:pStyle w:val="Footer"/>
        </w:pPr>
        <w:r>
          <w:fldChar w:fldCharType="begin"/>
        </w:r>
        <w:r>
          <w:instrText>PAGE   \* MERGEFORMAT</w:instrText>
        </w:r>
        <w:r>
          <w:fldChar w:fldCharType="separate"/>
        </w:r>
        <w:r>
          <w:t>2</w:t>
        </w:r>
        <w:r>
          <w:fldChar w:fldCharType="end"/>
        </w:r>
      </w:p>
    </w:sdtContent>
  </w:sdt>
  <w:p w14:paraId="5A602C07" w14:textId="77777777" w:rsidR="00CF7AC0" w:rsidRDefault="00CF7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7EA51" w14:textId="77777777" w:rsidR="007A7A85" w:rsidRDefault="007A7A85" w:rsidP="00CF7AC0">
      <w:pPr>
        <w:spacing w:after="0" w:line="240" w:lineRule="auto"/>
      </w:pPr>
      <w:r>
        <w:separator/>
      </w:r>
    </w:p>
  </w:footnote>
  <w:footnote w:type="continuationSeparator" w:id="0">
    <w:p w14:paraId="1BE0BD2C" w14:textId="77777777" w:rsidR="007A7A85" w:rsidRDefault="007A7A85" w:rsidP="00CF7A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572ED"/>
    <w:multiLevelType w:val="hybridMultilevel"/>
    <w:tmpl w:val="784A4F3A"/>
    <w:lvl w:ilvl="0" w:tplc="C886669A">
      <w:start w:val="1"/>
      <w:numFmt w:val="bullet"/>
      <w:lvlText w:val=""/>
      <w:lvlJc w:val="left"/>
      <w:pPr>
        <w:tabs>
          <w:tab w:val="num" w:pos="720"/>
        </w:tabs>
        <w:ind w:left="720" w:hanging="360"/>
      </w:pPr>
      <w:rPr>
        <w:rFonts w:ascii="Wingdings 3" w:hAnsi="Wingdings 3" w:hint="default"/>
      </w:rPr>
    </w:lvl>
    <w:lvl w:ilvl="1" w:tplc="A8C2BD40" w:tentative="1">
      <w:start w:val="1"/>
      <w:numFmt w:val="bullet"/>
      <w:lvlText w:val=""/>
      <w:lvlJc w:val="left"/>
      <w:pPr>
        <w:tabs>
          <w:tab w:val="num" w:pos="1440"/>
        </w:tabs>
        <w:ind w:left="1440" w:hanging="360"/>
      </w:pPr>
      <w:rPr>
        <w:rFonts w:ascii="Wingdings 3" w:hAnsi="Wingdings 3" w:hint="default"/>
      </w:rPr>
    </w:lvl>
    <w:lvl w:ilvl="2" w:tplc="C5CA7E18" w:tentative="1">
      <w:start w:val="1"/>
      <w:numFmt w:val="bullet"/>
      <w:lvlText w:val=""/>
      <w:lvlJc w:val="left"/>
      <w:pPr>
        <w:tabs>
          <w:tab w:val="num" w:pos="2160"/>
        </w:tabs>
        <w:ind w:left="2160" w:hanging="360"/>
      </w:pPr>
      <w:rPr>
        <w:rFonts w:ascii="Wingdings 3" w:hAnsi="Wingdings 3" w:hint="default"/>
      </w:rPr>
    </w:lvl>
    <w:lvl w:ilvl="3" w:tplc="E26E3AC4" w:tentative="1">
      <w:start w:val="1"/>
      <w:numFmt w:val="bullet"/>
      <w:lvlText w:val=""/>
      <w:lvlJc w:val="left"/>
      <w:pPr>
        <w:tabs>
          <w:tab w:val="num" w:pos="2880"/>
        </w:tabs>
        <w:ind w:left="2880" w:hanging="360"/>
      </w:pPr>
      <w:rPr>
        <w:rFonts w:ascii="Wingdings 3" w:hAnsi="Wingdings 3" w:hint="default"/>
      </w:rPr>
    </w:lvl>
    <w:lvl w:ilvl="4" w:tplc="DDC46730" w:tentative="1">
      <w:start w:val="1"/>
      <w:numFmt w:val="bullet"/>
      <w:lvlText w:val=""/>
      <w:lvlJc w:val="left"/>
      <w:pPr>
        <w:tabs>
          <w:tab w:val="num" w:pos="3600"/>
        </w:tabs>
        <w:ind w:left="3600" w:hanging="360"/>
      </w:pPr>
      <w:rPr>
        <w:rFonts w:ascii="Wingdings 3" w:hAnsi="Wingdings 3" w:hint="default"/>
      </w:rPr>
    </w:lvl>
    <w:lvl w:ilvl="5" w:tplc="154C79C8" w:tentative="1">
      <w:start w:val="1"/>
      <w:numFmt w:val="bullet"/>
      <w:lvlText w:val=""/>
      <w:lvlJc w:val="left"/>
      <w:pPr>
        <w:tabs>
          <w:tab w:val="num" w:pos="4320"/>
        </w:tabs>
        <w:ind w:left="4320" w:hanging="360"/>
      </w:pPr>
      <w:rPr>
        <w:rFonts w:ascii="Wingdings 3" w:hAnsi="Wingdings 3" w:hint="default"/>
      </w:rPr>
    </w:lvl>
    <w:lvl w:ilvl="6" w:tplc="4F063358" w:tentative="1">
      <w:start w:val="1"/>
      <w:numFmt w:val="bullet"/>
      <w:lvlText w:val=""/>
      <w:lvlJc w:val="left"/>
      <w:pPr>
        <w:tabs>
          <w:tab w:val="num" w:pos="5040"/>
        </w:tabs>
        <w:ind w:left="5040" w:hanging="360"/>
      </w:pPr>
      <w:rPr>
        <w:rFonts w:ascii="Wingdings 3" w:hAnsi="Wingdings 3" w:hint="default"/>
      </w:rPr>
    </w:lvl>
    <w:lvl w:ilvl="7" w:tplc="17404E04" w:tentative="1">
      <w:start w:val="1"/>
      <w:numFmt w:val="bullet"/>
      <w:lvlText w:val=""/>
      <w:lvlJc w:val="left"/>
      <w:pPr>
        <w:tabs>
          <w:tab w:val="num" w:pos="5760"/>
        </w:tabs>
        <w:ind w:left="5760" w:hanging="360"/>
      </w:pPr>
      <w:rPr>
        <w:rFonts w:ascii="Wingdings 3" w:hAnsi="Wingdings 3" w:hint="default"/>
      </w:rPr>
    </w:lvl>
    <w:lvl w:ilvl="8" w:tplc="54E07D54" w:tentative="1">
      <w:start w:val="1"/>
      <w:numFmt w:val="bullet"/>
      <w:lvlText w:val=""/>
      <w:lvlJc w:val="left"/>
      <w:pPr>
        <w:tabs>
          <w:tab w:val="num" w:pos="6480"/>
        </w:tabs>
        <w:ind w:left="6480" w:hanging="360"/>
      </w:pPr>
      <w:rPr>
        <w:rFonts w:ascii="Wingdings 3" w:hAnsi="Wingdings 3" w:hint="default"/>
      </w:rPr>
    </w:lvl>
  </w:abstractNum>
  <w:num w:numId="1" w16cid:durableId="1342783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8BF"/>
    <w:rsid w:val="00004639"/>
    <w:rsid w:val="00020341"/>
    <w:rsid w:val="00052528"/>
    <w:rsid w:val="000543C5"/>
    <w:rsid w:val="00106AC3"/>
    <w:rsid w:val="001356E9"/>
    <w:rsid w:val="0016780D"/>
    <w:rsid w:val="001A3CDD"/>
    <w:rsid w:val="00235BF5"/>
    <w:rsid w:val="002A23CB"/>
    <w:rsid w:val="002B2007"/>
    <w:rsid w:val="00323FBE"/>
    <w:rsid w:val="00330668"/>
    <w:rsid w:val="00331F18"/>
    <w:rsid w:val="00356260"/>
    <w:rsid w:val="00357392"/>
    <w:rsid w:val="003670C0"/>
    <w:rsid w:val="003C02D5"/>
    <w:rsid w:val="003D65CF"/>
    <w:rsid w:val="0044088D"/>
    <w:rsid w:val="00473100"/>
    <w:rsid w:val="00475694"/>
    <w:rsid w:val="004777E9"/>
    <w:rsid w:val="004B1925"/>
    <w:rsid w:val="00504B8A"/>
    <w:rsid w:val="00531AD2"/>
    <w:rsid w:val="00546AA8"/>
    <w:rsid w:val="00572B4C"/>
    <w:rsid w:val="00583933"/>
    <w:rsid w:val="00586813"/>
    <w:rsid w:val="005956E2"/>
    <w:rsid w:val="00596207"/>
    <w:rsid w:val="005A5638"/>
    <w:rsid w:val="005D4058"/>
    <w:rsid w:val="005F0ED9"/>
    <w:rsid w:val="005F3470"/>
    <w:rsid w:val="006102E6"/>
    <w:rsid w:val="00627D8F"/>
    <w:rsid w:val="00654221"/>
    <w:rsid w:val="006638BF"/>
    <w:rsid w:val="00671ACE"/>
    <w:rsid w:val="00671EB4"/>
    <w:rsid w:val="006F4E00"/>
    <w:rsid w:val="00745BDA"/>
    <w:rsid w:val="0075451B"/>
    <w:rsid w:val="007A7A85"/>
    <w:rsid w:val="007C14FD"/>
    <w:rsid w:val="007D546D"/>
    <w:rsid w:val="008016B6"/>
    <w:rsid w:val="00807FE0"/>
    <w:rsid w:val="0084224F"/>
    <w:rsid w:val="00843980"/>
    <w:rsid w:val="00854A11"/>
    <w:rsid w:val="00861E89"/>
    <w:rsid w:val="00871233"/>
    <w:rsid w:val="008A2C34"/>
    <w:rsid w:val="008C1A3E"/>
    <w:rsid w:val="008E0160"/>
    <w:rsid w:val="009202E4"/>
    <w:rsid w:val="0093302E"/>
    <w:rsid w:val="00952167"/>
    <w:rsid w:val="0096417A"/>
    <w:rsid w:val="009A0C26"/>
    <w:rsid w:val="009C3F21"/>
    <w:rsid w:val="009D0EA3"/>
    <w:rsid w:val="009D7684"/>
    <w:rsid w:val="00A81C29"/>
    <w:rsid w:val="00B83E93"/>
    <w:rsid w:val="00B92D5F"/>
    <w:rsid w:val="00BA498A"/>
    <w:rsid w:val="00BC3520"/>
    <w:rsid w:val="00BD5930"/>
    <w:rsid w:val="00BE1444"/>
    <w:rsid w:val="00BF680A"/>
    <w:rsid w:val="00C06C84"/>
    <w:rsid w:val="00C27523"/>
    <w:rsid w:val="00C511F4"/>
    <w:rsid w:val="00C54B85"/>
    <w:rsid w:val="00CB749F"/>
    <w:rsid w:val="00CB7BEF"/>
    <w:rsid w:val="00CD5DB9"/>
    <w:rsid w:val="00CF7AC0"/>
    <w:rsid w:val="00D13BED"/>
    <w:rsid w:val="00D20ED1"/>
    <w:rsid w:val="00D53818"/>
    <w:rsid w:val="00D5676C"/>
    <w:rsid w:val="00D72B14"/>
    <w:rsid w:val="00D91630"/>
    <w:rsid w:val="00DF2969"/>
    <w:rsid w:val="00DF4B78"/>
    <w:rsid w:val="00E177AA"/>
    <w:rsid w:val="00E76D31"/>
    <w:rsid w:val="00E85C92"/>
    <w:rsid w:val="00E9103E"/>
    <w:rsid w:val="00E916BC"/>
    <w:rsid w:val="00EB243B"/>
    <w:rsid w:val="00EC73CD"/>
    <w:rsid w:val="00ED3F1C"/>
    <w:rsid w:val="00F2459C"/>
    <w:rsid w:val="00F30A35"/>
    <w:rsid w:val="00F73E69"/>
    <w:rsid w:val="00F76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06847"/>
  <w15:chartTrackingRefBased/>
  <w15:docId w15:val="{4F61510D-1DBD-437E-A295-256315AC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8BF"/>
  </w:style>
  <w:style w:type="paragraph" w:styleId="Heading1">
    <w:name w:val="heading 1"/>
    <w:basedOn w:val="Normal"/>
    <w:next w:val="Normal"/>
    <w:link w:val="Heading1Char"/>
    <w:uiPriority w:val="9"/>
    <w:qFormat/>
    <w:rsid w:val="006638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38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38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38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38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38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38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38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38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8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38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38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38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38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38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38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38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38BF"/>
    <w:rPr>
      <w:rFonts w:eastAsiaTheme="majorEastAsia" w:cstheme="majorBidi"/>
      <w:color w:val="272727" w:themeColor="text1" w:themeTint="D8"/>
    </w:rPr>
  </w:style>
  <w:style w:type="paragraph" w:styleId="Title">
    <w:name w:val="Title"/>
    <w:basedOn w:val="Normal"/>
    <w:next w:val="Normal"/>
    <w:link w:val="TitleChar"/>
    <w:uiPriority w:val="10"/>
    <w:qFormat/>
    <w:rsid w:val="006638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8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8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38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38BF"/>
    <w:pPr>
      <w:spacing w:before="160"/>
      <w:jc w:val="center"/>
    </w:pPr>
    <w:rPr>
      <w:i/>
      <w:iCs/>
      <w:color w:val="404040" w:themeColor="text1" w:themeTint="BF"/>
    </w:rPr>
  </w:style>
  <w:style w:type="character" w:customStyle="1" w:styleId="QuoteChar">
    <w:name w:val="Quote Char"/>
    <w:basedOn w:val="DefaultParagraphFont"/>
    <w:link w:val="Quote"/>
    <w:uiPriority w:val="29"/>
    <w:rsid w:val="006638BF"/>
    <w:rPr>
      <w:i/>
      <w:iCs/>
      <w:color w:val="404040" w:themeColor="text1" w:themeTint="BF"/>
    </w:rPr>
  </w:style>
  <w:style w:type="paragraph" w:styleId="ListParagraph">
    <w:name w:val="List Paragraph"/>
    <w:basedOn w:val="Normal"/>
    <w:uiPriority w:val="34"/>
    <w:qFormat/>
    <w:rsid w:val="006638BF"/>
    <w:pPr>
      <w:ind w:left="720"/>
      <w:contextualSpacing/>
    </w:pPr>
  </w:style>
  <w:style w:type="character" w:styleId="IntenseEmphasis">
    <w:name w:val="Intense Emphasis"/>
    <w:basedOn w:val="DefaultParagraphFont"/>
    <w:uiPriority w:val="21"/>
    <w:qFormat/>
    <w:rsid w:val="006638BF"/>
    <w:rPr>
      <w:i/>
      <w:iCs/>
      <w:color w:val="0F4761" w:themeColor="accent1" w:themeShade="BF"/>
    </w:rPr>
  </w:style>
  <w:style w:type="paragraph" w:styleId="IntenseQuote">
    <w:name w:val="Intense Quote"/>
    <w:basedOn w:val="Normal"/>
    <w:next w:val="Normal"/>
    <w:link w:val="IntenseQuoteChar"/>
    <w:uiPriority w:val="30"/>
    <w:qFormat/>
    <w:rsid w:val="006638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38BF"/>
    <w:rPr>
      <w:i/>
      <w:iCs/>
      <w:color w:val="0F4761" w:themeColor="accent1" w:themeShade="BF"/>
    </w:rPr>
  </w:style>
  <w:style w:type="character" w:styleId="IntenseReference">
    <w:name w:val="Intense Reference"/>
    <w:basedOn w:val="DefaultParagraphFont"/>
    <w:uiPriority w:val="32"/>
    <w:qFormat/>
    <w:rsid w:val="006638BF"/>
    <w:rPr>
      <w:b/>
      <w:bCs/>
      <w:smallCaps/>
      <w:color w:val="0F4761" w:themeColor="accent1" w:themeShade="BF"/>
      <w:spacing w:val="5"/>
    </w:rPr>
  </w:style>
  <w:style w:type="paragraph" w:styleId="NormalWeb">
    <w:name w:val="Normal (Web)"/>
    <w:basedOn w:val="Normal"/>
    <w:uiPriority w:val="99"/>
    <w:unhideWhenUsed/>
    <w:rsid w:val="006638B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638BF"/>
    <w:rPr>
      <w:b/>
      <w:bCs/>
    </w:rPr>
  </w:style>
  <w:style w:type="character" w:styleId="Emphasis">
    <w:name w:val="Emphasis"/>
    <w:basedOn w:val="DefaultParagraphFont"/>
    <w:uiPriority w:val="20"/>
    <w:qFormat/>
    <w:rsid w:val="000543C5"/>
    <w:rPr>
      <w:i/>
      <w:iCs/>
    </w:rPr>
  </w:style>
  <w:style w:type="paragraph" w:styleId="Header">
    <w:name w:val="header"/>
    <w:basedOn w:val="Normal"/>
    <w:link w:val="HeaderChar"/>
    <w:uiPriority w:val="99"/>
    <w:unhideWhenUsed/>
    <w:rsid w:val="00CF7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AC0"/>
  </w:style>
  <w:style w:type="paragraph" w:styleId="Footer">
    <w:name w:val="footer"/>
    <w:basedOn w:val="Normal"/>
    <w:link w:val="FooterChar"/>
    <w:uiPriority w:val="99"/>
    <w:unhideWhenUsed/>
    <w:rsid w:val="00CF7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AC0"/>
  </w:style>
  <w:style w:type="character" w:customStyle="1" w:styleId="ms-1">
    <w:name w:val="ms-1"/>
    <w:basedOn w:val="DefaultParagraphFont"/>
    <w:rsid w:val="001356E9"/>
  </w:style>
  <w:style w:type="character" w:customStyle="1" w:styleId="max-w-15ch">
    <w:name w:val="max-w-[15ch]"/>
    <w:basedOn w:val="DefaultParagraphFont"/>
    <w:rsid w:val="001356E9"/>
  </w:style>
  <w:style w:type="character" w:styleId="Hyperlink">
    <w:name w:val="Hyperlink"/>
    <w:basedOn w:val="DefaultParagraphFont"/>
    <w:uiPriority w:val="99"/>
    <w:semiHidden/>
    <w:unhideWhenUsed/>
    <w:rsid w:val="009521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curriculum-for-wales/health-and-well-be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gov.wales/curriculum-for-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curriculum-for-wales/designing-your-curriculum/enabling-learning" TargetMode="External"/><Relationship Id="rId5" Type="http://schemas.openxmlformats.org/officeDocument/2006/relationships/styles" Target="styles.xml"/><Relationship Id="rId15" Type="http://schemas.openxmlformats.org/officeDocument/2006/relationships/hyperlink" Target="https://www.gov.wales/schools-census-results-january-2024-html" TargetMode="External"/><Relationship Id="rId10" Type="http://schemas.openxmlformats.org/officeDocument/2006/relationships/hyperlink" Target="https://www.gov.wales/framework-embedding-whole-school-approach-emotional-and-mental-well-be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curriculum-for-wales/introduction-to-curriculum-for-wales-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77003c06a805b1c9f687d22ee43313b7">
  <xsd:schema xmlns:xsd="http://www.w3.org/2001/XMLSchema" xmlns:xs="http://www.w3.org/2001/XMLSchema" xmlns:p="http://schemas.microsoft.com/office/2006/metadata/properties" xmlns:ns3="b4f9f7ee-5770-4a14-8925-17f3d16e50b7" targetNamespace="http://schemas.microsoft.com/office/2006/metadata/properties" ma:root="true" ma:fieldsID="f64f2d320afd5b89e3ec76f144f568f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283D75D0-CB44-493F-92D6-C510C21E0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A8524B-FCA2-4BA9-B20D-A131B998223F}">
  <ds:schemaRefs>
    <ds:schemaRef ds:uri="http://schemas.microsoft.com/sharepoint/v3/contenttype/forms"/>
  </ds:schemaRefs>
</ds:datastoreItem>
</file>

<file path=customXml/itemProps3.xml><?xml version="1.0" encoding="utf-8"?>
<ds:datastoreItem xmlns:ds="http://schemas.openxmlformats.org/officeDocument/2006/customXml" ds:itemID="{6A80F037-B1A6-419D-ACD8-889E9FBA89C2}">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1835</Words>
  <Characters>11438</Characters>
  <Application>Microsoft Office Word</Application>
  <DocSecurity>0</DocSecurity>
  <Lines>170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Edwards (2514126)</dc:creator>
  <cp:keywords/>
  <dc:description/>
  <cp:lastModifiedBy>Holly Edwards (2514126)</cp:lastModifiedBy>
  <cp:revision>94</cp:revision>
  <dcterms:created xsi:type="dcterms:W3CDTF">2026-01-04T10:13:00Z</dcterms:created>
  <dcterms:modified xsi:type="dcterms:W3CDTF">2026-01-04T12:50:00Z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