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E4DD87" w14:textId="50EEDDBE" w:rsidR="00E511A7" w:rsidRDefault="00C76F25">
      <w:r>
        <w:t xml:space="preserve">Paula Smith   </w:t>
      </w:r>
      <w:proofErr w:type="gramStart"/>
      <w:r>
        <w:t>1903588  HPHP</w:t>
      </w:r>
      <w:proofErr w:type="gramEnd"/>
      <w:r>
        <w:t xml:space="preserve"> 4019. Week 3 The Nature of </w:t>
      </w:r>
      <w:proofErr w:type="gramStart"/>
      <w:r>
        <w:t>Objects :</w:t>
      </w:r>
      <w:proofErr w:type="gramEnd"/>
      <w:r>
        <w:t xml:space="preserve"> why matter matters.</w:t>
      </w:r>
    </w:p>
    <w:p w14:paraId="76BDAFCA" w14:textId="5B780B19" w:rsidR="00C76F25" w:rsidRDefault="00C76F25">
      <w:r>
        <w:t>Due 12-12-21.</w:t>
      </w:r>
    </w:p>
    <w:p w14:paraId="274EB43F" w14:textId="11659986" w:rsidR="00C76F25" w:rsidRDefault="00C76F25"/>
    <w:p w14:paraId="01BF6BD8" w14:textId="31D97C34" w:rsidR="00C76F25" w:rsidRPr="00C76F25" w:rsidRDefault="00C76F25">
      <w:pPr>
        <w:rPr>
          <w:u w:val="single"/>
        </w:rPr>
      </w:pPr>
      <w:r w:rsidRPr="00C76F25">
        <w:t xml:space="preserve">        </w:t>
      </w:r>
      <w:r>
        <w:t xml:space="preserve">                                                   </w:t>
      </w:r>
      <w:r w:rsidRPr="00C76F25">
        <w:rPr>
          <w:u w:val="single"/>
        </w:rPr>
        <w:t xml:space="preserve">Great </w:t>
      </w:r>
      <w:r w:rsidR="00E42E8D">
        <w:rPr>
          <w:u w:val="single"/>
        </w:rPr>
        <w:t>Grandmother</w:t>
      </w:r>
      <w:r w:rsidRPr="00C76F25">
        <w:rPr>
          <w:u w:val="single"/>
        </w:rPr>
        <w:t xml:space="preserve">’s </w:t>
      </w:r>
      <w:r w:rsidR="00A66DA1">
        <w:rPr>
          <w:u w:val="single"/>
        </w:rPr>
        <w:t>T</w:t>
      </w:r>
      <w:r w:rsidRPr="00C76F25">
        <w:rPr>
          <w:u w:val="single"/>
        </w:rPr>
        <w:t>ureen.</w:t>
      </w:r>
    </w:p>
    <w:p w14:paraId="25A2444A" w14:textId="08DCDFCD" w:rsidR="00C76F25" w:rsidRDefault="00C76F25"/>
    <w:p w14:paraId="1C82752C" w14:textId="28EE7026" w:rsidR="00C76F25" w:rsidRPr="00A962F5" w:rsidRDefault="00C76F25">
      <w:pPr>
        <w:rPr>
          <w:rFonts w:cstheme="minorHAnsi"/>
          <w:sz w:val="24"/>
          <w:szCs w:val="24"/>
        </w:rPr>
      </w:pPr>
      <w:r w:rsidRPr="00A962F5">
        <w:rPr>
          <w:rFonts w:cstheme="minorHAnsi"/>
          <w:sz w:val="24"/>
          <w:szCs w:val="24"/>
        </w:rPr>
        <w:t xml:space="preserve">  For this assignment, we needed to choose an object, and delve in</w:t>
      </w:r>
      <w:r w:rsidR="007A332B" w:rsidRPr="00A962F5">
        <w:rPr>
          <w:rFonts w:cstheme="minorHAnsi"/>
          <w:sz w:val="24"/>
          <w:szCs w:val="24"/>
        </w:rPr>
        <w:t>to</w:t>
      </w:r>
      <w:r w:rsidRPr="00A962F5">
        <w:rPr>
          <w:rFonts w:cstheme="minorHAnsi"/>
          <w:sz w:val="24"/>
          <w:szCs w:val="24"/>
        </w:rPr>
        <w:t xml:space="preserve"> </w:t>
      </w:r>
      <w:r w:rsidR="007A332B" w:rsidRPr="00A962F5">
        <w:rPr>
          <w:rFonts w:cstheme="minorHAnsi"/>
          <w:sz w:val="24"/>
          <w:szCs w:val="24"/>
        </w:rPr>
        <w:t>its</w:t>
      </w:r>
      <w:r w:rsidRPr="00A962F5">
        <w:rPr>
          <w:rFonts w:cstheme="minorHAnsi"/>
          <w:sz w:val="24"/>
          <w:szCs w:val="24"/>
        </w:rPr>
        <w:t xml:space="preserve"> story</w:t>
      </w:r>
      <w:r w:rsidR="007A332B" w:rsidRPr="00A962F5">
        <w:rPr>
          <w:rFonts w:cstheme="minorHAnsi"/>
          <w:sz w:val="24"/>
          <w:szCs w:val="24"/>
        </w:rPr>
        <w:t xml:space="preserve"> - u</w:t>
      </w:r>
      <w:r w:rsidRPr="00A962F5">
        <w:rPr>
          <w:rFonts w:cstheme="minorHAnsi"/>
          <w:sz w:val="24"/>
          <w:szCs w:val="24"/>
        </w:rPr>
        <w:t>nderstand its place in the world and something of the relationship with the people who have owned it.</w:t>
      </w:r>
    </w:p>
    <w:p w14:paraId="4C75856D" w14:textId="279B6697" w:rsidR="00C76F25" w:rsidRPr="00A962F5" w:rsidRDefault="00C76F25">
      <w:pPr>
        <w:rPr>
          <w:rFonts w:cstheme="minorHAnsi"/>
          <w:sz w:val="24"/>
          <w:szCs w:val="24"/>
        </w:rPr>
      </w:pPr>
      <w:r w:rsidRPr="00A962F5">
        <w:rPr>
          <w:rFonts w:cstheme="minorHAnsi"/>
          <w:sz w:val="24"/>
          <w:szCs w:val="24"/>
        </w:rPr>
        <w:t xml:space="preserve">  I chose Great </w:t>
      </w:r>
      <w:r w:rsidR="00E42E8D" w:rsidRPr="00A962F5">
        <w:rPr>
          <w:rFonts w:cstheme="minorHAnsi"/>
          <w:sz w:val="24"/>
          <w:szCs w:val="24"/>
        </w:rPr>
        <w:t>Grandmother</w:t>
      </w:r>
      <w:r w:rsidRPr="00A962F5">
        <w:rPr>
          <w:rFonts w:cstheme="minorHAnsi"/>
          <w:sz w:val="24"/>
          <w:szCs w:val="24"/>
        </w:rPr>
        <w:t xml:space="preserve">’s </w:t>
      </w:r>
      <w:r w:rsidR="003E224E" w:rsidRPr="00A962F5">
        <w:rPr>
          <w:rFonts w:cstheme="minorHAnsi"/>
          <w:sz w:val="24"/>
          <w:szCs w:val="24"/>
        </w:rPr>
        <w:t xml:space="preserve">vegetable </w:t>
      </w:r>
      <w:r w:rsidRPr="00A962F5">
        <w:rPr>
          <w:rFonts w:cstheme="minorHAnsi"/>
          <w:sz w:val="24"/>
          <w:szCs w:val="24"/>
        </w:rPr>
        <w:t>Tureen</w:t>
      </w:r>
      <w:r w:rsidR="00A66DA1" w:rsidRPr="00A962F5">
        <w:rPr>
          <w:rFonts w:cstheme="minorHAnsi"/>
          <w:sz w:val="24"/>
          <w:szCs w:val="24"/>
        </w:rPr>
        <w:t xml:space="preserve"> because I know very little about it</w:t>
      </w:r>
      <w:r w:rsidR="00E42E8D" w:rsidRPr="00A962F5">
        <w:rPr>
          <w:rFonts w:cstheme="minorHAnsi"/>
          <w:sz w:val="24"/>
          <w:szCs w:val="24"/>
        </w:rPr>
        <w:t>. I</w:t>
      </w:r>
      <w:r w:rsidR="00A66DA1" w:rsidRPr="00A962F5">
        <w:rPr>
          <w:rFonts w:cstheme="minorHAnsi"/>
          <w:sz w:val="24"/>
          <w:szCs w:val="24"/>
        </w:rPr>
        <w:t xml:space="preserve">t was </w:t>
      </w:r>
      <w:r w:rsidR="00D039AF" w:rsidRPr="00A962F5">
        <w:rPr>
          <w:rFonts w:cstheme="minorHAnsi"/>
          <w:sz w:val="24"/>
          <w:szCs w:val="24"/>
        </w:rPr>
        <w:t>first owned</w:t>
      </w:r>
      <w:r w:rsidR="00A66DA1" w:rsidRPr="00A962F5">
        <w:rPr>
          <w:rFonts w:cstheme="minorHAnsi"/>
          <w:sz w:val="24"/>
          <w:szCs w:val="24"/>
        </w:rPr>
        <w:t xml:space="preserve"> by my Dad’s </w:t>
      </w:r>
      <w:r w:rsidR="00D039AF" w:rsidRPr="00A962F5">
        <w:rPr>
          <w:rFonts w:cstheme="minorHAnsi"/>
          <w:sz w:val="24"/>
          <w:szCs w:val="24"/>
        </w:rPr>
        <w:t xml:space="preserve">Grandmother </w:t>
      </w:r>
      <w:r w:rsidR="00F00C9E" w:rsidRPr="00A962F5">
        <w:rPr>
          <w:rFonts w:cstheme="minorHAnsi"/>
          <w:sz w:val="24"/>
          <w:szCs w:val="24"/>
        </w:rPr>
        <w:t>which places it at the end of the 19</w:t>
      </w:r>
      <w:r w:rsidR="00F00C9E" w:rsidRPr="00A962F5">
        <w:rPr>
          <w:rFonts w:cstheme="minorHAnsi"/>
          <w:sz w:val="24"/>
          <w:szCs w:val="24"/>
          <w:vertAlign w:val="superscript"/>
        </w:rPr>
        <w:t>th</w:t>
      </w:r>
      <w:r w:rsidR="00F00C9E" w:rsidRPr="00A962F5">
        <w:rPr>
          <w:rFonts w:cstheme="minorHAnsi"/>
          <w:sz w:val="24"/>
          <w:szCs w:val="24"/>
        </w:rPr>
        <w:t xml:space="preserve"> Century. It was </w:t>
      </w:r>
      <w:r w:rsidR="00E42E8D" w:rsidRPr="00A962F5">
        <w:rPr>
          <w:rFonts w:cstheme="minorHAnsi"/>
          <w:sz w:val="24"/>
          <w:szCs w:val="24"/>
        </w:rPr>
        <w:t>used by my Nan</w:t>
      </w:r>
      <w:r w:rsidR="00D039AF" w:rsidRPr="00A962F5">
        <w:rPr>
          <w:rFonts w:cstheme="minorHAnsi"/>
          <w:sz w:val="24"/>
          <w:szCs w:val="24"/>
        </w:rPr>
        <w:t>,</w:t>
      </w:r>
      <w:r w:rsidR="00E42E8D" w:rsidRPr="00A962F5">
        <w:rPr>
          <w:rFonts w:cstheme="minorHAnsi"/>
          <w:sz w:val="24"/>
          <w:szCs w:val="24"/>
        </w:rPr>
        <w:t xml:space="preserve"> who</w:t>
      </w:r>
      <w:r w:rsidR="00A66DA1" w:rsidRPr="00A962F5">
        <w:rPr>
          <w:rFonts w:cstheme="minorHAnsi"/>
          <w:sz w:val="24"/>
          <w:szCs w:val="24"/>
        </w:rPr>
        <w:t xml:space="preserve"> </w:t>
      </w:r>
      <w:r w:rsidR="003E224E" w:rsidRPr="00A962F5">
        <w:rPr>
          <w:rFonts w:cstheme="minorHAnsi"/>
          <w:sz w:val="24"/>
          <w:szCs w:val="24"/>
        </w:rPr>
        <w:t xml:space="preserve">gifted </w:t>
      </w:r>
      <w:r w:rsidR="00F00C9E" w:rsidRPr="00A962F5">
        <w:rPr>
          <w:rFonts w:cstheme="minorHAnsi"/>
          <w:sz w:val="24"/>
          <w:szCs w:val="24"/>
        </w:rPr>
        <w:t xml:space="preserve">it </w:t>
      </w:r>
      <w:r w:rsidR="00A66DA1" w:rsidRPr="00A962F5">
        <w:rPr>
          <w:rFonts w:cstheme="minorHAnsi"/>
          <w:sz w:val="24"/>
          <w:szCs w:val="24"/>
        </w:rPr>
        <w:t>to my Mum as the wife of the eldest son, and so to me as their daughter- down the female line.</w:t>
      </w:r>
      <w:r w:rsidR="002E26D2">
        <w:rPr>
          <w:rFonts w:cstheme="minorHAnsi"/>
          <w:sz w:val="24"/>
          <w:szCs w:val="24"/>
        </w:rPr>
        <w:t xml:space="preserve"> It is exchanged from generation to generation</w:t>
      </w:r>
      <w:r w:rsidR="00A66DA1" w:rsidRPr="00A962F5">
        <w:rPr>
          <w:rFonts w:cstheme="minorHAnsi"/>
          <w:sz w:val="24"/>
          <w:szCs w:val="24"/>
        </w:rPr>
        <w:t xml:space="preserve"> </w:t>
      </w:r>
      <w:r w:rsidR="002E26D2">
        <w:rPr>
          <w:rFonts w:cstheme="minorHAnsi"/>
          <w:sz w:val="24"/>
          <w:szCs w:val="24"/>
        </w:rPr>
        <w:t xml:space="preserve">as an object to be valued and used </w:t>
      </w:r>
      <w:r w:rsidR="002E26D2">
        <w:rPr>
          <w:rStyle w:val="FootnoteReference"/>
          <w:rFonts w:cstheme="minorHAnsi"/>
          <w:sz w:val="24"/>
          <w:szCs w:val="24"/>
        </w:rPr>
        <w:footnoteReference w:id="1"/>
      </w:r>
      <w:r w:rsidR="004A0849">
        <w:rPr>
          <w:rFonts w:cstheme="minorHAnsi"/>
          <w:sz w:val="24"/>
          <w:szCs w:val="24"/>
        </w:rPr>
        <w:t xml:space="preserve">. It is a gendered object by its association with </w:t>
      </w:r>
      <w:r w:rsidR="00DA406D">
        <w:rPr>
          <w:rFonts w:cstheme="minorHAnsi"/>
          <w:sz w:val="24"/>
          <w:szCs w:val="24"/>
        </w:rPr>
        <w:t xml:space="preserve">serving </w:t>
      </w:r>
      <w:r w:rsidR="004A0849">
        <w:rPr>
          <w:rFonts w:cstheme="minorHAnsi"/>
          <w:sz w:val="24"/>
          <w:szCs w:val="24"/>
        </w:rPr>
        <w:t xml:space="preserve">food and by travelling through the family down the female line </w:t>
      </w:r>
      <w:r w:rsidR="004A0849">
        <w:rPr>
          <w:rStyle w:val="FootnoteReference"/>
          <w:rFonts w:cstheme="minorHAnsi"/>
          <w:sz w:val="24"/>
          <w:szCs w:val="24"/>
        </w:rPr>
        <w:footnoteReference w:id="2"/>
      </w:r>
      <w:r w:rsidR="006B4CB5">
        <w:rPr>
          <w:rFonts w:cstheme="minorHAnsi"/>
          <w:sz w:val="24"/>
          <w:szCs w:val="24"/>
        </w:rPr>
        <w:t>. I</w:t>
      </w:r>
      <w:r w:rsidR="00A66DA1" w:rsidRPr="00A962F5">
        <w:rPr>
          <w:rFonts w:cstheme="minorHAnsi"/>
          <w:sz w:val="24"/>
          <w:szCs w:val="24"/>
        </w:rPr>
        <w:t xml:space="preserve"> will leave it to my daughter, who cannot remember </w:t>
      </w:r>
      <w:r w:rsidR="00D039AF" w:rsidRPr="00A962F5">
        <w:rPr>
          <w:rFonts w:cstheme="minorHAnsi"/>
          <w:sz w:val="24"/>
          <w:szCs w:val="24"/>
        </w:rPr>
        <w:t xml:space="preserve">this branch of the family as </w:t>
      </w:r>
      <w:r w:rsidR="00A66DA1" w:rsidRPr="00A962F5">
        <w:rPr>
          <w:rFonts w:cstheme="minorHAnsi"/>
          <w:sz w:val="24"/>
          <w:szCs w:val="24"/>
        </w:rPr>
        <w:t xml:space="preserve">my </w:t>
      </w:r>
      <w:r w:rsidR="00F00C9E" w:rsidRPr="00A962F5">
        <w:rPr>
          <w:rFonts w:cstheme="minorHAnsi"/>
          <w:sz w:val="24"/>
          <w:szCs w:val="24"/>
        </w:rPr>
        <w:t>dad</w:t>
      </w:r>
      <w:r w:rsidR="00A66DA1" w:rsidRPr="00A962F5">
        <w:rPr>
          <w:rFonts w:cstheme="minorHAnsi"/>
          <w:sz w:val="24"/>
          <w:szCs w:val="24"/>
        </w:rPr>
        <w:t xml:space="preserve"> died when she was 2, so the tureen </w:t>
      </w:r>
      <w:r w:rsidR="007A332B" w:rsidRPr="00A962F5">
        <w:rPr>
          <w:rFonts w:cstheme="minorHAnsi"/>
          <w:sz w:val="24"/>
          <w:szCs w:val="24"/>
        </w:rPr>
        <w:t>will soon be</w:t>
      </w:r>
      <w:r w:rsidR="00A66DA1" w:rsidRPr="00A962F5">
        <w:rPr>
          <w:rFonts w:cstheme="minorHAnsi"/>
          <w:sz w:val="24"/>
          <w:szCs w:val="24"/>
        </w:rPr>
        <w:t xml:space="preserve"> detached from the people who</w:t>
      </w:r>
      <w:r w:rsidR="00F00C9E" w:rsidRPr="00A962F5">
        <w:rPr>
          <w:rFonts w:cstheme="minorHAnsi"/>
          <w:sz w:val="24"/>
          <w:szCs w:val="24"/>
        </w:rPr>
        <w:t xml:space="preserve"> </w:t>
      </w:r>
      <w:r w:rsidR="004867AA" w:rsidRPr="00A962F5">
        <w:rPr>
          <w:rFonts w:cstheme="minorHAnsi"/>
          <w:sz w:val="24"/>
          <w:szCs w:val="24"/>
        </w:rPr>
        <w:t>used</w:t>
      </w:r>
      <w:r w:rsidR="00A66DA1" w:rsidRPr="00A962F5">
        <w:rPr>
          <w:rFonts w:cstheme="minorHAnsi"/>
          <w:sz w:val="24"/>
          <w:szCs w:val="24"/>
        </w:rPr>
        <w:t xml:space="preserve"> it</w:t>
      </w:r>
      <w:r w:rsidR="00D039AF" w:rsidRPr="00A962F5">
        <w:rPr>
          <w:rFonts w:cstheme="minorHAnsi"/>
          <w:sz w:val="24"/>
          <w:szCs w:val="24"/>
        </w:rPr>
        <w:t xml:space="preserve"> for its original function. It</w:t>
      </w:r>
      <w:r w:rsidR="00A66DA1" w:rsidRPr="00A962F5">
        <w:rPr>
          <w:rFonts w:cstheme="minorHAnsi"/>
          <w:sz w:val="24"/>
          <w:szCs w:val="24"/>
        </w:rPr>
        <w:t xml:space="preserve"> has become a</w:t>
      </w:r>
      <w:r w:rsidR="007B4009" w:rsidRPr="00A962F5">
        <w:rPr>
          <w:rFonts w:cstheme="minorHAnsi"/>
          <w:sz w:val="24"/>
          <w:szCs w:val="24"/>
        </w:rPr>
        <w:t xml:space="preserve"> </w:t>
      </w:r>
      <w:r w:rsidR="00F00C9E" w:rsidRPr="00A962F5">
        <w:rPr>
          <w:rFonts w:cstheme="minorHAnsi"/>
          <w:sz w:val="24"/>
          <w:szCs w:val="24"/>
        </w:rPr>
        <w:t>special</w:t>
      </w:r>
      <w:r w:rsidR="00A66DA1" w:rsidRPr="00A962F5">
        <w:rPr>
          <w:rFonts w:cstheme="minorHAnsi"/>
          <w:sz w:val="24"/>
          <w:szCs w:val="24"/>
        </w:rPr>
        <w:t xml:space="preserve"> object</w:t>
      </w:r>
      <w:r w:rsidR="00DA406D">
        <w:rPr>
          <w:rFonts w:cstheme="minorHAnsi"/>
          <w:sz w:val="24"/>
          <w:szCs w:val="24"/>
        </w:rPr>
        <w:t xml:space="preserve"> </w:t>
      </w:r>
      <w:r w:rsidR="00DA406D">
        <w:rPr>
          <w:rStyle w:val="FootnoteReference"/>
          <w:rFonts w:cstheme="minorHAnsi"/>
          <w:sz w:val="24"/>
          <w:szCs w:val="24"/>
        </w:rPr>
        <w:footnoteReference w:id="3"/>
      </w:r>
      <w:r w:rsidR="00A66DA1" w:rsidRPr="00A962F5">
        <w:rPr>
          <w:rFonts w:cstheme="minorHAnsi"/>
          <w:sz w:val="24"/>
          <w:szCs w:val="24"/>
        </w:rPr>
        <w:t>, kept high on a shelf</w:t>
      </w:r>
      <w:r w:rsidR="004867AA" w:rsidRPr="00A962F5">
        <w:rPr>
          <w:rFonts w:cstheme="minorHAnsi"/>
          <w:sz w:val="24"/>
          <w:szCs w:val="24"/>
        </w:rPr>
        <w:t xml:space="preserve"> for safety, </w:t>
      </w:r>
      <w:r w:rsidR="00A66DA1" w:rsidRPr="00A962F5">
        <w:rPr>
          <w:rFonts w:cstheme="minorHAnsi"/>
          <w:sz w:val="24"/>
          <w:szCs w:val="24"/>
        </w:rPr>
        <w:t xml:space="preserve">and </w:t>
      </w:r>
      <w:r w:rsidR="00D039AF" w:rsidRPr="00A962F5">
        <w:rPr>
          <w:rFonts w:cstheme="minorHAnsi"/>
          <w:sz w:val="24"/>
          <w:szCs w:val="24"/>
        </w:rPr>
        <w:t>too precious for</w:t>
      </w:r>
      <w:r w:rsidR="00A66DA1" w:rsidRPr="00A962F5">
        <w:rPr>
          <w:rFonts w:cstheme="minorHAnsi"/>
          <w:sz w:val="24"/>
          <w:szCs w:val="24"/>
        </w:rPr>
        <w:t xml:space="preserve"> general </w:t>
      </w:r>
      <w:r w:rsidR="00D039AF" w:rsidRPr="00A962F5">
        <w:rPr>
          <w:rFonts w:cstheme="minorHAnsi"/>
          <w:sz w:val="24"/>
          <w:szCs w:val="24"/>
        </w:rPr>
        <w:t>use</w:t>
      </w:r>
      <w:r w:rsidR="00A66DA1" w:rsidRPr="00A962F5">
        <w:rPr>
          <w:rFonts w:cstheme="minorHAnsi"/>
          <w:sz w:val="24"/>
          <w:szCs w:val="24"/>
        </w:rPr>
        <w:t>.</w:t>
      </w:r>
    </w:p>
    <w:p w14:paraId="3FFDCF64" w14:textId="5BB94656" w:rsidR="00A66DA1" w:rsidRPr="00A962F5" w:rsidRDefault="00A66DA1">
      <w:pPr>
        <w:rPr>
          <w:rFonts w:cstheme="minorHAnsi"/>
          <w:sz w:val="24"/>
          <w:szCs w:val="24"/>
        </w:rPr>
      </w:pPr>
      <w:r w:rsidRPr="00A962F5">
        <w:rPr>
          <w:rFonts w:cstheme="minorHAnsi"/>
          <w:sz w:val="24"/>
          <w:szCs w:val="24"/>
        </w:rPr>
        <w:t xml:space="preserve">  The tureen itself is made of</w:t>
      </w:r>
      <w:r w:rsidR="007B4009" w:rsidRPr="00A962F5">
        <w:rPr>
          <w:rFonts w:cstheme="minorHAnsi"/>
          <w:sz w:val="24"/>
          <w:szCs w:val="24"/>
        </w:rPr>
        <w:t xml:space="preserve"> white </w:t>
      </w:r>
      <w:proofErr w:type="spellStart"/>
      <w:r w:rsidR="007B4009" w:rsidRPr="00A962F5">
        <w:rPr>
          <w:rFonts w:cstheme="minorHAnsi"/>
          <w:sz w:val="24"/>
          <w:szCs w:val="24"/>
        </w:rPr>
        <w:t>china</w:t>
      </w:r>
      <w:proofErr w:type="spellEnd"/>
      <w:r w:rsidR="007B4009" w:rsidRPr="00A962F5">
        <w:rPr>
          <w:rFonts w:cstheme="minorHAnsi"/>
          <w:sz w:val="24"/>
          <w:szCs w:val="24"/>
        </w:rPr>
        <w:t xml:space="preserve"> with a cracked glaze </w:t>
      </w:r>
      <w:r w:rsidR="00E42E8D" w:rsidRPr="00A962F5">
        <w:rPr>
          <w:rFonts w:cstheme="minorHAnsi"/>
          <w:sz w:val="24"/>
          <w:szCs w:val="24"/>
        </w:rPr>
        <w:t>and</w:t>
      </w:r>
      <w:r w:rsidR="007B4009" w:rsidRPr="00A962F5">
        <w:rPr>
          <w:rFonts w:cstheme="minorHAnsi"/>
          <w:sz w:val="24"/>
          <w:szCs w:val="24"/>
        </w:rPr>
        <w:t xml:space="preserve"> a pattern in blue</w:t>
      </w:r>
      <w:r w:rsidR="005C6125" w:rsidRPr="00A962F5">
        <w:rPr>
          <w:rFonts w:cstheme="minorHAnsi"/>
          <w:sz w:val="24"/>
          <w:szCs w:val="24"/>
        </w:rPr>
        <w:t xml:space="preserve">. It is </w:t>
      </w:r>
      <w:r w:rsidR="007B4009" w:rsidRPr="00A962F5">
        <w:rPr>
          <w:rFonts w:cstheme="minorHAnsi"/>
          <w:sz w:val="24"/>
          <w:szCs w:val="24"/>
        </w:rPr>
        <w:t xml:space="preserve">oval and </w:t>
      </w:r>
      <w:r w:rsidR="005C6125" w:rsidRPr="00A962F5">
        <w:rPr>
          <w:rFonts w:cstheme="minorHAnsi"/>
          <w:sz w:val="24"/>
          <w:szCs w:val="24"/>
        </w:rPr>
        <w:t xml:space="preserve">12-5/8” </w:t>
      </w:r>
      <w:r w:rsidR="00D039AF" w:rsidRPr="00A962F5">
        <w:rPr>
          <w:rFonts w:cstheme="minorHAnsi"/>
          <w:sz w:val="24"/>
          <w:szCs w:val="24"/>
        </w:rPr>
        <w:t>long by</w:t>
      </w:r>
      <w:r w:rsidR="005C6125" w:rsidRPr="00A962F5">
        <w:rPr>
          <w:rFonts w:cstheme="minorHAnsi"/>
          <w:sz w:val="24"/>
          <w:szCs w:val="24"/>
        </w:rPr>
        <w:t xml:space="preserve"> 6-7/8” wide and 6” in height. The pattern is of oak leaves and acorns </w:t>
      </w:r>
      <w:r w:rsidR="000645FF" w:rsidRPr="00A962F5">
        <w:rPr>
          <w:rFonts w:cstheme="minorHAnsi"/>
          <w:sz w:val="24"/>
          <w:szCs w:val="24"/>
        </w:rPr>
        <w:t xml:space="preserve">that repeat along the </w:t>
      </w:r>
      <w:r w:rsidR="00744A23" w:rsidRPr="00A962F5">
        <w:rPr>
          <w:rFonts w:cstheme="minorHAnsi"/>
          <w:sz w:val="24"/>
          <w:szCs w:val="24"/>
        </w:rPr>
        <w:t>circumference</w:t>
      </w:r>
      <w:r w:rsidR="000645FF" w:rsidRPr="00A962F5">
        <w:rPr>
          <w:rFonts w:cstheme="minorHAnsi"/>
          <w:sz w:val="24"/>
          <w:szCs w:val="24"/>
        </w:rPr>
        <w:t xml:space="preserve"> of the lid and bowl, and in a ring around the inside. The pattern repeats exactly in fine detail</w:t>
      </w:r>
      <w:r w:rsidR="005B02C4">
        <w:rPr>
          <w:rFonts w:cstheme="minorHAnsi"/>
          <w:sz w:val="24"/>
          <w:szCs w:val="24"/>
        </w:rPr>
        <w:t>,</w:t>
      </w:r>
      <w:r w:rsidR="000645FF" w:rsidRPr="00A962F5">
        <w:rPr>
          <w:rFonts w:cstheme="minorHAnsi"/>
          <w:sz w:val="24"/>
          <w:szCs w:val="24"/>
        </w:rPr>
        <w:t xml:space="preserve"> </w:t>
      </w:r>
      <w:r w:rsidR="00E42E8D" w:rsidRPr="00A962F5">
        <w:rPr>
          <w:rFonts w:cstheme="minorHAnsi"/>
          <w:sz w:val="24"/>
          <w:szCs w:val="24"/>
        </w:rPr>
        <w:t>with</w:t>
      </w:r>
      <w:r w:rsidR="000645FF" w:rsidRPr="00A962F5">
        <w:rPr>
          <w:rFonts w:cstheme="minorHAnsi"/>
          <w:sz w:val="24"/>
          <w:szCs w:val="24"/>
        </w:rPr>
        <w:t xml:space="preserve"> different intensity of </w:t>
      </w:r>
      <w:r w:rsidR="00744A23" w:rsidRPr="00A962F5">
        <w:rPr>
          <w:rFonts w:cstheme="minorHAnsi"/>
          <w:sz w:val="24"/>
          <w:szCs w:val="24"/>
        </w:rPr>
        <w:t>colour and</w:t>
      </w:r>
      <w:r w:rsidR="000645FF" w:rsidRPr="00A962F5">
        <w:rPr>
          <w:rFonts w:cstheme="minorHAnsi"/>
          <w:sz w:val="24"/>
          <w:szCs w:val="24"/>
        </w:rPr>
        <w:t xml:space="preserve"> looks like a transfer rather than hand painted. It is beautiful. The shape is oval from above and from the side, with a small plinth foot for stability. The lid fits with a </w:t>
      </w:r>
      <w:r w:rsidR="00744A23" w:rsidRPr="00A962F5">
        <w:rPr>
          <w:rFonts w:cstheme="minorHAnsi"/>
          <w:sz w:val="24"/>
          <w:szCs w:val="24"/>
        </w:rPr>
        <w:t xml:space="preserve">close-fitting </w:t>
      </w:r>
      <w:r w:rsidR="000645FF" w:rsidRPr="00A962F5">
        <w:rPr>
          <w:rFonts w:cstheme="minorHAnsi"/>
          <w:sz w:val="24"/>
          <w:szCs w:val="24"/>
        </w:rPr>
        <w:t xml:space="preserve">rim, so food will be kept hot. The handles at each end and on the top of the lid are </w:t>
      </w:r>
      <w:r w:rsidR="004E67E4">
        <w:rPr>
          <w:rFonts w:cstheme="minorHAnsi"/>
          <w:sz w:val="24"/>
          <w:szCs w:val="24"/>
        </w:rPr>
        <w:t>furled</w:t>
      </w:r>
      <w:r w:rsidR="000645FF" w:rsidRPr="00A962F5">
        <w:rPr>
          <w:rFonts w:cstheme="minorHAnsi"/>
          <w:sz w:val="24"/>
          <w:szCs w:val="24"/>
        </w:rPr>
        <w:t xml:space="preserve"> with ridges for an easy grip and decorated with a fine leaf design. </w:t>
      </w:r>
      <w:r w:rsidR="00D576DD" w:rsidRPr="00A962F5">
        <w:rPr>
          <w:rFonts w:cstheme="minorHAnsi"/>
          <w:sz w:val="24"/>
          <w:szCs w:val="24"/>
        </w:rPr>
        <w:t xml:space="preserve">Inside it has </w:t>
      </w:r>
      <w:r w:rsidR="008A1CED" w:rsidRPr="00A962F5">
        <w:rPr>
          <w:rFonts w:cstheme="minorHAnsi"/>
          <w:sz w:val="24"/>
          <w:szCs w:val="24"/>
        </w:rPr>
        <w:t>light brown staining where food would have sat</w:t>
      </w:r>
      <w:r w:rsidR="00D576DD" w:rsidRPr="00A962F5">
        <w:rPr>
          <w:rFonts w:cstheme="minorHAnsi"/>
          <w:sz w:val="24"/>
          <w:szCs w:val="24"/>
        </w:rPr>
        <w:t xml:space="preserve">. </w:t>
      </w:r>
      <w:r w:rsidR="000645FF" w:rsidRPr="00A962F5">
        <w:rPr>
          <w:rFonts w:cstheme="minorHAnsi"/>
          <w:sz w:val="24"/>
          <w:szCs w:val="24"/>
        </w:rPr>
        <w:t xml:space="preserve">It is a </w:t>
      </w:r>
      <w:r w:rsidR="00D576DD" w:rsidRPr="00A962F5">
        <w:rPr>
          <w:rFonts w:cstheme="minorHAnsi"/>
          <w:sz w:val="24"/>
          <w:szCs w:val="24"/>
        </w:rPr>
        <w:t>functional</w:t>
      </w:r>
      <w:r w:rsidR="000645FF" w:rsidRPr="00A962F5">
        <w:rPr>
          <w:rFonts w:cstheme="minorHAnsi"/>
          <w:sz w:val="24"/>
          <w:szCs w:val="24"/>
        </w:rPr>
        <w:t xml:space="preserve"> utensil, to be </w:t>
      </w:r>
      <w:r w:rsidR="00744A23" w:rsidRPr="00A962F5">
        <w:rPr>
          <w:rFonts w:cstheme="minorHAnsi"/>
          <w:sz w:val="24"/>
          <w:szCs w:val="24"/>
        </w:rPr>
        <w:t xml:space="preserve">placed </w:t>
      </w:r>
      <w:r w:rsidR="008A1CED" w:rsidRPr="00A962F5">
        <w:rPr>
          <w:rFonts w:cstheme="minorHAnsi"/>
          <w:sz w:val="24"/>
          <w:szCs w:val="24"/>
        </w:rPr>
        <w:t>in the centre of a</w:t>
      </w:r>
      <w:r w:rsidR="000645FF" w:rsidRPr="00A962F5">
        <w:rPr>
          <w:rFonts w:cstheme="minorHAnsi"/>
          <w:sz w:val="24"/>
          <w:szCs w:val="24"/>
        </w:rPr>
        <w:t xml:space="preserve"> table keeping excess food hot for a </w:t>
      </w:r>
      <w:r w:rsidR="00744A23" w:rsidRPr="00A962F5">
        <w:rPr>
          <w:rFonts w:cstheme="minorHAnsi"/>
          <w:sz w:val="24"/>
          <w:szCs w:val="24"/>
        </w:rPr>
        <w:t xml:space="preserve">surrounding </w:t>
      </w:r>
      <w:r w:rsidR="000645FF" w:rsidRPr="00A962F5">
        <w:rPr>
          <w:rFonts w:cstheme="minorHAnsi"/>
          <w:sz w:val="24"/>
          <w:szCs w:val="24"/>
        </w:rPr>
        <w:t>family</w:t>
      </w:r>
      <w:r w:rsidR="006B4CB5">
        <w:rPr>
          <w:rFonts w:cstheme="minorHAnsi"/>
          <w:sz w:val="24"/>
          <w:szCs w:val="24"/>
        </w:rPr>
        <w:t xml:space="preserve">, </w:t>
      </w:r>
      <w:r w:rsidR="004E67E4">
        <w:rPr>
          <w:rFonts w:cstheme="minorHAnsi"/>
          <w:sz w:val="24"/>
          <w:szCs w:val="24"/>
        </w:rPr>
        <w:t>during</w:t>
      </w:r>
      <w:r w:rsidR="006B4CB5">
        <w:rPr>
          <w:rFonts w:cstheme="minorHAnsi"/>
          <w:sz w:val="24"/>
          <w:szCs w:val="24"/>
        </w:rPr>
        <w:t xml:space="preserve"> the British institution of the Sunday dinner</w:t>
      </w:r>
      <w:r w:rsidR="003B19F8">
        <w:rPr>
          <w:rFonts w:cstheme="minorHAnsi"/>
          <w:sz w:val="24"/>
          <w:szCs w:val="24"/>
        </w:rPr>
        <w:t xml:space="preserve"> </w:t>
      </w:r>
      <w:r w:rsidR="003B19F8">
        <w:rPr>
          <w:rStyle w:val="FootnoteReference"/>
          <w:rFonts w:cstheme="minorHAnsi"/>
          <w:sz w:val="24"/>
          <w:szCs w:val="24"/>
        </w:rPr>
        <w:footnoteReference w:id="4"/>
      </w:r>
      <w:r w:rsidR="005B02C4">
        <w:rPr>
          <w:rFonts w:cstheme="minorHAnsi"/>
          <w:sz w:val="24"/>
          <w:szCs w:val="24"/>
        </w:rPr>
        <w:t xml:space="preserve">. </w:t>
      </w:r>
      <w:r w:rsidR="004B6112" w:rsidRPr="00A962F5">
        <w:rPr>
          <w:rFonts w:cstheme="minorHAnsi"/>
          <w:sz w:val="24"/>
          <w:szCs w:val="24"/>
        </w:rPr>
        <w:t xml:space="preserve">The </w:t>
      </w:r>
      <w:proofErr w:type="spellStart"/>
      <w:r w:rsidR="004B6112" w:rsidRPr="00A962F5">
        <w:rPr>
          <w:rFonts w:cstheme="minorHAnsi"/>
          <w:sz w:val="24"/>
          <w:szCs w:val="24"/>
        </w:rPr>
        <w:t>china</w:t>
      </w:r>
      <w:proofErr w:type="spellEnd"/>
      <w:r w:rsidR="004B6112" w:rsidRPr="00A962F5">
        <w:rPr>
          <w:rFonts w:cstheme="minorHAnsi"/>
          <w:sz w:val="24"/>
          <w:szCs w:val="24"/>
        </w:rPr>
        <w:t xml:space="preserve"> mark </w:t>
      </w:r>
      <w:r w:rsidR="004D1D29" w:rsidRPr="00A962F5">
        <w:rPr>
          <w:rFonts w:cstheme="minorHAnsi"/>
          <w:sz w:val="24"/>
          <w:szCs w:val="24"/>
        </w:rPr>
        <w:t>has ENGLISH OAK over a crescent with &amp; SONS inside, enclosing the scrolled initials GJ,</w:t>
      </w:r>
      <w:r w:rsidR="00CA02E7" w:rsidRPr="00A962F5">
        <w:rPr>
          <w:rFonts w:cstheme="minorHAnsi"/>
          <w:sz w:val="24"/>
          <w:szCs w:val="24"/>
        </w:rPr>
        <w:t xml:space="preserve"> </w:t>
      </w:r>
      <w:r w:rsidR="004D1D29" w:rsidRPr="00A962F5">
        <w:rPr>
          <w:rFonts w:cstheme="minorHAnsi"/>
          <w:sz w:val="24"/>
          <w:szCs w:val="24"/>
        </w:rPr>
        <w:t xml:space="preserve">and ENGLAND </w:t>
      </w:r>
      <w:r w:rsidR="008A1CED" w:rsidRPr="00A962F5">
        <w:rPr>
          <w:rFonts w:cstheme="minorHAnsi"/>
          <w:sz w:val="24"/>
          <w:szCs w:val="24"/>
        </w:rPr>
        <w:t>underneath, in</w:t>
      </w:r>
      <w:r w:rsidR="004D1D29" w:rsidRPr="00A962F5">
        <w:rPr>
          <w:rFonts w:cstheme="minorHAnsi"/>
          <w:sz w:val="24"/>
          <w:szCs w:val="24"/>
        </w:rPr>
        <w:t xml:space="preserve"> blue.</w:t>
      </w:r>
    </w:p>
    <w:p w14:paraId="284747AA" w14:textId="7B85F39F" w:rsidR="00420B7E" w:rsidRPr="00A962F5" w:rsidRDefault="00F05413">
      <w:pPr>
        <w:rPr>
          <w:rFonts w:cstheme="minorHAnsi"/>
          <w:sz w:val="24"/>
          <w:szCs w:val="24"/>
        </w:rPr>
      </w:pPr>
      <w:r w:rsidRPr="00A962F5">
        <w:rPr>
          <w:rFonts w:cstheme="minorHAnsi"/>
          <w:sz w:val="24"/>
          <w:szCs w:val="24"/>
        </w:rPr>
        <w:t xml:space="preserve">  </w:t>
      </w:r>
      <w:r w:rsidR="00266C3B" w:rsidRPr="00A962F5">
        <w:rPr>
          <w:rFonts w:cstheme="minorHAnsi"/>
          <w:sz w:val="24"/>
          <w:szCs w:val="24"/>
        </w:rPr>
        <w:t xml:space="preserve">From a holomorphic perspective, the tureen </w:t>
      </w:r>
      <w:r w:rsidRPr="00A962F5">
        <w:rPr>
          <w:rFonts w:cstheme="minorHAnsi"/>
          <w:sz w:val="24"/>
          <w:szCs w:val="24"/>
        </w:rPr>
        <w:t>is an</w:t>
      </w:r>
      <w:r w:rsidR="00266C3B" w:rsidRPr="00A962F5">
        <w:rPr>
          <w:rFonts w:cstheme="minorHAnsi"/>
          <w:sz w:val="24"/>
          <w:szCs w:val="24"/>
        </w:rPr>
        <w:t xml:space="preserve"> </w:t>
      </w:r>
      <w:r w:rsidR="004C60CC" w:rsidRPr="00A962F5">
        <w:rPr>
          <w:rFonts w:cstheme="minorHAnsi"/>
          <w:sz w:val="24"/>
          <w:szCs w:val="24"/>
        </w:rPr>
        <w:t xml:space="preserve">object </w:t>
      </w:r>
      <w:r w:rsidR="00266C3B" w:rsidRPr="00A962F5">
        <w:rPr>
          <w:rStyle w:val="FootnoteReference"/>
          <w:rFonts w:cstheme="minorHAnsi"/>
          <w:sz w:val="24"/>
          <w:szCs w:val="24"/>
        </w:rPr>
        <w:footnoteReference w:id="5"/>
      </w:r>
      <w:r w:rsidR="00266C3B" w:rsidRPr="00A962F5">
        <w:rPr>
          <w:rFonts w:cstheme="minorHAnsi"/>
          <w:sz w:val="24"/>
          <w:szCs w:val="24"/>
        </w:rPr>
        <w:t xml:space="preserve"> as it has been made from</w:t>
      </w:r>
      <w:r w:rsidR="004C60CC" w:rsidRPr="00A962F5">
        <w:rPr>
          <w:rFonts w:cstheme="minorHAnsi"/>
          <w:sz w:val="24"/>
          <w:szCs w:val="24"/>
        </w:rPr>
        <w:t xml:space="preserve"> materials and formed by human agency-</w:t>
      </w:r>
      <w:r w:rsidR="00266C3B" w:rsidRPr="00A962F5">
        <w:rPr>
          <w:rFonts w:cstheme="minorHAnsi"/>
          <w:sz w:val="24"/>
          <w:szCs w:val="24"/>
        </w:rPr>
        <w:t xml:space="preserve"> </w:t>
      </w:r>
      <w:proofErr w:type="spellStart"/>
      <w:r w:rsidR="00266C3B" w:rsidRPr="00A962F5">
        <w:rPr>
          <w:rFonts w:cstheme="minorHAnsi"/>
          <w:sz w:val="24"/>
          <w:szCs w:val="24"/>
        </w:rPr>
        <w:t>china</w:t>
      </w:r>
      <w:proofErr w:type="spellEnd"/>
      <w:r w:rsidR="00266C3B" w:rsidRPr="00A962F5">
        <w:rPr>
          <w:rFonts w:cstheme="minorHAnsi"/>
          <w:sz w:val="24"/>
          <w:szCs w:val="24"/>
        </w:rPr>
        <w:t xml:space="preserve"> clay </w:t>
      </w:r>
      <w:r w:rsidR="007B4009" w:rsidRPr="00A962F5">
        <w:rPr>
          <w:rFonts w:cstheme="minorHAnsi"/>
          <w:sz w:val="24"/>
          <w:szCs w:val="24"/>
        </w:rPr>
        <w:t>which has been</w:t>
      </w:r>
      <w:r w:rsidR="00266C3B" w:rsidRPr="00A962F5">
        <w:rPr>
          <w:rFonts w:cstheme="minorHAnsi"/>
          <w:sz w:val="24"/>
          <w:szCs w:val="24"/>
        </w:rPr>
        <w:t xml:space="preserve"> decorated, </w:t>
      </w:r>
      <w:proofErr w:type="gramStart"/>
      <w:r w:rsidR="00266C3B" w:rsidRPr="00A962F5">
        <w:rPr>
          <w:rFonts w:cstheme="minorHAnsi"/>
          <w:sz w:val="24"/>
          <w:szCs w:val="24"/>
        </w:rPr>
        <w:t>glazed</w:t>
      </w:r>
      <w:proofErr w:type="gramEnd"/>
      <w:r w:rsidR="00266C3B" w:rsidRPr="00A962F5">
        <w:rPr>
          <w:rFonts w:cstheme="minorHAnsi"/>
          <w:sz w:val="24"/>
          <w:szCs w:val="24"/>
        </w:rPr>
        <w:t xml:space="preserve"> and fired- to become an inert </w:t>
      </w:r>
      <w:r w:rsidR="00744A23" w:rsidRPr="00A962F5">
        <w:rPr>
          <w:rFonts w:cstheme="minorHAnsi"/>
          <w:sz w:val="24"/>
          <w:szCs w:val="24"/>
        </w:rPr>
        <w:t>utensil</w:t>
      </w:r>
      <w:r w:rsidR="00266C3B" w:rsidRPr="00A962F5">
        <w:rPr>
          <w:rFonts w:cstheme="minorHAnsi"/>
          <w:sz w:val="24"/>
          <w:szCs w:val="24"/>
        </w:rPr>
        <w:t xml:space="preserve"> that has lasted </w:t>
      </w:r>
      <w:r w:rsidR="007B4009" w:rsidRPr="00A962F5">
        <w:rPr>
          <w:rFonts w:cstheme="minorHAnsi"/>
          <w:sz w:val="24"/>
          <w:szCs w:val="24"/>
        </w:rPr>
        <w:t>around</w:t>
      </w:r>
      <w:r w:rsidR="00266C3B" w:rsidRPr="00A962F5">
        <w:rPr>
          <w:rFonts w:cstheme="minorHAnsi"/>
          <w:sz w:val="24"/>
          <w:szCs w:val="24"/>
        </w:rPr>
        <w:t xml:space="preserve"> 100 years.</w:t>
      </w:r>
      <w:r w:rsidR="004C60CC" w:rsidRPr="00A962F5">
        <w:rPr>
          <w:rFonts w:cstheme="minorHAnsi"/>
          <w:sz w:val="24"/>
          <w:szCs w:val="24"/>
        </w:rPr>
        <w:t xml:space="preserve"> </w:t>
      </w:r>
      <w:r w:rsidR="000D55F6" w:rsidRPr="00A962F5">
        <w:rPr>
          <w:rFonts w:cstheme="minorHAnsi"/>
          <w:sz w:val="24"/>
          <w:szCs w:val="24"/>
        </w:rPr>
        <w:t xml:space="preserve">The form of the tureen being one that appeals to the human eye, gives it some </w:t>
      </w:r>
      <w:r w:rsidR="002414EB" w:rsidRPr="00A962F5">
        <w:rPr>
          <w:rFonts w:cstheme="minorHAnsi"/>
          <w:sz w:val="24"/>
          <w:szCs w:val="24"/>
        </w:rPr>
        <w:t>efficacious</w:t>
      </w:r>
      <w:r w:rsidR="000D55F6" w:rsidRPr="00A962F5">
        <w:rPr>
          <w:rFonts w:cstheme="minorHAnsi"/>
          <w:sz w:val="24"/>
          <w:szCs w:val="24"/>
        </w:rPr>
        <w:t xml:space="preserve"> agency</w:t>
      </w:r>
      <w:r w:rsidR="00F00C9E" w:rsidRPr="00A962F5">
        <w:rPr>
          <w:rFonts w:cstheme="minorHAnsi"/>
          <w:sz w:val="24"/>
          <w:szCs w:val="24"/>
        </w:rPr>
        <w:t xml:space="preserve"> </w:t>
      </w:r>
      <w:r w:rsidR="00F00C9E" w:rsidRPr="00A962F5">
        <w:rPr>
          <w:rStyle w:val="FootnoteReference"/>
          <w:rFonts w:cstheme="minorHAnsi"/>
          <w:sz w:val="24"/>
          <w:szCs w:val="24"/>
        </w:rPr>
        <w:footnoteReference w:id="6"/>
      </w:r>
      <w:r w:rsidR="000D55F6" w:rsidRPr="00A962F5">
        <w:rPr>
          <w:rFonts w:cstheme="minorHAnsi"/>
          <w:sz w:val="24"/>
          <w:szCs w:val="24"/>
        </w:rPr>
        <w:t xml:space="preserve">, and the functionality gives it a </w:t>
      </w:r>
      <w:r w:rsidR="00D576DD" w:rsidRPr="00A962F5">
        <w:rPr>
          <w:rFonts w:cstheme="minorHAnsi"/>
          <w:sz w:val="24"/>
          <w:szCs w:val="24"/>
        </w:rPr>
        <w:t xml:space="preserve">beneficial </w:t>
      </w:r>
      <w:r w:rsidR="000D55F6" w:rsidRPr="00A962F5">
        <w:rPr>
          <w:rFonts w:cstheme="minorHAnsi"/>
          <w:sz w:val="24"/>
          <w:szCs w:val="24"/>
        </w:rPr>
        <w:t xml:space="preserve">relationship with the people who have used it- particularly </w:t>
      </w:r>
      <w:r w:rsidR="000D55F6" w:rsidRPr="00A962F5">
        <w:rPr>
          <w:rFonts w:cstheme="minorHAnsi"/>
          <w:sz w:val="24"/>
          <w:szCs w:val="24"/>
        </w:rPr>
        <w:lastRenderedPageBreak/>
        <w:t xml:space="preserve">the women who have had the role of providing the food to the family </w:t>
      </w:r>
      <w:r w:rsidR="00D576DD" w:rsidRPr="00A962F5">
        <w:rPr>
          <w:rFonts w:cstheme="minorHAnsi"/>
          <w:sz w:val="24"/>
          <w:szCs w:val="24"/>
        </w:rPr>
        <w:t xml:space="preserve">while </w:t>
      </w:r>
      <w:r w:rsidR="000D55F6" w:rsidRPr="00A962F5">
        <w:rPr>
          <w:rFonts w:cstheme="minorHAnsi"/>
          <w:sz w:val="24"/>
          <w:szCs w:val="24"/>
        </w:rPr>
        <w:t>presenting it in a dignified and status enhancing way</w:t>
      </w:r>
      <w:r w:rsidR="005B02C4">
        <w:rPr>
          <w:rFonts w:cstheme="minorHAnsi"/>
          <w:sz w:val="24"/>
          <w:szCs w:val="24"/>
        </w:rPr>
        <w:t xml:space="preserve"> </w:t>
      </w:r>
      <w:r w:rsidR="005B02C4">
        <w:rPr>
          <w:rStyle w:val="FootnoteReference"/>
          <w:rFonts w:cstheme="minorHAnsi"/>
          <w:sz w:val="24"/>
          <w:szCs w:val="24"/>
        </w:rPr>
        <w:footnoteReference w:id="7"/>
      </w:r>
      <w:r w:rsidR="000D55F6" w:rsidRPr="00A962F5">
        <w:rPr>
          <w:rFonts w:cstheme="minorHAnsi"/>
          <w:sz w:val="24"/>
          <w:szCs w:val="24"/>
        </w:rPr>
        <w:t>.</w:t>
      </w:r>
      <w:r w:rsidR="007B4009" w:rsidRPr="00A962F5">
        <w:rPr>
          <w:rFonts w:cstheme="minorHAnsi"/>
          <w:sz w:val="24"/>
          <w:szCs w:val="24"/>
        </w:rPr>
        <w:t xml:space="preserve"> </w:t>
      </w:r>
    </w:p>
    <w:p w14:paraId="6C891CE8" w14:textId="2C7769C8" w:rsidR="00D43B2E" w:rsidRPr="00A962F5" w:rsidRDefault="00B832D1">
      <w:pPr>
        <w:rPr>
          <w:rFonts w:cstheme="minorHAnsi"/>
          <w:sz w:val="24"/>
          <w:szCs w:val="24"/>
        </w:rPr>
      </w:pPr>
      <w:r w:rsidRPr="00A962F5">
        <w:rPr>
          <w:rFonts w:cstheme="minorHAnsi"/>
          <w:sz w:val="24"/>
          <w:szCs w:val="24"/>
        </w:rPr>
        <w:t xml:space="preserve">  The tureen </w:t>
      </w:r>
      <w:r w:rsidR="004E6763" w:rsidRPr="00A962F5">
        <w:rPr>
          <w:rFonts w:cstheme="minorHAnsi"/>
          <w:sz w:val="24"/>
          <w:szCs w:val="24"/>
        </w:rPr>
        <w:t xml:space="preserve">was manufactured in England by a company </w:t>
      </w:r>
      <w:r w:rsidRPr="00A962F5">
        <w:rPr>
          <w:rFonts w:cstheme="minorHAnsi"/>
          <w:sz w:val="24"/>
          <w:szCs w:val="24"/>
        </w:rPr>
        <w:t>producing items for export and the home market</w:t>
      </w:r>
      <w:r w:rsidR="004E6763" w:rsidRPr="00A962F5">
        <w:rPr>
          <w:rFonts w:cstheme="minorHAnsi"/>
          <w:sz w:val="24"/>
          <w:szCs w:val="24"/>
        </w:rPr>
        <w:t xml:space="preserve">. The UK were </w:t>
      </w:r>
      <w:r w:rsidR="00D43B2E" w:rsidRPr="00A962F5">
        <w:rPr>
          <w:rFonts w:cstheme="minorHAnsi"/>
          <w:sz w:val="24"/>
          <w:szCs w:val="24"/>
        </w:rPr>
        <w:t>prominent in the world market</w:t>
      </w:r>
      <w:r w:rsidR="00F05413" w:rsidRPr="00A962F5">
        <w:rPr>
          <w:rFonts w:cstheme="minorHAnsi"/>
          <w:sz w:val="24"/>
          <w:szCs w:val="24"/>
        </w:rPr>
        <w:t>s</w:t>
      </w:r>
      <w:r w:rsidR="00D43B2E" w:rsidRPr="00A962F5">
        <w:rPr>
          <w:rFonts w:cstheme="minorHAnsi"/>
          <w:sz w:val="24"/>
          <w:szCs w:val="24"/>
        </w:rPr>
        <w:t xml:space="preserve"> for ceramics until the First World War </w:t>
      </w:r>
      <w:r w:rsidR="00D43B2E" w:rsidRPr="00A962F5">
        <w:rPr>
          <w:rStyle w:val="FootnoteReference"/>
          <w:rFonts w:cstheme="minorHAnsi"/>
          <w:sz w:val="24"/>
          <w:szCs w:val="24"/>
        </w:rPr>
        <w:footnoteReference w:id="8"/>
      </w:r>
      <w:r w:rsidR="00D43B2E" w:rsidRPr="00A962F5">
        <w:rPr>
          <w:rFonts w:cstheme="minorHAnsi"/>
          <w:sz w:val="24"/>
          <w:szCs w:val="24"/>
        </w:rPr>
        <w:t>, and</w:t>
      </w:r>
      <w:r w:rsidR="00F05413" w:rsidRPr="00A962F5">
        <w:rPr>
          <w:rFonts w:cstheme="minorHAnsi"/>
          <w:sz w:val="24"/>
          <w:szCs w:val="24"/>
        </w:rPr>
        <w:t xml:space="preserve"> within 8 years </w:t>
      </w:r>
      <w:r w:rsidR="00D43B2E" w:rsidRPr="00A962F5">
        <w:rPr>
          <w:rFonts w:cstheme="minorHAnsi"/>
          <w:sz w:val="24"/>
          <w:szCs w:val="24"/>
        </w:rPr>
        <w:t xml:space="preserve">George Jones was exporting over 50% </w:t>
      </w:r>
      <w:r w:rsidR="002D1667" w:rsidRPr="00A962F5">
        <w:rPr>
          <w:rFonts w:cstheme="minorHAnsi"/>
          <w:sz w:val="24"/>
          <w:szCs w:val="24"/>
        </w:rPr>
        <w:t xml:space="preserve">of what </w:t>
      </w:r>
      <w:r w:rsidR="00F05413" w:rsidRPr="00A962F5">
        <w:rPr>
          <w:rFonts w:cstheme="minorHAnsi"/>
          <w:sz w:val="24"/>
          <w:szCs w:val="24"/>
        </w:rPr>
        <w:t>his new factory</w:t>
      </w:r>
      <w:r w:rsidR="002D1667" w:rsidRPr="00A962F5">
        <w:rPr>
          <w:rFonts w:cstheme="minorHAnsi"/>
          <w:sz w:val="24"/>
          <w:szCs w:val="24"/>
        </w:rPr>
        <w:t xml:space="preserve"> produced</w:t>
      </w:r>
      <w:r w:rsidR="00744A23" w:rsidRPr="00A962F5">
        <w:rPr>
          <w:rFonts w:cstheme="minorHAnsi"/>
          <w:sz w:val="24"/>
          <w:szCs w:val="24"/>
        </w:rPr>
        <w:t xml:space="preserve"> </w:t>
      </w:r>
      <w:r w:rsidR="00744A23" w:rsidRPr="00A962F5">
        <w:rPr>
          <w:rStyle w:val="FootnoteReference"/>
          <w:rFonts w:cstheme="minorHAnsi"/>
          <w:sz w:val="24"/>
          <w:szCs w:val="24"/>
        </w:rPr>
        <w:footnoteReference w:id="9"/>
      </w:r>
      <w:r w:rsidR="002D1667" w:rsidRPr="00A962F5">
        <w:rPr>
          <w:rFonts w:cstheme="minorHAnsi"/>
          <w:sz w:val="24"/>
          <w:szCs w:val="24"/>
        </w:rPr>
        <w:t xml:space="preserve">. In England they sold through showrooms, and as George himself had worked as a salesman for Wedgewood before he ran his own showroom, he was well equipped to know the market he was selling to </w:t>
      </w:r>
      <w:r w:rsidR="002D1667" w:rsidRPr="00A962F5">
        <w:rPr>
          <w:rStyle w:val="FootnoteReference"/>
          <w:rFonts w:cstheme="minorHAnsi"/>
          <w:sz w:val="24"/>
          <w:szCs w:val="24"/>
        </w:rPr>
        <w:footnoteReference w:id="10"/>
      </w:r>
      <w:r w:rsidR="002D1667" w:rsidRPr="00A962F5">
        <w:rPr>
          <w:rFonts w:cstheme="minorHAnsi"/>
          <w:sz w:val="24"/>
          <w:szCs w:val="24"/>
        </w:rPr>
        <w:t xml:space="preserve">. His sons joined him </w:t>
      </w:r>
      <w:r w:rsidR="00744A23" w:rsidRPr="00A962F5">
        <w:rPr>
          <w:rFonts w:cstheme="minorHAnsi"/>
          <w:sz w:val="24"/>
          <w:szCs w:val="24"/>
        </w:rPr>
        <w:t xml:space="preserve">in the business </w:t>
      </w:r>
      <w:r w:rsidR="002D1667" w:rsidRPr="00A962F5">
        <w:rPr>
          <w:rFonts w:cstheme="minorHAnsi"/>
          <w:sz w:val="24"/>
          <w:szCs w:val="24"/>
        </w:rPr>
        <w:t xml:space="preserve">and the </w:t>
      </w:r>
      <w:proofErr w:type="spellStart"/>
      <w:r w:rsidR="002D1667" w:rsidRPr="00A962F5">
        <w:rPr>
          <w:rFonts w:cstheme="minorHAnsi"/>
          <w:sz w:val="24"/>
          <w:szCs w:val="24"/>
        </w:rPr>
        <w:t>china</w:t>
      </w:r>
      <w:proofErr w:type="spellEnd"/>
      <w:r w:rsidR="002D1667" w:rsidRPr="00A962F5">
        <w:rPr>
          <w:rFonts w:cstheme="minorHAnsi"/>
          <w:sz w:val="24"/>
          <w:szCs w:val="24"/>
        </w:rPr>
        <w:t xml:space="preserve"> mark changed </w:t>
      </w:r>
      <w:r w:rsidR="004F0F6E" w:rsidRPr="00A962F5">
        <w:rPr>
          <w:rFonts w:cstheme="minorHAnsi"/>
          <w:sz w:val="24"/>
          <w:szCs w:val="24"/>
        </w:rPr>
        <w:t>to include “&amp;</w:t>
      </w:r>
      <w:proofErr w:type="spellStart"/>
      <w:r w:rsidR="004F0F6E" w:rsidRPr="00A962F5">
        <w:rPr>
          <w:rFonts w:cstheme="minorHAnsi"/>
          <w:sz w:val="24"/>
          <w:szCs w:val="24"/>
        </w:rPr>
        <w:t>sons</w:t>
      </w:r>
      <w:proofErr w:type="gramStart"/>
      <w:r w:rsidR="004F0F6E" w:rsidRPr="00A962F5">
        <w:rPr>
          <w:rFonts w:cstheme="minorHAnsi"/>
          <w:sz w:val="24"/>
          <w:szCs w:val="24"/>
        </w:rPr>
        <w:t>”</w:t>
      </w:r>
      <w:r w:rsidR="00F74BB8" w:rsidRPr="00A962F5">
        <w:rPr>
          <w:rFonts w:cstheme="minorHAnsi"/>
          <w:sz w:val="24"/>
          <w:szCs w:val="24"/>
        </w:rPr>
        <w:t>,</w:t>
      </w:r>
      <w:r w:rsidR="004F0F6E" w:rsidRPr="00A962F5">
        <w:rPr>
          <w:rFonts w:cstheme="minorHAnsi"/>
          <w:sz w:val="24"/>
          <w:szCs w:val="24"/>
        </w:rPr>
        <w:t>“</w:t>
      </w:r>
      <w:proofErr w:type="gramEnd"/>
      <w:r w:rsidR="004F0F6E" w:rsidRPr="00A962F5">
        <w:rPr>
          <w:rFonts w:cstheme="minorHAnsi"/>
          <w:sz w:val="24"/>
          <w:szCs w:val="24"/>
        </w:rPr>
        <w:t>England</w:t>
      </w:r>
      <w:proofErr w:type="spellEnd"/>
      <w:r w:rsidR="004F0F6E" w:rsidRPr="00A962F5">
        <w:rPr>
          <w:rFonts w:cstheme="minorHAnsi"/>
          <w:sz w:val="24"/>
          <w:szCs w:val="24"/>
        </w:rPr>
        <w:t xml:space="preserve">” </w:t>
      </w:r>
      <w:r w:rsidR="00F74BB8" w:rsidRPr="00A962F5">
        <w:rPr>
          <w:rFonts w:cstheme="minorHAnsi"/>
          <w:sz w:val="24"/>
          <w:szCs w:val="24"/>
        </w:rPr>
        <w:t xml:space="preserve">and finally the Crescent design by 1893 </w:t>
      </w:r>
      <w:r w:rsidR="004F0F6E" w:rsidRPr="00A962F5">
        <w:rPr>
          <w:rStyle w:val="FootnoteReference"/>
          <w:rFonts w:cstheme="minorHAnsi"/>
          <w:sz w:val="24"/>
          <w:szCs w:val="24"/>
        </w:rPr>
        <w:footnoteReference w:id="11"/>
      </w:r>
      <w:r w:rsidR="00F74BB8" w:rsidRPr="00A962F5">
        <w:rPr>
          <w:rFonts w:cstheme="minorHAnsi"/>
          <w:sz w:val="24"/>
          <w:szCs w:val="24"/>
        </w:rPr>
        <w:t>. The firm continued until 1957</w:t>
      </w:r>
      <w:r w:rsidR="00F9105B" w:rsidRPr="00A962F5">
        <w:rPr>
          <w:rFonts w:cstheme="minorHAnsi"/>
          <w:sz w:val="24"/>
          <w:szCs w:val="24"/>
        </w:rPr>
        <w:t xml:space="preserve"> </w:t>
      </w:r>
      <w:r w:rsidR="00F9105B" w:rsidRPr="00A962F5">
        <w:rPr>
          <w:rStyle w:val="FootnoteReference"/>
          <w:rFonts w:cstheme="minorHAnsi"/>
          <w:sz w:val="24"/>
          <w:szCs w:val="24"/>
        </w:rPr>
        <w:footnoteReference w:id="12"/>
      </w:r>
      <w:r w:rsidR="00F74BB8" w:rsidRPr="00A962F5">
        <w:rPr>
          <w:rFonts w:cstheme="minorHAnsi"/>
          <w:sz w:val="24"/>
          <w:szCs w:val="24"/>
        </w:rPr>
        <w:t xml:space="preserve">, so </w:t>
      </w:r>
      <w:r w:rsidR="00E04DB4" w:rsidRPr="00A962F5">
        <w:rPr>
          <w:rFonts w:cstheme="minorHAnsi"/>
          <w:sz w:val="24"/>
          <w:szCs w:val="24"/>
        </w:rPr>
        <w:t xml:space="preserve">from the </w:t>
      </w:r>
      <w:proofErr w:type="spellStart"/>
      <w:r w:rsidR="00E04DB4" w:rsidRPr="00A962F5">
        <w:rPr>
          <w:rFonts w:cstheme="minorHAnsi"/>
          <w:sz w:val="24"/>
          <w:szCs w:val="24"/>
        </w:rPr>
        <w:t>china</w:t>
      </w:r>
      <w:proofErr w:type="spellEnd"/>
      <w:r w:rsidR="00E04DB4" w:rsidRPr="00A962F5">
        <w:rPr>
          <w:rFonts w:cstheme="minorHAnsi"/>
          <w:sz w:val="24"/>
          <w:szCs w:val="24"/>
        </w:rPr>
        <w:t xml:space="preserve"> mark, we know </w:t>
      </w:r>
      <w:r w:rsidR="00F74BB8" w:rsidRPr="00A962F5">
        <w:rPr>
          <w:rFonts w:cstheme="minorHAnsi"/>
          <w:sz w:val="24"/>
          <w:szCs w:val="24"/>
        </w:rPr>
        <w:t xml:space="preserve">the tureen was manufactured </w:t>
      </w:r>
      <w:r w:rsidR="009A056A" w:rsidRPr="00A962F5">
        <w:rPr>
          <w:rFonts w:cstheme="minorHAnsi"/>
          <w:sz w:val="24"/>
          <w:szCs w:val="24"/>
        </w:rPr>
        <w:t xml:space="preserve">sometime </w:t>
      </w:r>
      <w:r w:rsidR="00F74BB8" w:rsidRPr="00A962F5">
        <w:rPr>
          <w:rFonts w:cstheme="minorHAnsi"/>
          <w:sz w:val="24"/>
          <w:szCs w:val="24"/>
        </w:rPr>
        <w:t>between these dates.</w:t>
      </w:r>
    </w:p>
    <w:p w14:paraId="0C65D1CE" w14:textId="7C33DCB4" w:rsidR="00E35652" w:rsidRPr="00A962F5" w:rsidRDefault="00B832D1">
      <w:pPr>
        <w:rPr>
          <w:rFonts w:cstheme="minorHAnsi"/>
          <w:sz w:val="24"/>
          <w:szCs w:val="24"/>
        </w:rPr>
      </w:pPr>
      <w:r w:rsidRPr="00A962F5">
        <w:rPr>
          <w:rFonts w:cstheme="minorHAnsi"/>
          <w:sz w:val="24"/>
          <w:szCs w:val="24"/>
        </w:rPr>
        <w:t xml:space="preserve"> </w:t>
      </w:r>
      <w:r w:rsidR="00E04DB4" w:rsidRPr="00A962F5">
        <w:rPr>
          <w:rFonts w:cstheme="minorHAnsi"/>
          <w:sz w:val="24"/>
          <w:szCs w:val="24"/>
        </w:rPr>
        <w:t xml:space="preserve">  </w:t>
      </w:r>
      <w:r w:rsidR="00F841BD" w:rsidRPr="00A962F5">
        <w:rPr>
          <w:rFonts w:cstheme="minorHAnsi"/>
          <w:sz w:val="24"/>
          <w:szCs w:val="24"/>
        </w:rPr>
        <w:t xml:space="preserve">As George Miller </w:t>
      </w:r>
      <w:r w:rsidR="00E04DB4" w:rsidRPr="00A962F5">
        <w:rPr>
          <w:rFonts w:cstheme="minorHAnsi"/>
          <w:sz w:val="24"/>
          <w:szCs w:val="24"/>
        </w:rPr>
        <w:t xml:space="preserve">in </w:t>
      </w:r>
      <w:r w:rsidR="00E04DB4" w:rsidRPr="00A962F5">
        <w:rPr>
          <w:rFonts w:cstheme="minorHAnsi"/>
          <w:i/>
          <w:iCs/>
          <w:sz w:val="24"/>
          <w:szCs w:val="24"/>
        </w:rPr>
        <w:t xml:space="preserve">Historical Archaeology </w:t>
      </w:r>
      <w:r w:rsidR="00F841BD" w:rsidRPr="00A962F5">
        <w:rPr>
          <w:rFonts w:cstheme="minorHAnsi"/>
          <w:sz w:val="24"/>
          <w:szCs w:val="24"/>
        </w:rPr>
        <w:t xml:space="preserve">says, the </w:t>
      </w:r>
      <w:r w:rsidR="00D576DD" w:rsidRPr="00A962F5">
        <w:rPr>
          <w:rFonts w:cstheme="minorHAnsi"/>
          <w:i/>
          <w:iCs/>
          <w:sz w:val="24"/>
          <w:szCs w:val="24"/>
        </w:rPr>
        <w:t>“social</w:t>
      </w:r>
      <w:r w:rsidR="00F841BD" w:rsidRPr="00A962F5">
        <w:rPr>
          <w:rFonts w:cstheme="minorHAnsi"/>
          <w:i/>
          <w:iCs/>
          <w:sz w:val="24"/>
          <w:szCs w:val="24"/>
        </w:rPr>
        <w:t xml:space="preserve"> status of any commodity is related to how much the object costs</w:t>
      </w:r>
      <w:r w:rsidR="00F841BD" w:rsidRPr="00A962F5">
        <w:rPr>
          <w:rFonts w:cstheme="minorHAnsi"/>
          <w:sz w:val="24"/>
          <w:szCs w:val="24"/>
        </w:rPr>
        <w:t xml:space="preserve">” </w:t>
      </w:r>
      <w:r w:rsidR="00F841BD" w:rsidRPr="00A962F5">
        <w:rPr>
          <w:rStyle w:val="FootnoteReference"/>
          <w:rFonts w:cstheme="minorHAnsi"/>
          <w:sz w:val="24"/>
          <w:szCs w:val="24"/>
        </w:rPr>
        <w:footnoteReference w:id="13"/>
      </w:r>
      <w:r w:rsidR="006A235A" w:rsidRPr="00A962F5">
        <w:rPr>
          <w:rFonts w:cstheme="minorHAnsi"/>
          <w:sz w:val="24"/>
          <w:szCs w:val="24"/>
        </w:rPr>
        <w:t>.</w:t>
      </w:r>
      <w:r w:rsidR="00290CA8" w:rsidRPr="00A962F5">
        <w:rPr>
          <w:rFonts w:cstheme="minorHAnsi"/>
          <w:i/>
          <w:iCs/>
          <w:sz w:val="24"/>
          <w:szCs w:val="24"/>
        </w:rPr>
        <w:t xml:space="preserve"> </w:t>
      </w:r>
      <w:r w:rsidR="00290CA8" w:rsidRPr="00A962F5">
        <w:rPr>
          <w:rFonts w:cstheme="minorHAnsi"/>
          <w:sz w:val="24"/>
          <w:szCs w:val="24"/>
        </w:rPr>
        <w:t xml:space="preserve">There are </w:t>
      </w:r>
      <w:r w:rsidR="00E04DB4" w:rsidRPr="00A962F5">
        <w:rPr>
          <w:rFonts w:cstheme="minorHAnsi"/>
          <w:sz w:val="24"/>
          <w:szCs w:val="24"/>
        </w:rPr>
        <w:t xml:space="preserve">however </w:t>
      </w:r>
      <w:r w:rsidR="00290CA8" w:rsidRPr="00A962F5">
        <w:rPr>
          <w:rFonts w:cstheme="minorHAnsi"/>
          <w:sz w:val="24"/>
          <w:szCs w:val="24"/>
        </w:rPr>
        <w:t xml:space="preserve">few records of the cost of manufactured </w:t>
      </w:r>
      <w:r w:rsidR="00536713" w:rsidRPr="00A962F5">
        <w:rPr>
          <w:rFonts w:cstheme="minorHAnsi"/>
          <w:sz w:val="24"/>
          <w:szCs w:val="24"/>
        </w:rPr>
        <w:t>ceramics</w:t>
      </w:r>
      <w:r w:rsidR="00290CA8" w:rsidRPr="00A962F5">
        <w:rPr>
          <w:rFonts w:cstheme="minorHAnsi"/>
          <w:sz w:val="24"/>
          <w:szCs w:val="24"/>
        </w:rPr>
        <w:t xml:space="preserve"> </w:t>
      </w:r>
      <w:r w:rsidR="00E04DB4" w:rsidRPr="00A962F5">
        <w:rPr>
          <w:rFonts w:cstheme="minorHAnsi"/>
          <w:sz w:val="24"/>
          <w:szCs w:val="24"/>
        </w:rPr>
        <w:t xml:space="preserve">at this time, </w:t>
      </w:r>
      <w:r w:rsidR="00290CA8" w:rsidRPr="00A962F5">
        <w:rPr>
          <w:rFonts w:cstheme="minorHAnsi"/>
          <w:sz w:val="24"/>
          <w:szCs w:val="24"/>
        </w:rPr>
        <w:t>but</w:t>
      </w:r>
      <w:r w:rsidR="00017335" w:rsidRPr="00A962F5">
        <w:rPr>
          <w:rFonts w:cstheme="minorHAnsi"/>
          <w:sz w:val="24"/>
          <w:szCs w:val="24"/>
        </w:rPr>
        <w:t xml:space="preserve"> the presence of “</w:t>
      </w:r>
      <w:r w:rsidR="00017335" w:rsidRPr="00A962F5">
        <w:rPr>
          <w:rFonts w:cstheme="minorHAnsi"/>
          <w:i/>
          <w:iCs/>
          <w:sz w:val="24"/>
          <w:szCs w:val="24"/>
        </w:rPr>
        <w:t>expensive forms such as tureens”</w:t>
      </w:r>
      <w:r w:rsidR="00084A14" w:rsidRPr="00A962F5">
        <w:rPr>
          <w:rFonts w:cstheme="minorHAnsi"/>
          <w:i/>
          <w:iCs/>
          <w:sz w:val="24"/>
          <w:szCs w:val="24"/>
        </w:rPr>
        <w:t xml:space="preserve"> </w:t>
      </w:r>
      <w:r w:rsidR="00084A14" w:rsidRPr="00A962F5">
        <w:rPr>
          <w:rStyle w:val="FootnoteReference"/>
          <w:rFonts w:cstheme="minorHAnsi"/>
          <w:i/>
          <w:iCs/>
          <w:sz w:val="24"/>
          <w:szCs w:val="24"/>
        </w:rPr>
        <w:footnoteReference w:id="14"/>
      </w:r>
      <w:r w:rsidR="005B02C4">
        <w:rPr>
          <w:rFonts w:cstheme="minorHAnsi"/>
          <w:i/>
          <w:iCs/>
          <w:sz w:val="24"/>
          <w:szCs w:val="24"/>
        </w:rPr>
        <w:t xml:space="preserve"> </w:t>
      </w:r>
      <w:r w:rsidR="00290CA8" w:rsidRPr="00A962F5">
        <w:rPr>
          <w:rFonts w:cstheme="minorHAnsi"/>
          <w:sz w:val="24"/>
          <w:szCs w:val="24"/>
        </w:rPr>
        <w:t>could indicate</w:t>
      </w:r>
      <w:r w:rsidR="00536713" w:rsidRPr="00A962F5">
        <w:rPr>
          <w:rFonts w:cstheme="minorHAnsi"/>
          <w:sz w:val="24"/>
          <w:szCs w:val="24"/>
        </w:rPr>
        <w:t xml:space="preserve"> </w:t>
      </w:r>
      <w:r w:rsidR="00290CA8" w:rsidRPr="00A962F5">
        <w:rPr>
          <w:rFonts w:cstheme="minorHAnsi"/>
          <w:sz w:val="24"/>
          <w:szCs w:val="24"/>
        </w:rPr>
        <w:t xml:space="preserve">this </w:t>
      </w:r>
      <w:r w:rsidR="00E04DB4" w:rsidRPr="00A962F5">
        <w:rPr>
          <w:rFonts w:cstheme="minorHAnsi"/>
          <w:sz w:val="24"/>
          <w:szCs w:val="24"/>
        </w:rPr>
        <w:t xml:space="preserve">object </w:t>
      </w:r>
      <w:r w:rsidR="00536713" w:rsidRPr="00A962F5">
        <w:rPr>
          <w:rFonts w:cstheme="minorHAnsi"/>
          <w:sz w:val="24"/>
          <w:szCs w:val="24"/>
        </w:rPr>
        <w:t>expresses affluence. It</w:t>
      </w:r>
      <w:r w:rsidR="00E35652" w:rsidRPr="00A962F5">
        <w:rPr>
          <w:rFonts w:cstheme="minorHAnsi"/>
          <w:sz w:val="24"/>
          <w:szCs w:val="24"/>
        </w:rPr>
        <w:t xml:space="preserve"> might indicate a </w:t>
      </w:r>
      <w:r w:rsidR="009E30DC" w:rsidRPr="00A962F5">
        <w:rPr>
          <w:rFonts w:cstheme="minorHAnsi"/>
          <w:sz w:val="24"/>
          <w:szCs w:val="24"/>
        </w:rPr>
        <w:t>middle-class</w:t>
      </w:r>
      <w:r w:rsidR="00E35652" w:rsidRPr="00A962F5">
        <w:rPr>
          <w:rFonts w:cstheme="minorHAnsi"/>
          <w:sz w:val="24"/>
          <w:szCs w:val="24"/>
        </w:rPr>
        <w:t xml:space="preserve"> home able to demonstrate spare </w:t>
      </w:r>
      <w:r w:rsidR="00D576DD" w:rsidRPr="00A962F5">
        <w:rPr>
          <w:rFonts w:cstheme="minorHAnsi"/>
          <w:sz w:val="24"/>
          <w:szCs w:val="24"/>
        </w:rPr>
        <w:t>wealth and</w:t>
      </w:r>
      <w:r w:rsidR="00E35652" w:rsidRPr="00A962F5">
        <w:rPr>
          <w:rFonts w:cstheme="minorHAnsi"/>
          <w:sz w:val="24"/>
          <w:szCs w:val="24"/>
        </w:rPr>
        <w:t xml:space="preserve"> have the social order to preserve and care for the item, with the likelihood of an abundance of food, that needs to be stored and </w:t>
      </w:r>
      <w:r w:rsidR="00D576DD" w:rsidRPr="00A962F5">
        <w:rPr>
          <w:rFonts w:cstheme="minorHAnsi"/>
          <w:sz w:val="24"/>
          <w:szCs w:val="24"/>
        </w:rPr>
        <w:t>kept hot</w:t>
      </w:r>
      <w:r w:rsidR="00E35652" w:rsidRPr="00A962F5">
        <w:rPr>
          <w:rFonts w:cstheme="minorHAnsi"/>
          <w:sz w:val="24"/>
          <w:szCs w:val="24"/>
        </w:rPr>
        <w:t xml:space="preserve"> on the table while the family eat.</w:t>
      </w:r>
      <w:r w:rsidR="007C2AAC" w:rsidRPr="00A962F5">
        <w:rPr>
          <w:rFonts w:cstheme="minorHAnsi"/>
          <w:sz w:val="24"/>
          <w:szCs w:val="24"/>
        </w:rPr>
        <w:t xml:space="preserve"> It could be that the family, at this point were showing conspicuous consumption </w:t>
      </w:r>
      <w:r w:rsidR="007C2AAC" w:rsidRPr="00A962F5">
        <w:rPr>
          <w:rStyle w:val="FootnoteReference"/>
          <w:rFonts w:cstheme="minorHAnsi"/>
          <w:sz w:val="24"/>
          <w:szCs w:val="24"/>
        </w:rPr>
        <w:footnoteReference w:id="15"/>
      </w:r>
      <w:r w:rsidR="002C62A9" w:rsidRPr="00A962F5">
        <w:rPr>
          <w:rFonts w:cstheme="minorHAnsi"/>
          <w:sz w:val="24"/>
          <w:szCs w:val="24"/>
        </w:rPr>
        <w:t xml:space="preserve"> in this choice of utensil, but as the only surviving heirloom this may be the only object of this stature- and as a manufactured item may not have been that valuable in the first instance.</w:t>
      </w:r>
    </w:p>
    <w:p w14:paraId="6A489ED9" w14:textId="3DA78F4C" w:rsidR="003F6F3B" w:rsidRPr="00A962F5" w:rsidRDefault="00CB6153">
      <w:pPr>
        <w:rPr>
          <w:rFonts w:cstheme="minorHAnsi"/>
          <w:sz w:val="24"/>
          <w:szCs w:val="24"/>
        </w:rPr>
      </w:pPr>
      <w:r w:rsidRPr="00A962F5">
        <w:rPr>
          <w:rFonts w:cstheme="minorHAnsi"/>
          <w:sz w:val="24"/>
          <w:szCs w:val="24"/>
        </w:rPr>
        <w:t xml:space="preserve">  We do not know if </w:t>
      </w:r>
      <w:r w:rsidR="003F6F3B" w:rsidRPr="00A962F5">
        <w:rPr>
          <w:rFonts w:cstheme="minorHAnsi"/>
          <w:sz w:val="24"/>
          <w:szCs w:val="24"/>
        </w:rPr>
        <w:t>it came into the family</w:t>
      </w:r>
      <w:r w:rsidRPr="00A962F5">
        <w:rPr>
          <w:rFonts w:cstheme="minorHAnsi"/>
          <w:sz w:val="24"/>
          <w:szCs w:val="24"/>
        </w:rPr>
        <w:t xml:space="preserve"> new, gifted, </w:t>
      </w:r>
      <w:r w:rsidR="003F6F3B" w:rsidRPr="00A962F5">
        <w:rPr>
          <w:rFonts w:cstheme="minorHAnsi"/>
          <w:sz w:val="24"/>
          <w:szCs w:val="24"/>
        </w:rPr>
        <w:t xml:space="preserve">or </w:t>
      </w:r>
      <w:r w:rsidRPr="00A962F5">
        <w:rPr>
          <w:rFonts w:cstheme="minorHAnsi"/>
          <w:sz w:val="24"/>
          <w:szCs w:val="24"/>
        </w:rPr>
        <w:t>bought second hand- but having it does show a level of comfortable ownership</w:t>
      </w:r>
      <w:r w:rsidR="000E4399" w:rsidRPr="00A962F5">
        <w:rPr>
          <w:rFonts w:cstheme="minorHAnsi"/>
          <w:sz w:val="24"/>
          <w:szCs w:val="24"/>
        </w:rPr>
        <w:t xml:space="preserve">. It could be </w:t>
      </w:r>
      <w:r w:rsidR="00536713" w:rsidRPr="00A962F5">
        <w:rPr>
          <w:rFonts w:cstheme="minorHAnsi"/>
          <w:sz w:val="24"/>
          <w:szCs w:val="24"/>
        </w:rPr>
        <w:t xml:space="preserve">viewed as </w:t>
      </w:r>
      <w:r w:rsidR="000E4399" w:rsidRPr="00A962F5">
        <w:rPr>
          <w:rFonts w:cstheme="minorHAnsi"/>
          <w:sz w:val="24"/>
          <w:szCs w:val="24"/>
        </w:rPr>
        <w:t xml:space="preserve">a way of storing wealth as </w:t>
      </w:r>
      <w:r w:rsidR="00147282">
        <w:rPr>
          <w:rFonts w:cstheme="minorHAnsi"/>
          <w:sz w:val="24"/>
          <w:szCs w:val="24"/>
        </w:rPr>
        <w:t>a commodity that</w:t>
      </w:r>
      <w:r w:rsidR="000E4399" w:rsidRPr="00A962F5">
        <w:rPr>
          <w:rFonts w:cstheme="minorHAnsi"/>
          <w:sz w:val="24"/>
          <w:szCs w:val="24"/>
        </w:rPr>
        <w:t xml:space="preserve"> could be sold</w:t>
      </w:r>
      <w:r w:rsidR="00147282">
        <w:rPr>
          <w:rFonts w:cstheme="minorHAnsi"/>
          <w:sz w:val="24"/>
          <w:szCs w:val="24"/>
        </w:rPr>
        <w:t xml:space="preserve"> </w:t>
      </w:r>
      <w:r w:rsidR="00147282">
        <w:rPr>
          <w:rStyle w:val="FootnoteReference"/>
          <w:rFonts w:cstheme="minorHAnsi"/>
          <w:sz w:val="24"/>
          <w:szCs w:val="24"/>
        </w:rPr>
        <w:footnoteReference w:id="16"/>
      </w:r>
      <w:r w:rsidR="000E4399" w:rsidRPr="00A962F5">
        <w:rPr>
          <w:rFonts w:cstheme="minorHAnsi"/>
          <w:sz w:val="24"/>
          <w:szCs w:val="24"/>
        </w:rPr>
        <w:t>, but luckily our</w:t>
      </w:r>
      <w:r w:rsidRPr="00A962F5">
        <w:rPr>
          <w:rFonts w:cstheme="minorHAnsi"/>
          <w:sz w:val="24"/>
          <w:szCs w:val="24"/>
        </w:rPr>
        <w:t xml:space="preserve"> family did not need to sell it for </w:t>
      </w:r>
      <w:r w:rsidR="00536713" w:rsidRPr="00A962F5">
        <w:rPr>
          <w:rFonts w:cstheme="minorHAnsi"/>
          <w:sz w:val="24"/>
          <w:szCs w:val="24"/>
        </w:rPr>
        <w:t>essentials</w:t>
      </w:r>
      <w:r w:rsidR="000E4399" w:rsidRPr="00A962F5">
        <w:rPr>
          <w:rFonts w:cstheme="minorHAnsi"/>
          <w:sz w:val="24"/>
          <w:szCs w:val="24"/>
        </w:rPr>
        <w:t xml:space="preserve">. The </w:t>
      </w:r>
      <w:r w:rsidR="00D576DD" w:rsidRPr="00A962F5">
        <w:rPr>
          <w:rFonts w:cstheme="minorHAnsi"/>
          <w:sz w:val="24"/>
          <w:szCs w:val="24"/>
        </w:rPr>
        <w:t xml:space="preserve">monetary </w:t>
      </w:r>
      <w:r w:rsidR="000E4399" w:rsidRPr="00A962F5">
        <w:rPr>
          <w:rFonts w:cstheme="minorHAnsi"/>
          <w:sz w:val="24"/>
          <w:szCs w:val="24"/>
        </w:rPr>
        <w:t xml:space="preserve">value now is not high, the staining inside may </w:t>
      </w:r>
      <w:r w:rsidR="00E04DB4" w:rsidRPr="00A962F5">
        <w:rPr>
          <w:rFonts w:cstheme="minorHAnsi"/>
          <w:sz w:val="24"/>
          <w:szCs w:val="24"/>
        </w:rPr>
        <w:t xml:space="preserve">also </w:t>
      </w:r>
      <w:r w:rsidR="000E4399" w:rsidRPr="00A962F5">
        <w:rPr>
          <w:rFonts w:cstheme="minorHAnsi"/>
          <w:sz w:val="24"/>
          <w:szCs w:val="24"/>
        </w:rPr>
        <w:t xml:space="preserve">reduce </w:t>
      </w:r>
      <w:r w:rsidR="00D576DD" w:rsidRPr="00A962F5">
        <w:rPr>
          <w:rFonts w:cstheme="minorHAnsi"/>
          <w:sz w:val="24"/>
          <w:szCs w:val="24"/>
        </w:rPr>
        <w:t xml:space="preserve">the </w:t>
      </w:r>
      <w:r w:rsidR="000E4399" w:rsidRPr="00A962F5">
        <w:rPr>
          <w:rFonts w:cstheme="minorHAnsi"/>
          <w:sz w:val="24"/>
          <w:szCs w:val="24"/>
        </w:rPr>
        <w:t>value, but the sentimental value has increased</w:t>
      </w:r>
      <w:r w:rsidR="009E30DC">
        <w:rPr>
          <w:rFonts w:cstheme="minorHAnsi"/>
          <w:sz w:val="24"/>
          <w:szCs w:val="24"/>
        </w:rPr>
        <w:t xml:space="preserve">, it has become inalienable </w:t>
      </w:r>
      <w:r w:rsidR="009E30DC">
        <w:rPr>
          <w:rStyle w:val="FootnoteReference"/>
          <w:rFonts w:cstheme="minorHAnsi"/>
          <w:sz w:val="24"/>
          <w:szCs w:val="24"/>
        </w:rPr>
        <w:footnoteReference w:id="17"/>
      </w:r>
      <w:r w:rsidR="00883216">
        <w:rPr>
          <w:rFonts w:cstheme="minorHAnsi"/>
          <w:sz w:val="24"/>
          <w:szCs w:val="24"/>
        </w:rPr>
        <w:t>.</w:t>
      </w:r>
      <w:r w:rsidR="000E4399" w:rsidRPr="00A962F5">
        <w:rPr>
          <w:rFonts w:cstheme="minorHAnsi"/>
          <w:sz w:val="24"/>
          <w:szCs w:val="24"/>
        </w:rPr>
        <w:t xml:space="preserve"> It connects me to my mother, with memories of meals when it was used. It connects me to an unknown </w:t>
      </w:r>
      <w:r w:rsidR="000E4399" w:rsidRPr="00A962F5">
        <w:rPr>
          <w:rFonts w:cstheme="minorHAnsi"/>
          <w:sz w:val="24"/>
          <w:szCs w:val="24"/>
        </w:rPr>
        <w:lastRenderedPageBreak/>
        <w:t>great Grandmother, through my Nan who I do remember well. It</w:t>
      </w:r>
      <w:r w:rsidR="009A056A" w:rsidRPr="00A962F5">
        <w:rPr>
          <w:rFonts w:cstheme="minorHAnsi"/>
          <w:sz w:val="24"/>
          <w:szCs w:val="24"/>
        </w:rPr>
        <w:t xml:space="preserve"> also connects</w:t>
      </w:r>
      <w:r w:rsidR="000E4399" w:rsidRPr="00A962F5">
        <w:rPr>
          <w:rFonts w:cstheme="minorHAnsi"/>
          <w:sz w:val="24"/>
          <w:szCs w:val="24"/>
        </w:rPr>
        <w:t xml:space="preserve"> my daughter</w:t>
      </w:r>
      <w:r w:rsidR="009A056A" w:rsidRPr="00A962F5">
        <w:rPr>
          <w:rFonts w:cstheme="minorHAnsi"/>
          <w:sz w:val="24"/>
          <w:szCs w:val="24"/>
        </w:rPr>
        <w:t xml:space="preserve"> to a distant past,</w:t>
      </w:r>
      <w:r w:rsidR="000E4399" w:rsidRPr="00A962F5">
        <w:rPr>
          <w:rFonts w:cstheme="minorHAnsi"/>
          <w:sz w:val="24"/>
          <w:szCs w:val="24"/>
        </w:rPr>
        <w:t xml:space="preserve"> with this accompanying story</w:t>
      </w:r>
      <w:r w:rsidR="002E78F0" w:rsidRPr="00A962F5">
        <w:rPr>
          <w:rFonts w:cstheme="minorHAnsi"/>
          <w:sz w:val="24"/>
          <w:szCs w:val="24"/>
        </w:rPr>
        <w:t>.</w:t>
      </w:r>
      <w:r w:rsidR="00536713" w:rsidRPr="00A962F5">
        <w:rPr>
          <w:rFonts w:cstheme="minorHAnsi"/>
          <w:sz w:val="24"/>
          <w:szCs w:val="24"/>
        </w:rPr>
        <w:t xml:space="preserve"> Its agency has </w:t>
      </w:r>
      <w:r w:rsidR="004C7262" w:rsidRPr="00A962F5">
        <w:rPr>
          <w:rFonts w:cstheme="minorHAnsi"/>
          <w:sz w:val="24"/>
          <w:szCs w:val="24"/>
        </w:rPr>
        <w:t>expanded</w:t>
      </w:r>
      <w:r w:rsidR="00536713" w:rsidRPr="00A962F5">
        <w:rPr>
          <w:rFonts w:cstheme="minorHAnsi"/>
          <w:sz w:val="24"/>
          <w:szCs w:val="24"/>
        </w:rPr>
        <w:t xml:space="preserve"> from</w:t>
      </w:r>
      <w:r w:rsidR="00610E76" w:rsidRPr="00A962F5">
        <w:rPr>
          <w:rFonts w:cstheme="minorHAnsi"/>
          <w:sz w:val="24"/>
          <w:szCs w:val="24"/>
        </w:rPr>
        <w:t xml:space="preserve"> </w:t>
      </w:r>
      <w:r w:rsidR="00536713" w:rsidRPr="00A962F5">
        <w:rPr>
          <w:rFonts w:cstheme="minorHAnsi"/>
          <w:sz w:val="24"/>
          <w:szCs w:val="24"/>
        </w:rPr>
        <w:t>functional beauty</w:t>
      </w:r>
      <w:r w:rsidR="00610E76" w:rsidRPr="00A962F5">
        <w:rPr>
          <w:rFonts w:cstheme="minorHAnsi"/>
          <w:sz w:val="24"/>
          <w:szCs w:val="24"/>
        </w:rPr>
        <w:t xml:space="preserve"> conferring economic status</w:t>
      </w:r>
      <w:r w:rsidR="00536713" w:rsidRPr="00A962F5">
        <w:rPr>
          <w:rFonts w:cstheme="minorHAnsi"/>
          <w:sz w:val="24"/>
          <w:szCs w:val="24"/>
        </w:rPr>
        <w:t xml:space="preserve">, </w:t>
      </w:r>
      <w:r w:rsidR="00610E76" w:rsidRPr="00A962F5">
        <w:rPr>
          <w:rFonts w:cstheme="minorHAnsi"/>
          <w:sz w:val="24"/>
          <w:szCs w:val="24"/>
        </w:rPr>
        <w:t xml:space="preserve">with the addition of </w:t>
      </w:r>
      <w:r w:rsidR="00536713" w:rsidRPr="00A962F5">
        <w:rPr>
          <w:rFonts w:cstheme="minorHAnsi"/>
          <w:sz w:val="24"/>
          <w:szCs w:val="24"/>
        </w:rPr>
        <w:t xml:space="preserve">sentimental </w:t>
      </w:r>
      <w:r w:rsidR="00610E76" w:rsidRPr="00A962F5">
        <w:rPr>
          <w:rFonts w:cstheme="minorHAnsi"/>
          <w:sz w:val="24"/>
          <w:szCs w:val="24"/>
        </w:rPr>
        <w:t>ownership linking 5 generations of women</w:t>
      </w:r>
      <w:r w:rsidR="003F6F3B" w:rsidRPr="00A962F5">
        <w:rPr>
          <w:rFonts w:cstheme="minorHAnsi"/>
          <w:sz w:val="24"/>
          <w:szCs w:val="24"/>
        </w:rPr>
        <w:t xml:space="preserve"> </w:t>
      </w:r>
      <w:r w:rsidR="00610E76" w:rsidRPr="00A962F5">
        <w:rPr>
          <w:rFonts w:cstheme="minorHAnsi"/>
          <w:sz w:val="24"/>
          <w:szCs w:val="24"/>
        </w:rPr>
        <w:t>connected by blood.</w:t>
      </w:r>
      <w:r w:rsidR="009A056A" w:rsidRPr="00A962F5">
        <w:rPr>
          <w:rFonts w:cstheme="minorHAnsi"/>
          <w:sz w:val="24"/>
          <w:szCs w:val="24"/>
        </w:rPr>
        <w:t xml:space="preserve"> As we handle this tureen, our hands in the same places as our predecessors, we can imagine the </w:t>
      </w:r>
      <w:r w:rsidR="005B02C4">
        <w:rPr>
          <w:rFonts w:cstheme="minorHAnsi"/>
          <w:sz w:val="24"/>
          <w:szCs w:val="24"/>
        </w:rPr>
        <w:t xml:space="preserve">social </w:t>
      </w:r>
      <w:r w:rsidR="009A056A" w:rsidRPr="00A962F5">
        <w:rPr>
          <w:rFonts w:cstheme="minorHAnsi"/>
          <w:sz w:val="24"/>
          <w:szCs w:val="24"/>
        </w:rPr>
        <w:t xml:space="preserve">changes this table centrepiece has seen, </w:t>
      </w:r>
      <w:r w:rsidR="004C7262" w:rsidRPr="00A962F5">
        <w:rPr>
          <w:rFonts w:cstheme="minorHAnsi"/>
          <w:sz w:val="24"/>
          <w:szCs w:val="24"/>
        </w:rPr>
        <w:t xml:space="preserve">and treasure </w:t>
      </w:r>
      <w:r w:rsidR="005B02C4">
        <w:rPr>
          <w:rFonts w:cstheme="minorHAnsi"/>
          <w:sz w:val="24"/>
          <w:szCs w:val="24"/>
        </w:rPr>
        <w:t xml:space="preserve">the </w:t>
      </w:r>
      <w:r w:rsidR="004C7262" w:rsidRPr="00A962F5">
        <w:rPr>
          <w:rFonts w:cstheme="minorHAnsi"/>
          <w:sz w:val="24"/>
          <w:szCs w:val="24"/>
        </w:rPr>
        <w:t>story held within its glaze.</w:t>
      </w:r>
    </w:p>
    <w:p w14:paraId="3C15C912" w14:textId="5D384B8F" w:rsidR="005C6125" w:rsidRPr="00A962F5" w:rsidRDefault="00CA02E7">
      <w:pPr>
        <w:rPr>
          <w:rFonts w:cstheme="minorHAnsi"/>
          <w:sz w:val="24"/>
          <w:szCs w:val="24"/>
        </w:rPr>
      </w:pPr>
      <w:r w:rsidRPr="00A962F5">
        <w:rPr>
          <w:rFonts w:cstheme="minorHAnsi"/>
          <w:sz w:val="24"/>
          <w:szCs w:val="24"/>
        </w:rPr>
        <w:t xml:space="preserve">Word count </w:t>
      </w:r>
      <w:r w:rsidR="002D4067" w:rsidRPr="00A962F5">
        <w:rPr>
          <w:rFonts w:cstheme="minorHAnsi"/>
          <w:sz w:val="24"/>
          <w:szCs w:val="24"/>
        </w:rPr>
        <w:t>1</w:t>
      </w:r>
      <w:r w:rsidR="00497065">
        <w:rPr>
          <w:rFonts w:cstheme="minorHAnsi"/>
          <w:sz w:val="24"/>
          <w:szCs w:val="24"/>
        </w:rPr>
        <w:t>1</w:t>
      </w:r>
      <w:r w:rsidR="005B02C4">
        <w:rPr>
          <w:rFonts w:cstheme="minorHAnsi"/>
          <w:sz w:val="24"/>
          <w:szCs w:val="24"/>
        </w:rPr>
        <w:t>67</w:t>
      </w:r>
      <w:r w:rsidR="00497065">
        <w:rPr>
          <w:rFonts w:cstheme="minorHAnsi"/>
          <w:sz w:val="24"/>
          <w:szCs w:val="24"/>
        </w:rPr>
        <w:t>.</w:t>
      </w:r>
    </w:p>
    <w:p w14:paraId="39C08703" w14:textId="286E5106" w:rsidR="00383529" w:rsidRDefault="00383529">
      <w:pPr>
        <w:rPr>
          <w:rFonts w:cstheme="minorHAnsi"/>
          <w:sz w:val="24"/>
          <w:szCs w:val="24"/>
        </w:rPr>
      </w:pPr>
      <w:r w:rsidRPr="00A962F5">
        <w:rPr>
          <w:rFonts w:cstheme="minorHAnsi"/>
          <w:sz w:val="24"/>
          <w:szCs w:val="24"/>
        </w:rPr>
        <w:t>Bibliography</w:t>
      </w:r>
    </w:p>
    <w:p w14:paraId="2B27145E" w14:textId="0BAEA01F" w:rsidR="00B2376E" w:rsidRDefault="008A0808">
      <w:pPr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drawing>
          <wp:inline distT="0" distB="0" distL="0" distR="0" wp14:anchorId="45418CE5" wp14:editId="52E8ECA8">
            <wp:extent cx="5731510" cy="3821430"/>
            <wp:effectExtent l="0" t="0" r="2540" b="7620"/>
            <wp:docPr id="2" name="Picture 2" descr="A picture containing dishware, tableware, porcelai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dishware, tableware, porcelain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1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645294" w14:textId="46A8C2DE" w:rsidR="00147282" w:rsidRPr="00147282" w:rsidRDefault="008A0808" w:rsidP="00147282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Photo by author 2021.</w:t>
      </w:r>
    </w:p>
    <w:p w14:paraId="154A1FE3" w14:textId="03C0D62E" w:rsidR="00147282" w:rsidRPr="00A962F5" w:rsidRDefault="00147282" w:rsidP="00147282">
      <w:pPr>
        <w:rPr>
          <w:rFonts w:cstheme="minorHAnsi"/>
          <w:sz w:val="24"/>
          <w:szCs w:val="24"/>
        </w:rPr>
      </w:pPr>
      <w:r w:rsidRPr="00147282">
        <w:rPr>
          <w:rFonts w:cstheme="minorHAnsi"/>
          <w:sz w:val="24"/>
          <w:szCs w:val="24"/>
        </w:rPr>
        <w:t xml:space="preserve">  Appadurai, Arjun -, The Social Life of </w:t>
      </w:r>
      <w:proofErr w:type="gramStart"/>
      <w:r w:rsidRPr="00147282">
        <w:rPr>
          <w:rFonts w:cstheme="minorHAnsi"/>
          <w:sz w:val="24"/>
          <w:szCs w:val="24"/>
        </w:rPr>
        <w:t>Things :</w:t>
      </w:r>
      <w:proofErr w:type="gramEnd"/>
      <w:r w:rsidRPr="00147282">
        <w:rPr>
          <w:rFonts w:cstheme="minorHAnsi"/>
          <w:sz w:val="24"/>
          <w:szCs w:val="24"/>
        </w:rPr>
        <w:t xml:space="preserve"> Commodities in Cultural Perspective (Cambridge: Cambridge University Press, 1997)</w:t>
      </w:r>
    </w:p>
    <w:p w14:paraId="6734599E" w14:textId="5378D938" w:rsidR="007C2AAC" w:rsidRPr="00A962F5" w:rsidRDefault="007C2AAC" w:rsidP="007C2AAC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7C2AAC">
        <w:rPr>
          <w:rFonts w:eastAsia="Times New Roman" w:cstheme="minorHAnsi"/>
          <w:sz w:val="24"/>
          <w:szCs w:val="24"/>
          <w:lang w:eastAsia="en-GB"/>
        </w:rPr>
        <w:t xml:space="preserve">Bagwell, Laurie Simon, and B. Douglas </w:t>
      </w:r>
      <w:proofErr w:type="spellStart"/>
      <w:r w:rsidRPr="007C2AAC">
        <w:rPr>
          <w:rFonts w:eastAsia="Times New Roman" w:cstheme="minorHAnsi"/>
          <w:sz w:val="24"/>
          <w:szCs w:val="24"/>
          <w:lang w:eastAsia="en-GB"/>
        </w:rPr>
        <w:t>Bernheim</w:t>
      </w:r>
      <w:proofErr w:type="spellEnd"/>
      <w:r w:rsidRPr="007C2AAC">
        <w:rPr>
          <w:rFonts w:eastAsia="Times New Roman" w:cstheme="minorHAnsi"/>
          <w:sz w:val="24"/>
          <w:szCs w:val="24"/>
          <w:lang w:eastAsia="en-GB"/>
        </w:rPr>
        <w:t xml:space="preserve">. “Veblen Effects in a Theory of Conspicuous Consumption.” </w:t>
      </w:r>
      <w:r w:rsidRPr="007C2AAC">
        <w:rPr>
          <w:rFonts w:eastAsia="Times New Roman" w:cstheme="minorHAnsi"/>
          <w:i/>
          <w:iCs/>
          <w:sz w:val="24"/>
          <w:szCs w:val="24"/>
          <w:lang w:eastAsia="en-GB"/>
        </w:rPr>
        <w:t>The American Economic Review</w:t>
      </w:r>
      <w:r w:rsidRPr="007C2AAC">
        <w:rPr>
          <w:rFonts w:eastAsia="Times New Roman" w:cstheme="minorHAnsi"/>
          <w:sz w:val="24"/>
          <w:szCs w:val="24"/>
          <w:lang w:eastAsia="en-GB"/>
        </w:rPr>
        <w:t xml:space="preserve">, vol. 86, no. 3, American Economic Association, 1996, pp. 349–73, </w:t>
      </w:r>
      <w:hyperlink r:id="rId7" w:history="1">
        <w:r w:rsidRPr="007C2AAC">
          <w:rPr>
            <w:rStyle w:val="Hyperlink"/>
            <w:rFonts w:eastAsia="Times New Roman" w:cstheme="minorHAnsi"/>
            <w:sz w:val="24"/>
            <w:szCs w:val="24"/>
            <w:lang w:eastAsia="en-GB"/>
          </w:rPr>
          <w:t>http://www.jstor.org/stable/2118201</w:t>
        </w:r>
      </w:hyperlink>
      <w:r w:rsidRPr="007C2AAC">
        <w:rPr>
          <w:rFonts w:eastAsia="Times New Roman" w:cstheme="minorHAnsi"/>
          <w:sz w:val="24"/>
          <w:szCs w:val="24"/>
          <w:lang w:eastAsia="en-GB"/>
        </w:rPr>
        <w:t>.</w:t>
      </w:r>
    </w:p>
    <w:p w14:paraId="734AA814" w14:textId="77777777" w:rsidR="007C2AAC" w:rsidRPr="00A962F5" w:rsidRDefault="007C2AAC" w:rsidP="007C2AAC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6771BB00" w14:textId="486BBD35" w:rsidR="00383529" w:rsidRPr="00A962F5" w:rsidRDefault="00383529">
      <w:pPr>
        <w:rPr>
          <w:rFonts w:cstheme="minorHAnsi"/>
          <w:sz w:val="24"/>
          <w:szCs w:val="24"/>
        </w:rPr>
      </w:pPr>
      <w:r w:rsidRPr="00A962F5">
        <w:rPr>
          <w:rFonts w:cstheme="minorHAnsi"/>
          <w:sz w:val="24"/>
          <w:szCs w:val="24"/>
        </w:rPr>
        <w:t xml:space="preserve">Birks, Steve. 2021. A-Z of Stoke-on-Trent Potters. George Jones&amp; Co. George Jones and Sons Ltd. Available at: </w:t>
      </w:r>
      <w:hyperlink r:id="rId8" w:history="1">
        <w:r w:rsidR="00F841BD" w:rsidRPr="00A962F5">
          <w:rPr>
            <w:rStyle w:val="Hyperlink"/>
            <w:rFonts w:cstheme="minorHAnsi"/>
            <w:sz w:val="24"/>
            <w:szCs w:val="24"/>
          </w:rPr>
          <w:t>http://www.thepotteries.org/allpotters/611.htm accessed on 9/12/21</w:t>
        </w:r>
      </w:hyperlink>
      <w:r w:rsidRPr="00A962F5">
        <w:rPr>
          <w:rFonts w:cstheme="minorHAnsi"/>
          <w:sz w:val="24"/>
          <w:szCs w:val="24"/>
        </w:rPr>
        <w:t>.</w:t>
      </w:r>
    </w:p>
    <w:p w14:paraId="684672BE" w14:textId="7446D82D" w:rsidR="002414EB" w:rsidRPr="00A962F5" w:rsidRDefault="002414EB">
      <w:pPr>
        <w:rPr>
          <w:rFonts w:cstheme="minorHAnsi"/>
          <w:sz w:val="24"/>
          <w:szCs w:val="24"/>
        </w:rPr>
      </w:pPr>
      <w:r w:rsidRPr="00A962F5">
        <w:rPr>
          <w:rFonts w:cstheme="minorHAnsi"/>
          <w:sz w:val="24"/>
          <w:szCs w:val="24"/>
        </w:rPr>
        <w:t xml:space="preserve">Greenland, Fiona. 2018. Material culture and the problem of agency. Macmillan </w:t>
      </w:r>
      <w:proofErr w:type="spellStart"/>
      <w:r w:rsidRPr="00A962F5">
        <w:rPr>
          <w:rFonts w:cstheme="minorHAnsi"/>
          <w:sz w:val="24"/>
          <w:szCs w:val="24"/>
        </w:rPr>
        <w:t>Pub.Ltd</w:t>
      </w:r>
      <w:proofErr w:type="spellEnd"/>
      <w:r w:rsidRPr="00A962F5">
        <w:rPr>
          <w:rFonts w:cstheme="minorHAnsi"/>
          <w:sz w:val="24"/>
          <w:szCs w:val="24"/>
        </w:rPr>
        <w:t>.</w:t>
      </w:r>
      <w:r w:rsidR="001C2A4E" w:rsidRPr="00A962F5">
        <w:rPr>
          <w:rFonts w:cstheme="minorHAnsi"/>
          <w:sz w:val="24"/>
          <w:szCs w:val="24"/>
        </w:rPr>
        <w:t xml:space="preserve"> part of Springer Nature 2018. Available at: </w:t>
      </w:r>
      <w:hyperlink r:id="rId9" w:history="1">
        <w:r w:rsidR="001C2A4E" w:rsidRPr="00A962F5">
          <w:rPr>
            <w:rStyle w:val="Hyperlink"/>
            <w:rFonts w:cstheme="minorHAnsi"/>
            <w:sz w:val="24"/>
            <w:szCs w:val="24"/>
          </w:rPr>
          <w:t>https://uva.theopenscholar.com/files/fiona-greenland/files/greenland_2019_gell_agency_review_ajcs.pdf</w:t>
        </w:r>
      </w:hyperlink>
      <w:r w:rsidR="001C2A4E" w:rsidRPr="00A962F5">
        <w:rPr>
          <w:rFonts w:cstheme="minorHAnsi"/>
          <w:sz w:val="24"/>
          <w:szCs w:val="24"/>
        </w:rPr>
        <w:t xml:space="preserve"> Accessed on 10/12/21.</w:t>
      </w:r>
    </w:p>
    <w:p w14:paraId="0025677E" w14:textId="46C36FB9" w:rsidR="00F841BD" w:rsidRPr="00A962F5" w:rsidRDefault="00F841BD">
      <w:pPr>
        <w:rPr>
          <w:rFonts w:cstheme="minorHAnsi"/>
          <w:color w:val="000000"/>
          <w:spacing w:val="-5"/>
          <w:sz w:val="24"/>
          <w:szCs w:val="24"/>
          <w:shd w:val="clear" w:color="auto" w:fill="FFFFFF"/>
        </w:rPr>
      </w:pPr>
      <w:r w:rsidRPr="00A962F5">
        <w:rPr>
          <w:rFonts w:cstheme="minorHAnsi"/>
          <w:color w:val="000000"/>
          <w:spacing w:val="-5"/>
          <w:sz w:val="24"/>
          <w:szCs w:val="24"/>
          <w:shd w:val="clear" w:color="auto" w:fill="FFFFFF"/>
        </w:rPr>
        <w:lastRenderedPageBreak/>
        <w:t>Miller, George L. “Classification and Economic Scaling of 19th Century Ceramics.” </w:t>
      </w:r>
      <w:r w:rsidRPr="00A962F5">
        <w:rPr>
          <w:rFonts w:cstheme="minorHAnsi"/>
          <w:i/>
          <w:iCs/>
          <w:color w:val="000000"/>
          <w:spacing w:val="-5"/>
          <w:sz w:val="24"/>
          <w:szCs w:val="24"/>
          <w:shd w:val="clear" w:color="auto" w:fill="FFFFFF"/>
        </w:rPr>
        <w:t>Historical Archaeology</w:t>
      </w:r>
      <w:r w:rsidRPr="00A962F5">
        <w:rPr>
          <w:rFonts w:cstheme="minorHAnsi"/>
          <w:color w:val="000000"/>
          <w:spacing w:val="-5"/>
          <w:sz w:val="24"/>
          <w:szCs w:val="24"/>
          <w:shd w:val="clear" w:color="auto" w:fill="FFFFFF"/>
        </w:rPr>
        <w:t>, vol. 14, Society for Historical Archaeology, 1980, p</w:t>
      </w:r>
      <w:r w:rsidR="00084A14" w:rsidRPr="00A962F5">
        <w:rPr>
          <w:rFonts w:cstheme="minorHAnsi"/>
          <w:color w:val="000000"/>
          <w:spacing w:val="-5"/>
          <w:sz w:val="24"/>
          <w:szCs w:val="24"/>
          <w:shd w:val="clear" w:color="auto" w:fill="FFFFFF"/>
        </w:rPr>
        <w:t>1-40</w:t>
      </w:r>
      <w:r w:rsidRPr="00A962F5">
        <w:rPr>
          <w:rFonts w:cstheme="minorHAnsi"/>
          <w:color w:val="000000"/>
          <w:spacing w:val="-5"/>
          <w:sz w:val="24"/>
          <w:szCs w:val="24"/>
          <w:shd w:val="clear" w:color="auto" w:fill="FFFFFF"/>
        </w:rPr>
        <w:t xml:space="preserve">, </w:t>
      </w:r>
      <w:r w:rsidR="002213E3" w:rsidRPr="00A962F5">
        <w:rPr>
          <w:rFonts w:cstheme="minorHAnsi"/>
          <w:color w:val="000000"/>
          <w:spacing w:val="-5"/>
          <w:sz w:val="24"/>
          <w:szCs w:val="24"/>
          <w:shd w:val="clear" w:color="auto" w:fill="FFFFFF"/>
        </w:rPr>
        <w:t xml:space="preserve">Available at: </w:t>
      </w:r>
      <w:hyperlink r:id="rId10" w:anchor="page_scan_tab_contents" w:history="1">
        <w:r w:rsidR="004F0F6E" w:rsidRPr="00A962F5">
          <w:rPr>
            <w:rStyle w:val="Hyperlink"/>
            <w:rFonts w:cstheme="minorHAnsi"/>
            <w:spacing w:val="-5"/>
            <w:sz w:val="24"/>
            <w:szCs w:val="24"/>
            <w:shd w:val="clear" w:color="auto" w:fill="FFFFFF"/>
          </w:rPr>
          <w:t>https://www.jstor.org/stable/25615367?read-now=1&amp;refreqid=excelsior%3A3654cc905d82b2ba56eb6672db812a5e&amp;seq=3#page_scan_tab_contents</w:t>
        </w:r>
      </w:hyperlink>
      <w:r w:rsidR="002213E3" w:rsidRPr="00A962F5">
        <w:rPr>
          <w:rFonts w:cstheme="minorHAnsi"/>
          <w:color w:val="000000"/>
          <w:spacing w:val="-5"/>
          <w:sz w:val="24"/>
          <w:szCs w:val="24"/>
          <w:shd w:val="clear" w:color="auto" w:fill="FFFFFF"/>
        </w:rPr>
        <w:t xml:space="preserve"> Accessed on 9/12/21.</w:t>
      </w:r>
    </w:p>
    <w:p w14:paraId="5DB2093D" w14:textId="558D5097" w:rsidR="002550D2" w:rsidRPr="00A962F5" w:rsidRDefault="002550D2">
      <w:pPr>
        <w:rPr>
          <w:rFonts w:eastAsia="Times New Roman" w:cstheme="minorHAnsi"/>
          <w:sz w:val="24"/>
          <w:szCs w:val="24"/>
          <w:lang w:eastAsia="en-GB"/>
        </w:rPr>
      </w:pPr>
      <w:proofErr w:type="spellStart"/>
      <w:proofErr w:type="gramStart"/>
      <w:r w:rsidRPr="00A962F5">
        <w:rPr>
          <w:rFonts w:cstheme="minorHAnsi"/>
          <w:sz w:val="24"/>
          <w:szCs w:val="24"/>
        </w:rPr>
        <w:t>Otte,Jaap</w:t>
      </w:r>
      <w:proofErr w:type="spellEnd"/>
      <w:proofErr w:type="gramEnd"/>
      <w:r w:rsidRPr="00A962F5">
        <w:rPr>
          <w:rFonts w:cstheme="minorHAnsi"/>
          <w:sz w:val="24"/>
          <w:szCs w:val="24"/>
        </w:rPr>
        <w:t xml:space="preserve"> and Floor, Willem.</w:t>
      </w:r>
      <w:r w:rsidRPr="00A962F5">
        <w:rPr>
          <w:rFonts w:eastAsia="Times New Roman" w:cstheme="minorHAnsi"/>
          <w:color w:val="222222"/>
          <w:sz w:val="24"/>
          <w:szCs w:val="24"/>
          <w:lang w:eastAsia="en-GB"/>
        </w:rPr>
        <w:t xml:space="preserve"> </w:t>
      </w:r>
      <w:hyperlink r:id="rId11" w:history="1">
        <w:r w:rsidRPr="00A962F5">
          <w:rPr>
            <w:rFonts w:eastAsia="Times New Roman" w:cstheme="minorHAnsi"/>
            <w:sz w:val="24"/>
            <w:szCs w:val="24"/>
            <w:lang w:eastAsia="en-GB"/>
          </w:rPr>
          <w:t>English Ceramics in Iran 1810–1910</w:t>
        </w:r>
      </w:hyperlink>
      <w:r w:rsidRPr="00A962F5">
        <w:rPr>
          <w:rFonts w:eastAsia="Times New Roman" w:cstheme="minorHAnsi"/>
          <w:sz w:val="24"/>
          <w:szCs w:val="24"/>
          <w:lang w:eastAsia="en-GB"/>
        </w:rPr>
        <w:t>.p118. Available at:</w:t>
      </w:r>
      <w:r w:rsidRPr="00A962F5">
        <w:rPr>
          <w:rFonts w:cstheme="minorHAnsi"/>
          <w:sz w:val="24"/>
          <w:szCs w:val="24"/>
        </w:rPr>
        <w:t xml:space="preserve"> </w:t>
      </w:r>
      <w:hyperlink r:id="rId12" w:history="1">
        <w:r w:rsidR="004F0F6E" w:rsidRPr="00A962F5">
          <w:rPr>
            <w:rStyle w:val="Hyperlink"/>
            <w:rFonts w:eastAsia="Times New Roman" w:cstheme="minorHAnsi"/>
            <w:sz w:val="24"/>
            <w:szCs w:val="24"/>
            <w:lang w:eastAsia="en-GB"/>
          </w:rPr>
          <w:t>https://www.researchgate.net/profile/Jaap-Otte/publication/340280304_English_Ceramics_in_Iran_1810-1910/links/5e8219a0a6fdcc139c172cb6/English-Ceramics-in-Iran-1810-1910.pdf Accessed on 9/12/21</w:t>
        </w:r>
      </w:hyperlink>
      <w:r w:rsidRPr="00A962F5">
        <w:rPr>
          <w:rFonts w:eastAsia="Times New Roman" w:cstheme="minorHAnsi"/>
          <w:sz w:val="24"/>
          <w:szCs w:val="24"/>
          <w:lang w:eastAsia="en-GB"/>
        </w:rPr>
        <w:t>.</w:t>
      </w:r>
    </w:p>
    <w:p w14:paraId="2A4AB1C8" w14:textId="1DC9DED4" w:rsidR="004F0F6E" w:rsidRPr="009E30DC" w:rsidRDefault="004F0F6E">
      <w:pPr>
        <w:rPr>
          <w:rFonts w:eastAsia="Times New Roman" w:cstheme="minorHAnsi"/>
          <w:sz w:val="24"/>
          <w:szCs w:val="24"/>
          <w:lang w:eastAsia="en-GB"/>
        </w:rPr>
      </w:pPr>
      <w:r w:rsidRPr="009E30DC">
        <w:rPr>
          <w:rFonts w:eastAsia="Times New Roman" w:cstheme="minorHAnsi"/>
          <w:sz w:val="24"/>
          <w:szCs w:val="24"/>
          <w:lang w:eastAsia="en-GB"/>
        </w:rPr>
        <w:t>Stein Marks. 2009. George Jones (and Sons (Ltd)). Available at:</w:t>
      </w:r>
      <w:r w:rsidRPr="009E30DC">
        <w:rPr>
          <w:rFonts w:cstheme="minorHAnsi"/>
          <w:sz w:val="24"/>
          <w:szCs w:val="24"/>
        </w:rPr>
        <w:t xml:space="preserve"> </w:t>
      </w:r>
      <w:hyperlink r:id="rId13" w:history="1">
        <w:r w:rsidRPr="009E30DC">
          <w:rPr>
            <w:rStyle w:val="Hyperlink"/>
            <w:rFonts w:eastAsia="Times New Roman" w:cstheme="minorHAnsi"/>
            <w:sz w:val="24"/>
            <w:szCs w:val="24"/>
            <w:lang w:eastAsia="en-GB"/>
          </w:rPr>
          <w:t>https://www.steinmarks.co.uk/pages/pv.asp?p=stein3</w:t>
        </w:r>
      </w:hyperlink>
      <w:r w:rsidRPr="009E30DC">
        <w:rPr>
          <w:rFonts w:eastAsia="Times New Roman" w:cstheme="minorHAnsi"/>
          <w:sz w:val="24"/>
          <w:szCs w:val="24"/>
          <w:lang w:eastAsia="en-GB"/>
        </w:rPr>
        <w:t xml:space="preserve"> Accessed on 10/12/21.</w:t>
      </w:r>
    </w:p>
    <w:p w14:paraId="632B294F" w14:textId="77777777" w:rsidR="009E30DC" w:rsidRPr="009E30DC" w:rsidRDefault="009E30DC" w:rsidP="009E30DC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9E30DC">
        <w:rPr>
          <w:rFonts w:eastAsia="Times New Roman" w:cstheme="minorHAnsi"/>
          <w:sz w:val="24"/>
          <w:szCs w:val="24"/>
          <w:lang w:eastAsia="en-GB"/>
        </w:rPr>
        <w:t xml:space="preserve">Weiner, Annette B. </w:t>
      </w:r>
      <w:r w:rsidRPr="009E30DC">
        <w:rPr>
          <w:rFonts w:eastAsia="Times New Roman" w:cstheme="minorHAnsi"/>
          <w:i/>
          <w:iCs/>
          <w:sz w:val="24"/>
          <w:szCs w:val="24"/>
          <w:lang w:eastAsia="en-GB"/>
        </w:rPr>
        <w:t xml:space="preserve">Inalienable Possessions: The Paradox of Keeping-While </w:t>
      </w:r>
      <w:proofErr w:type="gramStart"/>
      <w:r w:rsidRPr="009E30DC">
        <w:rPr>
          <w:rFonts w:eastAsia="Times New Roman" w:cstheme="minorHAnsi"/>
          <w:i/>
          <w:iCs/>
          <w:sz w:val="24"/>
          <w:szCs w:val="24"/>
          <w:lang w:eastAsia="en-GB"/>
        </w:rPr>
        <w:t>Giving</w:t>
      </w:r>
      <w:proofErr w:type="gramEnd"/>
      <w:r w:rsidRPr="009E30DC">
        <w:rPr>
          <w:rFonts w:eastAsia="Times New Roman" w:cstheme="minorHAnsi"/>
          <w:sz w:val="24"/>
          <w:szCs w:val="24"/>
          <w:lang w:eastAsia="en-GB"/>
        </w:rPr>
        <w:t>. University of California Press, 1992, http://www.jstor.org/stable/10.1525/j.ctt1ppcbw.</w:t>
      </w:r>
    </w:p>
    <w:p w14:paraId="5FA2C8A5" w14:textId="05264495" w:rsidR="00310542" w:rsidRPr="00310542" w:rsidRDefault="009E30DC" w:rsidP="00310542">
      <w:pPr>
        <w:rPr>
          <w:rFonts w:cstheme="minorHAnsi"/>
          <w:sz w:val="24"/>
          <w:szCs w:val="24"/>
        </w:rPr>
      </w:pPr>
      <w:r w:rsidRPr="009E30DC">
        <w:rPr>
          <w:rFonts w:cstheme="minorHAnsi"/>
          <w:sz w:val="24"/>
          <w:szCs w:val="24"/>
        </w:rPr>
        <w:t xml:space="preserve"> Available at: </w:t>
      </w:r>
      <w:hyperlink r:id="rId14" w:history="1">
        <w:r w:rsidRPr="009E30DC">
          <w:rPr>
            <w:rStyle w:val="Hyperlink"/>
            <w:rFonts w:cstheme="minorHAnsi"/>
            <w:sz w:val="24"/>
            <w:szCs w:val="24"/>
          </w:rPr>
          <w:t>https://www-jstor-org.ezproxy.uwtsd.ac.uk/stable/10.1525/j.ctt1ppcbw</w:t>
        </w:r>
      </w:hyperlink>
      <w:r w:rsidRPr="009E30DC">
        <w:rPr>
          <w:rFonts w:cstheme="minorHAnsi"/>
          <w:sz w:val="24"/>
          <w:szCs w:val="24"/>
        </w:rPr>
        <w:t xml:space="preserve">  accessed on 10/12/21.</w:t>
      </w:r>
    </w:p>
    <w:p w14:paraId="791C2B97" w14:textId="3702E55F" w:rsidR="00310542" w:rsidRDefault="00310542" w:rsidP="00310542">
      <w:r w:rsidRPr="00310542">
        <w:rPr>
          <w:rFonts w:cstheme="minorHAnsi"/>
          <w:sz w:val="24"/>
          <w:szCs w:val="24"/>
        </w:rPr>
        <w:t xml:space="preserve">  Wigley, John., The Rise and Fall of the Victorian Sunday (Manchester: Manchester University Press, 1980)</w:t>
      </w:r>
      <w:r>
        <w:rPr>
          <w:rFonts w:cstheme="minorHAnsi"/>
          <w:sz w:val="24"/>
          <w:szCs w:val="24"/>
        </w:rPr>
        <w:t xml:space="preserve"> Available at:</w:t>
      </w:r>
      <w:r w:rsidRPr="00310542">
        <w:t xml:space="preserve"> </w:t>
      </w:r>
      <w:hyperlink r:id="rId15" w:anchor="v=onepage&amp;q&amp;f=false" w:history="1">
        <w:r w:rsidRPr="00310542">
          <w:rPr>
            <w:rStyle w:val="Hyperlink"/>
            <w:sz w:val="24"/>
            <w:szCs w:val="24"/>
          </w:rPr>
          <w:t>https://books.google.co.uk/books?hl=en&amp;lr=&amp;id=VOJRAQAAIAAJ&amp;oi=fnd&amp;pg=PP9&amp;dq=sunday+dinner+British+institution&amp;ots=Pj9De2Y8ev&amp;sig=Fcx1nVHVi0-mjzKNMRER0aoNEFo&amp;redir_esc=y#v=onepage&amp;q&amp;f=false</w:t>
        </w:r>
      </w:hyperlink>
      <w:r w:rsidRPr="00310542">
        <w:rPr>
          <w:sz w:val="24"/>
          <w:szCs w:val="24"/>
        </w:rPr>
        <w:t xml:space="preserve"> Accessed on 10/12/21.</w:t>
      </w:r>
    </w:p>
    <w:p w14:paraId="44A490AF" w14:textId="48C1345E" w:rsidR="00310542" w:rsidRPr="009E30DC" w:rsidRDefault="00310542" w:rsidP="00310542">
      <w:pPr>
        <w:rPr>
          <w:rFonts w:cstheme="minorHAnsi"/>
          <w:sz w:val="24"/>
          <w:szCs w:val="24"/>
        </w:rPr>
      </w:pPr>
    </w:p>
    <w:sectPr w:rsidR="00310542" w:rsidRPr="009E30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EFE8BA" w14:textId="77777777" w:rsidR="00F20C90" w:rsidRDefault="00F20C90" w:rsidP="004C19F9">
      <w:pPr>
        <w:spacing w:after="0" w:line="240" w:lineRule="auto"/>
      </w:pPr>
      <w:r>
        <w:separator/>
      </w:r>
    </w:p>
  </w:endnote>
  <w:endnote w:type="continuationSeparator" w:id="0">
    <w:p w14:paraId="005D0BDF" w14:textId="77777777" w:rsidR="00F20C90" w:rsidRDefault="00F20C90" w:rsidP="004C19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F8A2EA" w14:textId="77777777" w:rsidR="00F20C90" w:rsidRDefault="00F20C90" w:rsidP="004C19F9">
      <w:pPr>
        <w:spacing w:after="0" w:line="240" w:lineRule="auto"/>
      </w:pPr>
      <w:r>
        <w:separator/>
      </w:r>
    </w:p>
  </w:footnote>
  <w:footnote w:type="continuationSeparator" w:id="0">
    <w:p w14:paraId="1A6B1550" w14:textId="77777777" w:rsidR="00F20C90" w:rsidRDefault="00F20C90" w:rsidP="004C19F9">
      <w:pPr>
        <w:spacing w:after="0" w:line="240" w:lineRule="auto"/>
      </w:pPr>
      <w:r>
        <w:continuationSeparator/>
      </w:r>
    </w:p>
  </w:footnote>
  <w:footnote w:id="1">
    <w:p w14:paraId="2754BFD1" w14:textId="4A4398DF" w:rsidR="002E26D2" w:rsidRDefault="002E26D2">
      <w:pPr>
        <w:pStyle w:val="FootnoteText"/>
      </w:pPr>
      <w:r>
        <w:rPr>
          <w:rStyle w:val="FootnoteReference"/>
        </w:rPr>
        <w:footnoteRef/>
      </w:r>
      <w:r>
        <w:t xml:space="preserve"> Appadurai, Arjun -, The Social Life of Things: Commodities in Cultural Perspective .1997</w:t>
      </w:r>
    </w:p>
  </w:footnote>
  <w:footnote w:id="2">
    <w:p w14:paraId="3590355A" w14:textId="1F516956" w:rsidR="004A0849" w:rsidRDefault="004A084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A406D">
        <w:t>i</w:t>
      </w:r>
      <w:r>
        <w:t>bid.</w:t>
      </w:r>
    </w:p>
  </w:footnote>
  <w:footnote w:id="3">
    <w:p w14:paraId="0FBB67E1" w14:textId="00846FAA" w:rsidR="00DA406D" w:rsidRDefault="00DA406D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4">
    <w:p w14:paraId="2B2C5F85" w14:textId="0F903083" w:rsidR="003B19F8" w:rsidRDefault="003B19F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0" w:name="_Hlk90046257"/>
      <w:r>
        <w:t xml:space="preserve">Wigley, John.  The Rise and Fall of the Victorian Sunday.  </w:t>
      </w:r>
      <w:r w:rsidR="00310542">
        <w:t xml:space="preserve">Manchester University Press. </w:t>
      </w:r>
      <w:bookmarkEnd w:id="0"/>
      <w:r>
        <w:t>p196.</w:t>
      </w:r>
    </w:p>
  </w:footnote>
  <w:footnote w:id="5">
    <w:p w14:paraId="188BBCA5" w14:textId="33CF22B4" w:rsidR="00266C3B" w:rsidRDefault="00266C3B">
      <w:pPr>
        <w:pStyle w:val="FootnoteText"/>
      </w:pPr>
      <w:r>
        <w:rPr>
          <w:rStyle w:val="FootnoteReference"/>
        </w:rPr>
        <w:footnoteRef/>
      </w:r>
      <w:r>
        <w:t xml:space="preserve"> Ingold, Tim. Bringing Things to Life: Creative Entanglements in a World of Materials. 2010.</w:t>
      </w:r>
      <w:r w:rsidR="001F5752">
        <w:t>p3.</w:t>
      </w:r>
    </w:p>
  </w:footnote>
  <w:footnote w:id="6">
    <w:p w14:paraId="5F157EB0" w14:textId="3A0FB5F4" w:rsidR="00F00C9E" w:rsidRDefault="00F00C9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414EB">
        <w:t xml:space="preserve">Greenland, Fiona. Material culture and the problem of </w:t>
      </w:r>
      <w:proofErr w:type="gramStart"/>
      <w:r w:rsidR="002414EB">
        <w:t>agency</w:t>
      </w:r>
      <w:r w:rsidR="00147282">
        <w:t xml:space="preserve"> </w:t>
      </w:r>
      <w:r w:rsidR="002414EB">
        <w:t>.p</w:t>
      </w:r>
      <w:proofErr w:type="gramEnd"/>
      <w:r w:rsidR="002414EB">
        <w:t>1.</w:t>
      </w:r>
    </w:p>
  </w:footnote>
  <w:footnote w:id="7">
    <w:p w14:paraId="5CE01AD0" w14:textId="6D58A160" w:rsidR="005B02C4" w:rsidRDefault="005B02C4">
      <w:pPr>
        <w:pStyle w:val="FootnoteText"/>
      </w:pPr>
      <w:r>
        <w:rPr>
          <w:rStyle w:val="FootnoteReference"/>
        </w:rPr>
        <w:footnoteRef/>
      </w:r>
      <w:r>
        <w:t xml:space="preserve"> Appadurai, Arjun -, The Social Life of Things: Commodities in Cultural Perspective .1997.</w:t>
      </w:r>
    </w:p>
  </w:footnote>
  <w:footnote w:id="8">
    <w:p w14:paraId="6C724C47" w14:textId="460C86E8" w:rsidR="00D43B2E" w:rsidRDefault="00D43B2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>
        <w:t>Otte,Jaap</w:t>
      </w:r>
      <w:proofErr w:type="spellEnd"/>
      <w:proofErr w:type="gramEnd"/>
      <w:r>
        <w:t xml:space="preserve"> and Floor, Willem.</w:t>
      </w:r>
      <w:r w:rsidRPr="005923FC">
        <w:rPr>
          <w:rFonts w:ascii="Arial" w:eastAsia="Times New Roman" w:hAnsi="Arial" w:cs="Arial"/>
          <w:color w:val="222222"/>
          <w:sz w:val="26"/>
          <w:szCs w:val="26"/>
          <w:lang w:eastAsia="en-GB"/>
        </w:rPr>
        <w:t xml:space="preserve"> </w:t>
      </w:r>
      <w:hyperlink r:id="rId1" w:history="1">
        <w:r w:rsidRPr="005923FC">
          <w:rPr>
            <w:rFonts w:eastAsia="Times New Roman" w:cstheme="minorHAnsi"/>
            <w:lang w:eastAsia="en-GB"/>
          </w:rPr>
          <w:t>English Ceramics in Iran 1810–1910</w:t>
        </w:r>
      </w:hyperlink>
      <w:r>
        <w:rPr>
          <w:rFonts w:eastAsia="Times New Roman" w:cstheme="minorHAnsi"/>
          <w:lang w:eastAsia="en-GB"/>
        </w:rPr>
        <w:t>.p100.</w:t>
      </w:r>
    </w:p>
  </w:footnote>
  <w:footnote w:id="9">
    <w:p w14:paraId="38B3687D" w14:textId="431A0178" w:rsidR="00744A23" w:rsidRDefault="00744A23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10">
    <w:p w14:paraId="41E74F97" w14:textId="07C436B9" w:rsidR="002D1667" w:rsidRDefault="002D1667">
      <w:pPr>
        <w:pStyle w:val="FootnoteText"/>
      </w:pPr>
      <w:r>
        <w:rPr>
          <w:rStyle w:val="FootnoteReference"/>
        </w:rPr>
        <w:footnoteRef/>
      </w:r>
      <w:r>
        <w:t xml:space="preserve"> Birks, Steve. 2021. A-Z of Stoke-on-Trent Potters. George Jones&amp; Co. George Jones and Sons Ltd. </w:t>
      </w:r>
    </w:p>
  </w:footnote>
  <w:footnote w:id="11">
    <w:p w14:paraId="56241B4A" w14:textId="7F93DEAB" w:rsidR="004F0F6E" w:rsidRPr="00A962F5" w:rsidRDefault="004F0F6E">
      <w:pPr>
        <w:pStyle w:val="FootnoteText"/>
        <w:rPr>
          <w:rFonts w:cstheme="minorHAnsi"/>
        </w:rPr>
      </w:pPr>
      <w:r>
        <w:rPr>
          <w:rStyle w:val="FootnoteReference"/>
        </w:rPr>
        <w:footnoteRef/>
      </w:r>
      <w:r>
        <w:t xml:space="preserve"> </w:t>
      </w:r>
      <w:r w:rsidRPr="00A962F5">
        <w:rPr>
          <w:rFonts w:cstheme="minorHAnsi"/>
        </w:rPr>
        <w:t>Stein Marks. 2009. George Jones (and Sons (Ltd))</w:t>
      </w:r>
    </w:p>
  </w:footnote>
  <w:footnote w:id="12">
    <w:p w14:paraId="7F25D273" w14:textId="65251254" w:rsidR="00F9105B" w:rsidRPr="00A962F5" w:rsidRDefault="00F9105B">
      <w:pPr>
        <w:pStyle w:val="FootnoteText"/>
        <w:rPr>
          <w:rFonts w:cstheme="minorHAnsi"/>
        </w:rPr>
      </w:pPr>
      <w:r w:rsidRPr="00A962F5">
        <w:rPr>
          <w:rStyle w:val="FootnoteReference"/>
          <w:rFonts w:cstheme="minorHAnsi"/>
        </w:rPr>
        <w:footnoteRef/>
      </w:r>
      <w:r w:rsidRPr="00A962F5">
        <w:rPr>
          <w:rFonts w:cstheme="minorHAnsi"/>
        </w:rPr>
        <w:t xml:space="preserve"> Birks, Steve. 2021. A-Z of Stoke-on-Trent Potters. George Jones&amp; Co. George Jones and Sons Ltd.</w:t>
      </w:r>
    </w:p>
  </w:footnote>
  <w:footnote w:id="13">
    <w:p w14:paraId="5B097BDF" w14:textId="0F6F0730" w:rsidR="00F841BD" w:rsidRPr="00A962F5" w:rsidRDefault="00F841BD">
      <w:pPr>
        <w:pStyle w:val="FootnoteText"/>
        <w:rPr>
          <w:rFonts w:cstheme="minorHAnsi"/>
        </w:rPr>
      </w:pPr>
      <w:r w:rsidRPr="00A962F5">
        <w:rPr>
          <w:rStyle w:val="FootnoteReference"/>
          <w:rFonts w:cstheme="minorHAnsi"/>
        </w:rPr>
        <w:footnoteRef/>
      </w:r>
      <w:r w:rsidRPr="00A962F5">
        <w:rPr>
          <w:rFonts w:cstheme="minorHAnsi"/>
        </w:rPr>
        <w:t xml:space="preserve"> </w:t>
      </w:r>
      <w:r w:rsidRPr="00A962F5">
        <w:rPr>
          <w:rFonts w:cstheme="minorHAnsi"/>
          <w:color w:val="000000"/>
          <w:spacing w:val="-5"/>
          <w:shd w:val="clear" w:color="auto" w:fill="FFFFFF"/>
        </w:rPr>
        <w:t>Miller, George L. “Classification and Economic Scaling of 19th Century Ceramics.” </w:t>
      </w:r>
      <w:r w:rsidRPr="00A962F5">
        <w:rPr>
          <w:rFonts w:cstheme="minorHAnsi"/>
          <w:i/>
          <w:iCs/>
          <w:color w:val="000000"/>
          <w:spacing w:val="-5"/>
          <w:shd w:val="clear" w:color="auto" w:fill="FFFFFF"/>
        </w:rPr>
        <w:t>Historical Archaeology</w:t>
      </w:r>
      <w:r w:rsidRPr="00A962F5">
        <w:rPr>
          <w:rFonts w:cstheme="minorHAnsi"/>
          <w:color w:val="000000"/>
          <w:spacing w:val="-5"/>
          <w:shd w:val="clear" w:color="auto" w:fill="FFFFFF"/>
        </w:rPr>
        <w:t>, vol. 14, Society for Historical Archaeology, 1980, p</w:t>
      </w:r>
      <w:r w:rsidR="006A235A" w:rsidRPr="00A962F5">
        <w:rPr>
          <w:rFonts w:cstheme="minorHAnsi"/>
          <w:color w:val="000000"/>
          <w:spacing w:val="-5"/>
          <w:shd w:val="clear" w:color="auto" w:fill="FFFFFF"/>
        </w:rPr>
        <w:t>3.</w:t>
      </w:r>
    </w:p>
  </w:footnote>
  <w:footnote w:id="14">
    <w:p w14:paraId="68B1C2FD" w14:textId="06925521" w:rsidR="009E30DC" w:rsidRPr="009E30DC" w:rsidRDefault="00084A14">
      <w:pPr>
        <w:pStyle w:val="FootnoteText"/>
        <w:rPr>
          <w:rFonts w:cstheme="minorHAnsi"/>
          <w:color w:val="000000"/>
          <w:spacing w:val="-5"/>
          <w:shd w:val="clear" w:color="auto" w:fill="FFFFFF"/>
        </w:rPr>
      </w:pPr>
      <w:r w:rsidRPr="00A962F5">
        <w:rPr>
          <w:rStyle w:val="FootnoteReference"/>
          <w:rFonts w:cstheme="minorHAnsi"/>
        </w:rPr>
        <w:footnoteRef/>
      </w:r>
      <w:r w:rsidRPr="00A962F5">
        <w:rPr>
          <w:rFonts w:cstheme="minorHAnsi"/>
        </w:rPr>
        <w:t xml:space="preserve"> </w:t>
      </w:r>
      <w:r w:rsidRPr="00A962F5">
        <w:rPr>
          <w:rFonts w:cstheme="minorHAnsi"/>
          <w:color w:val="000000"/>
          <w:spacing w:val="-5"/>
          <w:shd w:val="clear" w:color="auto" w:fill="FFFFFF"/>
        </w:rPr>
        <w:t>Miller, George L. “Classification and Economic Scaling of 19th Century Ceramics.” </w:t>
      </w:r>
      <w:r w:rsidRPr="00A962F5">
        <w:rPr>
          <w:rFonts w:cstheme="minorHAnsi"/>
          <w:i/>
          <w:iCs/>
          <w:color w:val="000000"/>
          <w:spacing w:val="-5"/>
          <w:shd w:val="clear" w:color="auto" w:fill="FFFFFF"/>
        </w:rPr>
        <w:t>Historical Archaeology</w:t>
      </w:r>
      <w:r w:rsidRPr="00A962F5">
        <w:rPr>
          <w:rFonts w:cstheme="minorHAnsi"/>
          <w:color w:val="000000"/>
          <w:spacing w:val="-5"/>
          <w:shd w:val="clear" w:color="auto" w:fill="FFFFFF"/>
        </w:rPr>
        <w:t>, vol. 14, Society for Historical Archaeology, 1980, p14.</w:t>
      </w:r>
    </w:p>
  </w:footnote>
  <w:footnote w:id="15">
    <w:p w14:paraId="223C9B8C" w14:textId="5FFE5E65" w:rsidR="007C2AAC" w:rsidRPr="00147282" w:rsidRDefault="007C2AAC" w:rsidP="00147282">
      <w:pPr>
        <w:rPr>
          <w:rFonts w:eastAsia="Times New Roman" w:cstheme="minorHAnsi"/>
          <w:sz w:val="20"/>
          <w:szCs w:val="20"/>
          <w:lang w:eastAsia="en-GB"/>
        </w:rPr>
      </w:pPr>
      <w:r w:rsidRPr="00A962F5">
        <w:rPr>
          <w:rStyle w:val="FootnoteReference"/>
          <w:rFonts w:cstheme="minorHAnsi"/>
          <w:sz w:val="20"/>
          <w:szCs w:val="20"/>
        </w:rPr>
        <w:footnoteRef/>
      </w:r>
      <w:r w:rsidRPr="00A962F5">
        <w:rPr>
          <w:rFonts w:cstheme="minorHAnsi"/>
          <w:sz w:val="20"/>
          <w:szCs w:val="20"/>
        </w:rPr>
        <w:t xml:space="preserve"> </w:t>
      </w:r>
      <w:r w:rsidRPr="00A962F5">
        <w:rPr>
          <w:rFonts w:eastAsia="Times New Roman" w:cstheme="minorHAnsi"/>
          <w:sz w:val="20"/>
          <w:szCs w:val="20"/>
          <w:lang w:eastAsia="en-GB"/>
        </w:rPr>
        <w:t xml:space="preserve">Bagwell, Laurie Simon, and B. Douglas </w:t>
      </w:r>
      <w:proofErr w:type="spellStart"/>
      <w:r w:rsidRPr="00A962F5">
        <w:rPr>
          <w:rFonts w:eastAsia="Times New Roman" w:cstheme="minorHAnsi"/>
          <w:sz w:val="20"/>
          <w:szCs w:val="20"/>
          <w:lang w:eastAsia="en-GB"/>
        </w:rPr>
        <w:t>Bernheim</w:t>
      </w:r>
      <w:proofErr w:type="spellEnd"/>
      <w:r w:rsidRPr="00A962F5">
        <w:rPr>
          <w:rFonts w:eastAsia="Times New Roman" w:cstheme="minorHAnsi"/>
          <w:sz w:val="20"/>
          <w:szCs w:val="20"/>
          <w:lang w:eastAsia="en-GB"/>
        </w:rPr>
        <w:t xml:space="preserve">. “Veblen Effects in a Theory of Conspicuous Consumption.” </w:t>
      </w:r>
      <w:r w:rsidRPr="00A962F5">
        <w:rPr>
          <w:rFonts w:eastAsia="Times New Roman" w:cstheme="minorHAnsi"/>
          <w:i/>
          <w:iCs/>
          <w:sz w:val="20"/>
          <w:szCs w:val="20"/>
          <w:lang w:eastAsia="en-GB"/>
        </w:rPr>
        <w:t>The American Economic Review</w:t>
      </w:r>
      <w:r w:rsidRPr="00A962F5">
        <w:rPr>
          <w:rFonts w:eastAsia="Times New Roman" w:cstheme="minorHAnsi"/>
          <w:sz w:val="20"/>
          <w:szCs w:val="20"/>
          <w:lang w:eastAsia="en-GB"/>
        </w:rPr>
        <w:t>, vol. 86, no. 3, American Economic Association, 1996, pp. 349–73,</w:t>
      </w:r>
    </w:p>
  </w:footnote>
  <w:footnote w:id="16">
    <w:p w14:paraId="00B6881E" w14:textId="12330CA3" w:rsidR="00147282" w:rsidRDefault="00147282" w:rsidP="00147282">
      <w:pPr>
        <w:pStyle w:val="FootnoteText"/>
      </w:pPr>
      <w:r>
        <w:rPr>
          <w:rStyle w:val="FootnoteReference"/>
        </w:rPr>
        <w:footnoteRef/>
      </w:r>
      <w:r>
        <w:t xml:space="preserve">  </w:t>
      </w:r>
      <w:bookmarkStart w:id="1" w:name="_Hlk90045090"/>
      <w:r>
        <w:t xml:space="preserve">Appadurai, Arjun -, The Social Life of </w:t>
      </w:r>
      <w:r w:rsidR="00883216">
        <w:t>Things:</w:t>
      </w:r>
      <w:r>
        <w:t xml:space="preserve"> Commodities in Cultural Perspective (Cambridge: Cambridge University Press, 1997)</w:t>
      </w:r>
      <w:bookmarkEnd w:id="1"/>
    </w:p>
  </w:footnote>
  <w:footnote w:id="17">
    <w:p w14:paraId="2887252C" w14:textId="3808647A" w:rsidR="009E30DC" w:rsidRPr="009E30DC" w:rsidRDefault="009E30DC" w:rsidP="009E30DC">
      <w:pPr>
        <w:rPr>
          <w:rFonts w:eastAsia="Times New Roman" w:cstheme="minorHAnsi"/>
          <w:sz w:val="20"/>
          <w:szCs w:val="20"/>
          <w:lang w:eastAsia="en-GB"/>
        </w:rPr>
      </w:pPr>
      <w:r>
        <w:rPr>
          <w:rStyle w:val="FootnoteReference"/>
        </w:rPr>
        <w:footnoteRef/>
      </w:r>
      <w:r>
        <w:t xml:space="preserve"> </w:t>
      </w:r>
      <w:r w:rsidRPr="009E30DC">
        <w:rPr>
          <w:rFonts w:eastAsia="Times New Roman" w:cstheme="minorHAnsi"/>
          <w:sz w:val="20"/>
          <w:szCs w:val="20"/>
          <w:lang w:eastAsia="en-GB"/>
        </w:rPr>
        <w:t xml:space="preserve">Weiner, Annette B. </w:t>
      </w:r>
      <w:r w:rsidRPr="009E30DC">
        <w:rPr>
          <w:rFonts w:eastAsia="Times New Roman" w:cstheme="minorHAnsi"/>
          <w:i/>
          <w:iCs/>
          <w:sz w:val="20"/>
          <w:szCs w:val="20"/>
          <w:lang w:eastAsia="en-GB"/>
        </w:rPr>
        <w:t xml:space="preserve">Inalienable Possessions: The Paradox of Keeping-While </w:t>
      </w:r>
      <w:proofErr w:type="gramStart"/>
      <w:r w:rsidRPr="009E30DC">
        <w:rPr>
          <w:rFonts w:eastAsia="Times New Roman" w:cstheme="minorHAnsi"/>
          <w:i/>
          <w:iCs/>
          <w:sz w:val="20"/>
          <w:szCs w:val="20"/>
          <w:lang w:eastAsia="en-GB"/>
        </w:rPr>
        <w:t>Giving</w:t>
      </w:r>
      <w:proofErr w:type="gramEnd"/>
      <w:r w:rsidRPr="009E30DC">
        <w:rPr>
          <w:rFonts w:eastAsia="Times New Roman" w:cstheme="minorHAnsi"/>
          <w:sz w:val="20"/>
          <w:szCs w:val="20"/>
          <w:lang w:eastAsia="en-GB"/>
        </w:rPr>
        <w:t xml:space="preserve">. University of California Press, 1992, </w:t>
      </w:r>
    </w:p>
    <w:p w14:paraId="26C96363" w14:textId="63A9D004" w:rsidR="009E30DC" w:rsidRDefault="009E30DC">
      <w:pPr>
        <w:pStyle w:val="FootnoteText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6F25"/>
    <w:rsid w:val="00017335"/>
    <w:rsid w:val="000645FF"/>
    <w:rsid w:val="00084A14"/>
    <w:rsid w:val="000C212A"/>
    <w:rsid w:val="000D55F6"/>
    <w:rsid w:val="000E4399"/>
    <w:rsid w:val="00147282"/>
    <w:rsid w:val="001C2A4E"/>
    <w:rsid w:val="001F5752"/>
    <w:rsid w:val="002213E3"/>
    <w:rsid w:val="002414EB"/>
    <w:rsid w:val="002550D2"/>
    <w:rsid w:val="00266C3B"/>
    <w:rsid w:val="00290CA8"/>
    <w:rsid w:val="002C62A9"/>
    <w:rsid w:val="002D1667"/>
    <w:rsid w:val="002D4067"/>
    <w:rsid w:val="002E26D2"/>
    <w:rsid w:val="002E78F0"/>
    <w:rsid w:val="002F7548"/>
    <w:rsid w:val="00310542"/>
    <w:rsid w:val="00331548"/>
    <w:rsid w:val="00383529"/>
    <w:rsid w:val="003B19F8"/>
    <w:rsid w:val="003E224E"/>
    <w:rsid w:val="003F6F3B"/>
    <w:rsid w:val="00404382"/>
    <w:rsid w:val="00420B7E"/>
    <w:rsid w:val="004467A5"/>
    <w:rsid w:val="004867AA"/>
    <w:rsid w:val="00497065"/>
    <w:rsid w:val="004A0849"/>
    <w:rsid w:val="004B6112"/>
    <w:rsid w:val="004C19F9"/>
    <w:rsid w:val="004C60CC"/>
    <w:rsid w:val="004C7262"/>
    <w:rsid w:val="004D1D29"/>
    <w:rsid w:val="004E6763"/>
    <w:rsid w:val="004E67E4"/>
    <w:rsid w:val="004F0F6E"/>
    <w:rsid w:val="00536713"/>
    <w:rsid w:val="00546EC9"/>
    <w:rsid w:val="005923FC"/>
    <w:rsid w:val="005B02C4"/>
    <w:rsid w:val="005C6125"/>
    <w:rsid w:val="00610E76"/>
    <w:rsid w:val="006A235A"/>
    <w:rsid w:val="006B4CB5"/>
    <w:rsid w:val="006D3B79"/>
    <w:rsid w:val="00744A23"/>
    <w:rsid w:val="007A332B"/>
    <w:rsid w:val="007B4009"/>
    <w:rsid w:val="007C2AAC"/>
    <w:rsid w:val="007C6012"/>
    <w:rsid w:val="00883216"/>
    <w:rsid w:val="008A0808"/>
    <w:rsid w:val="008A1CED"/>
    <w:rsid w:val="009A056A"/>
    <w:rsid w:val="009E30DC"/>
    <w:rsid w:val="00A66DA1"/>
    <w:rsid w:val="00A962F5"/>
    <w:rsid w:val="00B2376E"/>
    <w:rsid w:val="00B832D1"/>
    <w:rsid w:val="00BE2654"/>
    <w:rsid w:val="00C73B71"/>
    <w:rsid w:val="00C76F25"/>
    <w:rsid w:val="00CA02E7"/>
    <w:rsid w:val="00CB6153"/>
    <w:rsid w:val="00CE4185"/>
    <w:rsid w:val="00D039AF"/>
    <w:rsid w:val="00D43B2E"/>
    <w:rsid w:val="00D47992"/>
    <w:rsid w:val="00D54336"/>
    <w:rsid w:val="00D576DD"/>
    <w:rsid w:val="00D834D9"/>
    <w:rsid w:val="00DA406D"/>
    <w:rsid w:val="00E04DB4"/>
    <w:rsid w:val="00E35652"/>
    <w:rsid w:val="00E42E8D"/>
    <w:rsid w:val="00E511A7"/>
    <w:rsid w:val="00E84F02"/>
    <w:rsid w:val="00F00C9E"/>
    <w:rsid w:val="00F05413"/>
    <w:rsid w:val="00F20C90"/>
    <w:rsid w:val="00F74BB8"/>
    <w:rsid w:val="00F841BD"/>
    <w:rsid w:val="00F910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A1B6DA"/>
  <w15:chartTrackingRefBased/>
  <w15:docId w15:val="{DD5E82CF-0E17-4A31-A732-5A0A4A466E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923F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4C19F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C19F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C19F9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38352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83529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5923F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4F0F6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55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057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1883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0120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2078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2197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90136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759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941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0558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057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1776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0591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thepotteries.org/allpotters/611.htm%20accessed%20on%209/12/21" TargetMode="External"/><Relationship Id="rId13" Type="http://schemas.openxmlformats.org/officeDocument/2006/relationships/hyperlink" Target="https://www.steinmarks.co.uk/pages/pv.asp?p=stein3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jstor.org/stable/2118201" TargetMode="External"/><Relationship Id="rId12" Type="http://schemas.openxmlformats.org/officeDocument/2006/relationships/hyperlink" Target="https://www.researchgate.net/profile/Jaap-Otte/publication/340280304_English_Ceramics_in_Iran_1810-1910/links/5e8219a0a6fdcc139c172cb6/English-Ceramics-in-Iran-1810-1910.pdf%20Accessed%20on%209/12/21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yperlink" Target="https://www.academia.edu/download/62560049/NCS_JNL._2020_pp._91-12520200330-78616-pcpdig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books.google.co.uk/books?hl=en&amp;lr=&amp;id=VOJRAQAAIAAJ&amp;oi=fnd&amp;pg=PP9&amp;dq=sunday+dinner+British+institution&amp;ots=Pj9De2Y8ev&amp;sig=Fcx1nVHVi0-mjzKNMRER0aoNEFo&amp;redir_esc=y" TargetMode="External"/><Relationship Id="rId10" Type="http://schemas.openxmlformats.org/officeDocument/2006/relationships/hyperlink" Target="https://www.jstor.org/stable/25615367?read-now=1&amp;refreqid=excelsior%3A3654cc905d82b2ba56eb6672db812a5e&amp;seq=3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uva.theopenscholar.com/files/fiona-greenland/files/greenland_2019_gell_agency_review_ajcs.pdf" TargetMode="External"/><Relationship Id="rId14" Type="http://schemas.openxmlformats.org/officeDocument/2006/relationships/hyperlink" Target="https://www-jstor-org.ezproxy.uwtsd.ac.uk/stable/10.1525/j.ctt1ppcbw" TargetMode="Externa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www.academia.edu/download/62560049/NCS_JNL._2020_pp._91-12520200330-78616-pcpdig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1305</Words>
  <Characters>7441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</dc:creator>
  <cp:keywords/>
  <dc:description/>
  <cp:lastModifiedBy>Paula</cp:lastModifiedBy>
  <cp:revision>2</cp:revision>
  <dcterms:created xsi:type="dcterms:W3CDTF">2021-12-11T08:36:00Z</dcterms:created>
  <dcterms:modified xsi:type="dcterms:W3CDTF">2021-12-11T08:36:00Z</dcterms:modified>
</cp:coreProperties>
</file>