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4228C" w14:textId="5507C92C" w:rsidR="00DA0136" w:rsidRDefault="000604B4" w:rsidP="008A21F0">
      <w:pPr>
        <w:jc w:val="left"/>
      </w:pPr>
      <w:r w:rsidRPr="00CA7A9E">
        <w:rPr>
          <w:b/>
          <w:bCs/>
        </w:rPr>
        <w:t>Student Name:</w:t>
      </w:r>
      <w:r>
        <w:t xml:space="preserve"> </w:t>
      </w:r>
      <w:r w:rsidR="008A21F0">
        <w:t>Sylwia Maciejewska</w:t>
      </w:r>
    </w:p>
    <w:p w14:paraId="10725A54" w14:textId="145B6A3A" w:rsidR="000604B4" w:rsidRDefault="000604B4" w:rsidP="008A21F0">
      <w:pPr>
        <w:jc w:val="left"/>
      </w:pPr>
      <w:r w:rsidRPr="00CA7A9E">
        <w:rPr>
          <w:b/>
          <w:bCs/>
        </w:rPr>
        <w:t>Student Number:</w:t>
      </w:r>
      <w:r w:rsidR="008A21F0">
        <w:t xml:space="preserve"> 2130318</w:t>
      </w:r>
    </w:p>
    <w:p w14:paraId="7E191BF0" w14:textId="78ACA0C0" w:rsidR="000604B4" w:rsidRPr="008A21F0" w:rsidRDefault="000604B4" w:rsidP="008A21F0">
      <w:pPr>
        <w:jc w:val="left"/>
        <w:rPr>
          <w:lang w:val="en-IN"/>
        </w:rPr>
      </w:pPr>
      <w:r w:rsidRPr="00CA7A9E">
        <w:rPr>
          <w:b/>
          <w:bCs/>
        </w:rPr>
        <w:t>Module name:</w:t>
      </w:r>
      <w:r w:rsidR="006951BA">
        <w:t xml:space="preserve"> Contemporary Issues </w:t>
      </w:r>
      <w:r w:rsidR="00986EB0">
        <w:t>in</w:t>
      </w:r>
      <w:r w:rsidR="006951BA">
        <w:t xml:space="preserve"> Criminal Justice </w:t>
      </w:r>
    </w:p>
    <w:p w14:paraId="5567D99D" w14:textId="0B638EBF" w:rsidR="000604B4" w:rsidRPr="00AD05B2" w:rsidRDefault="000604B4" w:rsidP="008A21F0">
      <w:pPr>
        <w:jc w:val="left"/>
        <w:rPr>
          <w:b/>
          <w:bCs/>
        </w:rPr>
      </w:pPr>
      <w:r w:rsidRPr="00CA7A9E">
        <w:rPr>
          <w:b/>
          <w:bCs/>
        </w:rPr>
        <w:t>Module code:</w:t>
      </w:r>
      <w:r w:rsidR="00AD05B2" w:rsidRPr="00AD05B2">
        <w:t xml:space="preserve"> BMCJ7005D</w:t>
      </w:r>
    </w:p>
    <w:p w14:paraId="62FA972A" w14:textId="026646A9" w:rsidR="002618C3" w:rsidRPr="002618C3" w:rsidRDefault="008A21F0" w:rsidP="002618C3">
      <w:r w:rsidRPr="00CA7A9E">
        <w:rPr>
          <w:b/>
          <w:bCs/>
        </w:rPr>
        <w:t>Assignment title:</w:t>
      </w:r>
      <w:r w:rsidR="00AD05B2">
        <w:t xml:space="preserve"> </w:t>
      </w:r>
      <w:r w:rsidR="002618C3" w:rsidRPr="002618C3">
        <w:t>Critically evaluate the difficulties vulnerable victims may encounter within the criminal justice system</w:t>
      </w:r>
      <w:r w:rsidR="002618C3">
        <w:t>.</w:t>
      </w:r>
    </w:p>
    <w:p w14:paraId="5DDAA1FA" w14:textId="4286154D" w:rsidR="000604B4" w:rsidRDefault="000604B4" w:rsidP="008A21F0">
      <w:pPr>
        <w:jc w:val="left"/>
      </w:pPr>
    </w:p>
    <w:p w14:paraId="68B4CA7F" w14:textId="77777777" w:rsidR="002618C3" w:rsidRDefault="002618C3" w:rsidP="002673CE">
      <w:pPr>
        <w:jc w:val="center"/>
      </w:pPr>
    </w:p>
    <w:p w14:paraId="13581896" w14:textId="77777777" w:rsidR="002673CE" w:rsidRDefault="002673CE" w:rsidP="002673CE">
      <w:pPr>
        <w:jc w:val="center"/>
      </w:pPr>
    </w:p>
    <w:p w14:paraId="1554F5CF" w14:textId="00234FED" w:rsidR="002673CE" w:rsidRPr="002618C3" w:rsidRDefault="002673CE" w:rsidP="002673CE">
      <w:pPr>
        <w:pStyle w:val="Heading1"/>
        <w:rPr>
          <w:sz w:val="24"/>
          <w:szCs w:val="24"/>
        </w:rPr>
      </w:pPr>
      <w:bookmarkStart w:id="0" w:name="_Toc227675219"/>
      <w:r w:rsidRPr="002618C3">
        <w:rPr>
          <w:sz w:val="24"/>
          <w:szCs w:val="24"/>
        </w:rPr>
        <w:t>Introduction</w:t>
      </w:r>
      <w:bookmarkEnd w:id="0"/>
      <w:r w:rsidRPr="002618C3">
        <w:rPr>
          <w:sz w:val="24"/>
          <w:szCs w:val="24"/>
        </w:rPr>
        <w:t xml:space="preserve"> </w:t>
      </w:r>
    </w:p>
    <w:p w14:paraId="19A9D7DC" w14:textId="15A0C035" w:rsidR="002673CE" w:rsidRDefault="002673CE" w:rsidP="002673CE">
      <w:r w:rsidRPr="002673CE">
        <w:t xml:space="preserve">The notion of vulnerability has gained </w:t>
      </w:r>
      <w:r w:rsidR="00986EB0" w:rsidRPr="002673CE">
        <w:t>more</w:t>
      </w:r>
      <w:r w:rsidRPr="002673CE">
        <w:t xml:space="preserve"> importance in modern criminal justice policy and practice in England and Wales, as there is an increasing awareness of the fact that victims are not a homogeneous group and that particular people experience more obstacles to accessing justice than do others. Vulnerable victims are generally thought of as those whose personal attributes, societal situations, or situational contexts predispose them to harm or diminish their potential to interact efficiently with the criminal justice system (CJS). This covers mentally ill people, learners with disabilities, those who have experienced domestic abuse, substance misuse problems or people living in poverty and social exclusion. </w:t>
      </w:r>
    </w:p>
    <w:p w14:paraId="0A88464B" w14:textId="6E8C2259" w:rsidR="002673CE" w:rsidRDefault="002673CE" w:rsidP="002673CE">
      <w:r w:rsidRPr="002673CE">
        <w:t>Although the legal frameworks and the policy measures, including the Victims Code and the protection responsibilities that are assumed by the authorities in the country</w:t>
      </w:r>
      <w:r w:rsidR="0067070E">
        <w:t>,</w:t>
      </w:r>
      <w:r w:rsidRPr="002673CE">
        <w:t xml:space="preserve"> are designed to guarantee fair treatment and support, many questions are raised </w:t>
      </w:r>
      <w:r w:rsidR="0067070E">
        <w:t xml:space="preserve">about </w:t>
      </w:r>
      <w:r w:rsidRPr="002673CE">
        <w:t xml:space="preserve">whether these measures are </w:t>
      </w:r>
      <w:r w:rsidR="00986EB0" w:rsidRPr="002673CE">
        <w:t>being</w:t>
      </w:r>
      <w:r w:rsidRPr="002673CE">
        <w:t xml:space="preserve"> applied in practice. The growing sophistication of crime</w:t>
      </w:r>
      <w:r w:rsidR="0067070E">
        <w:t>,</w:t>
      </w:r>
      <w:r w:rsidRPr="002673CE">
        <w:t xml:space="preserve"> coupled with broader social issues and the long-term effects of austerity</w:t>
      </w:r>
      <w:r w:rsidR="0067070E">
        <w:t>, has</w:t>
      </w:r>
      <w:r w:rsidRPr="002673CE">
        <w:t xml:space="preserve"> put a heavy burden on the CJS. Police departments are being asked to address non-criminal matters like mental health crises, courts are overwhelmed by large backlogs and delays, and prisons and probation services are in demand with finite resources. The specificity of these pressures is added to vulnerable victims who </w:t>
      </w:r>
      <w:r w:rsidRPr="002673CE">
        <w:lastRenderedPageBreak/>
        <w:t xml:space="preserve">frequently need extra assistance, open communication, and prompt resolution of cases to be able to deliver meaningful justice. </w:t>
      </w:r>
    </w:p>
    <w:p w14:paraId="03AEFE02" w14:textId="24E91B65" w:rsidR="00F00C16" w:rsidRPr="00F00C16" w:rsidRDefault="00F00C16" w:rsidP="00F00C16">
      <w:pPr>
        <w:spacing w:after="160" w:line="278" w:lineRule="auto"/>
        <w:jc w:val="left"/>
      </w:pPr>
    </w:p>
    <w:p w14:paraId="3D7C1C59" w14:textId="454ED989" w:rsidR="002673CE" w:rsidRPr="002618C3" w:rsidRDefault="00435B61" w:rsidP="002673CE">
      <w:pPr>
        <w:pStyle w:val="Heading1"/>
        <w:rPr>
          <w:sz w:val="24"/>
          <w:szCs w:val="24"/>
        </w:rPr>
      </w:pPr>
      <w:bookmarkStart w:id="1" w:name="_Toc227675220"/>
      <w:r>
        <w:rPr>
          <w:sz w:val="24"/>
          <w:szCs w:val="24"/>
        </w:rPr>
        <w:t>C</w:t>
      </w:r>
      <w:bookmarkEnd w:id="1"/>
      <w:r w:rsidR="00575009">
        <w:rPr>
          <w:sz w:val="24"/>
          <w:szCs w:val="24"/>
        </w:rPr>
        <w:t>ritical Discussion</w:t>
      </w:r>
    </w:p>
    <w:p w14:paraId="4BB375DB" w14:textId="3AABE96E" w:rsidR="002673CE" w:rsidRDefault="002673CE" w:rsidP="002673CE">
      <w:r w:rsidRPr="002673CE">
        <w:t xml:space="preserve">The vulnerability concept in the criminal justice system (CJS) is a controversial and complicated concept, and it is not only </w:t>
      </w:r>
      <w:r w:rsidR="00986EB0" w:rsidRPr="002673CE">
        <w:t>since</w:t>
      </w:r>
      <w:r w:rsidRPr="002673CE">
        <w:t xml:space="preserve"> the traditional view of victims as a homogenous group is no longer valid, but it is also </w:t>
      </w:r>
      <w:r w:rsidR="00986EB0" w:rsidRPr="002673CE">
        <w:t>since</w:t>
      </w:r>
      <w:r w:rsidRPr="002673CE">
        <w:t xml:space="preserve"> there are differentiated needs and experiences. Vulnerability in policy and legal contexts in England and Wales is frequently discussed in terms of a diminished capacity of an individual to withstand, or </w:t>
      </w:r>
      <w:r w:rsidR="0067070E">
        <w:t xml:space="preserve">to </w:t>
      </w:r>
      <w:r w:rsidRPr="002673CE">
        <w:t>recuperate the effects of a crime, or to participate successfully in criminal justice procedures. This can be due to not only age but also disability, mental illness or even trauma</w:t>
      </w:r>
      <w:r w:rsidR="00182881">
        <w:t xml:space="preserve"> (</w:t>
      </w:r>
      <w:r w:rsidR="0069071E" w:rsidRPr="0069071E">
        <w:t>Oram</w:t>
      </w:r>
      <w:r w:rsidR="0069071E">
        <w:t xml:space="preserve"> et al.,</w:t>
      </w:r>
      <w:r w:rsidR="0069071E" w:rsidRPr="0069071E">
        <w:t xml:space="preserve"> 2022</w:t>
      </w:r>
      <w:r w:rsidR="0069071E">
        <w:t>)</w:t>
      </w:r>
      <w:r w:rsidR="0069071E" w:rsidRPr="0069071E">
        <w:t xml:space="preserve">. </w:t>
      </w:r>
      <w:r w:rsidRPr="002673CE">
        <w:t>But these definitions, though helpful in terms of practice guidance, run the risk of simplifying the nature of vulnerability to the extent that it is a fixed or inherent attribute, as opposed to a dynamic and context-dependent state.</w:t>
      </w:r>
    </w:p>
    <w:p w14:paraId="6FBE8F91" w14:textId="1DA1E640" w:rsidR="002673CE" w:rsidRDefault="00292588" w:rsidP="002673CE">
      <w:r w:rsidRPr="00292588">
        <w:t xml:space="preserve">Critically, vulnerability is more of a social construction and situation. Persons are not always vulnerable under any conditions; vulnerability occurs </w:t>
      </w:r>
      <w:r w:rsidR="00986EB0" w:rsidRPr="00292588">
        <w:t>because of</w:t>
      </w:r>
      <w:r w:rsidRPr="00292588">
        <w:t xml:space="preserve"> the interaction between individual features and structural circumstances. An illustration is that a mentally unstable victim might feel more vulnerable to go through complex legal processes, especially where the support systems are weak or </w:t>
      </w:r>
      <w:r w:rsidR="00C80136">
        <w:t>in equally</w:t>
      </w:r>
      <w:r w:rsidRPr="00292588">
        <w:t xml:space="preserve"> effective. In the same way, those who are in poverty can be more susceptible to some types of </w:t>
      </w:r>
      <w:r w:rsidR="00986EB0">
        <w:t>victimisations</w:t>
      </w:r>
      <w:r w:rsidR="00182881">
        <w:t>,</w:t>
      </w:r>
      <w:r w:rsidRPr="00292588">
        <w:t xml:space="preserve"> and they may also have obstacles to crime reporting or access to services</w:t>
      </w:r>
      <w:r w:rsidR="00182881">
        <w:t xml:space="preserve"> (</w:t>
      </w:r>
      <w:r w:rsidR="0069071E" w:rsidRPr="0069071E">
        <w:t>Brown</w:t>
      </w:r>
      <w:r w:rsidR="0069071E">
        <w:t xml:space="preserve"> </w:t>
      </w:r>
      <w:r w:rsidR="0069071E" w:rsidRPr="0069071E">
        <w:t>and Gordon, 2022</w:t>
      </w:r>
      <w:r w:rsidR="0069071E">
        <w:t>)</w:t>
      </w:r>
      <w:r w:rsidR="0069071E" w:rsidRPr="0069071E">
        <w:t xml:space="preserve">. </w:t>
      </w:r>
      <w:r w:rsidRPr="00292588">
        <w:t xml:space="preserve">This underscores the need to look at the overall social inequalities </w:t>
      </w:r>
      <w:r w:rsidR="00986EB0" w:rsidRPr="00292588">
        <w:t>to</w:t>
      </w:r>
      <w:r w:rsidRPr="00292588">
        <w:t xml:space="preserve"> </w:t>
      </w:r>
      <w:r w:rsidR="0067070E">
        <w:t>analyse</w:t>
      </w:r>
      <w:r w:rsidRPr="00292588">
        <w:t xml:space="preserve"> the vulnerability in the CJS. </w:t>
      </w:r>
    </w:p>
    <w:p w14:paraId="22543CB5" w14:textId="2A6D781A" w:rsidR="00292588" w:rsidRDefault="00292588" w:rsidP="002673CE">
      <w:r w:rsidRPr="00292588">
        <w:t xml:space="preserve">Intersectionality is a useful concept to explain the possibility of various types of disadvantage overlapping and </w:t>
      </w:r>
      <w:r w:rsidR="0067070E">
        <w:t>reinforcing</w:t>
      </w:r>
      <w:r w:rsidRPr="00292588">
        <w:t xml:space="preserve"> each other. Gender, ethnicity, socio-economic status, and disability are not independent factors but overlap in a manner that influences the experiences that individuals face with victimisation and justice. As an example, minority ethnic women with a history of domestic abuse might face multiplied obstacles, such as cultural stigma, language obstacles, and mistrust of authorities. Such overlapping vulnerabilities may play a significant role in the reporting of crimes, the treatment of victims by the criminal justice agencies, and their overall experiences with the system</w:t>
      </w:r>
      <w:r w:rsidR="0003093B">
        <w:t xml:space="preserve"> (</w:t>
      </w:r>
      <w:r w:rsidR="0003093B" w:rsidRPr="0003093B">
        <w:t>Godsoe, 2021</w:t>
      </w:r>
      <w:r w:rsidR="0003093B">
        <w:t>)</w:t>
      </w:r>
      <w:r w:rsidR="0003093B" w:rsidRPr="0003093B">
        <w:t xml:space="preserve">. </w:t>
      </w:r>
      <w:r w:rsidRPr="00292588">
        <w:t xml:space="preserve">Although vulnerability in policy </w:t>
      </w:r>
      <w:r w:rsidRPr="00292588">
        <w:lastRenderedPageBreak/>
        <w:t xml:space="preserve">frameworks has gained </w:t>
      </w:r>
      <w:r w:rsidR="00986EB0" w:rsidRPr="00292588">
        <w:t>more</w:t>
      </w:r>
      <w:r w:rsidRPr="00292588">
        <w:t xml:space="preserve"> </w:t>
      </w:r>
      <w:r w:rsidR="0067070E">
        <w:t>recognition</w:t>
      </w:r>
      <w:r w:rsidRPr="00292588">
        <w:t xml:space="preserve">, it still does not bridge the gap between theory and practice. </w:t>
      </w:r>
    </w:p>
    <w:p w14:paraId="41CD03CA" w14:textId="61CE993D" w:rsidR="00292588" w:rsidRDefault="00292588" w:rsidP="002673CE">
      <w:r w:rsidRPr="00292588">
        <w:t xml:space="preserve">Although such initiatives </w:t>
      </w:r>
      <w:r w:rsidR="0067070E">
        <w:t>as</w:t>
      </w:r>
      <w:r w:rsidRPr="00292588">
        <w:t xml:space="preserve"> the Victims’ Code underline the value of individual support, communication, and fairness, there is some evidence to indicate that such principles are not always reflected in real practice. In most instances, vulnerabilities are not realised early</w:t>
      </w:r>
      <w:r w:rsidR="0067070E">
        <w:t>,</w:t>
      </w:r>
      <w:r w:rsidRPr="00292588">
        <w:t xml:space="preserve"> or proper accommodation </w:t>
      </w:r>
      <w:r w:rsidR="0067070E">
        <w:t>is not made,</w:t>
      </w:r>
      <w:r w:rsidRPr="00292588">
        <w:t xml:space="preserve"> and the victims end up feeling marginalised or neglected. In addition, the vulnerability classification may at times be so strict that there are cases where one may be locked out of the assistance even when they are in great need</w:t>
      </w:r>
      <w:r w:rsidR="0003093B">
        <w:t xml:space="preserve"> (</w:t>
      </w:r>
      <w:r w:rsidR="00C80136" w:rsidRPr="0069071E">
        <w:t>Dehghani</w:t>
      </w:r>
      <w:r w:rsidR="0069071E" w:rsidRPr="0069071E">
        <w:t>, 2021</w:t>
      </w:r>
      <w:r w:rsidR="0069071E">
        <w:t>)</w:t>
      </w:r>
      <w:r w:rsidR="0069071E" w:rsidRPr="0069071E">
        <w:t xml:space="preserve">. </w:t>
      </w:r>
      <w:r w:rsidR="0003093B" w:rsidRPr="0003093B">
        <w:t xml:space="preserve"> </w:t>
      </w:r>
      <w:r w:rsidRPr="00292588">
        <w:t xml:space="preserve"> </w:t>
      </w:r>
    </w:p>
    <w:p w14:paraId="5E490FED" w14:textId="4A870B3A" w:rsidR="00292588" w:rsidRDefault="00292588" w:rsidP="002673CE">
      <w:r w:rsidRPr="00292588">
        <w:t>Another complexity is the indistinct edges between the victims and offenders. In other instances, persons who get into contact with the CJS might have the two positions at the same time, like in the case of persons concerned with substance misuse or exploitation. This breaks the age-old boundaries and poses great questions concerning the way vulnerability is identified and dealt with throughout the system. Finally, the conceptualisation of vulnerability must be very delicate, but critical</w:t>
      </w:r>
      <w:r w:rsidR="0067070E">
        <w:t>,</w:t>
      </w:r>
      <w:r w:rsidRPr="00292588">
        <w:t xml:space="preserve"> so that it recognises the needs of individuals and the structural elements that inform the same. The absence of such an approach has a risk of the CJS persisting in inadequately responding to the challenges of vulnerability, thus restricting access to justice by the most vulnerable individuals in need of protection</w:t>
      </w:r>
      <w:r w:rsidR="0003093B">
        <w:t xml:space="preserve"> (</w:t>
      </w:r>
      <w:r w:rsidR="0003093B" w:rsidRPr="0003093B">
        <w:t>Ewin, 2021</w:t>
      </w:r>
      <w:r w:rsidR="0003093B">
        <w:t>)</w:t>
      </w:r>
      <w:r w:rsidR="0003093B" w:rsidRPr="0003093B">
        <w:t>. </w:t>
      </w:r>
    </w:p>
    <w:p w14:paraId="40A32A2E" w14:textId="5A1E9416" w:rsidR="00292588" w:rsidRDefault="00292588" w:rsidP="00292588">
      <w:r>
        <w:t xml:space="preserve">Policing is the first point of contact between vulnerable victims and the criminal justice system (CJS), and it is therefore a critical aspect in determining the initial experiences of justice, support and protection. The police in England and Wales have the responsibility of not only </w:t>
      </w:r>
      <w:r w:rsidR="0067070E">
        <w:t>preventing</w:t>
      </w:r>
      <w:r>
        <w:t xml:space="preserve"> and </w:t>
      </w:r>
      <w:r w:rsidR="0067070E">
        <w:t>investigating</w:t>
      </w:r>
      <w:r>
        <w:t xml:space="preserve"> </w:t>
      </w:r>
      <w:r w:rsidR="00986EB0">
        <w:t>crime but</w:t>
      </w:r>
      <w:r>
        <w:t xml:space="preserve"> also </w:t>
      </w:r>
      <w:r w:rsidR="0067070E">
        <w:t>protecting</w:t>
      </w:r>
      <w:r>
        <w:t xml:space="preserve"> individuals who are at risk of harm. The increased complexity of social issues, however, with the long-term limitations on resources, has greatly changed the character of policing. This has caused police officers to become </w:t>
      </w:r>
      <w:r w:rsidR="00986EB0">
        <w:t>increasingly</w:t>
      </w:r>
      <w:r>
        <w:t xml:space="preserve"> involved in responding to incidents that go way beyond the normal crime control into mental health crises, welfare issues, and social vulnerability</w:t>
      </w:r>
      <w:r w:rsidR="0003093B">
        <w:t xml:space="preserve"> (</w:t>
      </w:r>
      <w:r w:rsidR="005F77AE" w:rsidRPr="005F77AE">
        <w:t>Sutton</w:t>
      </w:r>
      <w:r w:rsidR="005F77AE">
        <w:t xml:space="preserve"> et al., </w:t>
      </w:r>
      <w:r w:rsidR="005F77AE" w:rsidRPr="005F77AE">
        <w:t>2021</w:t>
      </w:r>
      <w:r w:rsidR="005F77AE">
        <w:t>)</w:t>
      </w:r>
      <w:r w:rsidR="005F77AE" w:rsidRPr="005F77AE">
        <w:t>. </w:t>
      </w:r>
      <w:r>
        <w:t xml:space="preserve">The change has significant implications </w:t>
      </w:r>
      <w:r w:rsidR="0067070E">
        <w:t>for</w:t>
      </w:r>
      <w:r>
        <w:t xml:space="preserve"> the vulnerable victims, since it will increase the </w:t>
      </w:r>
      <w:r w:rsidR="0067070E">
        <w:t>pressure</w:t>
      </w:r>
      <w:r>
        <w:t xml:space="preserve"> on an already stretched service</w:t>
      </w:r>
      <w:r w:rsidR="0067070E">
        <w:t>,</w:t>
      </w:r>
      <w:r>
        <w:t xml:space="preserve"> and it </w:t>
      </w:r>
      <w:r w:rsidR="004638D7">
        <w:t>raises</w:t>
      </w:r>
      <w:r>
        <w:t xml:space="preserve"> the question of whether policing </w:t>
      </w:r>
      <w:r w:rsidR="0067070E">
        <w:t>can</w:t>
      </w:r>
      <w:r>
        <w:t xml:space="preserve"> respond to the various and multifaceted needs in </w:t>
      </w:r>
      <w:r w:rsidR="0067070E">
        <w:t>an efficient manner</w:t>
      </w:r>
      <w:r>
        <w:t>.</w:t>
      </w:r>
    </w:p>
    <w:p w14:paraId="5D360310" w14:textId="77777777" w:rsidR="004E0587" w:rsidRDefault="00292588" w:rsidP="00292588">
      <w:r>
        <w:lastRenderedPageBreak/>
        <w:t>The role of the police as de facto first responders in non-criminal incidents, especially those involving mental health, is one of the most important challenges. It has been shown that the police departments devote significant resources to addressing people in crisis, which is usually the result of health and social care-service gaps</w:t>
      </w:r>
      <w:r w:rsidR="0003093B">
        <w:t xml:space="preserve"> (</w:t>
      </w:r>
      <w:r w:rsidR="004E0587" w:rsidRPr="004E0587">
        <w:t>Curry</w:t>
      </w:r>
      <w:r w:rsidR="004E0587">
        <w:t xml:space="preserve"> </w:t>
      </w:r>
      <w:r w:rsidR="004E0587" w:rsidRPr="004E0587">
        <w:t>and Bell, 2024</w:t>
      </w:r>
      <w:r w:rsidR="004E0587">
        <w:t>)</w:t>
      </w:r>
      <w:r w:rsidR="004E0587" w:rsidRPr="004E0587">
        <w:t>. </w:t>
      </w:r>
      <w:r>
        <w:t>This, in a practical sense, implies that the officers can often find themselves having to deal with occasions where they might lack training or experience in dealing with them, like when dealing with individuals who are in acute psychological distress. Although</w:t>
      </w:r>
      <w:r w:rsidR="0067070E">
        <w:t>, indeed,</w:t>
      </w:r>
      <w:r>
        <w:t xml:space="preserve"> laws like section 136 of the </w:t>
      </w:r>
      <w:r w:rsidR="0067070E">
        <w:t>Mental Health Act</w:t>
      </w:r>
      <w:r>
        <w:t xml:space="preserve"> 1983 give the police the authority to detain people on their behalf under the pretext of their own safety, it has been heavily criticised that the use of policing in this regard is a misuse of criminal justice resources. In terms of vulnerable victims, it may cause inconsistency of responses, delay in receiving suitable treatment, and</w:t>
      </w:r>
      <w:r w:rsidR="0067070E">
        <w:t>,</w:t>
      </w:r>
      <w:r>
        <w:t xml:space="preserve"> in other instances, it may criminalise behaviour based on health needs but not criminal intent</w:t>
      </w:r>
      <w:r w:rsidR="00C02813">
        <w:t xml:space="preserve"> (</w:t>
      </w:r>
      <w:r w:rsidR="004E0587" w:rsidRPr="004E0587">
        <w:t>Commissioner, 2025</w:t>
      </w:r>
      <w:r w:rsidR="004E0587">
        <w:t>)</w:t>
      </w:r>
      <w:r w:rsidR="004E0587" w:rsidRPr="004E0587">
        <w:t>. </w:t>
      </w:r>
    </w:p>
    <w:p w14:paraId="6B43F708" w14:textId="62354FF5" w:rsidR="00292588" w:rsidRDefault="00292588" w:rsidP="00292588">
      <w:r>
        <w:t xml:space="preserve">Recent policy changes, including the implementation of </w:t>
      </w:r>
      <w:r w:rsidR="0067070E">
        <w:t xml:space="preserve">the </w:t>
      </w:r>
      <w:r>
        <w:t xml:space="preserve">Right Care Right Person (RCRP) approach, aim to mitigate this problem by shifting the responsibility of non-criminal cases to the relevant agencies, especially health and social care. Although this initiative has been </w:t>
      </w:r>
      <w:r w:rsidR="0067070E">
        <w:t>contextualised</w:t>
      </w:r>
      <w:r>
        <w:t xml:space="preserve"> as a way of ensuring that people are receiving the support of the most appropriate service, it also poses serious concerns. Practically, the exit of the police intervention in some kinds of incidents might leave vulnerable people without support, especially in those cases when other services are not sufficiently staffed or absent. This imposes a possible disjunction in provision whereby those who would have been assisted in some way or other by the police are now finding it difficult to get </w:t>
      </w:r>
      <w:r w:rsidR="0067070E">
        <w:t>assistance</w:t>
      </w:r>
      <w:r>
        <w:t xml:space="preserve"> at all</w:t>
      </w:r>
      <w:r w:rsidR="00C02813">
        <w:t xml:space="preserve"> (</w:t>
      </w:r>
      <w:r w:rsidR="004E0587" w:rsidRPr="004E0587">
        <w:t>Jacobs, 2024</w:t>
      </w:r>
      <w:r w:rsidR="004E0587">
        <w:t>)</w:t>
      </w:r>
      <w:r w:rsidR="004E0587" w:rsidRPr="004E0587">
        <w:t xml:space="preserve">. </w:t>
      </w:r>
      <w:r w:rsidR="00C02813" w:rsidRPr="00C02813">
        <w:t xml:space="preserve"> </w:t>
      </w:r>
    </w:p>
    <w:p w14:paraId="2968D815" w14:textId="3030E9EE" w:rsidR="00292588" w:rsidRDefault="00292588" w:rsidP="00292588">
      <w:r>
        <w:t xml:space="preserve">These structural challenges are also coupled with the problem of trust and legitimacy that complicate the relationship between vulnerable victims and the police even more. Over the last few years, there has been a loss of trust in the policing system due to the </w:t>
      </w:r>
      <w:r w:rsidR="0067070E">
        <w:t>high-profile</w:t>
      </w:r>
      <w:r>
        <w:t xml:space="preserve"> cases of misconduct, the perceived inability to respond appropriately to serious crimes and the issue of fairness and accountability. Such a drop in trust is especially sharp among some of the groups, such as women, ethnic minorities, and urban inhabitants. Trust by the vulnerable victims is a key factor </w:t>
      </w:r>
      <w:r w:rsidR="0067070E">
        <w:t>in determining</w:t>
      </w:r>
      <w:r>
        <w:t xml:space="preserve"> whether they will feel capable of reporting, cooperating with investigations, and </w:t>
      </w:r>
      <w:r>
        <w:lastRenderedPageBreak/>
        <w:t>participating in the justice process on a larger scale</w:t>
      </w:r>
      <w:r w:rsidR="00C02813">
        <w:t xml:space="preserve"> (</w:t>
      </w:r>
      <w:r w:rsidR="00C80136" w:rsidRPr="004E0587">
        <w:t>Dehghani</w:t>
      </w:r>
      <w:r w:rsidR="004E0587" w:rsidRPr="004E0587">
        <w:t>, Fairclough and Mergaerts, 2023</w:t>
      </w:r>
      <w:r w:rsidR="004E0587">
        <w:t>)</w:t>
      </w:r>
      <w:r w:rsidR="004E0587" w:rsidRPr="004E0587">
        <w:t>. </w:t>
      </w:r>
      <w:r w:rsidR="00C02813" w:rsidRPr="00C02813">
        <w:t> </w:t>
      </w:r>
      <w:r>
        <w:t xml:space="preserve"> </w:t>
      </w:r>
    </w:p>
    <w:p w14:paraId="54F6106C" w14:textId="03580EE5" w:rsidR="00292588" w:rsidRDefault="00292588" w:rsidP="00292588">
      <w:r>
        <w:t>Prisons have traditionally been viewed through the perspective of punishment, deterrence, and incapacitation as the main functions of the criminal justice system. Nevertheless, their role is not only confined to dealing with offenders</w:t>
      </w:r>
      <w:r w:rsidR="0067070E">
        <w:t>,</w:t>
      </w:r>
      <w:r>
        <w:t xml:space="preserve"> but there are also major indirect effects on the victims, especially </w:t>
      </w:r>
      <w:r w:rsidR="0067070E">
        <w:t>regarding</w:t>
      </w:r>
      <w:r>
        <w:t xml:space="preserve"> vulnerable groups. Although the victims might not interact with prisons directly as they do with police or courts, the success of the prison system in correcting offenders and lowering reoffending is important in determining </w:t>
      </w:r>
      <w:r w:rsidR="0067070E">
        <w:t>long-term</w:t>
      </w:r>
      <w:r>
        <w:t xml:space="preserve"> outcomes </w:t>
      </w:r>
      <w:r w:rsidR="00C02813">
        <w:t>for</w:t>
      </w:r>
      <w:r>
        <w:t xml:space="preserve"> victims. The ongoing problems in the prison system in England and Wales, such as overcrowding, under-resourcing</w:t>
      </w:r>
      <w:r w:rsidR="00A01474">
        <w:t>, and a lack of capacity to rehabilitate, raise serious questions about its ability</w:t>
      </w:r>
      <w:r>
        <w:t xml:space="preserve"> to avert future harm</w:t>
      </w:r>
      <w:r w:rsidR="00C02813">
        <w:t xml:space="preserve"> (</w:t>
      </w:r>
      <w:r w:rsidR="004E0587" w:rsidRPr="004E0587">
        <w:t>McNaull</w:t>
      </w:r>
      <w:r w:rsidR="004E0587">
        <w:t xml:space="preserve"> et al., </w:t>
      </w:r>
      <w:r w:rsidR="004E0587" w:rsidRPr="004E0587">
        <w:t>2022</w:t>
      </w:r>
      <w:r w:rsidR="004E0587">
        <w:t>)</w:t>
      </w:r>
      <w:r w:rsidR="004E0587" w:rsidRPr="004E0587">
        <w:t xml:space="preserve">. </w:t>
      </w:r>
      <w:r>
        <w:t>These weaknesses lead to reoffending cycles, thus making chances of becoming a victim again more likely and diminishing public trust in the criminal justice system.</w:t>
      </w:r>
    </w:p>
    <w:p w14:paraId="4F9B2F10" w14:textId="3EC9BAE2" w:rsidR="00292588" w:rsidRDefault="00292588" w:rsidP="00292588">
      <w:r>
        <w:t>The growth of the prison population over a long period of time has become one of the most pressing problems of prisons</w:t>
      </w:r>
      <w:r w:rsidR="0067070E">
        <w:t>,</w:t>
      </w:r>
      <w:r>
        <w:t xml:space="preserve"> as it has put a strong burden on already tension-filled infrastructure. Crowding is a chronic issue, and there are numerous facilities running at increased capacity. This directly affects the living standards, availability of services and the general stability of the prison environment. Under these circumstances, it becomes more challenging to deliver effective rehabilitation programmes</w:t>
      </w:r>
      <w:r w:rsidR="00C02813">
        <w:t xml:space="preserve"> (</w:t>
      </w:r>
      <w:r w:rsidR="004E0587" w:rsidRPr="004E0587">
        <w:t>Joyce and Laverick, 2022</w:t>
      </w:r>
      <w:r w:rsidR="004E0587">
        <w:t>)</w:t>
      </w:r>
      <w:r w:rsidR="004E0587" w:rsidRPr="004E0587">
        <w:t>. </w:t>
      </w:r>
      <w:r>
        <w:t>Services such as educational opportunities, mental health support and substance misuse services are usually either scarce or unpredictable and thus do not ensure that the offenders will deal with the root cause of their offending behaviour. To the victims, this is a serious failure because</w:t>
      </w:r>
      <w:r w:rsidR="0067070E">
        <w:t>,</w:t>
      </w:r>
      <w:r>
        <w:t xml:space="preserve"> without meaningful rehabilitation, chances are high that the offenders will reoffend when released</w:t>
      </w:r>
      <w:r w:rsidR="0067070E">
        <w:t>,</w:t>
      </w:r>
      <w:r>
        <w:t xml:space="preserve"> which may result in a new victim or re-victimisation of the old one.</w:t>
      </w:r>
    </w:p>
    <w:p w14:paraId="0281FC7B" w14:textId="198BC27F" w:rsidR="00292588" w:rsidRDefault="00292588" w:rsidP="00292588">
      <w:r>
        <w:t>This is complicated by the fact that mental health problems are common among the prison population. It is estimated that a large percentage of prisoners in England and Wales are mentally ill, have learning disabilities, or neurodivergent characteristics which might not have been identified or addressed before they went to prison</w:t>
      </w:r>
      <w:r w:rsidR="00C02813">
        <w:t xml:space="preserve"> (</w:t>
      </w:r>
      <w:r w:rsidR="00FC4717" w:rsidRPr="00FC4717">
        <w:t>Powell</w:t>
      </w:r>
      <w:r w:rsidR="00FC4717">
        <w:t xml:space="preserve"> et al., </w:t>
      </w:r>
      <w:r w:rsidR="00FC4717" w:rsidRPr="00FC4717">
        <w:t>2025</w:t>
      </w:r>
      <w:r w:rsidR="00FC4717">
        <w:t>)</w:t>
      </w:r>
      <w:r w:rsidR="00FC4717" w:rsidRPr="00FC4717">
        <w:t xml:space="preserve">. </w:t>
      </w:r>
      <w:r>
        <w:t xml:space="preserve">In most situations, these vulnerabilities are compounded instead of being dealt with in prison. Poor access to proper healthcare, along with the pressures of </w:t>
      </w:r>
      <w:r>
        <w:lastRenderedPageBreak/>
        <w:t xml:space="preserve">imprisonment, has the potential to negatively affect mental health, self-harm, and violence. This brings up key issues </w:t>
      </w:r>
      <w:r w:rsidR="00986EB0">
        <w:t>about</w:t>
      </w:r>
      <w:r>
        <w:t xml:space="preserve"> the ability of the system to deal with risk in a victim-centred way. Without treatment of underlying issues, </w:t>
      </w:r>
      <w:r w:rsidR="0067070E">
        <w:t xml:space="preserve">the </w:t>
      </w:r>
      <w:r>
        <w:t>chances of repetition of offending behaviour are high and thus cycles of harm are perpetuated.</w:t>
      </w:r>
    </w:p>
    <w:p w14:paraId="6A25DC55" w14:textId="0599CA9B" w:rsidR="00292588" w:rsidRPr="00880F66" w:rsidRDefault="00292588" w:rsidP="00292588">
      <w:r>
        <w:t>Besides these structural issues, the prison itself has been highly criticised as creating an environment that can support criminal behaviour</w:t>
      </w:r>
      <w:r w:rsidR="00241C65">
        <w:t xml:space="preserve"> (</w:t>
      </w:r>
      <w:r w:rsidR="00C811E5" w:rsidRPr="00C811E5">
        <w:t>Gaubatz, 2025</w:t>
      </w:r>
      <w:r w:rsidR="00C811E5">
        <w:t>)</w:t>
      </w:r>
      <w:r w:rsidR="00C811E5" w:rsidRPr="00C811E5">
        <w:t>. </w:t>
      </w:r>
      <w:r>
        <w:t>The concept of prisons as a school of crime has been driven by fears that people might acquire new criminal networks or acquire more entrenched criminal patterns in the course of their time in jail. This becomes especially problematic in overcrowded and under-monitored facilities, in which staff shortages curtail capabilities to uphold order and deliver meaningful engagement. In the case of vulnerable victims, the consequences are great since the inability to interrupt the pathways of offending compromises the protective role of the criminal justice system.</w:t>
      </w:r>
      <w:r w:rsidR="00F00C16">
        <w:t xml:space="preserve"> </w:t>
      </w:r>
      <w:r>
        <w:t xml:space="preserve">Moreover, other problems like violence, drug abuse and instability in prisons lead to an </w:t>
      </w:r>
      <w:r w:rsidR="0067070E">
        <w:t>unfavourable</w:t>
      </w:r>
      <w:r>
        <w:t xml:space="preserve"> environment that is not conducive to rehabilitation</w:t>
      </w:r>
      <w:r w:rsidR="00241C65">
        <w:t xml:space="preserve"> (</w:t>
      </w:r>
      <w:r w:rsidR="00FC4717" w:rsidRPr="00FC4717">
        <w:t>Wells, 2024</w:t>
      </w:r>
      <w:r w:rsidR="00FC4717">
        <w:t>)</w:t>
      </w:r>
      <w:r w:rsidR="00FC4717" w:rsidRPr="00FC4717">
        <w:t>. </w:t>
      </w:r>
      <w:r>
        <w:t>Assaults of staff and inmates</w:t>
      </w:r>
      <w:r w:rsidR="0067070E">
        <w:t>,</w:t>
      </w:r>
      <w:r>
        <w:t xml:space="preserve"> as well as growing levels of drug misuse</w:t>
      </w:r>
      <w:r w:rsidR="0067070E">
        <w:t>,</w:t>
      </w:r>
      <w:r>
        <w:t xml:space="preserve"> have been reported to indicate the levels of disorder in some institutions.  </w:t>
      </w:r>
    </w:p>
    <w:p w14:paraId="34D6D9B7" w14:textId="0B16778D" w:rsidR="00292588" w:rsidRDefault="00292588" w:rsidP="00292588">
      <w:r>
        <w:t xml:space="preserve">Probation services hold a very crucial role in the English and </w:t>
      </w:r>
      <w:r w:rsidR="0067070E">
        <w:t>Welsh</w:t>
      </w:r>
      <w:r>
        <w:t xml:space="preserve"> criminal justice system as they serve as the main tool that subjects the offenders to supervision, rehabilitation and integration into the community. Although probation is not a direct interaction with the victims as the police or the courts, its performance has great consequences </w:t>
      </w:r>
      <w:r w:rsidR="0067070E">
        <w:t>for</w:t>
      </w:r>
      <w:r>
        <w:t xml:space="preserve"> the safety of the victims</w:t>
      </w:r>
      <w:r w:rsidR="0067070E">
        <w:t>,</w:t>
      </w:r>
      <w:r>
        <w:t xml:space="preserve"> especially in avoiding recidivism and risk management. In the case of vulnerable victims, where the exposure to harm may already be increased by social or personal factors, the lack of effective supervision and support by probation services may lead to further or recurring victimisation</w:t>
      </w:r>
      <w:r w:rsidR="00880F66">
        <w:t xml:space="preserve">. </w:t>
      </w:r>
      <w:r>
        <w:t>In this regard, the issues of probation are not only operational but also focal to the bigger issue of whether the criminal justice system could provide significant protection</w:t>
      </w:r>
      <w:r w:rsidR="00880F66">
        <w:t xml:space="preserve"> (</w:t>
      </w:r>
      <w:r w:rsidR="00C811E5" w:rsidRPr="00C811E5">
        <w:t>Davies</w:t>
      </w:r>
      <w:r w:rsidR="00C811E5">
        <w:t xml:space="preserve"> et al., </w:t>
      </w:r>
      <w:r w:rsidR="00C811E5" w:rsidRPr="00C811E5">
        <w:t>2025</w:t>
      </w:r>
      <w:r w:rsidR="00C811E5">
        <w:t>)</w:t>
      </w:r>
      <w:r w:rsidR="00C811E5" w:rsidRPr="00C811E5">
        <w:t>. </w:t>
      </w:r>
    </w:p>
    <w:p w14:paraId="74183510" w14:textId="09A82702" w:rsidR="00292588" w:rsidRDefault="00292588" w:rsidP="00292588">
      <w:r>
        <w:t xml:space="preserve">The influence of structural reform and organisational instability has been amongst the most </w:t>
      </w:r>
      <w:r w:rsidR="0067070E">
        <w:t>long-lasting</w:t>
      </w:r>
      <w:r>
        <w:t xml:space="preserve"> problems of probation services over the last few years. The subsequent renationalisation of probation after a partial privatisation in 2014 has left a disruptive impact on service delivery, which has enduring effects on service delivery. </w:t>
      </w:r>
      <w:r>
        <w:lastRenderedPageBreak/>
        <w:t>At this period, there was disintegration between the public and the private providers</w:t>
      </w:r>
      <w:r w:rsidR="0067070E">
        <w:t>,</w:t>
      </w:r>
      <w:r>
        <w:t xml:space="preserve"> resulting in inconsistencies in supervision, communication gaps and loss of experienced staff</w:t>
      </w:r>
      <w:r w:rsidR="00880F66">
        <w:t xml:space="preserve">. </w:t>
      </w:r>
      <w:r>
        <w:t xml:space="preserve">Though the service was to be reunited to solve these problems, the transition has proved to be rather expensive and has not completely solved </w:t>
      </w:r>
      <w:r w:rsidR="0067070E">
        <w:t xml:space="preserve">the </w:t>
      </w:r>
      <w:r>
        <w:t xml:space="preserve">underlying issues. The quality of supervision remains to be impacted by the high staff turnover and lack of experienced practitioners, which brings doubts regarding the skills of probation </w:t>
      </w:r>
      <w:r w:rsidR="0067070E">
        <w:t xml:space="preserve">officers </w:t>
      </w:r>
      <w:r>
        <w:t>to evaluate and manage risk effectively</w:t>
      </w:r>
      <w:r w:rsidR="00880F66">
        <w:t xml:space="preserve"> (</w:t>
      </w:r>
      <w:r w:rsidR="005F77AE" w:rsidRPr="005F77AE">
        <w:t>Harris, 2022</w:t>
      </w:r>
      <w:r w:rsidR="005F77AE">
        <w:t>)</w:t>
      </w:r>
      <w:r w:rsidR="005F77AE" w:rsidRPr="005F77AE">
        <w:t>. </w:t>
      </w:r>
      <w:r w:rsidR="00AF052F" w:rsidRPr="00AF052F">
        <w:t xml:space="preserve"> </w:t>
      </w:r>
    </w:p>
    <w:p w14:paraId="721D6255" w14:textId="2ADAA63D" w:rsidR="00292588" w:rsidRDefault="00292588" w:rsidP="00292588">
      <w:r>
        <w:t>Another issue is high caseloads</w:t>
      </w:r>
      <w:r w:rsidR="0067070E">
        <w:t>,</w:t>
      </w:r>
      <w:r>
        <w:t xml:space="preserve"> which restrict the ability of probation officers to offer any meaningful and individualised support to the supervised. Practically, it frequently leads to a more responsive and administrative stance, based on compliance and risk management, but not rehabilitation</w:t>
      </w:r>
      <w:r w:rsidR="00241C65" w:rsidRPr="00241C65">
        <w:t xml:space="preserve">. </w:t>
      </w:r>
      <w:r>
        <w:t xml:space="preserve">In complex offenders (mental health problems, substance abuse, and unstable housing, etc.), this approach is unlikely to deal with the underlying causes of offending behaviour. This has a direct impact on vulnerable victims since poor intervention leads to higher chances of recidivism. In cases where probation </w:t>
      </w:r>
      <w:r w:rsidR="00986EB0">
        <w:t>cannot</w:t>
      </w:r>
      <w:r>
        <w:t xml:space="preserve"> detect potential escalating risks or effectively intervene, those who might already be vulnerable to suffering continue to face the chances of further victimisation</w:t>
      </w:r>
      <w:r w:rsidR="00880F66">
        <w:t xml:space="preserve"> (</w:t>
      </w:r>
      <w:r w:rsidR="00AF052F" w:rsidRPr="00AF052F">
        <w:t>Collins,</w:t>
      </w:r>
      <w:r w:rsidR="00AF052F">
        <w:t xml:space="preserve"> </w:t>
      </w:r>
      <w:r w:rsidR="00AF052F" w:rsidRPr="00AF052F">
        <w:t>2025</w:t>
      </w:r>
      <w:r w:rsidR="00AF052F">
        <w:t>)</w:t>
      </w:r>
      <w:r w:rsidR="00AF052F" w:rsidRPr="00AF052F">
        <w:t>. </w:t>
      </w:r>
    </w:p>
    <w:p w14:paraId="4B1F4146" w14:textId="77777777" w:rsidR="009463C9" w:rsidRDefault="009463C9" w:rsidP="0067070E">
      <w:pPr>
        <w:rPr>
          <w:b/>
          <w:bCs/>
        </w:rPr>
      </w:pPr>
    </w:p>
    <w:p w14:paraId="426A4911" w14:textId="0281DD9B" w:rsidR="009463C9" w:rsidRDefault="0067070E" w:rsidP="0067070E">
      <w:pPr>
        <w:rPr>
          <w:b/>
          <w:bCs/>
        </w:rPr>
      </w:pPr>
      <w:r w:rsidRPr="00F00C16">
        <w:rPr>
          <w:b/>
          <w:bCs/>
        </w:rPr>
        <w:t>Systemic Problems in the Criminal Justice System</w:t>
      </w:r>
    </w:p>
    <w:p w14:paraId="78B98B2A" w14:textId="47F2A329" w:rsidR="0067070E" w:rsidRPr="009463C9" w:rsidRDefault="0067070E" w:rsidP="0067070E">
      <w:pPr>
        <w:rPr>
          <w:b/>
          <w:bCs/>
        </w:rPr>
      </w:pPr>
      <w:r>
        <w:t>The plight of vulnerable victims can only be clearly comprehended when they are placed in the wider context of systemic dilemmas in the criminal justice system (CJS) in England and Wales</w:t>
      </w:r>
      <w:r w:rsidR="00AF052F">
        <w:t>.</w:t>
      </w:r>
      <w:r w:rsidR="00241C65">
        <w:t xml:space="preserve"> </w:t>
      </w:r>
      <w:r>
        <w:t>Although each separate institution, e.g., the police, courts, prisons, and probation services, has its own set of deficits, the problems are closely interrelated and are grounded in structural pressures that have grown in the last ten years. One of the greatest of these pressures is the long-term effect of austerity, which has caused underinvestment to be sustained over the years in the public services</w:t>
      </w:r>
      <w:r w:rsidR="00AF052F">
        <w:t xml:space="preserve"> (</w:t>
      </w:r>
      <w:r w:rsidR="00AF052F" w:rsidRPr="00AF052F">
        <w:t>Fitzpatrick</w:t>
      </w:r>
      <w:r w:rsidR="00AF052F">
        <w:t xml:space="preserve"> et al., </w:t>
      </w:r>
      <w:r w:rsidR="00AF052F" w:rsidRPr="00AF052F">
        <w:t>2023</w:t>
      </w:r>
      <w:r w:rsidR="00AF052F">
        <w:t>)</w:t>
      </w:r>
      <w:r w:rsidR="00AF052F" w:rsidRPr="00AF052F">
        <w:t xml:space="preserve">. </w:t>
      </w:r>
      <w:r>
        <w:t>Funding cuts have resulted in staffing shortages, workload, and poor infrastructure, which restrict the ability of criminal justice agencies to efficiently meet the complex and expanding demands. These limitations have the effect of inconsistent service delivery and poor access to justice in the case of vulnerable victims, who tend to need more time, support, and individual interventions</w:t>
      </w:r>
      <w:r w:rsidR="00241C65" w:rsidRPr="00241C65">
        <w:t xml:space="preserve">. </w:t>
      </w:r>
    </w:p>
    <w:p w14:paraId="4F25C3CE" w14:textId="746AB908" w:rsidR="00AF052F" w:rsidRDefault="0067070E" w:rsidP="0067070E">
      <w:r>
        <w:lastRenderedPageBreak/>
        <w:t xml:space="preserve">Besides resource shortages, crime itself has changed, </w:t>
      </w:r>
      <w:r w:rsidR="00A01474">
        <w:t>putting</w:t>
      </w:r>
      <w:r>
        <w:t xml:space="preserve"> additional pressure on the system. Complex offences, including cybercrime, organised exploitation, and serious violence, demand greater specialisation, require longer to investigate, and more inter-agency efforts</w:t>
      </w:r>
      <w:r w:rsidR="00AF052F">
        <w:t xml:space="preserve"> (</w:t>
      </w:r>
      <w:r w:rsidR="00AF052F" w:rsidRPr="00AF052F">
        <w:t>Sikra, Renaud</w:t>
      </w:r>
      <w:r w:rsidR="00AF052F">
        <w:t xml:space="preserve"> </w:t>
      </w:r>
      <w:r w:rsidR="00AF052F" w:rsidRPr="00AF052F">
        <w:t>and Thomas, 2023</w:t>
      </w:r>
      <w:r w:rsidR="00AF052F">
        <w:t>)</w:t>
      </w:r>
      <w:r w:rsidR="00AF052F" w:rsidRPr="00AF052F">
        <w:t xml:space="preserve">. </w:t>
      </w:r>
      <w:r>
        <w:t>Simultaneously, more general social problems, such as poverty, inequality, and mental health crises, have predisposed more people to the CJS, both as victims and perpetrators. This increasing demand has not been met with subsequent increases in capacity, leading to backlogs, delays and a reactive but not proactive approach to justice. These developments are particularly vulnerable to the vulnerable victims because delays may extend the trauma, decrease the chances of successful prosecutions, and raise the chances of no longer being part of the process</w:t>
      </w:r>
      <w:r w:rsidR="00AF052F">
        <w:t>.</w:t>
      </w:r>
    </w:p>
    <w:p w14:paraId="25D8EE92" w14:textId="4B327682" w:rsidR="0067070E" w:rsidRPr="00880F66" w:rsidRDefault="0067070E" w:rsidP="0067070E">
      <w:r>
        <w:t>Another systemic problem is the lack of coordination of services and the difficulties of multi-agency work</w:t>
      </w:r>
      <w:r w:rsidR="00AF052F">
        <w:t xml:space="preserve"> (</w:t>
      </w:r>
      <w:r w:rsidR="00AF052F" w:rsidRPr="00AF052F">
        <w:t>Ryan, 2025</w:t>
      </w:r>
      <w:r w:rsidR="00AF052F">
        <w:t>)</w:t>
      </w:r>
      <w:r w:rsidR="00AF052F" w:rsidRPr="00AF052F">
        <w:t xml:space="preserve">. </w:t>
      </w:r>
      <w:r>
        <w:t xml:space="preserve"> A combination of police, health services, social care, housing providers and voluntary organisations can provide efficient assistance to vulnerable victims. Nonetheless, the variations in priorities of organisations, funding models and the practice of sharing information may pose challenges to collaboration. This can lead to lapses in the support of victims, duplication of processes or lack of consistency in communication, which builds mistrust in the system. This is especially a weak area when it comes to complex needs, and a holistic and coordinated response is necessary</w:t>
      </w:r>
      <w:r w:rsidR="00ED126C" w:rsidRPr="00ED126C">
        <w:t xml:space="preserve">. </w:t>
      </w:r>
      <w:r>
        <w:t>Critical concerns of the system are also trust and legitimacy. A drop in public trust in the CJS has been experienced in recent years due to high-profile failures, perceived injustice, and lack of transparency</w:t>
      </w:r>
      <w:r w:rsidR="004B0549">
        <w:t xml:space="preserve"> </w:t>
      </w:r>
      <w:r w:rsidR="00C1288C">
        <w:t>(</w:t>
      </w:r>
      <w:r w:rsidR="00C1288C" w:rsidRPr="00C1288C">
        <w:t>Townend</w:t>
      </w:r>
      <w:r w:rsidR="00C1288C">
        <w:t xml:space="preserve"> </w:t>
      </w:r>
      <w:r w:rsidR="00C1288C" w:rsidRPr="00C1288C">
        <w:t>and Welsh, 2023</w:t>
      </w:r>
      <w:r w:rsidR="00C1288C">
        <w:t>)</w:t>
      </w:r>
      <w:r w:rsidR="00C1288C" w:rsidRPr="00C1288C">
        <w:t>. </w:t>
      </w:r>
    </w:p>
    <w:p w14:paraId="0E452498" w14:textId="1D91A05F" w:rsidR="0067070E" w:rsidRDefault="0067070E" w:rsidP="0067070E">
      <w:r>
        <w:t xml:space="preserve">The debate on whether more funding will address the challenges affecting the vulnerable victims is controversial and significant. On the one hand, the idea that financial investment is a precondition to meaningful reform is a strong one. Other sources would be </w:t>
      </w:r>
      <w:r w:rsidR="00986EB0">
        <w:t>able</w:t>
      </w:r>
      <w:r>
        <w:t xml:space="preserve"> to hire and train personnel in policing, courts, prisons, and probation, which would help to alleviate workloads and enhance service delivery. Greater investment may also be used to build specialised services to vulnerable victims, such as mental health support, advocacy programmes and better access to legal aid</w:t>
      </w:r>
      <w:r w:rsidR="00ED126C">
        <w:t xml:space="preserve"> (</w:t>
      </w:r>
      <w:r w:rsidR="004B0549" w:rsidRPr="004B0549">
        <w:t>Jorge, 2021</w:t>
      </w:r>
      <w:r w:rsidR="004B0549">
        <w:t>)</w:t>
      </w:r>
      <w:r w:rsidR="004B0549" w:rsidRPr="004B0549">
        <w:t>. </w:t>
      </w:r>
      <w:r>
        <w:t>Infrastructure and human investments in the context of the large backlogs in the courts may be beneficial in terms of minimising delays so that the cases will be more efficiently handled, and victims will get the results promptly.</w:t>
      </w:r>
    </w:p>
    <w:p w14:paraId="57013477" w14:textId="1869FB9D" w:rsidR="0067070E" w:rsidRDefault="0067070E" w:rsidP="0067070E">
      <w:r>
        <w:lastRenderedPageBreak/>
        <w:t>But as much as the argument of more funding is convincing, it alone cannot overcome the more structural problems of the CJS. Increasing the number of resources invested in the current systems might not result in a significant change if the organisational and cultural issues are not addressed. As an example, problems like lack of inter-agency communication, lack of consistent vulnerability identification, and bureaucratic inefficiencies are not only caused by financial limitations but are also system design problems. Until there is a reform of the functioning and interaction of institutions, further funding can be lost in processes that are already non-functional</w:t>
      </w:r>
      <w:r w:rsidR="00ED126C">
        <w:t xml:space="preserve"> </w:t>
      </w:r>
      <w:r w:rsidR="009A5072">
        <w:t>(</w:t>
      </w:r>
      <w:r w:rsidR="009A5072" w:rsidRPr="009A5072">
        <w:t>Maggetti, 2024</w:t>
      </w:r>
      <w:r w:rsidR="009A5072">
        <w:t>)</w:t>
      </w:r>
      <w:r w:rsidR="009A5072" w:rsidRPr="009A5072">
        <w:t>. </w:t>
      </w:r>
      <w:r w:rsidR="004B0549" w:rsidRPr="004B0549">
        <w:t xml:space="preserve"> </w:t>
      </w:r>
    </w:p>
    <w:p w14:paraId="266F9D7F" w14:textId="3337CB2B" w:rsidR="0067070E" w:rsidRPr="00880F66" w:rsidRDefault="0067070E" w:rsidP="0067070E">
      <w:r>
        <w:t>In addition, there is the risk that a limited focus on funding can result in the absence of emphasis on prevention and early intervention. The investment is usually skewed towards reactive features of the system, like policing and imprisonment, as opposed to services that help to address the causes of vulnerability, such as social care, housing, and education. In this sense, there is a need to adopt a more holistic view, the view that sees the interrelatedness of social problems and aims to alleviate demand on the CJS and not merely increase capacity</w:t>
      </w:r>
      <w:r w:rsidR="00ED126C">
        <w:t xml:space="preserve"> (</w:t>
      </w:r>
      <w:r w:rsidR="004B0549" w:rsidRPr="004B0549">
        <w:t>Cummins, 2025</w:t>
      </w:r>
      <w:r w:rsidR="004B0549">
        <w:t>)</w:t>
      </w:r>
      <w:r w:rsidR="004B0549" w:rsidRPr="004B0549">
        <w:t>. </w:t>
      </w:r>
      <w:r w:rsidR="00ED126C" w:rsidRPr="00ED126C">
        <w:t> </w:t>
      </w:r>
    </w:p>
    <w:p w14:paraId="65CCEC1D" w14:textId="629F22AE" w:rsidR="0067070E" w:rsidRDefault="0067070E" w:rsidP="0067070E">
      <w:r>
        <w:t>To deal with the challenges confronting vulnerable victims in the criminal justice system, a multi-layered strategy beyond incremental reform is needed. Adopting trauma-informed practices at every level of the CJS is among the top priorities. This entails the identification of the effects of trauma on behaviour and participation of individuals, and the process is adjusted to reduce re-traumatisation. This may in practice involve better training of police officers, legal practitioners and probation staff and the greater application of special measures in court to benefit vulnerable witnesses. Such practices would be advantageous to this system since they would ensure that the victims are treated with care and respect, thus making their experience with the system better</w:t>
      </w:r>
      <w:r w:rsidR="00D53044">
        <w:t xml:space="preserve"> (</w:t>
      </w:r>
      <w:r w:rsidR="004B0549" w:rsidRPr="004B0549">
        <w:t>Kirkwood, 2022</w:t>
      </w:r>
      <w:r w:rsidR="004B0549">
        <w:t>)</w:t>
      </w:r>
      <w:r w:rsidR="004B0549" w:rsidRPr="004B0549">
        <w:t xml:space="preserve">. </w:t>
      </w:r>
    </w:p>
    <w:p w14:paraId="4F2EADC3" w14:textId="1078B14D" w:rsidR="0067070E" w:rsidRDefault="0067070E" w:rsidP="0067070E">
      <w:r>
        <w:t xml:space="preserve">The second main suggestion is to reinforce the mechanisms of early identification and intervention. Vulnerability does not always manifest itself at the first point of contact, and this results in the lack of support opportunities. It may be possible to develop more powerful screening tools and make sure that frontline staff are prepared to recognise and act on vulnerability, which would considerably enhance the results. This must be </w:t>
      </w:r>
      <w:r>
        <w:lastRenderedPageBreak/>
        <w:t>coupled with better referral channels to relevant services such as mental health, housing and victim advocacy agencies</w:t>
      </w:r>
      <w:r w:rsidR="004B0549">
        <w:t>.</w:t>
      </w:r>
    </w:p>
    <w:p w14:paraId="4CCCFEDC" w14:textId="458FACC0" w:rsidR="0067070E" w:rsidRDefault="0067070E" w:rsidP="0067070E">
      <w:r>
        <w:t xml:space="preserve">The multi-faceted needs of vulnerable victims cannot be fulfilled by one institution, and interagency coordination is </w:t>
      </w:r>
      <w:r w:rsidR="00A01474">
        <w:t>essential (</w:t>
      </w:r>
      <w:r w:rsidR="00A01474" w:rsidRPr="00A01474">
        <w:t>Trickett</w:t>
      </w:r>
      <w:r w:rsidR="00A01474">
        <w:t xml:space="preserve"> </w:t>
      </w:r>
      <w:r w:rsidR="00A01474" w:rsidRPr="00A01474">
        <w:t>and Bryan, 2025</w:t>
      </w:r>
      <w:r w:rsidR="00A01474">
        <w:t>)</w:t>
      </w:r>
      <w:r w:rsidR="00A01474" w:rsidRPr="00A01474">
        <w:t xml:space="preserve">. </w:t>
      </w:r>
      <w:r>
        <w:t>This not only needs better information-sharing systems but also a cultural change to collaborative working. It may be possible to eliminate fragmentation by establishing integrated service models, with various agencies working in a more coordinated and cohesive way to ensure that victims are provided with the same and comprehensive support.</w:t>
      </w:r>
    </w:p>
    <w:p w14:paraId="71ACBEB6" w14:textId="0E7BE81E" w:rsidR="0067070E" w:rsidRDefault="0067070E" w:rsidP="0067070E">
      <w:r>
        <w:t>In addition, there is a need to rebalance the focus of the criminal justice system towards prevention</w:t>
      </w:r>
      <w:r w:rsidR="00A01474">
        <w:t xml:space="preserve"> (</w:t>
      </w:r>
      <w:r w:rsidR="005F77AE" w:rsidRPr="005F77AE">
        <w:t>Pakes, 2024</w:t>
      </w:r>
      <w:r w:rsidR="005F77AE">
        <w:t>)</w:t>
      </w:r>
      <w:r w:rsidR="005F77AE" w:rsidRPr="005F77AE">
        <w:t>. </w:t>
      </w:r>
      <w:r>
        <w:t xml:space="preserve">Community-based services, including youth support programmes, mental health provision and substance misuse treatment, can be of great importance in reducing offending and victimisation. Such measures can reduce the strain on the CJS by </w:t>
      </w:r>
      <w:r w:rsidR="00986EB0">
        <w:t>considering</w:t>
      </w:r>
      <w:r>
        <w:t xml:space="preserve"> the roots of crime and vulnerability, which will lead to more sustainable outcomes</w:t>
      </w:r>
      <w:r w:rsidR="00A01474">
        <w:t>.</w:t>
      </w:r>
    </w:p>
    <w:p w14:paraId="754910C8" w14:textId="77777777" w:rsidR="006D52E0" w:rsidRDefault="006D52E0" w:rsidP="0067070E"/>
    <w:p w14:paraId="13769AEA" w14:textId="155732D1" w:rsidR="0067070E" w:rsidRPr="006D52E0" w:rsidRDefault="0067070E" w:rsidP="006D52E0">
      <w:pPr>
        <w:spacing w:after="160" w:line="278" w:lineRule="auto"/>
        <w:jc w:val="left"/>
        <w:rPr>
          <w:b/>
          <w:bCs/>
        </w:rPr>
      </w:pPr>
      <w:bookmarkStart w:id="2" w:name="_Toc227675221"/>
      <w:r w:rsidRPr="006D52E0">
        <w:rPr>
          <w:b/>
          <w:bCs/>
          <w:szCs w:val="24"/>
        </w:rPr>
        <w:t>Conclusion</w:t>
      </w:r>
      <w:bookmarkEnd w:id="2"/>
    </w:p>
    <w:p w14:paraId="5082234C" w14:textId="63EB8B35" w:rsidR="0067070E" w:rsidRDefault="0067070E" w:rsidP="0067070E">
      <w:r>
        <w:t>This essay has critically assessed the challenges which vulnerable victims face in the criminal justice system in England and Wales, which I have shown to be not only widespread but also structural in nature. Although the existence of policy schemes like the Victims’ Code can be interpreted as an indication that the government is determined to enhance the experiences of the victims, the actual practice usually does not correspond to the intentions. In every area of policing, courts, prisons and probation services, vulnerable victims are confronted with obstacles that inhibit their access to justice, such as a lack of support, delays and a lack of consistent attention to their needs.</w:t>
      </w:r>
    </w:p>
    <w:p w14:paraId="71E21E40" w14:textId="33927C4E" w:rsidR="0067070E" w:rsidRDefault="0067070E" w:rsidP="0067070E">
      <w:r>
        <w:t>One of the points put forward in this discussion is that these challenges cannot be perceived as institutional failures, but rather they should be seen in the context of broader systemic forces. The sustained underinvestment, escalating demand, and division of services have led to a more strained and reactive criminal justice system. In vulnerable victims who need individual and immediate assistance, the conditions may lead to disengagement, re-traumatisation, and decreased trust in the system.</w:t>
      </w:r>
    </w:p>
    <w:p w14:paraId="0741D5ED" w14:textId="72E3DDAD" w:rsidR="0067070E" w:rsidRDefault="0067070E" w:rsidP="0067070E">
      <w:r>
        <w:lastRenderedPageBreak/>
        <w:t xml:space="preserve">Although a larger budget can help ease some of these strains, it will not be enough on its own to solve the problems. Reform should be more holistic, </w:t>
      </w:r>
      <w:r w:rsidR="00986EB0">
        <w:t>considering</w:t>
      </w:r>
      <w:r>
        <w:t xml:space="preserve"> both the organisation and culture of the CJS and its connection with the broader social services. The need to change the system as opposed to providing piecemeal solutions is seen in recommendations like the implementation of trauma-informed practices, enhancing multi-agency cooperation, and focusing more on the prevention aspect.</w:t>
      </w:r>
    </w:p>
    <w:p w14:paraId="78E31E4B" w14:textId="3C0E2A31" w:rsidR="004638D7" w:rsidRDefault="004638D7">
      <w:pPr>
        <w:spacing w:after="160" w:line="278" w:lineRule="auto"/>
        <w:jc w:val="left"/>
      </w:pPr>
      <w:r>
        <w:br w:type="page"/>
      </w:r>
    </w:p>
    <w:p w14:paraId="473B5EC0" w14:textId="3F1478AB" w:rsidR="009A5072" w:rsidRPr="00745C43" w:rsidRDefault="004638D7" w:rsidP="00133206">
      <w:pPr>
        <w:pStyle w:val="Heading1"/>
        <w:rPr>
          <w:sz w:val="24"/>
          <w:szCs w:val="24"/>
        </w:rPr>
      </w:pPr>
      <w:bookmarkStart w:id="3" w:name="_Toc227675222"/>
      <w:r w:rsidRPr="00745C43">
        <w:rPr>
          <w:sz w:val="24"/>
          <w:szCs w:val="24"/>
        </w:rPr>
        <w:lastRenderedPageBreak/>
        <w:t>References</w:t>
      </w:r>
      <w:bookmarkEnd w:id="3"/>
      <w:r w:rsidRPr="00745C43">
        <w:rPr>
          <w:sz w:val="24"/>
          <w:szCs w:val="24"/>
        </w:rPr>
        <w:t xml:space="preserve"> </w:t>
      </w:r>
    </w:p>
    <w:p w14:paraId="4BAED3E7" w14:textId="404A46E8" w:rsidR="009A5072" w:rsidRDefault="009A5072" w:rsidP="009A5072">
      <w:r w:rsidRPr="0069071E">
        <w:t xml:space="preserve">Brown, K.J. and Gordon, F. </w:t>
      </w:r>
      <w:r>
        <w:t>(</w:t>
      </w:r>
      <w:r w:rsidRPr="0069071E">
        <w:t>2022</w:t>
      </w:r>
      <w:r>
        <w:t>)</w:t>
      </w:r>
      <w:r w:rsidRPr="0069071E">
        <w:t>. Improving access to justice for older victims of crime by reimagining conceptions of vulnerability. </w:t>
      </w:r>
      <w:r w:rsidRPr="009A5072">
        <w:rPr>
          <w:i/>
          <w:iCs/>
        </w:rPr>
        <w:t>Ageing &amp; Society</w:t>
      </w:r>
      <w:r w:rsidRPr="0069071E">
        <w:t>, </w:t>
      </w:r>
      <w:r w:rsidRPr="009A5072">
        <w:rPr>
          <w:i/>
          <w:iCs/>
        </w:rPr>
        <w:t>42</w:t>
      </w:r>
      <w:r w:rsidRPr="0069071E">
        <w:t>(3), pp.614-631.</w:t>
      </w:r>
      <w:r w:rsidR="00133206">
        <w:t xml:space="preserve"> </w:t>
      </w:r>
    </w:p>
    <w:p w14:paraId="0D0421D5" w14:textId="77777777" w:rsidR="009A5072" w:rsidRDefault="009A5072" w:rsidP="009A5072">
      <w:r w:rsidRPr="00AF052F">
        <w:t xml:space="preserve">Collins, A.E., </w:t>
      </w:r>
      <w:r>
        <w:t>(</w:t>
      </w:r>
      <w:r w:rsidRPr="00AF052F">
        <w:t>2025</w:t>
      </w:r>
      <w:r>
        <w:t>)</w:t>
      </w:r>
      <w:r w:rsidRPr="00AF052F">
        <w:t>. </w:t>
      </w:r>
      <w:r w:rsidRPr="009A5072">
        <w:rPr>
          <w:i/>
          <w:iCs/>
        </w:rPr>
        <w:t>Supporting Drug-using Individuals on Probation Through the Lens of Vulnerability Theory and an Ethics of Care</w:t>
      </w:r>
      <w:r w:rsidRPr="00AF052F">
        <w:t> (Doctoral dissertation, University of Leeds).</w:t>
      </w:r>
    </w:p>
    <w:p w14:paraId="7292A4D8" w14:textId="77777777" w:rsidR="009A5072" w:rsidRDefault="009A5072" w:rsidP="009A5072">
      <w:r w:rsidRPr="004E0587">
        <w:t xml:space="preserve">Commissioner, D.A., </w:t>
      </w:r>
      <w:r>
        <w:t>(</w:t>
      </w:r>
      <w:r w:rsidRPr="004E0587">
        <w:t>2025</w:t>
      </w:r>
      <w:r>
        <w:t>)</w:t>
      </w:r>
      <w:r w:rsidRPr="004E0587">
        <w:t>. </w:t>
      </w:r>
      <w:r w:rsidRPr="009A5072">
        <w:rPr>
          <w:i/>
          <w:iCs/>
        </w:rPr>
        <w:t>Shifting the scales: Transforming the criminal justice response to domestic abuse</w:t>
      </w:r>
      <w:r w:rsidRPr="004E0587">
        <w:t>. HM GOVERNMENT.</w:t>
      </w:r>
    </w:p>
    <w:p w14:paraId="7ECAE2B5" w14:textId="77777777" w:rsidR="009A5072" w:rsidRDefault="009A5072" w:rsidP="009A5072">
      <w:r w:rsidRPr="004B0549">
        <w:t xml:space="preserve">Cummins, I., </w:t>
      </w:r>
      <w:r>
        <w:t>(</w:t>
      </w:r>
      <w:r w:rsidRPr="004B0549">
        <w:t>2025</w:t>
      </w:r>
      <w:r>
        <w:t>)</w:t>
      </w:r>
      <w:r w:rsidRPr="004B0549">
        <w:t>. </w:t>
      </w:r>
      <w:r w:rsidRPr="009A5072">
        <w:rPr>
          <w:i/>
          <w:iCs/>
        </w:rPr>
        <w:t>Mental Health and the Criminal Justice System: A Social Work Perspective</w:t>
      </w:r>
      <w:r w:rsidRPr="004B0549">
        <w:t>. Routledge.</w:t>
      </w:r>
    </w:p>
    <w:p w14:paraId="48683DDA" w14:textId="77777777" w:rsidR="009A5072" w:rsidRDefault="009A5072" w:rsidP="009A5072">
      <w:r w:rsidRPr="004E0587">
        <w:t xml:space="preserve">Curry, S.J. and Bell, C.J. eds., </w:t>
      </w:r>
      <w:r>
        <w:t>(</w:t>
      </w:r>
      <w:r w:rsidRPr="004E0587">
        <w:t>2024</w:t>
      </w:r>
      <w:r>
        <w:t>)</w:t>
      </w:r>
      <w:r w:rsidRPr="004E0587">
        <w:t>. </w:t>
      </w:r>
      <w:r w:rsidRPr="009A5072">
        <w:rPr>
          <w:i/>
          <w:iCs/>
        </w:rPr>
        <w:t>Essential health care services addressing intimate partner violence</w:t>
      </w:r>
      <w:r w:rsidRPr="004E0587">
        <w:t>. National Academies Press.</w:t>
      </w:r>
    </w:p>
    <w:p w14:paraId="6219B706" w14:textId="77777777" w:rsidR="009A5072" w:rsidRDefault="009A5072" w:rsidP="009A5072">
      <w:r w:rsidRPr="00C811E5">
        <w:t xml:space="preserve">Davies, P., Francis, P., Harding, J. and Mair, G. eds., </w:t>
      </w:r>
      <w:r>
        <w:t>(</w:t>
      </w:r>
      <w:r w:rsidRPr="00C811E5">
        <w:t>2025</w:t>
      </w:r>
      <w:r>
        <w:t>)</w:t>
      </w:r>
      <w:r w:rsidRPr="00C811E5">
        <w:t>. </w:t>
      </w:r>
      <w:r w:rsidRPr="009A5072">
        <w:rPr>
          <w:i/>
          <w:iCs/>
        </w:rPr>
        <w:t>An Introduction to Criminal Justice</w:t>
      </w:r>
      <w:r w:rsidRPr="00C811E5">
        <w:t>. SAGE Publications Limited.</w:t>
      </w:r>
    </w:p>
    <w:p w14:paraId="0F8F516D" w14:textId="77777777" w:rsidR="009A5072" w:rsidRPr="009A5072" w:rsidRDefault="009A5072" w:rsidP="009A5072">
      <w:pPr>
        <w:rPr>
          <w:lang w:val="en-IN"/>
        </w:rPr>
      </w:pPr>
      <w:r w:rsidRPr="0069071E">
        <w:t xml:space="preserve">Dehaghani, R., </w:t>
      </w:r>
      <w:r>
        <w:t>(</w:t>
      </w:r>
      <w:r w:rsidRPr="0069071E">
        <w:t>2021</w:t>
      </w:r>
      <w:r>
        <w:t>)</w:t>
      </w:r>
      <w:r w:rsidRPr="0069071E">
        <w:t>. Interrogating vulnerability: reframing the vulnerable suspect in police custody. </w:t>
      </w:r>
      <w:r w:rsidRPr="009A5072">
        <w:rPr>
          <w:i/>
          <w:iCs/>
        </w:rPr>
        <w:t>Social &amp; Legal Studies</w:t>
      </w:r>
      <w:r w:rsidRPr="0069071E">
        <w:t>, </w:t>
      </w:r>
      <w:r w:rsidRPr="009A5072">
        <w:rPr>
          <w:i/>
          <w:iCs/>
        </w:rPr>
        <w:t>30</w:t>
      </w:r>
      <w:r w:rsidRPr="0069071E">
        <w:t>(2), pp.251-271.</w:t>
      </w:r>
    </w:p>
    <w:p w14:paraId="083379D3" w14:textId="77777777" w:rsidR="009A5072" w:rsidRDefault="009A5072" w:rsidP="009A5072">
      <w:r w:rsidRPr="004E0587">
        <w:t xml:space="preserve">Dehaghani, R., Fairclough, S. and Mergaerts, L., </w:t>
      </w:r>
      <w:r>
        <w:t>(</w:t>
      </w:r>
      <w:r w:rsidRPr="004E0587">
        <w:t>2023</w:t>
      </w:r>
      <w:r>
        <w:t>)</w:t>
      </w:r>
      <w:r w:rsidRPr="004E0587">
        <w:t>. </w:t>
      </w:r>
      <w:r w:rsidRPr="009A5072">
        <w:rPr>
          <w:i/>
          <w:iCs/>
        </w:rPr>
        <w:t>Vulnerability, the accused, and the criminal justice system</w:t>
      </w:r>
      <w:r w:rsidRPr="004E0587">
        <w:t>. Routledge.</w:t>
      </w:r>
    </w:p>
    <w:p w14:paraId="39D5421C" w14:textId="77777777" w:rsidR="009A5072" w:rsidRDefault="009A5072" w:rsidP="009A5072">
      <w:r w:rsidRPr="0069071E">
        <w:t xml:space="preserve">Ewin, R.D., </w:t>
      </w:r>
      <w:r>
        <w:t>(</w:t>
      </w:r>
      <w:r w:rsidRPr="0069071E">
        <w:t>2021</w:t>
      </w:r>
      <w:r>
        <w:t>)</w:t>
      </w:r>
      <w:r w:rsidRPr="0069071E">
        <w:t>. </w:t>
      </w:r>
      <w:r w:rsidRPr="009A5072">
        <w:rPr>
          <w:i/>
          <w:iCs/>
        </w:rPr>
        <w:t>The relationship between vulnerability and the criminal justice system</w:t>
      </w:r>
      <w:r w:rsidRPr="0069071E">
        <w:t>. Lancaster University (United Kingdom).</w:t>
      </w:r>
    </w:p>
    <w:p w14:paraId="4555F753" w14:textId="77777777" w:rsidR="009A5072" w:rsidRDefault="009A5072" w:rsidP="009A5072">
      <w:r w:rsidRPr="00AF052F">
        <w:t xml:space="preserve">Fitzpatrick, C., Loader, R., McCartney, S., McConnell, B., McMullen, J., Murray, C., Orr, K., Purdy, N. and Simms, V., </w:t>
      </w:r>
      <w:r>
        <w:t>(</w:t>
      </w:r>
      <w:r w:rsidRPr="00AF052F">
        <w:t>2023</w:t>
      </w:r>
      <w:r>
        <w:t>)</w:t>
      </w:r>
      <w:r w:rsidRPr="00AF052F">
        <w:t>. The consequences of the cuts to education for children and young people in Northern Ireland.</w:t>
      </w:r>
    </w:p>
    <w:p w14:paraId="0DFE0C1D" w14:textId="77777777" w:rsidR="009A5072" w:rsidRDefault="009A5072" w:rsidP="009A5072">
      <w:r w:rsidRPr="00C811E5">
        <w:t xml:space="preserve">Gaubatz, K.T., </w:t>
      </w:r>
      <w:r>
        <w:t>(</w:t>
      </w:r>
      <w:r w:rsidRPr="00C811E5">
        <w:t>2025</w:t>
      </w:r>
      <w:r>
        <w:t>)</w:t>
      </w:r>
      <w:r w:rsidRPr="00C811E5">
        <w:t>. </w:t>
      </w:r>
      <w:r w:rsidRPr="009A5072">
        <w:rPr>
          <w:i/>
          <w:iCs/>
        </w:rPr>
        <w:t>Crime in the public mind</w:t>
      </w:r>
      <w:r w:rsidRPr="00C811E5">
        <w:t>. University of Michigan Press.</w:t>
      </w:r>
    </w:p>
    <w:p w14:paraId="662369A8" w14:textId="77777777" w:rsidR="009A5072" w:rsidRDefault="009A5072" w:rsidP="009A5072">
      <w:r w:rsidRPr="005F77AE">
        <w:t xml:space="preserve">Harris, R., </w:t>
      </w:r>
      <w:r>
        <w:t>(</w:t>
      </w:r>
      <w:r w:rsidRPr="005F77AE">
        <w:t>2022</w:t>
      </w:r>
      <w:r>
        <w:t>)</w:t>
      </w:r>
      <w:r w:rsidRPr="005F77AE">
        <w:t>. </w:t>
      </w:r>
      <w:r w:rsidRPr="009A5072">
        <w:rPr>
          <w:i/>
          <w:iCs/>
        </w:rPr>
        <w:t>Crime, criminal justice and the probation service</w:t>
      </w:r>
      <w:r w:rsidRPr="005F77AE">
        <w:t>. Routledge.</w:t>
      </w:r>
    </w:p>
    <w:p w14:paraId="779949EA" w14:textId="77777777" w:rsidR="009A5072" w:rsidRDefault="009A5072" w:rsidP="009A5072">
      <w:r w:rsidRPr="004E0587">
        <w:lastRenderedPageBreak/>
        <w:t xml:space="preserve">Jacobs, M., </w:t>
      </w:r>
      <w:r>
        <w:t>(</w:t>
      </w:r>
      <w:r w:rsidRPr="004E0587">
        <w:t>2024</w:t>
      </w:r>
      <w:r>
        <w:t>)</w:t>
      </w:r>
      <w:r w:rsidRPr="004E0587">
        <w:t>. A Critical Evaluation of the Presence and Place of the Theoretical Content of Criminology and Criminal Justice Undergraduate Degrees Offered by British Universities.</w:t>
      </w:r>
    </w:p>
    <w:p w14:paraId="4EB587D3" w14:textId="77777777" w:rsidR="009A5072" w:rsidRDefault="009A5072" w:rsidP="009A5072">
      <w:r w:rsidRPr="004B0549">
        <w:t xml:space="preserve">Jorge, A.P., </w:t>
      </w:r>
      <w:r>
        <w:t>(</w:t>
      </w:r>
      <w:r w:rsidRPr="004B0549">
        <w:t>2021</w:t>
      </w:r>
      <w:r>
        <w:t>)</w:t>
      </w:r>
      <w:r w:rsidRPr="004B0549">
        <w:t>. </w:t>
      </w:r>
      <w:r w:rsidRPr="009A5072">
        <w:rPr>
          <w:i/>
          <w:iCs/>
        </w:rPr>
        <w:t>What works for crime victims: Criminal justice, victim support centers, and the emotional well-being of crime victims</w:t>
      </w:r>
      <w:r w:rsidRPr="004B0549">
        <w:t>. Editora Dialética.</w:t>
      </w:r>
    </w:p>
    <w:p w14:paraId="25288032" w14:textId="77777777" w:rsidR="009A5072" w:rsidRDefault="009A5072" w:rsidP="009A5072">
      <w:r w:rsidRPr="004E0587">
        <w:t xml:space="preserve">Joyce, P. and Laverick, W., </w:t>
      </w:r>
      <w:r>
        <w:t>(</w:t>
      </w:r>
      <w:r w:rsidRPr="004E0587">
        <w:t>2022</w:t>
      </w:r>
      <w:r>
        <w:t>)</w:t>
      </w:r>
      <w:r w:rsidRPr="004E0587">
        <w:t>. </w:t>
      </w:r>
      <w:r w:rsidRPr="009A5072">
        <w:rPr>
          <w:i/>
          <w:iCs/>
        </w:rPr>
        <w:t>Criminal justice: An introduction</w:t>
      </w:r>
      <w:r w:rsidRPr="004E0587">
        <w:t>. Routledge.</w:t>
      </w:r>
    </w:p>
    <w:p w14:paraId="1DCAD023" w14:textId="77777777" w:rsidR="009A5072" w:rsidRDefault="009A5072" w:rsidP="009A5072">
      <w:r w:rsidRPr="004B0549">
        <w:t xml:space="preserve">Kirkwood, S., </w:t>
      </w:r>
      <w:r>
        <w:t>(</w:t>
      </w:r>
      <w:r w:rsidRPr="004B0549">
        <w:t>2022</w:t>
      </w:r>
      <w:r>
        <w:t>)</w:t>
      </w:r>
      <w:r w:rsidRPr="004B0549">
        <w:t>. A practice framework for restorative justice. </w:t>
      </w:r>
      <w:r w:rsidRPr="009A5072">
        <w:rPr>
          <w:i/>
          <w:iCs/>
        </w:rPr>
        <w:t>Aggression and Violent Behavior</w:t>
      </w:r>
      <w:r w:rsidRPr="004B0549">
        <w:t>, </w:t>
      </w:r>
      <w:r w:rsidRPr="009A5072">
        <w:rPr>
          <w:i/>
          <w:iCs/>
        </w:rPr>
        <w:t>63</w:t>
      </w:r>
      <w:r w:rsidRPr="004B0549">
        <w:t>, p.101688.</w:t>
      </w:r>
    </w:p>
    <w:p w14:paraId="089F9D9E" w14:textId="77777777" w:rsidR="009A5072" w:rsidRDefault="009A5072" w:rsidP="009A5072">
      <w:r w:rsidRPr="009A5072">
        <w:t xml:space="preserve">Maggetti, M., </w:t>
      </w:r>
      <w:r>
        <w:t>(</w:t>
      </w:r>
      <w:r w:rsidRPr="009A5072">
        <w:t>2024</w:t>
      </w:r>
      <w:r>
        <w:t>)</w:t>
      </w:r>
      <w:r w:rsidRPr="009A5072">
        <w:t>. </w:t>
      </w:r>
      <w:r w:rsidRPr="009A5072">
        <w:rPr>
          <w:i/>
          <w:iCs/>
        </w:rPr>
        <w:t>Regulation in practice: The de facto independence of regulatory agencies</w:t>
      </w:r>
      <w:r w:rsidRPr="009A5072">
        <w:t>. ECPR press.</w:t>
      </w:r>
    </w:p>
    <w:p w14:paraId="6E6E7423" w14:textId="77777777" w:rsidR="009A5072" w:rsidRDefault="009A5072" w:rsidP="009A5072">
      <w:r w:rsidRPr="004E0587">
        <w:t xml:space="preserve">McNaull, G., Maruna, S., O'Neill, N., Johnson, M., Daniel, H. and Scully, H., </w:t>
      </w:r>
      <w:r>
        <w:t>(</w:t>
      </w:r>
      <w:r w:rsidRPr="004E0587">
        <w:t>2022</w:t>
      </w:r>
      <w:r>
        <w:t>)</w:t>
      </w:r>
      <w:r w:rsidRPr="004E0587">
        <w:t>. Coping with Covid in Prison: The Impact of the Prisoner Lockdown.</w:t>
      </w:r>
    </w:p>
    <w:p w14:paraId="1E6A5655" w14:textId="77777777" w:rsidR="009A5072" w:rsidRDefault="009A5072" w:rsidP="009A5072">
      <w:r w:rsidRPr="0069071E">
        <w:t xml:space="preserve">Oram, S., Fisher, H.L., Minnis, H., Seedat, S., Walby, S., Hegarty, K., Rouf, K., Angénieux, C., Callard, F., Chandra, P.S. and Fazel, S., </w:t>
      </w:r>
      <w:r>
        <w:t>(</w:t>
      </w:r>
      <w:r w:rsidRPr="0069071E">
        <w:t>2022</w:t>
      </w:r>
      <w:r>
        <w:t>)</w:t>
      </w:r>
      <w:r w:rsidRPr="0069071E">
        <w:t>. The Lancet Psychiatry Commission on intimate partner violence and mental health: advancing mental health services, research, and policy. </w:t>
      </w:r>
      <w:r w:rsidRPr="009A5072">
        <w:rPr>
          <w:i/>
          <w:iCs/>
        </w:rPr>
        <w:t>The Lancet Psychiatry</w:t>
      </w:r>
      <w:r w:rsidRPr="0069071E">
        <w:t>, </w:t>
      </w:r>
      <w:r w:rsidRPr="009A5072">
        <w:rPr>
          <w:i/>
          <w:iCs/>
        </w:rPr>
        <w:t>9</w:t>
      </w:r>
      <w:r w:rsidRPr="0069071E">
        <w:t>(6), pp.487-524.</w:t>
      </w:r>
    </w:p>
    <w:p w14:paraId="707EB8D8" w14:textId="77777777" w:rsidR="009A5072" w:rsidRDefault="009A5072" w:rsidP="009A5072">
      <w:r w:rsidRPr="005F77AE">
        <w:t xml:space="preserve">Pakes, F., </w:t>
      </w:r>
      <w:r>
        <w:t>(</w:t>
      </w:r>
      <w:r w:rsidRPr="005F77AE">
        <w:t>2024</w:t>
      </w:r>
      <w:r>
        <w:t>)</w:t>
      </w:r>
      <w:r w:rsidRPr="005F77AE">
        <w:t>. </w:t>
      </w:r>
      <w:r w:rsidRPr="009A5072">
        <w:rPr>
          <w:i/>
          <w:iCs/>
        </w:rPr>
        <w:t>Comparative criminal justice</w:t>
      </w:r>
      <w:r w:rsidRPr="005F77AE">
        <w:t>. Routledge.</w:t>
      </w:r>
    </w:p>
    <w:p w14:paraId="488618A0" w14:textId="0C86CDC2" w:rsidR="009A5072" w:rsidRDefault="009A5072" w:rsidP="009A5072">
      <w:r w:rsidRPr="00FC4717">
        <w:t xml:space="preserve">Powell, G., Blake-Holmes, K., Petrache, A., Turrell, R. and Beazley, P., </w:t>
      </w:r>
      <w:r>
        <w:t>(</w:t>
      </w:r>
      <w:r w:rsidRPr="00FC4717">
        <w:t>2025</w:t>
      </w:r>
      <w:r>
        <w:t>)</w:t>
      </w:r>
      <w:r w:rsidRPr="00FC4717">
        <w:t xml:space="preserve">. Judging offenders with learning disabilities: Systematic review of criminal justice system </w:t>
      </w:r>
      <w:r w:rsidR="00986EB0" w:rsidRPr="00FC4717">
        <w:t>professionals</w:t>
      </w:r>
      <w:r w:rsidRPr="00FC4717">
        <w:t xml:space="preserve"> expressed views and attitudes towards offenders with learning disabilities. </w:t>
      </w:r>
      <w:r w:rsidRPr="009A5072">
        <w:rPr>
          <w:i/>
          <w:iCs/>
        </w:rPr>
        <w:t>Journal of Intellectual Disability Research</w:t>
      </w:r>
      <w:r w:rsidRPr="00FC4717">
        <w:t>.</w:t>
      </w:r>
    </w:p>
    <w:p w14:paraId="5B6B8A2A" w14:textId="77777777" w:rsidR="009A5072" w:rsidRDefault="009A5072" w:rsidP="009A5072">
      <w:r w:rsidRPr="00AF052F">
        <w:t xml:space="preserve">Ryan, D., </w:t>
      </w:r>
      <w:r>
        <w:t>(</w:t>
      </w:r>
      <w:r w:rsidRPr="00AF052F">
        <w:t>2025</w:t>
      </w:r>
      <w:r>
        <w:t>)</w:t>
      </w:r>
      <w:r w:rsidRPr="00AF052F">
        <w:t>. Guidance of key practices for multi-agency whole systems working.</w:t>
      </w:r>
    </w:p>
    <w:p w14:paraId="47A05782" w14:textId="77777777" w:rsidR="009A5072" w:rsidRDefault="009A5072" w:rsidP="009A5072">
      <w:r w:rsidRPr="00AF052F">
        <w:t xml:space="preserve">Sikra, J., Renaud, K.V. and Thomas, D.R., </w:t>
      </w:r>
      <w:r>
        <w:t>(</w:t>
      </w:r>
      <w:r w:rsidRPr="00AF052F">
        <w:t>2023</w:t>
      </w:r>
      <w:r>
        <w:t>)</w:t>
      </w:r>
      <w:r w:rsidRPr="00AF052F">
        <w:t>. UK cybercrime, victims and reporting: A systematic review. </w:t>
      </w:r>
      <w:r w:rsidRPr="009A5072">
        <w:rPr>
          <w:i/>
          <w:iCs/>
        </w:rPr>
        <w:t>Commonwealth Cybercrime Journal</w:t>
      </w:r>
      <w:r w:rsidRPr="00AF052F">
        <w:t>, </w:t>
      </w:r>
      <w:r w:rsidRPr="009A5072">
        <w:rPr>
          <w:i/>
          <w:iCs/>
        </w:rPr>
        <w:t>1</w:t>
      </w:r>
      <w:r w:rsidRPr="00AF052F">
        <w:t>(1), pp.28-59.</w:t>
      </w:r>
    </w:p>
    <w:p w14:paraId="6D49DF6E" w14:textId="77777777" w:rsidR="009A5072" w:rsidRDefault="009A5072" w:rsidP="009A5072">
      <w:r w:rsidRPr="005F77AE">
        <w:t xml:space="preserve">Sutton, A., Cherney, A., White, R. and Clancey, G., </w:t>
      </w:r>
      <w:r>
        <w:t>(</w:t>
      </w:r>
      <w:r w:rsidRPr="005F77AE">
        <w:t>2021</w:t>
      </w:r>
      <w:r>
        <w:t>)</w:t>
      </w:r>
      <w:r w:rsidRPr="005F77AE">
        <w:t>. </w:t>
      </w:r>
      <w:r w:rsidRPr="009A5072">
        <w:rPr>
          <w:i/>
          <w:iCs/>
        </w:rPr>
        <w:t>Crime prevention</w:t>
      </w:r>
      <w:r w:rsidRPr="005F77AE">
        <w:t>. Cambridge University Press.</w:t>
      </w:r>
    </w:p>
    <w:p w14:paraId="460D6A8F" w14:textId="77777777" w:rsidR="009A5072" w:rsidRDefault="009A5072" w:rsidP="009A5072">
      <w:r w:rsidRPr="00C1288C">
        <w:t xml:space="preserve">Townend, J. and Welsh, L., </w:t>
      </w:r>
      <w:r>
        <w:t>(</w:t>
      </w:r>
      <w:r w:rsidRPr="00C1288C">
        <w:t>2023</w:t>
      </w:r>
      <w:r>
        <w:t>)</w:t>
      </w:r>
      <w:r w:rsidRPr="00C1288C">
        <w:t>. </w:t>
      </w:r>
      <w:r w:rsidRPr="009A5072">
        <w:rPr>
          <w:i/>
          <w:iCs/>
        </w:rPr>
        <w:t>Observing justice: digital transparency, openness and accountability in criminal courts</w:t>
      </w:r>
      <w:r w:rsidRPr="00C1288C">
        <w:t>. Policy Press.</w:t>
      </w:r>
    </w:p>
    <w:p w14:paraId="0BBDC37F" w14:textId="77777777" w:rsidR="009A5072" w:rsidRDefault="009A5072" w:rsidP="009A5072">
      <w:r w:rsidRPr="00A01474">
        <w:lastRenderedPageBreak/>
        <w:t xml:space="preserve">Trickett, L. and Bryan, T., </w:t>
      </w:r>
      <w:r>
        <w:t>(</w:t>
      </w:r>
      <w:r w:rsidRPr="00A01474">
        <w:t>2025</w:t>
      </w:r>
      <w:r>
        <w:t>)</w:t>
      </w:r>
      <w:r w:rsidRPr="00A01474">
        <w:t>. Aligning police practice with hate crime theory: The case for using risk assessments to improve police response to victims of hate. </w:t>
      </w:r>
      <w:r w:rsidRPr="009A5072">
        <w:rPr>
          <w:i/>
          <w:iCs/>
        </w:rPr>
        <w:t>International Review of Victimology</w:t>
      </w:r>
      <w:r w:rsidRPr="00A01474">
        <w:t>, </w:t>
      </w:r>
      <w:r w:rsidRPr="009A5072">
        <w:rPr>
          <w:i/>
          <w:iCs/>
        </w:rPr>
        <w:t>31</w:t>
      </w:r>
      <w:r w:rsidRPr="00A01474">
        <w:t>(1), pp.22-38.</w:t>
      </w:r>
    </w:p>
    <w:p w14:paraId="0A01A6EC" w14:textId="0AF1B65F" w:rsidR="009A5072" w:rsidRDefault="009A5072" w:rsidP="009A5072">
      <w:r w:rsidRPr="00FC4717">
        <w:t xml:space="preserve">Wells, T., </w:t>
      </w:r>
      <w:r>
        <w:t>(</w:t>
      </w:r>
      <w:r w:rsidRPr="00FC4717">
        <w:t>2024</w:t>
      </w:r>
      <w:r>
        <w:t>)</w:t>
      </w:r>
      <w:r w:rsidRPr="00FC4717">
        <w:t>. </w:t>
      </w:r>
      <w:r w:rsidR="00986EB0" w:rsidRPr="009A5072">
        <w:rPr>
          <w:i/>
          <w:iCs/>
        </w:rPr>
        <w:t>Considering</w:t>
      </w:r>
      <w:r w:rsidRPr="009A5072">
        <w:rPr>
          <w:i/>
          <w:iCs/>
        </w:rPr>
        <w:t xml:space="preserve"> </w:t>
      </w:r>
      <w:r w:rsidR="00D64AF3" w:rsidRPr="009A5072">
        <w:rPr>
          <w:i/>
          <w:iCs/>
        </w:rPr>
        <w:t>the ‘Prison</w:t>
      </w:r>
      <w:r w:rsidRPr="009A5072">
        <w:rPr>
          <w:i/>
          <w:iCs/>
        </w:rPr>
        <w:t xml:space="preserve"> Crisis', what are the explanations of, and solutions to, violence within prison? A qualitative study of recently released prisoners’ perceptions of the current prison environment within England and Wales using a General Strain Theory theoretical framework</w:t>
      </w:r>
      <w:r w:rsidRPr="00FC4717">
        <w:t> (Doctoral dissertation).</w:t>
      </w:r>
    </w:p>
    <w:sectPr w:rsidR="009A507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9528B" w14:textId="77777777" w:rsidR="00D93D00" w:rsidRDefault="00D93D00" w:rsidP="00FE3685">
      <w:pPr>
        <w:spacing w:after="0" w:line="240" w:lineRule="auto"/>
      </w:pPr>
      <w:r>
        <w:separator/>
      </w:r>
    </w:p>
  </w:endnote>
  <w:endnote w:type="continuationSeparator" w:id="0">
    <w:p w14:paraId="2C3127BF" w14:textId="77777777" w:rsidR="00D93D00" w:rsidRDefault="00D93D00" w:rsidP="00FE3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096975"/>
      <w:docPartObj>
        <w:docPartGallery w:val="Page Numbers (Bottom of Page)"/>
        <w:docPartUnique/>
      </w:docPartObj>
    </w:sdtPr>
    <w:sdtEndPr>
      <w:rPr>
        <w:noProof/>
      </w:rPr>
    </w:sdtEndPr>
    <w:sdtContent>
      <w:p w14:paraId="4D3CC9EE" w14:textId="6D6B0FB0" w:rsidR="00FE3685" w:rsidRDefault="00FE36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3BF923" w14:textId="77777777" w:rsidR="00FE3685" w:rsidRDefault="00FE3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C3233" w14:textId="77777777" w:rsidR="00D93D00" w:rsidRDefault="00D93D00" w:rsidP="00FE3685">
      <w:pPr>
        <w:spacing w:after="0" w:line="240" w:lineRule="auto"/>
      </w:pPr>
      <w:r>
        <w:separator/>
      </w:r>
    </w:p>
  </w:footnote>
  <w:footnote w:type="continuationSeparator" w:id="0">
    <w:p w14:paraId="65F7C281" w14:textId="77777777" w:rsidR="00D93D00" w:rsidRDefault="00D93D00" w:rsidP="00FE36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4253"/>
    <w:multiLevelType w:val="hybridMultilevel"/>
    <w:tmpl w:val="69E4D4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6002E5D"/>
    <w:multiLevelType w:val="hybridMultilevel"/>
    <w:tmpl w:val="B43846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6ED42B4"/>
    <w:multiLevelType w:val="hybridMultilevel"/>
    <w:tmpl w:val="7242B1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E4643F3"/>
    <w:multiLevelType w:val="hybridMultilevel"/>
    <w:tmpl w:val="056A07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12E34B2"/>
    <w:multiLevelType w:val="hybridMultilevel"/>
    <w:tmpl w:val="0060D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39553395">
    <w:abstractNumId w:val="0"/>
  </w:num>
  <w:num w:numId="2" w16cid:durableId="988022288">
    <w:abstractNumId w:val="3"/>
  </w:num>
  <w:num w:numId="3" w16cid:durableId="1270312070">
    <w:abstractNumId w:val="1"/>
  </w:num>
  <w:num w:numId="4" w16cid:durableId="1844664646">
    <w:abstractNumId w:val="2"/>
  </w:num>
  <w:num w:numId="5" w16cid:durableId="955328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3CE"/>
    <w:rsid w:val="0000628F"/>
    <w:rsid w:val="000063FF"/>
    <w:rsid w:val="00006BBC"/>
    <w:rsid w:val="00010D2C"/>
    <w:rsid w:val="00013196"/>
    <w:rsid w:val="00014F31"/>
    <w:rsid w:val="000216B9"/>
    <w:rsid w:val="000264CF"/>
    <w:rsid w:val="0003093B"/>
    <w:rsid w:val="0003242E"/>
    <w:rsid w:val="000469D3"/>
    <w:rsid w:val="00051415"/>
    <w:rsid w:val="00052CBF"/>
    <w:rsid w:val="00053137"/>
    <w:rsid w:val="00053829"/>
    <w:rsid w:val="00057812"/>
    <w:rsid w:val="000604B4"/>
    <w:rsid w:val="00062B0C"/>
    <w:rsid w:val="00066F8B"/>
    <w:rsid w:val="0009555C"/>
    <w:rsid w:val="00096652"/>
    <w:rsid w:val="000A6F8E"/>
    <w:rsid w:val="000A70D5"/>
    <w:rsid w:val="000A764E"/>
    <w:rsid w:val="000B660A"/>
    <w:rsid w:val="000C78E9"/>
    <w:rsid w:val="000E6436"/>
    <w:rsid w:val="000E7216"/>
    <w:rsid w:val="000F46CC"/>
    <w:rsid w:val="000F6486"/>
    <w:rsid w:val="00120F3C"/>
    <w:rsid w:val="00131AF3"/>
    <w:rsid w:val="00133206"/>
    <w:rsid w:val="00144536"/>
    <w:rsid w:val="00147FDB"/>
    <w:rsid w:val="00167BCF"/>
    <w:rsid w:val="001730B2"/>
    <w:rsid w:val="00182881"/>
    <w:rsid w:val="0018476D"/>
    <w:rsid w:val="00193130"/>
    <w:rsid w:val="001A7411"/>
    <w:rsid w:val="001A7C16"/>
    <w:rsid w:val="001B1765"/>
    <w:rsid w:val="001B1A8C"/>
    <w:rsid w:val="001B2501"/>
    <w:rsid w:val="001B2E77"/>
    <w:rsid w:val="001B3D8D"/>
    <w:rsid w:val="001B6C4A"/>
    <w:rsid w:val="001C7A7A"/>
    <w:rsid w:val="001E5446"/>
    <w:rsid w:val="001F353B"/>
    <w:rsid w:val="001F6801"/>
    <w:rsid w:val="001F6B59"/>
    <w:rsid w:val="00216F8C"/>
    <w:rsid w:val="0022230E"/>
    <w:rsid w:val="00241C65"/>
    <w:rsid w:val="00242D1A"/>
    <w:rsid w:val="00244344"/>
    <w:rsid w:val="00252685"/>
    <w:rsid w:val="002611E7"/>
    <w:rsid w:val="002617BD"/>
    <w:rsid w:val="002618C3"/>
    <w:rsid w:val="002673CE"/>
    <w:rsid w:val="00286CF7"/>
    <w:rsid w:val="00292588"/>
    <w:rsid w:val="002B6A0A"/>
    <w:rsid w:val="002B77C1"/>
    <w:rsid w:val="002C7673"/>
    <w:rsid w:val="002E2E67"/>
    <w:rsid w:val="002F1BA0"/>
    <w:rsid w:val="002F1E50"/>
    <w:rsid w:val="002F32F5"/>
    <w:rsid w:val="00301D44"/>
    <w:rsid w:val="00304DCE"/>
    <w:rsid w:val="00313A07"/>
    <w:rsid w:val="0031526E"/>
    <w:rsid w:val="00315F30"/>
    <w:rsid w:val="0031794E"/>
    <w:rsid w:val="00334CD2"/>
    <w:rsid w:val="00337561"/>
    <w:rsid w:val="0034652F"/>
    <w:rsid w:val="003512AB"/>
    <w:rsid w:val="003638C8"/>
    <w:rsid w:val="00380A3E"/>
    <w:rsid w:val="003B337E"/>
    <w:rsid w:val="003B4940"/>
    <w:rsid w:val="003B61A7"/>
    <w:rsid w:val="003C0AF9"/>
    <w:rsid w:val="003D1A8A"/>
    <w:rsid w:val="003D1B3C"/>
    <w:rsid w:val="003E4E1C"/>
    <w:rsid w:val="003E553E"/>
    <w:rsid w:val="003F1640"/>
    <w:rsid w:val="003F41E3"/>
    <w:rsid w:val="00400A50"/>
    <w:rsid w:val="00406DD6"/>
    <w:rsid w:val="0041170E"/>
    <w:rsid w:val="004136CB"/>
    <w:rsid w:val="00421B9F"/>
    <w:rsid w:val="0042324E"/>
    <w:rsid w:val="004246A6"/>
    <w:rsid w:val="00425672"/>
    <w:rsid w:val="00432D01"/>
    <w:rsid w:val="00435B61"/>
    <w:rsid w:val="00442A30"/>
    <w:rsid w:val="004524C2"/>
    <w:rsid w:val="004633DF"/>
    <w:rsid w:val="004638D7"/>
    <w:rsid w:val="00472EBD"/>
    <w:rsid w:val="004A15E3"/>
    <w:rsid w:val="004B0549"/>
    <w:rsid w:val="004B775E"/>
    <w:rsid w:val="004C2ADA"/>
    <w:rsid w:val="004E0587"/>
    <w:rsid w:val="004E1713"/>
    <w:rsid w:val="004E61E7"/>
    <w:rsid w:val="004F5D9C"/>
    <w:rsid w:val="005022C2"/>
    <w:rsid w:val="005045A3"/>
    <w:rsid w:val="00542292"/>
    <w:rsid w:val="00542835"/>
    <w:rsid w:val="005462A6"/>
    <w:rsid w:val="0055015A"/>
    <w:rsid w:val="00555DF3"/>
    <w:rsid w:val="00560E15"/>
    <w:rsid w:val="00562A57"/>
    <w:rsid w:val="00575009"/>
    <w:rsid w:val="00586237"/>
    <w:rsid w:val="005A0452"/>
    <w:rsid w:val="005A76AF"/>
    <w:rsid w:val="005B04C8"/>
    <w:rsid w:val="005B1582"/>
    <w:rsid w:val="005B2E45"/>
    <w:rsid w:val="005C4818"/>
    <w:rsid w:val="005D4E4D"/>
    <w:rsid w:val="005F77AE"/>
    <w:rsid w:val="00600602"/>
    <w:rsid w:val="006029C4"/>
    <w:rsid w:val="006045E5"/>
    <w:rsid w:val="00612831"/>
    <w:rsid w:val="00627ECD"/>
    <w:rsid w:val="00640FF5"/>
    <w:rsid w:val="00643DCC"/>
    <w:rsid w:val="006442AB"/>
    <w:rsid w:val="006442EA"/>
    <w:rsid w:val="00650776"/>
    <w:rsid w:val="00661E40"/>
    <w:rsid w:val="0067070E"/>
    <w:rsid w:val="0069071E"/>
    <w:rsid w:val="006951BA"/>
    <w:rsid w:val="006A37E9"/>
    <w:rsid w:val="006B0F9A"/>
    <w:rsid w:val="006C2C29"/>
    <w:rsid w:val="006C35B0"/>
    <w:rsid w:val="006C6D4C"/>
    <w:rsid w:val="006C7E40"/>
    <w:rsid w:val="006D1023"/>
    <w:rsid w:val="006D52E0"/>
    <w:rsid w:val="006D5CF5"/>
    <w:rsid w:val="006D5EBD"/>
    <w:rsid w:val="006F09E6"/>
    <w:rsid w:val="006F6087"/>
    <w:rsid w:val="00706B0F"/>
    <w:rsid w:val="00715838"/>
    <w:rsid w:val="00720CBC"/>
    <w:rsid w:val="0072352B"/>
    <w:rsid w:val="00730F7C"/>
    <w:rsid w:val="00732449"/>
    <w:rsid w:val="00732D8B"/>
    <w:rsid w:val="00745C43"/>
    <w:rsid w:val="007514A2"/>
    <w:rsid w:val="00762474"/>
    <w:rsid w:val="007632A7"/>
    <w:rsid w:val="00775BC5"/>
    <w:rsid w:val="00781138"/>
    <w:rsid w:val="007A1955"/>
    <w:rsid w:val="007A3B39"/>
    <w:rsid w:val="007A76C6"/>
    <w:rsid w:val="007A7B60"/>
    <w:rsid w:val="007B7511"/>
    <w:rsid w:val="007D24A1"/>
    <w:rsid w:val="007E0A13"/>
    <w:rsid w:val="007E578A"/>
    <w:rsid w:val="007E6124"/>
    <w:rsid w:val="007F26B7"/>
    <w:rsid w:val="007F79EB"/>
    <w:rsid w:val="00803304"/>
    <w:rsid w:val="00803BD6"/>
    <w:rsid w:val="00832B21"/>
    <w:rsid w:val="008330F6"/>
    <w:rsid w:val="008340B8"/>
    <w:rsid w:val="0083480B"/>
    <w:rsid w:val="00837A59"/>
    <w:rsid w:val="008415C8"/>
    <w:rsid w:val="008420B5"/>
    <w:rsid w:val="00845A33"/>
    <w:rsid w:val="008467D0"/>
    <w:rsid w:val="008549D7"/>
    <w:rsid w:val="0087003B"/>
    <w:rsid w:val="00880F66"/>
    <w:rsid w:val="00890065"/>
    <w:rsid w:val="008919A7"/>
    <w:rsid w:val="00896B97"/>
    <w:rsid w:val="008A0186"/>
    <w:rsid w:val="008A21F0"/>
    <w:rsid w:val="008A60B2"/>
    <w:rsid w:val="008A72B7"/>
    <w:rsid w:val="008B12DE"/>
    <w:rsid w:val="008B37D2"/>
    <w:rsid w:val="008C0072"/>
    <w:rsid w:val="008C6151"/>
    <w:rsid w:val="008E4FB5"/>
    <w:rsid w:val="00900ABB"/>
    <w:rsid w:val="009077BE"/>
    <w:rsid w:val="0091488B"/>
    <w:rsid w:val="00920586"/>
    <w:rsid w:val="00926B56"/>
    <w:rsid w:val="00932A96"/>
    <w:rsid w:val="0093483A"/>
    <w:rsid w:val="009375CA"/>
    <w:rsid w:val="009418DC"/>
    <w:rsid w:val="0094240C"/>
    <w:rsid w:val="009463C9"/>
    <w:rsid w:val="00947A20"/>
    <w:rsid w:val="00950A56"/>
    <w:rsid w:val="009511A6"/>
    <w:rsid w:val="0096051E"/>
    <w:rsid w:val="0096251D"/>
    <w:rsid w:val="0096523A"/>
    <w:rsid w:val="00974248"/>
    <w:rsid w:val="009761D5"/>
    <w:rsid w:val="00976937"/>
    <w:rsid w:val="00981415"/>
    <w:rsid w:val="00986EB0"/>
    <w:rsid w:val="009901A4"/>
    <w:rsid w:val="00994940"/>
    <w:rsid w:val="009A0DE2"/>
    <w:rsid w:val="009A5072"/>
    <w:rsid w:val="009B237E"/>
    <w:rsid w:val="009C021A"/>
    <w:rsid w:val="009C1B02"/>
    <w:rsid w:val="009C57F0"/>
    <w:rsid w:val="009D6659"/>
    <w:rsid w:val="009D767D"/>
    <w:rsid w:val="009F7F08"/>
    <w:rsid w:val="00A01474"/>
    <w:rsid w:val="00A033E6"/>
    <w:rsid w:val="00A06460"/>
    <w:rsid w:val="00A10101"/>
    <w:rsid w:val="00A12614"/>
    <w:rsid w:val="00A1723E"/>
    <w:rsid w:val="00A20946"/>
    <w:rsid w:val="00A218E7"/>
    <w:rsid w:val="00A21E31"/>
    <w:rsid w:val="00A25C49"/>
    <w:rsid w:val="00A3326A"/>
    <w:rsid w:val="00A36501"/>
    <w:rsid w:val="00A4161B"/>
    <w:rsid w:val="00A437EE"/>
    <w:rsid w:val="00A45424"/>
    <w:rsid w:val="00A526C9"/>
    <w:rsid w:val="00A74EFC"/>
    <w:rsid w:val="00A9038C"/>
    <w:rsid w:val="00AA0C7A"/>
    <w:rsid w:val="00AA7118"/>
    <w:rsid w:val="00AB5241"/>
    <w:rsid w:val="00AD05B2"/>
    <w:rsid w:val="00AD49E0"/>
    <w:rsid w:val="00AE3979"/>
    <w:rsid w:val="00AF052F"/>
    <w:rsid w:val="00B20606"/>
    <w:rsid w:val="00B243B9"/>
    <w:rsid w:val="00B424CB"/>
    <w:rsid w:val="00B4426D"/>
    <w:rsid w:val="00B47336"/>
    <w:rsid w:val="00B56E51"/>
    <w:rsid w:val="00B573DF"/>
    <w:rsid w:val="00B6105A"/>
    <w:rsid w:val="00B70773"/>
    <w:rsid w:val="00B7472F"/>
    <w:rsid w:val="00B83C09"/>
    <w:rsid w:val="00B97C56"/>
    <w:rsid w:val="00BC04C4"/>
    <w:rsid w:val="00BC3237"/>
    <w:rsid w:val="00BC74BC"/>
    <w:rsid w:val="00BD0BEB"/>
    <w:rsid w:val="00BD3237"/>
    <w:rsid w:val="00BD74A0"/>
    <w:rsid w:val="00BF4CB3"/>
    <w:rsid w:val="00BF6155"/>
    <w:rsid w:val="00C00477"/>
    <w:rsid w:val="00C02813"/>
    <w:rsid w:val="00C1288C"/>
    <w:rsid w:val="00C12DDF"/>
    <w:rsid w:val="00C133B3"/>
    <w:rsid w:val="00C23AC9"/>
    <w:rsid w:val="00C451CE"/>
    <w:rsid w:val="00C6343E"/>
    <w:rsid w:val="00C6449D"/>
    <w:rsid w:val="00C70C88"/>
    <w:rsid w:val="00C80136"/>
    <w:rsid w:val="00C811E5"/>
    <w:rsid w:val="00C870B9"/>
    <w:rsid w:val="00C9260A"/>
    <w:rsid w:val="00C9344E"/>
    <w:rsid w:val="00C952C3"/>
    <w:rsid w:val="00C97F4A"/>
    <w:rsid w:val="00CA7A9E"/>
    <w:rsid w:val="00CB52B0"/>
    <w:rsid w:val="00CB7C72"/>
    <w:rsid w:val="00CC6C89"/>
    <w:rsid w:val="00CD0323"/>
    <w:rsid w:val="00CD5C10"/>
    <w:rsid w:val="00CE092C"/>
    <w:rsid w:val="00D025A1"/>
    <w:rsid w:val="00D1440E"/>
    <w:rsid w:val="00D2303A"/>
    <w:rsid w:val="00D35205"/>
    <w:rsid w:val="00D361DE"/>
    <w:rsid w:val="00D375B0"/>
    <w:rsid w:val="00D41F6F"/>
    <w:rsid w:val="00D4205F"/>
    <w:rsid w:val="00D42BE7"/>
    <w:rsid w:val="00D4428B"/>
    <w:rsid w:val="00D47A0B"/>
    <w:rsid w:val="00D53044"/>
    <w:rsid w:val="00D64AF3"/>
    <w:rsid w:val="00D71234"/>
    <w:rsid w:val="00D77FC7"/>
    <w:rsid w:val="00D85EFB"/>
    <w:rsid w:val="00D93691"/>
    <w:rsid w:val="00D938A7"/>
    <w:rsid w:val="00D93D00"/>
    <w:rsid w:val="00D947B6"/>
    <w:rsid w:val="00DA0136"/>
    <w:rsid w:val="00DA2C1F"/>
    <w:rsid w:val="00DA49D4"/>
    <w:rsid w:val="00DB06A1"/>
    <w:rsid w:val="00DB0D57"/>
    <w:rsid w:val="00DB7B4C"/>
    <w:rsid w:val="00DC1454"/>
    <w:rsid w:val="00DE40AC"/>
    <w:rsid w:val="00DE6B2F"/>
    <w:rsid w:val="00DF4483"/>
    <w:rsid w:val="00E123BB"/>
    <w:rsid w:val="00E16FA1"/>
    <w:rsid w:val="00E20657"/>
    <w:rsid w:val="00E25669"/>
    <w:rsid w:val="00E260D6"/>
    <w:rsid w:val="00E269CF"/>
    <w:rsid w:val="00E26ACE"/>
    <w:rsid w:val="00E360B0"/>
    <w:rsid w:val="00E41BB9"/>
    <w:rsid w:val="00E461AA"/>
    <w:rsid w:val="00E5025F"/>
    <w:rsid w:val="00E55040"/>
    <w:rsid w:val="00E5770B"/>
    <w:rsid w:val="00E61B18"/>
    <w:rsid w:val="00E6214D"/>
    <w:rsid w:val="00E62D15"/>
    <w:rsid w:val="00E639D0"/>
    <w:rsid w:val="00E65733"/>
    <w:rsid w:val="00E77BBB"/>
    <w:rsid w:val="00E81453"/>
    <w:rsid w:val="00E86ACC"/>
    <w:rsid w:val="00E87537"/>
    <w:rsid w:val="00E97A7D"/>
    <w:rsid w:val="00EA183A"/>
    <w:rsid w:val="00EA2D22"/>
    <w:rsid w:val="00EB7A9F"/>
    <w:rsid w:val="00ED02A3"/>
    <w:rsid w:val="00ED126C"/>
    <w:rsid w:val="00EE27DB"/>
    <w:rsid w:val="00EE5FDD"/>
    <w:rsid w:val="00EF0C01"/>
    <w:rsid w:val="00F00C16"/>
    <w:rsid w:val="00F03702"/>
    <w:rsid w:val="00F0412D"/>
    <w:rsid w:val="00F10451"/>
    <w:rsid w:val="00F3119E"/>
    <w:rsid w:val="00F35CE7"/>
    <w:rsid w:val="00F365BB"/>
    <w:rsid w:val="00F46F0B"/>
    <w:rsid w:val="00F50456"/>
    <w:rsid w:val="00F52626"/>
    <w:rsid w:val="00F5698B"/>
    <w:rsid w:val="00F60D34"/>
    <w:rsid w:val="00F75F7B"/>
    <w:rsid w:val="00F83B21"/>
    <w:rsid w:val="00F853FF"/>
    <w:rsid w:val="00F87A49"/>
    <w:rsid w:val="00F914E9"/>
    <w:rsid w:val="00F93FD6"/>
    <w:rsid w:val="00F9419B"/>
    <w:rsid w:val="00FA491B"/>
    <w:rsid w:val="00FB09DF"/>
    <w:rsid w:val="00FB4D05"/>
    <w:rsid w:val="00FB54D9"/>
    <w:rsid w:val="00FC2DD0"/>
    <w:rsid w:val="00FC4717"/>
    <w:rsid w:val="00FC533D"/>
    <w:rsid w:val="00FE2F42"/>
    <w:rsid w:val="00FE3685"/>
    <w:rsid w:val="00FE63B9"/>
    <w:rsid w:val="00FF008D"/>
    <w:rsid w:val="00FF398C"/>
    <w:rsid w:val="00FF4DC4"/>
    <w:rsid w:val="00FF76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4CADA"/>
  <w15:chartTrackingRefBased/>
  <w15:docId w15:val="{E3357E82-1E9F-4DC5-AD14-990C0E74D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3CE"/>
    <w:pPr>
      <w:spacing w:after="200" w:line="360" w:lineRule="auto"/>
      <w:jc w:val="both"/>
    </w:pPr>
    <w:rPr>
      <w:rFonts w:ascii="Arial" w:hAnsi="Arial"/>
      <w:kern w:val="0"/>
      <w:szCs w:val="22"/>
      <w:lang w:val="en-GB"/>
      <w14:ligatures w14:val="none"/>
    </w:rPr>
  </w:style>
  <w:style w:type="paragraph" w:styleId="Heading1">
    <w:name w:val="heading 1"/>
    <w:basedOn w:val="Normal"/>
    <w:next w:val="Normal"/>
    <w:link w:val="Heading1Char"/>
    <w:uiPriority w:val="9"/>
    <w:qFormat/>
    <w:rsid w:val="00D025A1"/>
    <w:pPr>
      <w:keepNext/>
      <w:keepLines/>
      <w:spacing w:before="240" w:after="0"/>
      <w:outlineLvl w:val="0"/>
    </w:pPr>
    <w:rPr>
      <w:rFonts w:eastAsiaTheme="majorEastAsia" w:cstheme="majorBidi"/>
      <w:b/>
      <w:color w:val="000000" w:themeColor="text1"/>
      <w:kern w:val="2"/>
      <w:sz w:val="36"/>
      <w:szCs w:val="32"/>
      <w:lang w:val="en-IN"/>
      <w14:ligatures w14:val="standardContextual"/>
    </w:rPr>
  </w:style>
  <w:style w:type="paragraph" w:styleId="Heading2">
    <w:name w:val="heading 2"/>
    <w:basedOn w:val="Normal"/>
    <w:next w:val="Normal"/>
    <w:link w:val="Heading2Char"/>
    <w:uiPriority w:val="9"/>
    <w:unhideWhenUsed/>
    <w:qFormat/>
    <w:rsid w:val="00D025A1"/>
    <w:pPr>
      <w:keepNext/>
      <w:keepLines/>
      <w:spacing w:before="40" w:after="0"/>
      <w:outlineLvl w:val="1"/>
    </w:pPr>
    <w:rPr>
      <w:rFonts w:eastAsiaTheme="majorEastAsia" w:cstheme="majorBidi"/>
      <w:b/>
      <w:color w:val="000000" w:themeColor="text1"/>
      <w:kern w:val="2"/>
      <w:sz w:val="32"/>
      <w:szCs w:val="26"/>
      <w:lang w:val="en-IN"/>
      <w14:ligatures w14:val="standardContextual"/>
    </w:rPr>
  </w:style>
  <w:style w:type="paragraph" w:styleId="Heading3">
    <w:name w:val="heading 3"/>
    <w:basedOn w:val="Normal"/>
    <w:next w:val="Normal"/>
    <w:link w:val="Heading3Char"/>
    <w:uiPriority w:val="9"/>
    <w:unhideWhenUsed/>
    <w:qFormat/>
    <w:rsid w:val="00E65733"/>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2673C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673C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673C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673C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673C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673C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6ACE"/>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26ACE"/>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D025A1"/>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D025A1"/>
    <w:rPr>
      <w:rFonts w:ascii="Times New Roman" w:eastAsiaTheme="majorEastAsia" w:hAnsi="Times New Roman" w:cstheme="majorBidi"/>
      <w:b/>
      <w:color w:val="000000" w:themeColor="text1"/>
      <w:sz w:val="32"/>
      <w:szCs w:val="26"/>
    </w:rPr>
  </w:style>
  <w:style w:type="paragraph" w:styleId="ListParagraph">
    <w:name w:val="List Paragraph"/>
    <w:basedOn w:val="Normal"/>
    <w:uiPriority w:val="34"/>
    <w:qFormat/>
    <w:rsid w:val="00F60D34"/>
    <w:pPr>
      <w:ind w:left="720"/>
      <w:contextualSpacing/>
    </w:pPr>
  </w:style>
  <w:style w:type="paragraph" w:styleId="NoSpacing">
    <w:name w:val="No Spacing"/>
    <w:uiPriority w:val="1"/>
    <w:qFormat/>
    <w:rsid w:val="00E6214D"/>
    <w:pPr>
      <w:spacing w:after="0" w:line="360" w:lineRule="auto"/>
      <w:ind w:left="176"/>
      <w:jc w:val="both"/>
    </w:pPr>
    <w:rPr>
      <w:rFonts w:ascii="Times New Roman" w:hAnsi="Times New Roman" w:cs="Times New Roman"/>
      <w:b/>
      <w:kern w:val="0"/>
      <w:sz w:val="32"/>
      <w:szCs w:val="20"/>
      <w:lang w:val="en-GB"/>
      <w14:ligatures w14:val="none"/>
    </w:rPr>
  </w:style>
  <w:style w:type="character" w:customStyle="1" w:styleId="Heading3Char">
    <w:name w:val="Heading 3 Char"/>
    <w:basedOn w:val="DefaultParagraphFont"/>
    <w:link w:val="Heading3"/>
    <w:uiPriority w:val="9"/>
    <w:rsid w:val="00E65733"/>
    <w:rPr>
      <w:rFonts w:ascii="Times New Roman" w:eastAsiaTheme="majorEastAsia" w:hAnsi="Times New Roman" w:cstheme="majorBidi"/>
      <w:b/>
      <w:color w:val="000000" w:themeColor="text1"/>
      <w:kern w:val="0"/>
      <w:sz w:val="28"/>
      <w:szCs w:val="28"/>
      <w:lang w:val="en-GB"/>
      <w14:ligatures w14:val="none"/>
    </w:rPr>
  </w:style>
  <w:style w:type="character" w:customStyle="1" w:styleId="Heading4Char">
    <w:name w:val="Heading 4 Char"/>
    <w:basedOn w:val="DefaultParagraphFont"/>
    <w:link w:val="Heading4"/>
    <w:uiPriority w:val="9"/>
    <w:semiHidden/>
    <w:rsid w:val="002673CE"/>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2673CE"/>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2673CE"/>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2673CE"/>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2673CE"/>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2673CE"/>
    <w:rPr>
      <w:rFonts w:eastAsiaTheme="majorEastAsia" w:cstheme="majorBidi"/>
      <w:color w:val="272727" w:themeColor="text1" w:themeTint="D8"/>
      <w:kern w:val="0"/>
      <w:szCs w:val="22"/>
      <w:lang w:val="en-GB"/>
      <w14:ligatures w14:val="none"/>
    </w:rPr>
  </w:style>
  <w:style w:type="paragraph" w:styleId="Subtitle">
    <w:name w:val="Subtitle"/>
    <w:basedOn w:val="Normal"/>
    <w:next w:val="Normal"/>
    <w:link w:val="SubtitleChar"/>
    <w:uiPriority w:val="11"/>
    <w:qFormat/>
    <w:rsid w:val="002673C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3CE"/>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2673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673CE"/>
    <w:rPr>
      <w:rFonts w:ascii="Calibri" w:hAnsi="Calibri"/>
      <w:i/>
      <w:iCs/>
      <w:color w:val="404040" w:themeColor="text1" w:themeTint="BF"/>
      <w:kern w:val="0"/>
      <w:szCs w:val="22"/>
      <w:lang w:val="en-GB"/>
      <w14:ligatures w14:val="none"/>
    </w:rPr>
  </w:style>
  <w:style w:type="character" w:styleId="IntenseEmphasis">
    <w:name w:val="Intense Emphasis"/>
    <w:basedOn w:val="DefaultParagraphFont"/>
    <w:uiPriority w:val="21"/>
    <w:qFormat/>
    <w:rsid w:val="002673CE"/>
    <w:rPr>
      <w:i/>
      <w:iCs/>
      <w:color w:val="2F5496" w:themeColor="accent1" w:themeShade="BF"/>
    </w:rPr>
  </w:style>
  <w:style w:type="paragraph" w:styleId="IntenseQuote">
    <w:name w:val="Intense Quote"/>
    <w:basedOn w:val="Normal"/>
    <w:next w:val="Normal"/>
    <w:link w:val="IntenseQuoteChar"/>
    <w:uiPriority w:val="30"/>
    <w:qFormat/>
    <w:rsid w:val="002673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73CE"/>
    <w:rPr>
      <w:rFonts w:ascii="Calibri" w:hAnsi="Calibri"/>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2673CE"/>
    <w:rPr>
      <w:b/>
      <w:bCs/>
      <w:smallCaps/>
      <w:color w:val="2F5496" w:themeColor="accent1" w:themeShade="BF"/>
      <w:spacing w:val="5"/>
    </w:rPr>
  </w:style>
  <w:style w:type="paragraph" w:styleId="TOCHeading">
    <w:name w:val="TOC Heading"/>
    <w:basedOn w:val="Heading1"/>
    <w:next w:val="Normal"/>
    <w:uiPriority w:val="39"/>
    <w:unhideWhenUsed/>
    <w:qFormat/>
    <w:rsid w:val="00D53044"/>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D53044"/>
    <w:pPr>
      <w:spacing w:after="100"/>
    </w:pPr>
  </w:style>
  <w:style w:type="character" w:styleId="Hyperlink">
    <w:name w:val="Hyperlink"/>
    <w:basedOn w:val="DefaultParagraphFont"/>
    <w:uiPriority w:val="99"/>
    <w:unhideWhenUsed/>
    <w:rsid w:val="00D53044"/>
    <w:rPr>
      <w:color w:val="0563C1" w:themeColor="hyperlink"/>
      <w:u w:val="single"/>
    </w:rPr>
  </w:style>
  <w:style w:type="paragraph" w:styleId="Header">
    <w:name w:val="header"/>
    <w:basedOn w:val="Normal"/>
    <w:link w:val="HeaderChar"/>
    <w:uiPriority w:val="99"/>
    <w:unhideWhenUsed/>
    <w:rsid w:val="00FE3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685"/>
    <w:rPr>
      <w:rFonts w:ascii="Arial" w:hAnsi="Arial"/>
      <w:kern w:val="0"/>
      <w:szCs w:val="22"/>
      <w:lang w:val="en-GB"/>
      <w14:ligatures w14:val="none"/>
    </w:rPr>
  </w:style>
  <w:style w:type="paragraph" w:styleId="Footer">
    <w:name w:val="footer"/>
    <w:basedOn w:val="Normal"/>
    <w:link w:val="FooterChar"/>
    <w:uiPriority w:val="99"/>
    <w:unhideWhenUsed/>
    <w:rsid w:val="00FE3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685"/>
    <w:rPr>
      <w:rFonts w:ascii="Arial" w:hAnsi="Arial"/>
      <w:kern w:val="0"/>
      <w:szCs w:val="22"/>
      <w:lang w:val="en-GB"/>
      <w14:ligatures w14:val="none"/>
    </w:rPr>
  </w:style>
  <w:style w:type="character" w:styleId="UnresolvedMention">
    <w:name w:val="Unresolved Mention"/>
    <w:basedOn w:val="DefaultParagraphFont"/>
    <w:uiPriority w:val="99"/>
    <w:semiHidden/>
    <w:unhideWhenUsed/>
    <w:rsid w:val="006951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C7D50-420E-4B5F-BE51-7EF29FC74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4341</Words>
  <Characters>24748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Maciejewska</dc:creator>
  <cp:keywords/>
  <dc:description/>
  <cp:lastModifiedBy>Sylwia Maciejewska</cp:lastModifiedBy>
  <cp:revision>12</cp:revision>
  <dcterms:created xsi:type="dcterms:W3CDTF">2026-04-24T20:49:00Z</dcterms:created>
  <dcterms:modified xsi:type="dcterms:W3CDTF">2026-04-24T21:12:00Z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b8c6e9ec-d090-4136-bb89-9108d0286a83</vt:lpwstr>
  </property>
</Properties>
</file>