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83D7E" w14:textId="1AEFA421" w:rsidR="00375298" w:rsidRPr="00B3149D" w:rsidRDefault="00375298" w:rsidP="0013791E">
      <w:pPr>
        <w:spacing w:line="360" w:lineRule="auto"/>
        <w:jc w:val="center"/>
        <w:rPr>
          <w:rFonts w:ascii="Arial" w:hAnsi="Arial" w:cs="Arial"/>
          <w:b/>
          <w:bCs/>
          <w:sz w:val="28"/>
          <w:szCs w:val="28"/>
        </w:rPr>
      </w:pPr>
      <w:r w:rsidRPr="00B3149D">
        <w:rPr>
          <w:rFonts w:ascii="Arial" w:hAnsi="Arial" w:cs="Arial"/>
          <w:lang w:val="en-GB"/>
        </w:rPr>
        <w:br/>
      </w:r>
      <w:r w:rsidRPr="00B3149D">
        <w:rPr>
          <w:rFonts w:ascii="Arial" w:hAnsi="Arial" w:cs="Arial"/>
          <w:lang w:val="en-GB"/>
        </w:rPr>
        <w:br/>
      </w:r>
      <w:r w:rsidRPr="00B3149D">
        <w:rPr>
          <w:rFonts w:ascii="Arial" w:hAnsi="Arial" w:cs="Arial"/>
          <w:lang w:val="en-GB"/>
        </w:rPr>
        <w:br/>
      </w:r>
      <w:r w:rsidRPr="00B3149D">
        <w:rPr>
          <w:rFonts w:ascii="Arial" w:hAnsi="Arial" w:cs="Arial"/>
          <w:lang w:val="en-GB"/>
        </w:rPr>
        <w:br/>
      </w:r>
      <w:r w:rsidRPr="00B3149D">
        <w:rPr>
          <w:rFonts w:ascii="Arial" w:hAnsi="Arial" w:cs="Arial"/>
          <w:lang w:val="en-GB"/>
        </w:rPr>
        <w:br/>
      </w:r>
      <w:r w:rsidRPr="00B3149D">
        <w:rPr>
          <w:rFonts w:ascii="Arial" w:hAnsi="Arial" w:cs="Arial"/>
          <w:lang w:val="en-GB"/>
        </w:rPr>
        <w:br/>
      </w:r>
      <w:r w:rsidRPr="00B3149D">
        <w:rPr>
          <w:rFonts w:ascii="Arial" w:hAnsi="Arial" w:cs="Arial"/>
          <w:lang w:val="en-GB"/>
        </w:rPr>
        <w:br/>
      </w:r>
      <w:r w:rsidRPr="00B3149D">
        <w:rPr>
          <w:rFonts w:ascii="Arial" w:hAnsi="Arial" w:cs="Arial"/>
          <w:lang w:val="en-GB"/>
        </w:rPr>
        <w:br/>
      </w:r>
      <w:r w:rsidRPr="00B3149D">
        <w:rPr>
          <w:rFonts w:ascii="Arial" w:hAnsi="Arial" w:cs="Arial"/>
          <w:b/>
          <w:bCs/>
          <w:sz w:val="28"/>
          <w:szCs w:val="28"/>
          <w:lang w:val="en-GB"/>
        </w:rPr>
        <w:t>Critical Literature Review for Doctoral Research</w:t>
      </w:r>
      <w:r w:rsidRPr="00B3149D">
        <w:rPr>
          <w:rFonts w:ascii="Arial" w:hAnsi="Arial" w:cs="Arial"/>
          <w:b/>
          <w:bCs/>
          <w:sz w:val="28"/>
          <w:szCs w:val="28"/>
          <w:lang w:val="en-GB"/>
        </w:rPr>
        <w:br/>
      </w:r>
      <w:r w:rsidRPr="00B3149D">
        <w:rPr>
          <w:rFonts w:ascii="Arial" w:hAnsi="Arial" w:cs="Arial"/>
          <w:b/>
          <w:bCs/>
          <w:sz w:val="28"/>
          <w:szCs w:val="28"/>
          <w:lang w:val="en-GB"/>
        </w:rPr>
        <w:br/>
        <w:t>LCDB7009</w:t>
      </w:r>
      <w:r w:rsidRPr="00B3149D">
        <w:rPr>
          <w:rFonts w:ascii="Arial" w:hAnsi="Arial" w:cs="Arial"/>
          <w:b/>
          <w:bCs/>
          <w:sz w:val="28"/>
          <w:szCs w:val="28"/>
          <w:lang w:val="en-GB"/>
        </w:rPr>
        <w:br/>
      </w:r>
      <w:r w:rsidRPr="00B3149D">
        <w:rPr>
          <w:rFonts w:ascii="Arial" w:hAnsi="Arial" w:cs="Arial"/>
          <w:b/>
          <w:bCs/>
          <w:sz w:val="28"/>
          <w:szCs w:val="28"/>
        </w:rPr>
        <w:br/>
      </w:r>
    </w:p>
    <w:p w14:paraId="730BC66A" w14:textId="74583F17" w:rsidR="00375298" w:rsidRDefault="00375298" w:rsidP="0013791E">
      <w:pPr>
        <w:spacing w:line="360" w:lineRule="auto"/>
        <w:jc w:val="center"/>
        <w:rPr>
          <w:rFonts w:ascii="Arial" w:eastAsiaTheme="majorEastAsia" w:hAnsi="Arial" w:cs="Arial"/>
          <w:b/>
          <w:bCs/>
          <w:sz w:val="28"/>
          <w:szCs w:val="28"/>
          <w:lang w:val="en-GB"/>
        </w:rPr>
      </w:pPr>
      <w:r w:rsidRPr="00B3149D">
        <w:rPr>
          <w:rFonts w:ascii="Arial" w:hAnsi="Arial" w:cs="Arial"/>
          <w:b/>
          <w:bCs/>
          <w:sz w:val="28"/>
          <w:szCs w:val="28"/>
          <w:lang w:val="en-GB"/>
        </w:rPr>
        <w:t>“</w:t>
      </w:r>
      <w:r w:rsidRPr="00B3149D">
        <w:rPr>
          <w:rFonts w:ascii="Arial" w:eastAsiaTheme="majorEastAsia" w:hAnsi="Arial" w:cs="Arial"/>
          <w:b/>
          <w:bCs/>
          <w:sz w:val="28"/>
          <w:szCs w:val="28"/>
          <w:lang w:val="en-GB"/>
        </w:rPr>
        <w:t>The impact of artificial intelligence on forecasting accuracy and replenishment performance in retail supply chains: examining the role of human–AI decision integration</w:t>
      </w:r>
      <w:r w:rsidRPr="00B3149D">
        <w:rPr>
          <w:rFonts w:ascii="Arial" w:hAnsi="Arial" w:cs="Arial"/>
          <w:b/>
          <w:bCs/>
          <w:sz w:val="28"/>
          <w:szCs w:val="28"/>
          <w:lang w:val="en-GB"/>
        </w:rPr>
        <w:t>”</w:t>
      </w:r>
      <w:r w:rsidRPr="00B3149D">
        <w:rPr>
          <w:rFonts w:ascii="Arial" w:hAnsi="Arial" w:cs="Arial"/>
          <w:b/>
          <w:bCs/>
          <w:sz w:val="28"/>
          <w:szCs w:val="28"/>
          <w:lang w:val="en-GB"/>
        </w:rPr>
        <w:br/>
      </w:r>
      <w:r w:rsidRPr="00B3149D">
        <w:rPr>
          <w:rFonts w:ascii="Arial" w:hAnsi="Arial" w:cs="Arial"/>
          <w:b/>
          <w:bCs/>
          <w:sz w:val="28"/>
          <w:szCs w:val="28"/>
          <w:lang w:val="en-GB"/>
        </w:rPr>
        <w:br/>
      </w:r>
      <w:r w:rsidRPr="00B3149D">
        <w:rPr>
          <w:rFonts w:ascii="Arial" w:hAnsi="Arial" w:cs="Arial"/>
          <w:b/>
          <w:bCs/>
          <w:sz w:val="28"/>
          <w:szCs w:val="28"/>
          <w:lang w:val="en-GB"/>
        </w:rPr>
        <w:br/>
        <w:t>DBA Level 7</w:t>
      </w:r>
      <w:r w:rsidRPr="00B3149D">
        <w:rPr>
          <w:rFonts w:ascii="Arial" w:hAnsi="Arial" w:cs="Arial"/>
          <w:b/>
          <w:bCs/>
          <w:sz w:val="28"/>
          <w:szCs w:val="28"/>
          <w:lang w:val="en-GB"/>
        </w:rPr>
        <w:br/>
        <w:t xml:space="preserve">Student </w:t>
      </w:r>
      <w:proofErr w:type="gramStart"/>
      <w:r w:rsidRPr="00B3149D">
        <w:rPr>
          <w:rFonts w:ascii="Arial" w:hAnsi="Arial" w:cs="Arial"/>
          <w:b/>
          <w:bCs/>
          <w:sz w:val="28"/>
          <w:szCs w:val="28"/>
          <w:lang w:val="en-GB"/>
        </w:rPr>
        <w:t>Name :</w:t>
      </w:r>
      <w:proofErr w:type="gramEnd"/>
      <w:r w:rsidRPr="00B3149D">
        <w:rPr>
          <w:rFonts w:ascii="Arial" w:hAnsi="Arial" w:cs="Arial"/>
          <w:b/>
          <w:bCs/>
          <w:sz w:val="28"/>
          <w:szCs w:val="28"/>
          <w:lang w:val="en-GB"/>
        </w:rPr>
        <w:t xml:space="preserve"> </w:t>
      </w:r>
      <w:proofErr w:type="spellStart"/>
      <w:r w:rsidRPr="00B3149D">
        <w:rPr>
          <w:rFonts w:ascii="Arial" w:hAnsi="Arial" w:cs="Arial"/>
          <w:b/>
          <w:bCs/>
          <w:sz w:val="28"/>
          <w:szCs w:val="28"/>
          <w:lang w:val="en-GB"/>
        </w:rPr>
        <w:t>Bitto</w:t>
      </w:r>
      <w:proofErr w:type="spellEnd"/>
      <w:r w:rsidRPr="00B3149D">
        <w:rPr>
          <w:rFonts w:ascii="Arial" w:hAnsi="Arial" w:cs="Arial"/>
          <w:b/>
          <w:bCs/>
          <w:sz w:val="28"/>
          <w:szCs w:val="28"/>
          <w:lang w:val="en-GB"/>
        </w:rPr>
        <w:t xml:space="preserve"> Xavier X</w:t>
      </w:r>
      <w:r w:rsidRPr="00B3149D">
        <w:rPr>
          <w:rFonts w:ascii="Arial" w:hAnsi="Arial" w:cs="Arial"/>
          <w:b/>
          <w:bCs/>
          <w:sz w:val="28"/>
          <w:szCs w:val="28"/>
          <w:lang w:val="en-GB"/>
        </w:rPr>
        <w:br/>
        <w:t>Student ID : 2528392</w:t>
      </w:r>
      <w:r w:rsidRPr="00B3149D">
        <w:rPr>
          <w:rFonts w:ascii="Arial" w:hAnsi="Arial" w:cs="Arial"/>
          <w:b/>
          <w:bCs/>
          <w:sz w:val="28"/>
          <w:szCs w:val="28"/>
          <w:lang w:val="en-GB"/>
        </w:rPr>
        <w:br/>
      </w:r>
    </w:p>
    <w:p w14:paraId="787948F8" w14:textId="77777777" w:rsidR="00B3149D" w:rsidRPr="00B3149D" w:rsidRDefault="00B3149D" w:rsidP="0013791E">
      <w:pPr>
        <w:spacing w:line="360" w:lineRule="auto"/>
        <w:jc w:val="center"/>
        <w:rPr>
          <w:rFonts w:ascii="Arial" w:eastAsiaTheme="majorEastAsia" w:hAnsi="Arial" w:cs="Arial"/>
          <w:b/>
          <w:bCs/>
          <w:sz w:val="28"/>
          <w:szCs w:val="28"/>
          <w:lang w:val="en-GB"/>
        </w:rPr>
      </w:pPr>
    </w:p>
    <w:p w14:paraId="1E6039E4" w14:textId="77777777" w:rsidR="0013791E" w:rsidRPr="00B3149D" w:rsidRDefault="00375298" w:rsidP="0013791E">
      <w:pPr>
        <w:jc w:val="center"/>
        <w:rPr>
          <w:rFonts w:ascii="Arial" w:hAnsi="Arial" w:cs="Arial"/>
        </w:rPr>
      </w:pPr>
      <w:r w:rsidRPr="00B3149D">
        <w:rPr>
          <w:rFonts w:ascii="Arial" w:hAnsi="Arial" w:cs="Arial"/>
          <w:b/>
          <w:bCs/>
          <w:sz w:val="28"/>
          <w:szCs w:val="28"/>
        </w:rPr>
        <w:br/>
      </w:r>
      <w:r w:rsidRPr="00B3149D">
        <w:rPr>
          <w:rFonts w:ascii="Arial" w:hAnsi="Arial" w:cs="Arial"/>
        </w:rPr>
        <w:br/>
      </w:r>
      <w:r w:rsidRPr="00B3149D">
        <w:rPr>
          <w:rFonts w:ascii="Arial" w:hAnsi="Arial" w:cs="Arial"/>
        </w:rPr>
        <w:br/>
      </w:r>
      <w:r w:rsidRPr="00B3149D">
        <w:rPr>
          <w:rFonts w:ascii="Arial" w:hAnsi="Arial" w:cs="Arial"/>
        </w:rPr>
        <w:br/>
      </w:r>
      <w:r w:rsidRPr="00B3149D">
        <w:rPr>
          <w:rFonts w:ascii="Arial" w:hAnsi="Arial" w:cs="Arial"/>
        </w:rPr>
        <w:br/>
      </w:r>
    </w:p>
    <w:p w14:paraId="5A1F6FBB" w14:textId="77777777" w:rsidR="0013791E" w:rsidRPr="00B3149D" w:rsidRDefault="0013791E" w:rsidP="0013791E">
      <w:pPr>
        <w:jc w:val="center"/>
        <w:rPr>
          <w:rFonts w:ascii="Arial" w:hAnsi="Arial" w:cs="Arial"/>
        </w:rPr>
      </w:pPr>
    </w:p>
    <w:p w14:paraId="1D189014" w14:textId="6C998F68" w:rsidR="0013791E" w:rsidRPr="00B3149D" w:rsidRDefault="00375298" w:rsidP="0013791E">
      <w:pPr>
        <w:jc w:val="center"/>
        <w:rPr>
          <w:rFonts w:ascii="Arial" w:hAnsi="Arial" w:cs="Arial"/>
        </w:rPr>
      </w:pPr>
      <w:r w:rsidRPr="00B3149D">
        <w:rPr>
          <w:rFonts w:ascii="Arial" w:hAnsi="Arial" w:cs="Arial"/>
        </w:rPr>
        <w:br/>
      </w:r>
    </w:p>
    <w:sdt>
      <w:sdtPr>
        <w:rPr>
          <w:rFonts w:ascii="Arial" w:eastAsiaTheme="minorHAnsi" w:hAnsi="Arial" w:cs="Arial"/>
          <w:b w:val="0"/>
          <w:bCs w:val="0"/>
          <w:color w:val="auto"/>
          <w:sz w:val="20"/>
          <w:szCs w:val="20"/>
          <w:lang w:val="en-IN"/>
        </w:rPr>
        <w:id w:val="-896211396"/>
        <w:docPartObj>
          <w:docPartGallery w:val="Table of Contents"/>
          <w:docPartUnique/>
        </w:docPartObj>
      </w:sdtPr>
      <w:sdtEndPr>
        <w:rPr>
          <w:noProof/>
          <w:sz w:val="24"/>
          <w:szCs w:val="24"/>
        </w:rPr>
      </w:sdtEndPr>
      <w:sdtContent>
        <w:p w14:paraId="3D303572" w14:textId="3FE92E33" w:rsidR="0013791E" w:rsidRPr="00B3149D" w:rsidRDefault="0013791E">
          <w:pPr>
            <w:pStyle w:val="TOCHeading"/>
            <w:rPr>
              <w:rFonts w:ascii="Arial" w:hAnsi="Arial" w:cs="Arial"/>
              <w:sz w:val="24"/>
              <w:szCs w:val="24"/>
            </w:rPr>
          </w:pPr>
          <w:r w:rsidRPr="00B3149D">
            <w:rPr>
              <w:rFonts w:ascii="Arial" w:hAnsi="Arial" w:cs="Arial"/>
              <w:sz w:val="24"/>
              <w:szCs w:val="24"/>
            </w:rPr>
            <w:t>Table of Contents</w:t>
          </w:r>
        </w:p>
        <w:p w14:paraId="53C0C50D" w14:textId="5E98BF31" w:rsidR="00486A83" w:rsidRPr="00B3149D" w:rsidRDefault="0013791E">
          <w:pPr>
            <w:pStyle w:val="TOC1"/>
            <w:tabs>
              <w:tab w:val="right" w:leader="dot" w:pos="9016"/>
            </w:tabs>
            <w:rPr>
              <w:rFonts w:ascii="Arial" w:eastAsiaTheme="minorEastAsia" w:hAnsi="Arial" w:cs="Arial"/>
              <w:b w:val="0"/>
              <w:bCs w:val="0"/>
              <w:i w:val="0"/>
              <w:iCs w:val="0"/>
              <w:noProof/>
              <w:lang w:eastAsia="en-GB"/>
            </w:rPr>
          </w:pPr>
          <w:r w:rsidRPr="00B3149D">
            <w:rPr>
              <w:rFonts w:ascii="Arial" w:hAnsi="Arial" w:cs="Arial"/>
              <w:b w:val="0"/>
              <w:bCs w:val="0"/>
            </w:rPr>
            <w:fldChar w:fldCharType="begin"/>
          </w:r>
          <w:r w:rsidRPr="00B3149D">
            <w:rPr>
              <w:rFonts w:ascii="Arial" w:hAnsi="Arial" w:cs="Arial"/>
              <w:b w:val="0"/>
              <w:bCs w:val="0"/>
            </w:rPr>
            <w:instrText xml:space="preserve"> TOC \o "1-3" \h \z \u </w:instrText>
          </w:r>
          <w:r w:rsidRPr="00B3149D">
            <w:rPr>
              <w:rFonts w:ascii="Arial" w:hAnsi="Arial" w:cs="Arial"/>
              <w:b w:val="0"/>
              <w:bCs w:val="0"/>
            </w:rPr>
            <w:fldChar w:fldCharType="separate"/>
          </w:r>
          <w:hyperlink w:anchor="_Toc227752970" w:history="1">
            <w:r w:rsidR="00486A83" w:rsidRPr="00B3149D">
              <w:rPr>
                <w:rStyle w:val="Hyperlink"/>
                <w:rFonts w:ascii="Arial" w:hAnsi="Arial" w:cs="Arial"/>
                <w:b w:val="0"/>
                <w:bCs w:val="0"/>
                <w:noProof/>
              </w:rPr>
              <w:t>Part 1</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_Toc227752970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4</w:t>
            </w:r>
            <w:r w:rsidR="00486A83" w:rsidRPr="00B3149D">
              <w:rPr>
                <w:rFonts w:ascii="Arial" w:hAnsi="Arial" w:cs="Arial"/>
                <w:b w:val="0"/>
                <w:bCs w:val="0"/>
                <w:noProof/>
                <w:webHidden/>
              </w:rPr>
              <w:fldChar w:fldCharType="end"/>
            </w:r>
          </w:hyperlink>
        </w:p>
        <w:p w14:paraId="2554638F" w14:textId="51EC6E10"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1" w:history="1">
            <w:r w:rsidR="00486A83" w:rsidRPr="00B3149D">
              <w:rPr>
                <w:rStyle w:val="Hyperlink"/>
                <w:rFonts w:ascii="Arial" w:hAnsi="Arial" w:cs="Arial"/>
                <w:b w:val="0"/>
                <w:bCs w:val="0"/>
                <w:noProof/>
              </w:rPr>
              <w:t>1.1.Introduction</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_Toc227752971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5</w:t>
            </w:r>
            <w:r w:rsidR="00486A83" w:rsidRPr="00B3149D">
              <w:rPr>
                <w:rFonts w:ascii="Arial" w:hAnsi="Arial" w:cs="Arial"/>
                <w:b w:val="0"/>
                <w:bCs w:val="0"/>
                <w:noProof/>
                <w:webHidden/>
              </w:rPr>
              <w:fldChar w:fldCharType="end"/>
            </w:r>
          </w:hyperlink>
        </w:p>
        <w:p w14:paraId="317C24A4" w14:textId="24745537"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2" w:history="1">
            <w:r w:rsidR="00486A83" w:rsidRPr="00B3149D">
              <w:rPr>
                <w:rStyle w:val="Hyperlink"/>
                <w:rFonts w:ascii="Arial" w:hAnsi="Arial" w:cs="Arial"/>
                <w:b w:val="0"/>
                <w:bCs w:val="0"/>
                <w:noProof/>
              </w:rPr>
              <w:t>1.2.What Makes a DBA Literature Review “Critical”?</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_Toc227752972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5</w:t>
            </w:r>
            <w:r w:rsidR="00486A83" w:rsidRPr="00B3149D">
              <w:rPr>
                <w:rFonts w:ascii="Arial" w:hAnsi="Arial" w:cs="Arial"/>
                <w:b w:val="0"/>
                <w:bCs w:val="0"/>
                <w:noProof/>
                <w:webHidden/>
              </w:rPr>
              <w:fldChar w:fldCharType="end"/>
            </w:r>
          </w:hyperlink>
        </w:p>
        <w:p w14:paraId="02966A32" w14:textId="55BC07A9"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3" w:history="1">
            <w:r w:rsidR="00486A83" w:rsidRPr="00B3149D">
              <w:rPr>
                <w:rStyle w:val="Hyperlink"/>
                <w:rFonts w:ascii="Arial" w:hAnsi="Arial" w:cs="Arial"/>
                <w:b w:val="0"/>
                <w:bCs w:val="0"/>
                <w:noProof/>
              </w:rPr>
              <w:t>1.3. CLR Process (Systematic + Transparent)</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_Toc227752973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7</w:t>
            </w:r>
            <w:r w:rsidR="00486A83" w:rsidRPr="00B3149D">
              <w:rPr>
                <w:rFonts w:ascii="Arial" w:hAnsi="Arial" w:cs="Arial"/>
                <w:b w:val="0"/>
                <w:bCs w:val="0"/>
                <w:noProof/>
                <w:webHidden/>
              </w:rPr>
              <w:fldChar w:fldCharType="end"/>
            </w:r>
          </w:hyperlink>
        </w:p>
        <w:p w14:paraId="5F749FA2" w14:textId="409AAE8B"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4" w:history="1">
            <w:r w:rsidR="00486A83" w:rsidRPr="00B3149D">
              <w:rPr>
                <w:rStyle w:val="Hyperlink"/>
                <w:rFonts w:ascii="Arial" w:hAnsi="Arial" w:cs="Arial"/>
                <w:b w:val="0"/>
                <w:bCs w:val="0"/>
                <w:noProof/>
              </w:rPr>
              <w:t>1.4. CLR Content (What You Analyse)</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_Toc227752974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8</w:t>
            </w:r>
            <w:r w:rsidR="00486A83" w:rsidRPr="00B3149D">
              <w:rPr>
                <w:rFonts w:ascii="Arial" w:hAnsi="Arial" w:cs="Arial"/>
                <w:b w:val="0"/>
                <w:bCs w:val="0"/>
                <w:noProof/>
                <w:webHidden/>
              </w:rPr>
              <w:fldChar w:fldCharType="end"/>
            </w:r>
          </w:hyperlink>
        </w:p>
        <w:p w14:paraId="181CEEC9" w14:textId="420F500E"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5" w:history="1">
            <w:r w:rsidR="00486A83" w:rsidRPr="00B3149D">
              <w:rPr>
                <w:rStyle w:val="Hyperlink"/>
                <w:rFonts w:ascii="Arial" w:hAnsi="Arial" w:cs="Arial"/>
                <w:b w:val="0"/>
                <w:bCs w:val="0"/>
                <w:noProof/>
              </w:rPr>
              <w:t>1.5. CLR Output</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_Toc227752975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10</w:t>
            </w:r>
            <w:r w:rsidR="00486A83" w:rsidRPr="00B3149D">
              <w:rPr>
                <w:rFonts w:ascii="Arial" w:hAnsi="Arial" w:cs="Arial"/>
                <w:b w:val="0"/>
                <w:bCs w:val="0"/>
                <w:noProof/>
                <w:webHidden/>
              </w:rPr>
              <w:fldChar w:fldCharType="end"/>
            </w:r>
          </w:hyperlink>
        </w:p>
        <w:p w14:paraId="290152D6" w14:textId="55ABA932"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6" w:history="1">
            <w:r w:rsidR="00486A83" w:rsidRPr="00B3149D">
              <w:rPr>
                <w:rStyle w:val="Hyperlink"/>
                <w:rFonts w:ascii="Arial" w:hAnsi="Arial" w:cs="Arial"/>
                <w:b w:val="0"/>
                <w:bCs w:val="0"/>
                <w:noProof/>
              </w:rPr>
              <w:t>1.6. Writing Style (Critical &amp; Analytical)</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_Toc227752976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10</w:t>
            </w:r>
            <w:r w:rsidR="00486A83" w:rsidRPr="00B3149D">
              <w:rPr>
                <w:rFonts w:ascii="Arial" w:hAnsi="Arial" w:cs="Arial"/>
                <w:b w:val="0"/>
                <w:bCs w:val="0"/>
                <w:noProof/>
                <w:webHidden/>
              </w:rPr>
              <w:fldChar w:fldCharType="end"/>
            </w:r>
          </w:hyperlink>
        </w:p>
        <w:p w14:paraId="32D3AFF6" w14:textId="511AFEC9"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7" w:history="1">
            <w:r w:rsidR="00486A83" w:rsidRPr="00B3149D">
              <w:rPr>
                <w:rStyle w:val="Hyperlink"/>
                <w:rFonts w:ascii="Arial" w:hAnsi="Arial" w:cs="Arial"/>
                <w:b w:val="0"/>
                <w:bCs w:val="0"/>
                <w:noProof/>
              </w:rPr>
              <w:t>1.7. Conclusion</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_Toc227752977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11</w:t>
            </w:r>
            <w:r w:rsidR="00486A83" w:rsidRPr="00B3149D">
              <w:rPr>
                <w:rFonts w:ascii="Arial" w:hAnsi="Arial" w:cs="Arial"/>
                <w:b w:val="0"/>
                <w:bCs w:val="0"/>
                <w:noProof/>
                <w:webHidden/>
              </w:rPr>
              <w:fldChar w:fldCharType="end"/>
            </w:r>
          </w:hyperlink>
        </w:p>
        <w:p w14:paraId="7E12507F" w14:textId="58C5C22E"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8" w:history="1">
            <w:r w:rsidR="00486A83" w:rsidRPr="00B3149D">
              <w:rPr>
                <w:rStyle w:val="Hyperlink"/>
                <w:rFonts w:ascii="Arial" w:hAnsi="Arial" w:cs="Arial"/>
                <w:b w:val="0"/>
                <w:bCs w:val="0"/>
                <w:noProof/>
              </w:rPr>
              <w:t>1.8. References (Part 1)</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_Toc227752978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11</w:t>
            </w:r>
            <w:r w:rsidR="00486A83" w:rsidRPr="00B3149D">
              <w:rPr>
                <w:rFonts w:ascii="Arial" w:hAnsi="Arial" w:cs="Arial"/>
                <w:b w:val="0"/>
                <w:bCs w:val="0"/>
                <w:noProof/>
                <w:webHidden/>
              </w:rPr>
              <w:fldChar w:fldCharType="end"/>
            </w:r>
          </w:hyperlink>
        </w:p>
        <w:p w14:paraId="1FA71A11" w14:textId="3B0D7C38"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79" w:history="1">
            <w:r w:rsidR="00486A83" w:rsidRPr="00B3149D">
              <w:rPr>
                <w:rStyle w:val="Hyperlink"/>
                <w:rFonts w:ascii="Arial" w:hAnsi="Arial" w:cs="Arial"/>
                <w:b w:val="0"/>
                <w:bCs w:val="0"/>
                <w:noProof/>
              </w:rPr>
              <w:t>Part 2</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_Toc227752979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13</w:t>
            </w:r>
            <w:r w:rsidR="00486A83" w:rsidRPr="00B3149D">
              <w:rPr>
                <w:rFonts w:ascii="Arial" w:hAnsi="Arial" w:cs="Arial"/>
                <w:b w:val="0"/>
                <w:bCs w:val="0"/>
                <w:noProof/>
                <w:webHidden/>
              </w:rPr>
              <w:fldChar w:fldCharType="end"/>
            </w:r>
          </w:hyperlink>
        </w:p>
        <w:p w14:paraId="689FB073" w14:textId="189637D9"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80" w:history="1">
            <w:r w:rsidR="00486A83" w:rsidRPr="00B3149D">
              <w:rPr>
                <w:rStyle w:val="Hyperlink"/>
                <w:rFonts w:ascii="Arial" w:hAnsi="Arial" w:cs="Arial"/>
                <w:b w:val="0"/>
                <w:bCs w:val="0"/>
                <w:noProof/>
              </w:rPr>
              <w:t>2.1 Purpose</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_Toc227752980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13</w:t>
            </w:r>
            <w:r w:rsidR="00486A83" w:rsidRPr="00B3149D">
              <w:rPr>
                <w:rFonts w:ascii="Arial" w:hAnsi="Arial" w:cs="Arial"/>
                <w:b w:val="0"/>
                <w:bCs w:val="0"/>
                <w:noProof/>
                <w:webHidden/>
              </w:rPr>
              <w:fldChar w:fldCharType="end"/>
            </w:r>
          </w:hyperlink>
        </w:p>
        <w:p w14:paraId="51412769" w14:textId="11F7D50B"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81" w:history="1">
            <w:r w:rsidR="00486A83" w:rsidRPr="00B3149D">
              <w:rPr>
                <w:rStyle w:val="Hyperlink"/>
                <w:rFonts w:ascii="Arial" w:hAnsi="Arial" w:cs="Arial"/>
                <w:b w:val="0"/>
                <w:bCs w:val="0"/>
                <w:noProof/>
              </w:rPr>
              <w:t>2.2 Review method</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_Toc227752981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13</w:t>
            </w:r>
            <w:r w:rsidR="00486A83" w:rsidRPr="00B3149D">
              <w:rPr>
                <w:rFonts w:ascii="Arial" w:hAnsi="Arial" w:cs="Arial"/>
                <w:b w:val="0"/>
                <w:bCs w:val="0"/>
                <w:noProof/>
                <w:webHidden/>
              </w:rPr>
              <w:fldChar w:fldCharType="end"/>
            </w:r>
          </w:hyperlink>
        </w:p>
        <w:p w14:paraId="4B91B5BE" w14:textId="47EC9C58"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82" w:history="1">
            <w:r w:rsidR="00486A83" w:rsidRPr="00B3149D">
              <w:rPr>
                <w:rStyle w:val="Hyperlink"/>
                <w:rFonts w:ascii="Arial" w:hAnsi="Arial" w:cs="Arial"/>
                <w:b w:val="0"/>
                <w:bCs w:val="0"/>
                <w:noProof/>
              </w:rPr>
              <w:t>2.3 Thematic Synthesis of Forecasting Literature</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_Toc227752982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16</w:t>
            </w:r>
            <w:r w:rsidR="00486A83" w:rsidRPr="00B3149D">
              <w:rPr>
                <w:rFonts w:ascii="Arial" w:hAnsi="Arial" w:cs="Arial"/>
                <w:b w:val="0"/>
                <w:bCs w:val="0"/>
                <w:noProof/>
                <w:webHidden/>
              </w:rPr>
              <w:fldChar w:fldCharType="end"/>
            </w:r>
          </w:hyperlink>
        </w:p>
        <w:p w14:paraId="2FF6289E" w14:textId="1FE261B4"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83" w:history="1">
            <w:r w:rsidR="00486A83" w:rsidRPr="00B3149D">
              <w:rPr>
                <w:rStyle w:val="Hyperlink"/>
                <w:rFonts w:ascii="Arial" w:hAnsi="Arial" w:cs="Arial"/>
                <w:b w:val="0"/>
                <w:bCs w:val="0"/>
                <w:noProof/>
              </w:rPr>
              <w:t>2.3.1. Theme 1: Core Theories and Conceptual Foundations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_Toc227752983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17</w:t>
            </w:r>
            <w:r w:rsidR="00486A83" w:rsidRPr="00B3149D">
              <w:rPr>
                <w:rFonts w:ascii="Arial" w:hAnsi="Arial" w:cs="Arial"/>
                <w:b w:val="0"/>
                <w:bCs w:val="0"/>
                <w:noProof/>
                <w:webHidden/>
              </w:rPr>
              <w:fldChar w:fldCharType="end"/>
            </w:r>
          </w:hyperlink>
        </w:p>
        <w:p w14:paraId="11811323" w14:textId="60F640A1" w:rsidR="00486A83" w:rsidRPr="00B3149D" w:rsidRDefault="00486A83">
          <w:pPr>
            <w:pStyle w:val="TOC2"/>
            <w:tabs>
              <w:tab w:val="right" w:leader="dot" w:pos="9016"/>
            </w:tabs>
            <w:rPr>
              <w:rFonts w:ascii="Arial" w:eastAsiaTheme="minorEastAsia" w:hAnsi="Arial" w:cs="Arial"/>
              <w:b w:val="0"/>
              <w:bCs w:val="0"/>
              <w:noProof/>
              <w:sz w:val="24"/>
              <w:szCs w:val="24"/>
              <w:lang w:eastAsia="en-GB"/>
            </w:rPr>
          </w:pPr>
          <w:hyperlink w:anchor="_Toc227752984" w:history="1">
            <w:r w:rsidRPr="00B3149D">
              <w:rPr>
                <w:rStyle w:val="Hyperlink"/>
                <w:rFonts w:ascii="Arial" w:hAnsi="Arial" w:cs="Arial"/>
                <w:b w:val="0"/>
                <w:bCs w:val="0"/>
                <w:noProof/>
              </w:rPr>
              <w:t>2.3.2. Theme 2: Empirical Retail Forecasting and Replenishment</w:t>
            </w:r>
            <w:r w:rsidRPr="00B3149D">
              <w:rPr>
                <w:rFonts w:ascii="Arial" w:hAnsi="Arial" w:cs="Arial"/>
                <w:b w:val="0"/>
                <w:bCs w:val="0"/>
                <w:noProof/>
                <w:webHidden/>
              </w:rPr>
              <w:tab/>
            </w:r>
            <w:r w:rsidRPr="00B3149D">
              <w:rPr>
                <w:rFonts w:ascii="Arial" w:hAnsi="Arial" w:cs="Arial"/>
                <w:b w:val="0"/>
                <w:bCs w:val="0"/>
                <w:noProof/>
                <w:webHidden/>
              </w:rPr>
              <w:fldChar w:fldCharType="begin"/>
            </w:r>
            <w:r w:rsidRPr="00B3149D">
              <w:rPr>
                <w:rFonts w:ascii="Arial" w:hAnsi="Arial" w:cs="Arial"/>
                <w:b w:val="0"/>
                <w:bCs w:val="0"/>
                <w:noProof/>
                <w:webHidden/>
              </w:rPr>
              <w:instrText xml:space="preserve"> PAGEREF _Toc227752984 \h </w:instrText>
            </w:r>
            <w:r w:rsidRPr="00B3149D">
              <w:rPr>
                <w:rFonts w:ascii="Arial" w:hAnsi="Arial" w:cs="Arial"/>
                <w:b w:val="0"/>
                <w:bCs w:val="0"/>
                <w:noProof/>
                <w:webHidden/>
              </w:rPr>
            </w:r>
            <w:r w:rsidRPr="00B3149D">
              <w:rPr>
                <w:rFonts w:ascii="Arial" w:hAnsi="Arial" w:cs="Arial"/>
                <w:b w:val="0"/>
                <w:bCs w:val="0"/>
                <w:noProof/>
                <w:webHidden/>
              </w:rPr>
              <w:fldChar w:fldCharType="separate"/>
            </w:r>
            <w:r w:rsidR="00173F4D">
              <w:rPr>
                <w:rFonts w:ascii="Arial" w:hAnsi="Arial" w:cs="Arial"/>
                <w:b w:val="0"/>
                <w:bCs w:val="0"/>
                <w:noProof/>
                <w:webHidden/>
              </w:rPr>
              <w:t>19</w:t>
            </w:r>
            <w:r w:rsidRPr="00B3149D">
              <w:rPr>
                <w:rFonts w:ascii="Arial" w:hAnsi="Arial" w:cs="Arial"/>
                <w:b w:val="0"/>
                <w:bCs w:val="0"/>
                <w:noProof/>
                <w:webHidden/>
              </w:rPr>
              <w:fldChar w:fldCharType="end"/>
            </w:r>
          </w:hyperlink>
        </w:p>
        <w:p w14:paraId="1FC7E21C" w14:textId="69A4CFF9"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85" w:history="1">
            <w:r w:rsidR="00486A83" w:rsidRPr="00B3149D">
              <w:rPr>
                <w:rStyle w:val="Hyperlink"/>
                <w:rFonts w:ascii="Arial" w:hAnsi="Arial" w:cs="Arial"/>
                <w:b w:val="0"/>
                <w:bCs w:val="0"/>
                <w:noProof/>
              </w:rPr>
              <w:t>2.3.3. Theme 3: Forecasting Methods and Model Comparisons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_Toc227752985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20</w:t>
            </w:r>
            <w:r w:rsidR="00486A83" w:rsidRPr="00B3149D">
              <w:rPr>
                <w:rFonts w:ascii="Arial" w:hAnsi="Arial" w:cs="Arial"/>
                <w:b w:val="0"/>
                <w:bCs w:val="0"/>
                <w:noProof/>
                <w:webHidden/>
              </w:rPr>
              <w:fldChar w:fldCharType="end"/>
            </w:r>
          </w:hyperlink>
        </w:p>
        <w:p w14:paraId="523A0F15" w14:textId="070E4438"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86" w:history="1">
            <w:r w:rsidR="00486A83" w:rsidRPr="00B3149D">
              <w:rPr>
                <w:rStyle w:val="Hyperlink"/>
                <w:rFonts w:ascii="Arial" w:hAnsi="Arial" w:cs="Arial"/>
                <w:b w:val="0"/>
                <w:bCs w:val="0"/>
                <w:noProof/>
              </w:rPr>
              <w:t>2.3.4. Theme 4: Human Judgment, Biases, and AI Adoption</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_Toc227752986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21</w:t>
            </w:r>
            <w:r w:rsidR="00486A83" w:rsidRPr="00B3149D">
              <w:rPr>
                <w:rFonts w:ascii="Arial" w:hAnsi="Arial" w:cs="Arial"/>
                <w:b w:val="0"/>
                <w:bCs w:val="0"/>
                <w:noProof/>
                <w:webHidden/>
              </w:rPr>
              <w:fldChar w:fldCharType="end"/>
            </w:r>
          </w:hyperlink>
        </w:p>
        <w:p w14:paraId="18617A57" w14:textId="1C3E0B49"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87" w:history="1">
            <w:r w:rsidR="00486A83" w:rsidRPr="00B3149D">
              <w:rPr>
                <w:rStyle w:val="Hyperlink"/>
                <w:rFonts w:ascii="Arial" w:hAnsi="Arial" w:cs="Arial"/>
                <w:b w:val="0"/>
                <w:bCs w:val="0"/>
                <w:noProof/>
              </w:rPr>
              <w:t>2.3.5. Theme 5: Emerging Trends, Governance, and Mixed Methods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_Toc227752987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23</w:t>
            </w:r>
            <w:r w:rsidR="00486A83" w:rsidRPr="00B3149D">
              <w:rPr>
                <w:rFonts w:ascii="Arial" w:hAnsi="Arial" w:cs="Arial"/>
                <w:b w:val="0"/>
                <w:bCs w:val="0"/>
                <w:noProof/>
                <w:webHidden/>
              </w:rPr>
              <w:fldChar w:fldCharType="end"/>
            </w:r>
          </w:hyperlink>
        </w:p>
        <w:p w14:paraId="6E9F09AF" w14:textId="74116E15"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88" w:history="1">
            <w:r w:rsidR="00486A83" w:rsidRPr="00B3149D">
              <w:rPr>
                <w:rStyle w:val="Hyperlink"/>
                <w:rFonts w:ascii="Arial" w:hAnsi="Arial" w:cs="Arial"/>
                <w:b w:val="0"/>
                <w:bCs w:val="0"/>
                <w:noProof/>
              </w:rPr>
              <w:t>2.5. Gap Matrix</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_Toc227752988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24</w:t>
            </w:r>
            <w:r w:rsidR="00486A83" w:rsidRPr="00B3149D">
              <w:rPr>
                <w:rFonts w:ascii="Arial" w:hAnsi="Arial" w:cs="Arial"/>
                <w:b w:val="0"/>
                <w:bCs w:val="0"/>
                <w:noProof/>
                <w:webHidden/>
              </w:rPr>
              <w:fldChar w:fldCharType="end"/>
            </w:r>
          </w:hyperlink>
        </w:p>
        <w:p w14:paraId="6643739C" w14:textId="5B3D46DA"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89" w:history="1">
            <w:r w:rsidR="00486A83" w:rsidRPr="00B3149D">
              <w:rPr>
                <w:rStyle w:val="Hyperlink"/>
                <w:rFonts w:ascii="Arial" w:hAnsi="Arial" w:cs="Arial"/>
                <w:b w:val="0"/>
                <w:bCs w:val="0"/>
                <w:noProof/>
                <w:lang w:eastAsia="en-GB"/>
              </w:rPr>
              <w:t>2.6. Reference (Part 2)</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_Toc227752989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26</w:t>
            </w:r>
            <w:r w:rsidR="00486A83" w:rsidRPr="00B3149D">
              <w:rPr>
                <w:rFonts w:ascii="Arial" w:hAnsi="Arial" w:cs="Arial"/>
                <w:b w:val="0"/>
                <w:bCs w:val="0"/>
                <w:noProof/>
                <w:webHidden/>
              </w:rPr>
              <w:fldChar w:fldCharType="end"/>
            </w:r>
          </w:hyperlink>
        </w:p>
        <w:p w14:paraId="44B71D62" w14:textId="483E714A"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90" w:history="1">
            <w:r w:rsidR="00486A83" w:rsidRPr="00B3149D">
              <w:rPr>
                <w:rStyle w:val="Hyperlink"/>
                <w:rFonts w:ascii="Arial" w:hAnsi="Arial" w:cs="Arial"/>
                <w:b w:val="0"/>
                <w:bCs w:val="0"/>
                <w:noProof/>
              </w:rPr>
              <w:t>Part – 3</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_Toc227752990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28</w:t>
            </w:r>
            <w:r w:rsidR="00486A83" w:rsidRPr="00B3149D">
              <w:rPr>
                <w:rFonts w:ascii="Arial" w:hAnsi="Arial" w:cs="Arial"/>
                <w:b w:val="0"/>
                <w:bCs w:val="0"/>
                <w:noProof/>
                <w:webHidden/>
              </w:rPr>
              <w:fldChar w:fldCharType="end"/>
            </w:r>
          </w:hyperlink>
        </w:p>
        <w:p w14:paraId="3FEF2027" w14:textId="1EB395CD"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91" w:history="1">
            <w:r w:rsidR="00486A83" w:rsidRPr="00B3149D">
              <w:rPr>
                <w:rStyle w:val="Hyperlink"/>
                <w:rFonts w:ascii="Arial" w:hAnsi="Arial" w:cs="Arial"/>
                <w:b w:val="0"/>
                <w:bCs w:val="0"/>
                <w:noProof/>
              </w:rPr>
              <w:t>3.1 Introduction</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_Toc227752991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28</w:t>
            </w:r>
            <w:r w:rsidR="00486A83" w:rsidRPr="00B3149D">
              <w:rPr>
                <w:rFonts w:ascii="Arial" w:hAnsi="Arial" w:cs="Arial"/>
                <w:b w:val="0"/>
                <w:bCs w:val="0"/>
                <w:noProof/>
                <w:webHidden/>
              </w:rPr>
              <w:fldChar w:fldCharType="end"/>
            </w:r>
          </w:hyperlink>
        </w:p>
        <w:p w14:paraId="53B1530E" w14:textId="76277DFE"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92" w:history="1">
            <w:r w:rsidR="00486A83" w:rsidRPr="00B3149D">
              <w:rPr>
                <w:rStyle w:val="Hyperlink"/>
                <w:rFonts w:ascii="Arial" w:hAnsi="Arial" w:cs="Arial"/>
                <w:b w:val="0"/>
                <w:bCs w:val="0"/>
                <w:noProof/>
              </w:rPr>
              <w:t>3.2 Conceptual Framing</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_Toc227752992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28</w:t>
            </w:r>
            <w:r w:rsidR="00486A83" w:rsidRPr="00B3149D">
              <w:rPr>
                <w:rFonts w:ascii="Arial" w:hAnsi="Arial" w:cs="Arial"/>
                <w:b w:val="0"/>
                <w:bCs w:val="0"/>
                <w:noProof/>
                <w:webHidden/>
              </w:rPr>
              <w:fldChar w:fldCharType="end"/>
            </w:r>
          </w:hyperlink>
        </w:p>
        <w:p w14:paraId="54CC2696" w14:textId="00321F2B"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93" w:history="1">
            <w:r w:rsidR="00486A83" w:rsidRPr="00B3149D">
              <w:rPr>
                <w:rStyle w:val="Hyperlink"/>
                <w:rFonts w:ascii="Arial" w:hAnsi="Arial" w:cs="Arial"/>
                <w:b w:val="0"/>
                <w:bCs w:val="0"/>
                <w:noProof/>
              </w:rPr>
              <w:t>3.3 Thematic Literature Review</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_Toc227752993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29</w:t>
            </w:r>
            <w:r w:rsidR="00486A83" w:rsidRPr="00B3149D">
              <w:rPr>
                <w:rFonts w:ascii="Arial" w:hAnsi="Arial" w:cs="Arial"/>
                <w:b w:val="0"/>
                <w:bCs w:val="0"/>
                <w:noProof/>
                <w:webHidden/>
              </w:rPr>
              <w:fldChar w:fldCharType="end"/>
            </w:r>
          </w:hyperlink>
        </w:p>
        <w:p w14:paraId="36F134EA" w14:textId="480F6C6D" w:rsidR="00486A83" w:rsidRPr="00B3149D" w:rsidRDefault="00853AF8">
          <w:pPr>
            <w:pStyle w:val="TOC3"/>
            <w:tabs>
              <w:tab w:val="right" w:leader="dot" w:pos="9016"/>
            </w:tabs>
            <w:rPr>
              <w:rFonts w:ascii="Arial" w:eastAsiaTheme="minorEastAsia" w:hAnsi="Arial" w:cs="Arial"/>
              <w:noProof/>
              <w:sz w:val="24"/>
              <w:szCs w:val="24"/>
              <w:lang w:eastAsia="en-GB"/>
            </w:rPr>
          </w:pPr>
          <w:hyperlink w:anchor="_Toc227752994" w:history="1">
            <w:r w:rsidR="00486A83" w:rsidRPr="00B3149D">
              <w:rPr>
                <w:rStyle w:val="Hyperlink"/>
                <w:rFonts w:ascii="Arial" w:hAnsi="Arial" w:cs="Arial"/>
                <w:noProof/>
              </w:rPr>
              <w:t>3.3.1 Conceptual Foundations</w:t>
            </w:r>
            <w:r w:rsidR="00486A83" w:rsidRPr="00B3149D">
              <w:rPr>
                <w:rFonts w:ascii="Arial" w:hAnsi="Arial" w:cs="Arial"/>
                <w:noProof/>
                <w:webHidden/>
              </w:rPr>
              <w:tab/>
            </w:r>
            <w:r w:rsidR="00486A83" w:rsidRPr="00B3149D">
              <w:rPr>
                <w:rFonts w:ascii="Arial" w:hAnsi="Arial" w:cs="Arial"/>
                <w:noProof/>
                <w:webHidden/>
              </w:rPr>
              <w:fldChar w:fldCharType="begin"/>
            </w:r>
            <w:r w:rsidR="00486A83" w:rsidRPr="00B3149D">
              <w:rPr>
                <w:rFonts w:ascii="Arial" w:hAnsi="Arial" w:cs="Arial"/>
                <w:noProof/>
                <w:webHidden/>
              </w:rPr>
              <w:instrText xml:space="preserve"> PAGEREF _Toc227752994 \h </w:instrText>
            </w:r>
            <w:r w:rsidR="00486A83" w:rsidRPr="00B3149D">
              <w:rPr>
                <w:rFonts w:ascii="Arial" w:hAnsi="Arial" w:cs="Arial"/>
                <w:noProof/>
                <w:webHidden/>
              </w:rPr>
            </w:r>
            <w:r w:rsidR="00486A83" w:rsidRPr="00B3149D">
              <w:rPr>
                <w:rFonts w:ascii="Arial" w:hAnsi="Arial" w:cs="Arial"/>
                <w:noProof/>
                <w:webHidden/>
              </w:rPr>
              <w:fldChar w:fldCharType="separate"/>
            </w:r>
            <w:r w:rsidR="00173F4D">
              <w:rPr>
                <w:rFonts w:ascii="Arial" w:hAnsi="Arial" w:cs="Arial"/>
                <w:noProof/>
                <w:webHidden/>
              </w:rPr>
              <w:t>29</w:t>
            </w:r>
            <w:r w:rsidR="00486A83" w:rsidRPr="00B3149D">
              <w:rPr>
                <w:rFonts w:ascii="Arial" w:hAnsi="Arial" w:cs="Arial"/>
                <w:noProof/>
                <w:webHidden/>
              </w:rPr>
              <w:fldChar w:fldCharType="end"/>
            </w:r>
          </w:hyperlink>
        </w:p>
        <w:p w14:paraId="5E87C87A" w14:textId="36BD5C6D"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95" w:history="1">
            <w:r w:rsidR="00486A83" w:rsidRPr="00B3149D">
              <w:rPr>
                <w:rStyle w:val="Hyperlink"/>
                <w:rFonts w:ascii="Arial" w:hAnsi="Arial" w:cs="Arial"/>
                <w:b w:val="0"/>
                <w:bCs w:val="0"/>
                <w:noProof/>
              </w:rPr>
              <w:t>3.3.2 Empirical Evidence</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_Toc227752995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29</w:t>
            </w:r>
            <w:r w:rsidR="00486A83" w:rsidRPr="00B3149D">
              <w:rPr>
                <w:rFonts w:ascii="Arial" w:hAnsi="Arial" w:cs="Arial"/>
                <w:b w:val="0"/>
                <w:bCs w:val="0"/>
                <w:noProof/>
                <w:webHidden/>
              </w:rPr>
              <w:fldChar w:fldCharType="end"/>
            </w:r>
          </w:hyperlink>
        </w:p>
        <w:p w14:paraId="1A22D780" w14:textId="391C39D1"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96" w:history="1">
            <w:r w:rsidR="00486A83" w:rsidRPr="00B3149D">
              <w:rPr>
                <w:rStyle w:val="Hyperlink"/>
                <w:rFonts w:ascii="Arial" w:hAnsi="Arial" w:cs="Arial"/>
                <w:b w:val="0"/>
                <w:bCs w:val="0"/>
                <w:noProof/>
              </w:rPr>
              <w:t>3.3.3  Contradictions and Critical Perspectives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_Toc227752996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30</w:t>
            </w:r>
            <w:r w:rsidR="00486A83" w:rsidRPr="00B3149D">
              <w:rPr>
                <w:rFonts w:ascii="Arial" w:hAnsi="Arial" w:cs="Arial"/>
                <w:b w:val="0"/>
                <w:bCs w:val="0"/>
                <w:noProof/>
                <w:webHidden/>
              </w:rPr>
              <w:fldChar w:fldCharType="end"/>
            </w:r>
          </w:hyperlink>
        </w:p>
        <w:p w14:paraId="45B2018C" w14:textId="46B68FB7" w:rsidR="00486A83" w:rsidRPr="00B3149D" w:rsidRDefault="00853AF8">
          <w:pPr>
            <w:pStyle w:val="TOC2"/>
            <w:tabs>
              <w:tab w:val="right" w:leader="dot" w:pos="9016"/>
            </w:tabs>
            <w:rPr>
              <w:rFonts w:ascii="Arial" w:eastAsiaTheme="minorEastAsia" w:hAnsi="Arial" w:cs="Arial"/>
              <w:b w:val="0"/>
              <w:bCs w:val="0"/>
              <w:noProof/>
              <w:sz w:val="24"/>
              <w:szCs w:val="24"/>
              <w:lang w:eastAsia="en-GB"/>
            </w:rPr>
          </w:pPr>
          <w:hyperlink w:anchor="_Toc227752997" w:history="1">
            <w:r w:rsidR="00486A83" w:rsidRPr="00B3149D">
              <w:rPr>
                <w:rStyle w:val="Hyperlink"/>
                <w:rFonts w:ascii="Arial" w:hAnsi="Arial" w:cs="Arial"/>
                <w:b w:val="0"/>
                <w:bCs w:val="0"/>
                <w:noProof/>
              </w:rPr>
              <w:t>3.3.4  Contextual Variations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_Toc227752997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31</w:t>
            </w:r>
            <w:r w:rsidR="00486A83" w:rsidRPr="00B3149D">
              <w:rPr>
                <w:rFonts w:ascii="Arial" w:hAnsi="Arial" w:cs="Arial"/>
                <w:b w:val="0"/>
                <w:bCs w:val="0"/>
                <w:noProof/>
                <w:webHidden/>
              </w:rPr>
              <w:fldChar w:fldCharType="end"/>
            </w:r>
          </w:hyperlink>
        </w:p>
        <w:p w14:paraId="58F22C9A" w14:textId="74E4EBFB"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98" w:history="1">
            <w:r w:rsidR="00486A83" w:rsidRPr="00B3149D">
              <w:rPr>
                <w:rStyle w:val="Hyperlink"/>
                <w:rFonts w:ascii="Arial" w:hAnsi="Arial" w:cs="Arial"/>
                <w:b w:val="0"/>
                <w:bCs w:val="0"/>
                <w:noProof/>
              </w:rPr>
              <w:t>3.4 Synthesis of Findings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_Toc227752998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31</w:t>
            </w:r>
            <w:r w:rsidR="00486A83" w:rsidRPr="00B3149D">
              <w:rPr>
                <w:rFonts w:ascii="Arial" w:hAnsi="Arial" w:cs="Arial"/>
                <w:b w:val="0"/>
                <w:bCs w:val="0"/>
                <w:noProof/>
                <w:webHidden/>
              </w:rPr>
              <w:fldChar w:fldCharType="end"/>
            </w:r>
          </w:hyperlink>
        </w:p>
        <w:p w14:paraId="5DA5FA7E" w14:textId="71008CE8"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2999" w:history="1">
            <w:r w:rsidR="00486A83" w:rsidRPr="00B3149D">
              <w:rPr>
                <w:rStyle w:val="Hyperlink"/>
                <w:rFonts w:ascii="Arial" w:hAnsi="Arial" w:cs="Arial"/>
                <w:b w:val="0"/>
                <w:bCs w:val="0"/>
                <w:noProof/>
              </w:rPr>
              <w:t>3.5 Conceptual Framework</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_Toc227752999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33</w:t>
            </w:r>
            <w:r w:rsidR="00486A83" w:rsidRPr="00B3149D">
              <w:rPr>
                <w:rFonts w:ascii="Arial" w:hAnsi="Arial" w:cs="Arial"/>
                <w:b w:val="0"/>
                <w:bCs w:val="0"/>
                <w:noProof/>
                <w:webHidden/>
              </w:rPr>
              <w:fldChar w:fldCharType="end"/>
            </w:r>
          </w:hyperlink>
        </w:p>
        <w:p w14:paraId="438798DA" w14:textId="1EDB4243"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0" w:history="1">
            <w:r w:rsidR="00486A83" w:rsidRPr="00B3149D">
              <w:rPr>
                <w:rStyle w:val="Hyperlink"/>
                <w:rFonts w:ascii="Arial" w:hAnsi="Arial" w:cs="Arial"/>
                <w:b w:val="0"/>
                <w:bCs w:val="0"/>
                <w:noProof/>
              </w:rPr>
              <w:t>3.6 Research Gaps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_Toc227753000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33</w:t>
            </w:r>
            <w:r w:rsidR="00486A83" w:rsidRPr="00B3149D">
              <w:rPr>
                <w:rFonts w:ascii="Arial" w:hAnsi="Arial" w:cs="Arial"/>
                <w:b w:val="0"/>
                <w:bCs w:val="0"/>
                <w:noProof/>
                <w:webHidden/>
              </w:rPr>
              <w:fldChar w:fldCharType="end"/>
            </w:r>
          </w:hyperlink>
        </w:p>
        <w:p w14:paraId="43FFBE4F" w14:textId="236880BA"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1" w:history="1">
            <w:r w:rsidR="00486A83" w:rsidRPr="00B3149D">
              <w:rPr>
                <w:rStyle w:val="Hyperlink"/>
                <w:rFonts w:ascii="Arial" w:hAnsi="Arial" w:cs="Arial"/>
                <w:b w:val="0"/>
                <w:bCs w:val="0"/>
                <w:noProof/>
              </w:rPr>
              <w:t>3.7 Draft Research Questions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_Toc227753001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34</w:t>
            </w:r>
            <w:r w:rsidR="00486A83" w:rsidRPr="00B3149D">
              <w:rPr>
                <w:rFonts w:ascii="Arial" w:hAnsi="Arial" w:cs="Arial"/>
                <w:b w:val="0"/>
                <w:bCs w:val="0"/>
                <w:noProof/>
                <w:webHidden/>
              </w:rPr>
              <w:fldChar w:fldCharType="end"/>
            </w:r>
          </w:hyperlink>
        </w:p>
        <w:p w14:paraId="4534B1BE" w14:textId="59A3E317"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2" w:history="1">
            <w:r w:rsidR="00486A83" w:rsidRPr="00B3149D">
              <w:rPr>
                <w:rStyle w:val="Hyperlink"/>
                <w:rFonts w:ascii="Arial" w:hAnsi="Arial" w:cs="Arial"/>
                <w:b w:val="0"/>
                <w:bCs w:val="0"/>
                <w:noProof/>
              </w:rPr>
              <w:t>3.8 Theoretical Contribution</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_Toc227753002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35</w:t>
            </w:r>
            <w:r w:rsidR="00486A83" w:rsidRPr="00B3149D">
              <w:rPr>
                <w:rFonts w:ascii="Arial" w:hAnsi="Arial" w:cs="Arial"/>
                <w:b w:val="0"/>
                <w:bCs w:val="0"/>
                <w:noProof/>
                <w:webHidden/>
              </w:rPr>
              <w:fldChar w:fldCharType="end"/>
            </w:r>
          </w:hyperlink>
        </w:p>
        <w:p w14:paraId="1193A616" w14:textId="249FFA78"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3" w:history="1">
            <w:r w:rsidR="00486A83" w:rsidRPr="00B3149D">
              <w:rPr>
                <w:rStyle w:val="Hyperlink"/>
                <w:rFonts w:ascii="Arial" w:hAnsi="Arial" w:cs="Arial"/>
                <w:b w:val="0"/>
                <w:bCs w:val="0"/>
                <w:noProof/>
              </w:rPr>
              <w:t>3.9 Managerial Implications</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_Toc227753003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35</w:t>
            </w:r>
            <w:r w:rsidR="00486A83" w:rsidRPr="00B3149D">
              <w:rPr>
                <w:rFonts w:ascii="Arial" w:hAnsi="Arial" w:cs="Arial"/>
                <w:b w:val="0"/>
                <w:bCs w:val="0"/>
                <w:noProof/>
                <w:webHidden/>
              </w:rPr>
              <w:fldChar w:fldCharType="end"/>
            </w:r>
          </w:hyperlink>
        </w:p>
        <w:p w14:paraId="68574839" w14:textId="7CDF0E8E"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4" w:history="1">
            <w:r w:rsidR="00486A83" w:rsidRPr="00B3149D">
              <w:rPr>
                <w:rStyle w:val="Hyperlink"/>
                <w:rFonts w:ascii="Arial" w:hAnsi="Arial" w:cs="Arial"/>
                <w:b w:val="0"/>
                <w:bCs w:val="0"/>
                <w:noProof/>
              </w:rPr>
              <w:t>3.10 Conclusion</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_Toc227753004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36</w:t>
            </w:r>
            <w:r w:rsidR="00486A83" w:rsidRPr="00B3149D">
              <w:rPr>
                <w:rFonts w:ascii="Arial" w:hAnsi="Arial" w:cs="Arial"/>
                <w:b w:val="0"/>
                <w:bCs w:val="0"/>
                <w:noProof/>
                <w:webHidden/>
              </w:rPr>
              <w:fldChar w:fldCharType="end"/>
            </w:r>
          </w:hyperlink>
        </w:p>
        <w:p w14:paraId="777A8F51" w14:textId="4B75B008"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5" w:history="1">
            <w:r w:rsidR="00486A83" w:rsidRPr="00B3149D">
              <w:rPr>
                <w:rStyle w:val="Hyperlink"/>
                <w:rFonts w:ascii="Arial" w:hAnsi="Arial" w:cs="Arial"/>
                <w:b w:val="0"/>
                <w:bCs w:val="0"/>
                <w:noProof/>
              </w:rPr>
              <w:t>3.11 References ( Part 3 )</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_Toc227753005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36</w:t>
            </w:r>
            <w:r w:rsidR="00486A83" w:rsidRPr="00B3149D">
              <w:rPr>
                <w:rFonts w:ascii="Arial" w:hAnsi="Arial" w:cs="Arial"/>
                <w:b w:val="0"/>
                <w:bCs w:val="0"/>
                <w:noProof/>
                <w:webHidden/>
              </w:rPr>
              <w:fldChar w:fldCharType="end"/>
            </w:r>
          </w:hyperlink>
        </w:p>
        <w:p w14:paraId="33D903BF" w14:textId="4320613F" w:rsidR="00486A83" w:rsidRPr="00B3149D" w:rsidRDefault="00853AF8">
          <w:pPr>
            <w:pStyle w:val="TOC1"/>
            <w:tabs>
              <w:tab w:val="right" w:leader="dot" w:pos="9016"/>
            </w:tabs>
            <w:rPr>
              <w:rFonts w:ascii="Arial" w:eastAsiaTheme="minorEastAsia" w:hAnsi="Arial" w:cs="Arial"/>
              <w:b w:val="0"/>
              <w:bCs w:val="0"/>
              <w:i w:val="0"/>
              <w:iCs w:val="0"/>
              <w:noProof/>
              <w:lang w:eastAsia="en-GB"/>
            </w:rPr>
          </w:pPr>
          <w:hyperlink w:anchor="_Toc227753006" w:history="1">
            <w:r w:rsidR="00486A83" w:rsidRPr="00B3149D">
              <w:rPr>
                <w:rStyle w:val="Hyperlink"/>
                <w:rFonts w:ascii="Arial" w:hAnsi="Arial" w:cs="Arial"/>
                <w:b w:val="0"/>
                <w:bCs w:val="0"/>
                <w:noProof/>
              </w:rPr>
              <w:t>Appendix</w:t>
            </w:r>
            <w:r w:rsidR="00486A83" w:rsidRPr="00B3149D">
              <w:rPr>
                <w:rFonts w:ascii="Arial" w:hAnsi="Arial" w:cs="Arial"/>
                <w:b w:val="0"/>
                <w:bCs w:val="0"/>
                <w:noProof/>
                <w:webHidden/>
              </w:rPr>
              <w:tab/>
            </w:r>
            <w:r w:rsidR="00486A83" w:rsidRPr="00B3149D">
              <w:rPr>
                <w:rFonts w:ascii="Arial" w:hAnsi="Arial" w:cs="Arial"/>
                <w:b w:val="0"/>
                <w:bCs w:val="0"/>
                <w:noProof/>
                <w:webHidden/>
              </w:rPr>
              <w:fldChar w:fldCharType="begin"/>
            </w:r>
            <w:r w:rsidR="00486A83" w:rsidRPr="00B3149D">
              <w:rPr>
                <w:rFonts w:ascii="Arial" w:hAnsi="Arial" w:cs="Arial"/>
                <w:b w:val="0"/>
                <w:bCs w:val="0"/>
                <w:noProof/>
                <w:webHidden/>
              </w:rPr>
              <w:instrText xml:space="preserve"> PAGEREF _Toc227753006 \h </w:instrText>
            </w:r>
            <w:r w:rsidR="00486A83" w:rsidRPr="00B3149D">
              <w:rPr>
                <w:rFonts w:ascii="Arial" w:hAnsi="Arial" w:cs="Arial"/>
                <w:b w:val="0"/>
                <w:bCs w:val="0"/>
                <w:noProof/>
                <w:webHidden/>
              </w:rPr>
            </w:r>
            <w:r w:rsidR="00486A83" w:rsidRPr="00B3149D">
              <w:rPr>
                <w:rFonts w:ascii="Arial" w:hAnsi="Arial" w:cs="Arial"/>
                <w:b w:val="0"/>
                <w:bCs w:val="0"/>
                <w:noProof/>
                <w:webHidden/>
              </w:rPr>
              <w:fldChar w:fldCharType="separate"/>
            </w:r>
            <w:r w:rsidR="00173F4D">
              <w:rPr>
                <w:rFonts w:ascii="Arial" w:hAnsi="Arial" w:cs="Arial"/>
                <w:b w:val="0"/>
                <w:bCs w:val="0"/>
                <w:noProof/>
                <w:webHidden/>
              </w:rPr>
              <w:t>39</w:t>
            </w:r>
            <w:r w:rsidR="00486A83" w:rsidRPr="00B3149D">
              <w:rPr>
                <w:rFonts w:ascii="Arial" w:hAnsi="Arial" w:cs="Arial"/>
                <w:b w:val="0"/>
                <w:bCs w:val="0"/>
                <w:noProof/>
                <w:webHidden/>
              </w:rPr>
              <w:fldChar w:fldCharType="end"/>
            </w:r>
          </w:hyperlink>
        </w:p>
        <w:p w14:paraId="45B63CED" w14:textId="77777777" w:rsidR="00486A83" w:rsidRPr="00B3149D" w:rsidRDefault="0013791E">
          <w:pPr>
            <w:rPr>
              <w:rFonts w:ascii="Arial" w:hAnsi="Arial" w:cs="Arial"/>
              <w:noProof/>
            </w:rPr>
          </w:pPr>
          <w:r w:rsidRPr="00B3149D">
            <w:rPr>
              <w:rFonts w:ascii="Arial" w:hAnsi="Arial" w:cs="Arial"/>
              <w:noProof/>
            </w:rPr>
            <w:fldChar w:fldCharType="end"/>
          </w:r>
        </w:p>
        <w:p w14:paraId="32A43CDD" w14:textId="77777777" w:rsidR="00486A83" w:rsidRPr="00B3149D" w:rsidRDefault="00486A83">
          <w:pPr>
            <w:rPr>
              <w:rFonts w:ascii="Arial" w:hAnsi="Arial" w:cs="Arial"/>
              <w:noProof/>
            </w:rPr>
          </w:pPr>
        </w:p>
        <w:p w14:paraId="7D7F277C" w14:textId="72CBEE7D" w:rsidR="0013791E" w:rsidRPr="00B3149D" w:rsidRDefault="00853AF8">
          <w:pPr>
            <w:rPr>
              <w:rFonts w:ascii="Arial" w:hAnsi="Arial" w:cs="Arial"/>
            </w:rPr>
          </w:pPr>
        </w:p>
      </w:sdtContent>
    </w:sdt>
    <w:p w14:paraId="6D16333B" w14:textId="77777777" w:rsidR="00486A83" w:rsidRPr="00B3149D" w:rsidRDefault="00486A83">
      <w:pPr>
        <w:pStyle w:val="TableofFigures"/>
        <w:tabs>
          <w:tab w:val="right" w:leader="dot" w:pos="9016"/>
        </w:tabs>
        <w:rPr>
          <w:rFonts w:ascii="Arial" w:hAnsi="Arial" w:cs="Arial"/>
        </w:rPr>
      </w:pPr>
    </w:p>
    <w:p w14:paraId="434AB09F" w14:textId="0FB8E405" w:rsidR="00486A83" w:rsidRPr="00B3149D" w:rsidRDefault="00486A83">
      <w:pPr>
        <w:pStyle w:val="TableofFigures"/>
        <w:tabs>
          <w:tab w:val="right" w:leader="dot" w:pos="9016"/>
        </w:tabs>
        <w:rPr>
          <w:rFonts w:ascii="Arial" w:hAnsi="Arial" w:cs="Arial"/>
          <w:b/>
          <w:bCs/>
        </w:rPr>
      </w:pPr>
      <w:r w:rsidRPr="00B3149D">
        <w:rPr>
          <w:rFonts w:ascii="Arial" w:hAnsi="Arial" w:cs="Arial"/>
          <w:b/>
          <w:bCs/>
        </w:rPr>
        <w:t>List of Tables</w:t>
      </w:r>
    </w:p>
    <w:p w14:paraId="54AAA1EE" w14:textId="07B84564" w:rsidR="00486A83" w:rsidRPr="00B3149D" w:rsidRDefault="00486A83">
      <w:pPr>
        <w:pStyle w:val="TableofFigures"/>
        <w:tabs>
          <w:tab w:val="right" w:leader="dot" w:pos="9016"/>
        </w:tabs>
        <w:rPr>
          <w:rFonts w:ascii="Arial" w:hAnsi="Arial" w:cs="Arial"/>
          <w:noProof/>
        </w:rPr>
      </w:pPr>
      <w:r w:rsidRPr="00B3149D">
        <w:rPr>
          <w:rFonts w:ascii="Arial" w:hAnsi="Arial" w:cs="Arial"/>
        </w:rPr>
        <w:fldChar w:fldCharType="begin"/>
      </w:r>
      <w:r w:rsidRPr="00B3149D">
        <w:rPr>
          <w:rFonts w:ascii="Arial" w:hAnsi="Arial" w:cs="Arial"/>
        </w:rPr>
        <w:instrText xml:space="preserve"> TOC \h \z \c "Table" </w:instrText>
      </w:r>
      <w:r w:rsidRPr="00B3149D">
        <w:rPr>
          <w:rFonts w:ascii="Arial" w:hAnsi="Arial" w:cs="Arial"/>
        </w:rPr>
        <w:fldChar w:fldCharType="separate"/>
      </w:r>
      <w:hyperlink w:anchor="_Toc227753007" w:history="1">
        <w:r w:rsidRPr="00B3149D">
          <w:rPr>
            <w:rStyle w:val="Hyperlink"/>
            <w:rFonts w:ascii="Arial" w:hAnsi="Arial" w:cs="Arial"/>
            <w:noProof/>
          </w:rPr>
          <w:t>Table 1</w:t>
        </w:r>
        <w:r w:rsidRPr="00B3149D">
          <w:rPr>
            <w:rFonts w:ascii="Arial" w:hAnsi="Arial" w:cs="Arial"/>
            <w:noProof/>
            <w:webHidden/>
          </w:rPr>
          <w:tab/>
        </w:r>
        <w:r w:rsidRPr="00B3149D">
          <w:rPr>
            <w:rFonts w:ascii="Arial" w:hAnsi="Arial" w:cs="Arial"/>
            <w:noProof/>
            <w:webHidden/>
          </w:rPr>
          <w:fldChar w:fldCharType="begin"/>
        </w:r>
        <w:r w:rsidRPr="00B3149D">
          <w:rPr>
            <w:rFonts w:ascii="Arial" w:hAnsi="Arial" w:cs="Arial"/>
            <w:noProof/>
            <w:webHidden/>
          </w:rPr>
          <w:instrText xml:space="preserve"> PAGEREF _Toc227753007 \h </w:instrText>
        </w:r>
        <w:r w:rsidRPr="00B3149D">
          <w:rPr>
            <w:rFonts w:ascii="Arial" w:hAnsi="Arial" w:cs="Arial"/>
            <w:noProof/>
            <w:webHidden/>
          </w:rPr>
        </w:r>
        <w:r w:rsidRPr="00B3149D">
          <w:rPr>
            <w:rFonts w:ascii="Arial" w:hAnsi="Arial" w:cs="Arial"/>
            <w:noProof/>
            <w:webHidden/>
          </w:rPr>
          <w:fldChar w:fldCharType="separate"/>
        </w:r>
        <w:r w:rsidRPr="00B3149D">
          <w:rPr>
            <w:rFonts w:ascii="Arial" w:hAnsi="Arial" w:cs="Arial"/>
            <w:noProof/>
            <w:webHidden/>
          </w:rPr>
          <w:t>6</w:t>
        </w:r>
        <w:r w:rsidRPr="00B3149D">
          <w:rPr>
            <w:rFonts w:ascii="Arial" w:hAnsi="Arial" w:cs="Arial"/>
            <w:noProof/>
            <w:webHidden/>
          </w:rPr>
          <w:fldChar w:fldCharType="end"/>
        </w:r>
      </w:hyperlink>
    </w:p>
    <w:p w14:paraId="3112FD7B" w14:textId="496E3080" w:rsidR="00486A83" w:rsidRPr="00B3149D" w:rsidRDefault="00853AF8">
      <w:pPr>
        <w:pStyle w:val="TableofFigures"/>
        <w:tabs>
          <w:tab w:val="right" w:leader="dot" w:pos="9016"/>
        </w:tabs>
        <w:rPr>
          <w:rFonts w:ascii="Arial" w:hAnsi="Arial" w:cs="Arial"/>
          <w:noProof/>
        </w:rPr>
      </w:pPr>
      <w:hyperlink w:anchor="_Toc227753008" w:history="1">
        <w:r w:rsidR="00486A83" w:rsidRPr="00B3149D">
          <w:rPr>
            <w:rStyle w:val="Hyperlink"/>
            <w:rFonts w:ascii="Arial" w:hAnsi="Arial" w:cs="Arial"/>
            <w:noProof/>
          </w:rPr>
          <w:t>Table 2</w:t>
        </w:r>
        <w:r w:rsidR="00486A83" w:rsidRPr="00B3149D">
          <w:rPr>
            <w:rFonts w:ascii="Arial" w:hAnsi="Arial" w:cs="Arial"/>
            <w:noProof/>
            <w:webHidden/>
          </w:rPr>
          <w:tab/>
        </w:r>
        <w:r w:rsidR="00486A83" w:rsidRPr="00B3149D">
          <w:rPr>
            <w:rFonts w:ascii="Arial" w:hAnsi="Arial" w:cs="Arial"/>
            <w:noProof/>
            <w:webHidden/>
          </w:rPr>
          <w:fldChar w:fldCharType="begin"/>
        </w:r>
        <w:r w:rsidR="00486A83" w:rsidRPr="00B3149D">
          <w:rPr>
            <w:rFonts w:ascii="Arial" w:hAnsi="Arial" w:cs="Arial"/>
            <w:noProof/>
            <w:webHidden/>
          </w:rPr>
          <w:instrText xml:space="preserve"> PAGEREF _Toc227753008 \h </w:instrText>
        </w:r>
        <w:r w:rsidR="00486A83" w:rsidRPr="00B3149D">
          <w:rPr>
            <w:rFonts w:ascii="Arial" w:hAnsi="Arial" w:cs="Arial"/>
            <w:noProof/>
            <w:webHidden/>
          </w:rPr>
        </w:r>
        <w:r w:rsidR="00486A83" w:rsidRPr="00B3149D">
          <w:rPr>
            <w:rFonts w:ascii="Arial" w:hAnsi="Arial" w:cs="Arial"/>
            <w:noProof/>
            <w:webHidden/>
          </w:rPr>
          <w:fldChar w:fldCharType="separate"/>
        </w:r>
        <w:r w:rsidR="00486A83" w:rsidRPr="00B3149D">
          <w:rPr>
            <w:rFonts w:ascii="Arial" w:hAnsi="Arial" w:cs="Arial"/>
            <w:noProof/>
            <w:webHidden/>
          </w:rPr>
          <w:t>9</w:t>
        </w:r>
        <w:r w:rsidR="00486A83" w:rsidRPr="00B3149D">
          <w:rPr>
            <w:rFonts w:ascii="Arial" w:hAnsi="Arial" w:cs="Arial"/>
            <w:noProof/>
            <w:webHidden/>
          </w:rPr>
          <w:fldChar w:fldCharType="end"/>
        </w:r>
      </w:hyperlink>
    </w:p>
    <w:p w14:paraId="40931F3E" w14:textId="0D788EBB" w:rsidR="00486A83" w:rsidRPr="00B3149D" w:rsidRDefault="00853AF8">
      <w:pPr>
        <w:pStyle w:val="TableofFigures"/>
        <w:tabs>
          <w:tab w:val="right" w:leader="dot" w:pos="9016"/>
        </w:tabs>
        <w:rPr>
          <w:rFonts w:ascii="Arial" w:hAnsi="Arial" w:cs="Arial"/>
          <w:noProof/>
        </w:rPr>
      </w:pPr>
      <w:hyperlink w:anchor="_Toc227753009" w:history="1">
        <w:r w:rsidR="00486A83" w:rsidRPr="00B3149D">
          <w:rPr>
            <w:rStyle w:val="Hyperlink"/>
            <w:rFonts w:ascii="Arial" w:hAnsi="Arial" w:cs="Arial"/>
            <w:noProof/>
          </w:rPr>
          <w:t>Table 3</w:t>
        </w:r>
        <w:r w:rsidR="00486A83" w:rsidRPr="00B3149D">
          <w:rPr>
            <w:rFonts w:ascii="Arial" w:hAnsi="Arial" w:cs="Arial"/>
            <w:noProof/>
            <w:webHidden/>
          </w:rPr>
          <w:tab/>
        </w:r>
        <w:r w:rsidR="00486A83" w:rsidRPr="00B3149D">
          <w:rPr>
            <w:rFonts w:ascii="Arial" w:hAnsi="Arial" w:cs="Arial"/>
            <w:noProof/>
            <w:webHidden/>
          </w:rPr>
          <w:fldChar w:fldCharType="begin"/>
        </w:r>
        <w:r w:rsidR="00486A83" w:rsidRPr="00B3149D">
          <w:rPr>
            <w:rFonts w:ascii="Arial" w:hAnsi="Arial" w:cs="Arial"/>
            <w:noProof/>
            <w:webHidden/>
          </w:rPr>
          <w:instrText xml:space="preserve"> PAGEREF _Toc227753009 \h </w:instrText>
        </w:r>
        <w:r w:rsidR="00486A83" w:rsidRPr="00B3149D">
          <w:rPr>
            <w:rFonts w:ascii="Arial" w:hAnsi="Arial" w:cs="Arial"/>
            <w:noProof/>
            <w:webHidden/>
          </w:rPr>
        </w:r>
        <w:r w:rsidR="00486A83" w:rsidRPr="00B3149D">
          <w:rPr>
            <w:rFonts w:ascii="Arial" w:hAnsi="Arial" w:cs="Arial"/>
            <w:noProof/>
            <w:webHidden/>
          </w:rPr>
          <w:fldChar w:fldCharType="separate"/>
        </w:r>
        <w:r w:rsidR="00486A83" w:rsidRPr="00B3149D">
          <w:rPr>
            <w:rFonts w:ascii="Arial" w:hAnsi="Arial" w:cs="Arial"/>
            <w:noProof/>
            <w:webHidden/>
          </w:rPr>
          <w:t>16</w:t>
        </w:r>
        <w:r w:rsidR="00486A83" w:rsidRPr="00B3149D">
          <w:rPr>
            <w:rFonts w:ascii="Arial" w:hAnsi="Arial" w:cs="Arial"/>
            <w:noProof/>
            <w:webHidden/>
          </w:rPr>
          <w:fldChar w:fldCharType="end"/>
        </w:r>
      </w:hyperlink>
    </w:p>
    <w:p w14:paraId="672252E8" w14:textId="2374BF29" w:rsidR="00486A83" w:rsidRPr="00B3149D" w:rsidRDefault="00853AF8">
      <w:pPr>
        <w:pStyle w:val="TableofFigures"/>
        <w:tabs>
          <w:tab w:val="right" w:leader="dot" w:pos="9016"/>
        </w:tabs>
        <w:rPr>
          <w:rFonts w:ascii="Arial" w:hAnsi="Arial" w:cs="Arial"/>
          <w:noProof/>
        </w:rPr>
      </w:pPr>
      <w:hyperlink w:anchor="_Toc227753010" w:history="1">
        <w:r w:rsidR="00486A83" w:rsidRPr="00B3149D">
          <w:rPr>
            <w:rStyle w:val="Hyperlink"/>
            <w:rFonts w:ascii="Arial" w:hAnsi="Arial" w:cs="Arial"/>
            <w:noProof/>
          </w:rPr>
          <w:t>Table 4</w:t>
        </w:r>
        <w:r w:rsidR="00486A83" w:rsidRPr="00B3149D">
          <w:rPr>
            <w:rFonts w:ascii="Arial" w:hAnsi="Arial" w:cs="Arial"/>
            <w:noProof/>
            <w:webHidden/>
          </w:rPr>
          <w:tab/>
        </w:r>
        <w:r w:rsidR="00486A83" w:rsidRPr="00B3149D">
          <w:rPr>
            <w:rFonts w:ascii="Arial" w:hAnsi="Arial" w:cs="Arial"/>
            <w:noProof/>
            <w:webHidden/>
          </w:rPr>
          <w:fldChar w:fldCharType="begin"/>
        </w:r>
        <w:r w:rsidR="00486A83" w:rsidRPr="00B3149D">
          <w:rPr>
            <w:rFonts w:ascii="Arial" w:hAnsi="Arial" w:cs="Arial"/>
            <w:noProof/>
            <w:webHidden/>
          </w:rPr>
          <w:instrText xml:space="preserve"> PAGEREF _Toc227753010 \h </w:instrText>
        </w:r>
        <w:r w:rsidR="00486A83" w:rsidRPr="00B3149D">
          <w:rPr>
            <w:rFonts w:ascii="Arial" w:hAnsi="Arial" w:cs="Arial"/>
            <w:noProof/>
            <w:webHidden/>
          </w:rPr>
        </w:r>
        <w:r w:rsidR="00486A83" w:rsidRPr="00B3149D">
          <w:rPr>
            <w:rFonts w:ascii="Arial" w:hAnsi="Arial" w:cs="Arial"/>
            <w:noProof/>
            <w:webHidden/>
          </w:rPr>
          <w:fldChar w:fldCharType="separate"/>
        </w:r>
        <w:r w:rsidR="00486A83" w:rsidRPr="00B3149D">
          <w:rPr>
            <w:rFonts w:ascii="Arial" w:hAnsi="Arial" w:cs="Arial"/>
            <w:noProof/>
            <w:webHidden/>
          </w:rPr>
          <w:t>25</w:t>
        </w:r>
        <w:r w:rsidR="00486A83" w:rsidRPr="00B3149D">
          <w:rPr>
            <w:rFonts w:ascii="Arial" w:hAnsi="Arial" w:cs="Arial"/>
            <w:noProof/>
            <w:webHidden/>
          </w:rPr>
          <w:fldChar w:fldCharType="end"/>
        </w:r>
      </w:hyperlink>
    </w:p>
    <w:p w14:paraId="627A9AB1" w14:textId="77777777" w:rsidR="00486A83" w:rsidRPr="00B3149D" w:rsidRDefault="00486A83" w:rsidP="0013791E">
      <w:pPr>
        <w:jc w:val="both"/>
        <w:rPr>
          <w:rFonts w:ascii="Arial" w:hAnsi="Arial" w:cs="Arial"/>
        </w:rPr>
      </w:pPr>
      <w:r w:rsidRPr="00B3149D">
        <w:rPr>
          <w:rFonts w:ascii="Arial" w:hAnsi="Arial" w:cs="Arial"/>
        </w:rPr>
        <w:fldChar w:fldCharType="end"/>
      </w:r>
    </w:p>
    <w:p w14:paraId="103856DA" w14:textId="77777777" w:rsidR="00486A83" w:rsidRPr="00B3149D" w:rsidRDefault="00486A83" w:rsidP="0013791E">
      <w:pPr>
        <w:jc w:val="both"/>
        <w:rPr>
          <w:rFonts w:ascii="Arial" w:hAnsi="Arial" w:cs="Arial"/>
        </w:rPr>
      </w:pPr>
    </w:p>
    <w:p w14:paraId="355D7800" w14:textId="77777777" w:rsidR="00486A83" w:rsidRPr="00B3149D" w:rsidRDefault="00486A83" w:rsidP="0013791E">
      <w:pPr>
        <w:jc w:val="both"/>
        <w:rPr>
          <w:rFonts w:ascii="Arial" w:hAnsi="Arial" w:cs="Arial"/>
        </w:rPr>
      </w:pPr>
    </w:p>
    <w:p w14:paraId="4438C54A" w14:textId="77777777" w:rsidR="00AB109D" w:rsidRPr="00B3149D" w:rsidRDefault="00486A83" w:rsidP="00AB109D">
      <w:pPr>
        <w:rPr>
          <w:rFonts w:ascii="Arial" w:hAnsi="Arial" w:cs="Arial"/>
          <w:b/>
          <w:bCs/>
        </w:rPr>
      </w:pPr>
      <w:r w:rsidRPr="00B3149D">
        <w:rPr>
          <w:rFonts w:ascii="Arial" w:hAnsi="Arial" w:cs="Arial"/>
          <w:b/>
          <w:bCs/>
        </w:rPr>
        <w:t>List of Figures</w:t>
      </w:r>
    </w:p>
    <w:p w14:paraId="73596094" w14:textId="77777777" w:rsidR="00AB109D" w:rsidRPr="00B3149D" w:rsidRDefault="00AB109D" w:rsidP="00AB109D">
      <w:pPr>
        <w:rPr>
          <w:rFonts w:ascii="Arial" w:hAnsi="Arial" w:cs="Arial"/>
        </w:rPr>
      </w:pPr>
    </w:p>
    <w:p w14:paraId="35C87ED7" w14:textId="03BCBB2A" w:rsidR="00AB109D" w:rsidRPr="00B3149D" w:rsidRDefault="00AB109D">
      <w:pPr>
        <w:pStyle w:val="TableofFigures"/>
        <w:tabs>
          <w:tab w:val="right" w:leader="dot" w:pos="9016"/>
        </w:tabs>
        <w:rPr>
          <w:rFonts w:ascii="Arial" w:eastAsiaTheme="minorEastAsia" w:hAnsi="Arial" w:cs="Arial"/>
          <w:noProof/>
          <w:lang w:eastAsia="en-GB"/>
        </w:rPr>
      </w:pPr>
      <w:r w:rsidRPr="00B3149D">
        <w:rPr>
          <w:rFonts w:ascii="Arial" w:hAnsi="Arial" w:cs="Arial"/>
        </w:rPr>
        <w:fldChar w:fldCharType="begin"/>
      </w:r>
      <w:r w:rsidRPr="00B3149D">
        <w:rPr>
          <w:rFonts w:ascii="Arial" w:hAnsi="Arial" w:cs="Arial"/>
        </w:rPr>
        <w:instrText xml:space="preserve"> TOC \h \z \c "Figure" </w:instrText>
      </w:r>
      <w:r w:rsidRPr="00B3149D">
        <w:rPr>
          <w:rFonts w:ascii="Arial" w:hAnsi="Arial" w:cs="Arial"/>
        </w:rPr>
        <w:fldChar w:fldCharType="separate"/>
      </w:r>
      <w:hyperlink w:anchor="_Toc227753080" w:history="1">
        <w:r w:rsidRPr="00B3149D">
          <w:rPr>
            <w:rStyle w:val="Hyperlink"/>
            <w:rFonts w:ascii="Arial" w:hAnsi="Arial" w:cs="Arial"/>
            <w:noProof/>
          </w:rPr>
          <w:t>Figure 1</w:t>
        </w:r>
        <w:r w:rsidRPr="00B3149D">
          <w:rPr>
            <w:rFonts w:ascii="Arial" w:hAnsi="Arial" w:cs="Arial"/>
            <w:noProof/>
            <w:webHidden/>
          </w:rPr>
          <w:tab/>
        </w:r>
        <w:r w:rsidRPr="00B3149D">
          <w:rPr>
            <w:rFonts w:ascii="Arial" w:hAnsi="Arial" w:cs="Arial"/>
            <w:noProof/>
            <w:webHidden/>
          </w:rPr>
          <w:fldChar w:fldCharType="begin"/>
        </w:r>
        <w:r w:rsidRPr="00B3149D">
          <w:rPr>
            <w:rFonts w:ascii="Arial" w:hAnsi="Arial" w:cs="Arial"/>
            <w:noProof/>
            <w:webHidden/>
          </w:rPr>
          <w:instrText xml:space="preserve"> PAGEREF _Toc227753080 \h </w:instrText>
        </w:r>
        <w:r w:rsidRPr="00B3149D">
          <w:rPr>
            <w:rFonts w:ascii="Arial" w:hAnsi="Arial" w:cs="Arial"/>
            <w:noProof/>
            <w:webHidden/>
          </w:rPr>
        </w:r>
        <w:r w:rsidRPr="00B3149D">
          <w:rPr>
            <w:rFonts w:ascii="Arial" w:hAnsi="Arial" w:cs="Arial"/>
            <w:noProof/>
            <w:webHidden/>
          </w:rPr>
          <w:fldChar w:fldCharType="separate"/>
        </w:r>
        <w:r w:rsidRPr="00B3149D">
          <w:rPr>
            <w:rFonts w:ascii="Arial" w:hAnsi="Arial" w:cs="Arial"/>
            <w:noProof/>
            <w:webHidden/>
          </w:rPr>
          <w:t>10</w:t>
        </w:r>
        <w:r w:rsidRPr="00B3149D">
          <w:rPr>
            <w:rFonts w:ascii="Arial" w:hAnsi="Arial" w:cs="Arial"/>
            <w:noProof/>
            <w:webHidden/>
          </w:rPr>
          <w:fldChar w:fldCharType="end"/>
        </w:r>
      </w:hyperlink>
    </w:p>
    <w:p w14:paraId="67B6C12A" w14:textId="473EC04D" w:rsidR="00AB109D" w:rsidRPr="00B3149D" w:rsidRDefault="00853AF8">
      <w:pPr>
        <w:pStyle w:val="TableofFigures"/>
        <w:tabs>
          <w:tab w:val="right" w:leader="dot" w:pos="9016"/>
        </w:tabs>
        <w:rPr>
          <w:rFonts w:ascii="Arial" w:eastAsiaTheme="minorEastAsia" w:hAnsi="Arial" w:cs="Arial"/>
          <w:noProof/>
          <w:lang w:eastAsia="en-GB"/>
        </w:rPr>
      </w:pPr>
      <w:hyperlink w:anchor="_Toc227753081" w:history="1">
        <w:r w:rsidR="00AB109D" w:rsidRPr="00B3149D">
          <w:rPr>
            <w:rStyle w:val="Hyperlink"/>
            <w:rFonts w:ascii="Arial" w:hAnsi="Arial" w:cs="Arial"/>
            <w:noProof/>
          </w:rPr>
          <w:t>Figure 2</w:t>
        </w:r>
        <w:r w:rsidR="00AB109D" w:rsidRPr="00B3149D">
          <w:rPr>
            <w:rFonts w:ascii="Arial" w:hAnsi="Arial" w:cs="Arial"/>
            <w:noProof/>
            <w:webHidden/>
          </w:rPr>
          <w:tab/>
        </w:r>
        <w:r w:rsidR="00AB109D" w:rsidRPr="00B3149D">
          <w:rPr>
            <w:rFonts w:ascii="Arial" w:hAnsi="Arial" w:cs="Arial"/>
            <w:noProof/>
            <w:webHidden/>
          </w:rPr>
          <w:fldChar w:fldCharType="begin"/>
        </w:r>
        <w:r w:rsidR="00AB109D" w:rsidRPr="00B3149D">
          <w:rPr>
            <w:rFonts w:ascii="Arial" w:hAnsi="Arial" w:cs="Arial"/>
            <w:noProof/>
            <w:webHidden/>
          </w:rPr>
          <w:instrText xml:space="preserve"> PAGEREF _Toc227753081 \h </w:instrText>
        </w:r>
        <w:r w:rsidR="00AB109D" w:rsidRPr="00B3149D">
          <w:rPr>
            <w:rFonts w:ascii="Arial" w:hAnsi="Arial" w:cs="Arial"/>
            <w:noProof/>
            <w:webHidden/>
          </w:rPr>
        </w:r>
        <w:r w:rsidR="00AB109D" w:rsidRPr="00B3149D">
          <w:rPr>
            <w:rFonts w:ascii="Arial" w:hAnsi="Arial" w:cs="Arial"/>
            <w:noProof/>
            <w:webHidden/>
          </w:rPr>
          <w:fldChar w:fldCharType="separate"/>
        </w:r>
        <w:r w:rsidR="00AB109D" w:rsidRPr="00B3149D">
          <w:rPr>
            <w:rFonts w:ascii="Arial" w:hAnsi="Arial" w:cs="Arial"/>
            <w:noProof/>
            <w:webHidden/>
          </w:rPr>
          <w:t>26</w:t>
        </w:r>
        <w:r w:rsidR="00AB109D" w:rsidRPr="00B3149D">
          <w:rPr>
            <w:rFonts w:ascii="Arial" w:hAnsi="Arial" w:cs="Arial"/>
            <w:noProof/>
            <w:webHidden/>
          </w:rPr>
          <w:fldChar w:fldCharType="end"/>
        </w:r>
      </w:hyperlink>
    </w:p>
    <w:p w14:paraId="3054D403" w14:textId="691D57E6" w:rsidR="0013791E" w:rsidRPr="00B3149D" w:rsidRDefault="00AB109D" w:rsidP="00AB109D">
      <w:pPr>
        <w:rPr>
          <w:rFonts w:ascii="Arial" w:hAnsi="Arial" w:cs="Arial"/>
        </w:rPr>
      </w:pPr>
      <w:r w:rsidRPr="00B3149D">
        <w:rPr>
          <w:rFonts w:ascii="Arial" w:hAnsi="Arial" w:cs="Arial"/>
        </w:rPr>
        <w:fldChar w:fldCharType="end"/>
      </w:r>
      <w:r w:rsidR="0013791E" w:rsidRPr="00B3149D">
        <w:rPr>
          <w:rFonts w:ascii="Arial" w:hAnsi="Arial" w:cs="Arial"/>
        </w:rPr>
        <w:br w:type="page"/>
      </w:r>
    </w:p>
    <w:p w14:paraId="60444DF6" w14:textId="525C0C68" w:rsidR="00721932" w:rsidRPr="00B3149D" w:rsidRDefault="00375298" w:rsidP="0062377A">
      <w:pPr>
        <w:spacing w:line="360" w:lineRule="auto"/>
        <w:rPr>
          <w:rFonts w:ascii="Arial" w:hAnsi="Arial" w:cs="Arial"/>
        </w:rPr>
      </w:pPr>
      <w:r w:rsidRPr="00B3149D">
        <w:rPr>
          <w:rFonts w:ascii="Arial" w:hAnsi="Arial" w:cs="Arial"/>
        </w:rPr>
        <w:lastRenderedPageBreak/>
        <w:br/>
      </w:r>
      <w:r w:rsidRPr="00B3149D">
        <w:rPr>
          <w:rFonts w:ascii="Arial" w:hAnsi="Arial" w:cs="Arial"/>
        </w:rPr>
        <w:br/>
      </w:r>
    </w:p>
    <w:p w14:paraId="416EFC0F" w14:textId="489FD9A2" w:rsidR="00375298" w:rsidRDefault="00375298" w:rsidP="00486A83">
      <w:pPr>
        <w:pStyle w:val="Heading1"/>
        <w:jc w:val="center"/>
        <w:rPr>
          <w:rFonts w:ascii="Arial" w:hAnsi="Arial" w:cs="Arial"/>
          <w:b/>
          <w:bCs/>
          <w:color w:val="000000" w:themeColor="text1"/>
          <w:sz w:val="48"/>
          <w:szCs w:val="48"/>
        </w:rPr>
      </w:pPr>
      <w:bookmarkStart w:id="0" w:name="_Toc227752970"/>
      <w:r w:rsidRPr="00B3149D">
        <w:rPr>
          <w:rFonts w:ascii="Arial" w:hAnsi="Arial" w:cs="Arial"/>
          <w:b/>
          <w:bCs/>
          <w:color w:val="000000" w:themeColor="text1"/>
          <w:sz w:val="48"/>
          <w:szCs w:val="48"/>
        </w:rPr>
        <w:t>Part 1</w:t>
      </w:r>
      <w:bookmarkEnd w:id="0"/>
    </w:p>
    <w:p w14:paraId="376CF398" w14:textId="77777777" w:rsidR="00B3149D" w:rsidRPr="00B3149D" w:rsidRDefault="00B3149D" w:rsidP="00B3149D">
      <w:pPr>
        <w:pStyle w:val="BodyText"/>
        <w:rPr>
          <w:lang w:val="en"/>
        </w:rPr>
      </w:pPr>
    </w:p>
    <w:p w14:paraId="29C8001F" w14:textId="1F4F54A5" w:rsidR="00375298" w:rsidRPr="00B3149D" w:rsidRDefault="00375298" w:rsidP="0013791E">
      <w:pPr>
        <w:jc w:val="center"/>
        <w:rPr>
          <w:rFonts w:ascii="Arial" w:hAnsi="Arial" w:cs="Arial"/>
          <w:b/>
          <w:bCs/>
          <w:sz w:val="28"/>
          <w:szCs w:val="28"/>
        </w:rPr>
      </w:pPr>
      <w:r w:rsidRPr="00B3149D">
        <w:rPr>
          <w:rFonts w:ascii="Arial" w:hAnsi="Arial" w:cs="Arial"/>
          <w:b/>
          <w:bCs/>
          <w:sz w:val="28"/>
          <w:szCs w:val="28"/>
        </w:rPr>
        <w:t>Critical Foundations for a DBA Critical Literature Review on AI, Forecasting, and Replenishment in Retail Supply Chains</w:t>
      </w:r>
    </w:p>
    <w:p w14:paraId="2584665D" w14:textId="77777777" w:rsidR="00C51596" w:rsidRPr="00B3149D" w:rsidRDefault="00C51596" w:rsidP="0062377A">
      <w:pPr>
        <w:pStyle w:val="Heading2"/>
        <w:spacing w:line="360" w:lineRule="auto"/>
        <w:rPr>
          <w:rFonts w:ascii="Arial" w:hAnsi="Arial" w:cs="Arial"/>
          <w:b/>
          <w:bCs/>
          <w:sz w:val="24"/>
          <w:szCs w:val="24"/>
        </w:rPr>
      </w:pPr>
    </w:p>
    <w:p w14:paraId="78B974E8" w14:textId="4729B152" w:rsidR="00375298" w:rsidRPr="00B3149D" w:rsidRDefault="00375298" w:rsidP="00486A83">
      <w:pPr>
        <w:rPr>
          <w:rFonts w:ascii="Arial" w:hAnsi="Arial" w:cs="Arial"/>
          <w:b/>
          <w:bCs/>
          <w:sz w:val="28"/>
          <w:szCs w:val="28"/>
        </w:rPr>
      </w:pPr>
      <w:r w:rsidRPr="00B3149D">
        <w:rPr>
          <w:rFonts w:ascii="Arial" w:hAnsi="Arial" w:cs="Arial"/>
          <w:b/>
          <w:bCs/>
          <w:sz w:val="28"/>
          <w:szCs w:val="28"/>
        </w:rPr>
        <w:t>Executive Summary</w:t>
      </w:r>
    </w:p>
    <w:p w14:paraId="7DC6EBB4" w14:textId="7661A92B" w:rsidR="00375298" w:rsidRPr="00B3149D" w:rsidRDefault="00375298" w:rsidP="0062377A">
      <w:pPr>
        <w:pStyle w:val="FirstParagraph"/>
        <w:spacing w:line="360" w:lineRule="auto"/>
        <w:rPr>
          <w:rFonts w:ascii="Arial" w:hAnsi="Arial" w:cs="Arial"/>
        </w:rPr>
      </w:pPr>
      <w:r w:rsidRPr="00B3149D">
        <w:rPr>
          <w:rFonts w:ascii="Arial" w:hAnsi="Arial" w:cs="Arial"/>
        </w:rPr>
        <w:t xml:space="preserve">This establishes the intellectual foundations for a DBA Critical Literature Review on </w:t>
      </w:r>
      <w:r w:rsidRPr="00B3149D">
        <w:rPr>
          <w:rFonts w:ascii="Arial" w:hAnsi="Arial" w:cs="Arial"/>
          <w:b/>
          <w:bCs/>
        </w:rPr>
        <w:t>the impact of AI on forecasting accuracy and replenishment performance in retail supply chains</w:t>
      </w:r>
      <w:r w:rsidRPr="00B3149D">
        <w:rPr>
          <w:rFonts w:ascii="Arial" w:hAnsi="Arial" w:cs="Arial"/>
        </w:rPr>
        <w:t xml:space="preserve">. The central argument is that a DBA literature review is not a descriptive inventory of prior studies. It is a concept-led, theory-aware, and methodologically transparent intervention that must evaluate what is known, explain why findings diverge, identify hidden assumptions and blind spots, and justify a practice-based contribution. For this topic, that means moving beyond the familiar claim that “AI improves forecasting” and asking a more demanding question: </w:t>
      </w:r>
      <w:r w:rsidRPr="00B3149D">
        <w:rPr>
          <w:rFonts w:ascii="Arial" w:hAnsi="Arial" w:cs="Arial"/>
          <w:b/>
          <w:bCs/>
        </w:rPr>
        <w:t>when, how, and under what conditions do AI-enabled forecasts improve replenishment decisions and retail performance in terms of cost, efficiency, and service level?</w:t>
      </w:r>
      <w:r w:rsidRPr="00B3149D">
        <w:rPr>
          <w:rFonts w:ascii="Arial" w:hAnsi="Arial" w:cs="Arial"/>
        </w:rPr>
        <w:t xml:space="preserve"> </w:t>
      </w:r>
      <w:hyperlink r:id="rId8">
        <w:r w:rsidRPr="00B3149D">
          <w:rPr>
            <w:rStyle w:val="Hyperlink"/>
            <w:rFonts w:ascii="Arial" w:hAnsi="Arial" w:cs="Arial"/>
          </w:rPr>
          <w:t>[1]</w:t>
        </w:r>
      </w:hyperlink>
    </w:p>
    <w:p w14:paraId="534D494F" w14:textId="1ED9D946" w:rsidR="00375298" w:rsidRPr="00B3149D" w:rsidRDefault="00375298" w:rsidP="0062377A">
      <w:pPr>
        <w:pStyle w:val="BodyText"/>
        <w:spacing w:line="360" w:lineRule="auto"/>
        <w:rPr>
          <w:rFonts w:ascii="Arial" w:hAnsi="Arial" w:cs="Arial"/>
        </w:rPr>
      </w:pPr>
      <w:r w:rsidRPr="00B3149D">
        <w:rPr>
          <w:rFonts w:ascii="Arial" w:hAnsi="Arial" w:cs="Arial"/>
        </w:rPr>
        <w:t xml:space="preserve">A DBA-level CLR must therefore be both </w:t>
      </w:r>
      <w:r w:rsidRPr="00B3149D">
        <w:rPr>
          <w:rFonts w:ascii="Arial" w:hAnsi="Arial" w:cs="Arial"/>
          <w:b/>
          <w:bCs/>
        </w:rPr>
        <w:t>systematic</w:t>
      </w:r>
      <w:r w:rsidRPr="00B3149D">
        <w:rPr>
          <w:rFonts w:ascii="Arial" w:hAnsi="Arial" w:cs="Arial"/>
        </w:rPr>
        <w:t xml:space="preserve"> and </w:t>
      </w:r>
      <w:r w:rsidRPr="00B3149D">
        <w:rPr>
          <w:rFonts w:ascii="Arial" w:hAnsi="Arial" w:cs="Arial"/>
          <w:b/>
          <w:bCs/>
        </w:rPr>
        <w:t>critical</w:t>
      </w:r>
      <w:r w:rsidRPr="00B3149D">
        <w:rPr>
          <w:rFonts w:ascii="Arial" w:hAnsi="Arial" w:cs="Arial"/>
        </w:rPr>
        <w:t>. Systematic means explicit search logic, database selection, PRISMA-informed screening, declared inclusion and exclusion criteria, and CART checks for clarity, auditability, replicability, and transparency.</w:t>
      </w:r>
      <w:r w:rsidR="009C0603" w:rsidRPr="00B3149D">
        <w:rPr>
          <w:rFonts w:ascii="Arial" w:hAnsi="Arial" w:cs="Arial"/>
        </w:rPr>
        <w:t xml:space="preserve"> </w:t>
      </w:r>
      <w:r w:rsidR="009C0603" w:rsidRPr="00B3149D">
        <w:rPr>
          <w:rFonts w:ascii="Arial" w:hAnsi="Arial" w:cs="Arial"/>
        </w:rPr>
        <w:t xml:space="preserve">Contrary to much recent experience with critical methods, Critical means here problematising, taking a position on what might count as knowledge about the issue at hand, identifying contradictions, and analysing the new human–algorithm relationship when the traditional ‘black box’ of AI is no longer automatically assumed to be beneficial. But even here, evidence suggests that machine learning and AI have the potential to substantially improve the accuracy of forecasts in retail, albeit with the performance payoff contingent on service-level policies, data quality, and variability of activity such as sales over seasonal </w:t>
      </w:r>
      <w:r w:rsidR="009C0603" w:rsidRPr="00B3149D">
        <w:rPr>
          <w:rFonts w:ascii="Arial" w:hAnsi="Arial" w:cs="Arial"/>
        </w:rPr>
        <w:lastRenderedPageBreak/>
        <w:t>promotional periods, as well as how far planners trust, adapt to, or resist the advice provided by the algorithms</w:t>
      </w:r>
      <w:r w:rsidRPr="00B3149D">
        <w:rPr>
          <w:rFonts w:ascii="Arial" w:hAnsi="Arial" w:cs="Arial"/>
        </w:rPr>
        <w:t xml:space="preserve">. </w:t>
      </w:r>
      <w:r w:rsidRPr="00B3149D">
        <w:rPr>
          <w:rFonts w:ascii="Arial" w:hAnsi="Arial" w:cs="Arial"/>
        </w:rPr>
        <w:fldChar w:fldCharType="begin"/>
      </w:r>
      <w:r w:rsidRPr="00B3149D">
        <w:rPr>
          <w:rFonts w:ascii="Arial" w:hAnsi="Arial" w:cs="Arial"/>
        </w:rPr>
        <w:instrText xml:space="preserve"> HYPERLINK "https://www.prisma-statement.org/?utm_source=chatgpt.com" \h </w:instrText>
      </w:r>
      <w:r w:rsidRPr="00B3149D">
        <w:rPr>
          <w:rFonts w:ascii="Arial" w:hAnsi="Arial" w:cs="Arial"/>
        </w:rPr>
        <w:fldChar w:fldCharType="separate"/>
      </w:r>
      <w:r w:rsidRPr="00B3149D">
        <w:rPr>
          <w:rStyle w:val="Hyperlink"/>
          <w:rFonts w:ascii="Arial" w:hAnsi="Arial" w:cs="Arial"/>
        </w:rPr>
        <w:t>[2]</w:t>
      </w:r>
      <w:r w:rsidRPr="00B3149D">
        <w:rPr>
          <w:rStyle w:val="Hyperlink"/>
          <w:rFonts w:ascii="Arial" w:hAnsi="Arial" w:cs="Arial"/>
        </w:rPr>
        <w:fldChar w:fldCharType="end"/>
      </w:r>
    </w:p>
    <w:p w14:paraId="0945D266" w14:textId="3282FB7D" w:rsidR="00375298" w:rsidRPr="00B3149D" w:rsidRDefault="00486A83" w:rsidP="0062377A">
      <w:pPr>
        <w:pStyle w:val="Heading1"/>
        <w:spacing w:line="360" w:lineRule="auto"/>
        <w:rPr>
          <w:rFonts w:ascii="Arial" w:hAnsi="Arial" w:cs="Arial"/>
          <w:b/>
          <w:bCs/>
          <w:sz w:val="28"/>
          <w:szCs w:val="28"/>
        </w:rPr>
      </w:pPr>
      <w:bookmarkStart w:id="1" w:name="_Toc227752971"/>
      <w:bookmarkStart w:id="2" w:name="introduction"/>
      <w:r w:rsidRPr="00B3149D">
        <w:rPr>
          <w:rFonts w:ascii="Arial" w:hAnsi="Arial" w:cs="Arial"/>
          <w:b/>
          <w:bCs/>
          <w:sz w:val="28"/>
          <w:szCs w:val="28"/>
        </w:rPr>
        <w:t>1.</w:t>
      </w:r>
      <w:proofErr w:type="gramStart"/>
      <w:r w:rsidR="00375298" w:rsidRPr="00B3149D">
        <w:rPr>
          <w:rFonts w:ascii="Arial" w:hAnsi="Arial" w:cs="Arial"/>
          <w:b/>
          <w:bCs/>
          <w:sz w:val="28"/>
          <w:szCs w:val="28"/>
        </w:rPr>
        <w:t>1.Introduction</w:t>
      </w:r>
      <w:bookmarkEnd w:id="1"/>
      <w:proofErr w:type="gramEnd"/>
    </w:p>
    <w:p w14:paraId="56A53718"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A Critical Literature Review can be defined as a </w:t>
      </w:r>
      <w:r w:rsidRPr="00B3149D">
        <w:rPr>
          <w:rFonts w:ascii="Arial" w:hAnsi="Arial" w:cs="Arial"/>
          <w:b/>
          <w:bCs/>
        </w:rPr>
        <w:t>structured, critical, and concept-centric synthesis of literature that evaluates existing knowledge, exposes contradictions, identifies meaningful gaps, and builds the rationale for original contribution</w:t>
      </w:r>
      <w:r w:rsidRPr="00B3149D">
        <w:rPr>
          <w:rFonts w:ascii="Arial" w:hAnsi="Arial" w:cs="Arial"/>
        </w:rPr>
        <w:t xml:space="preserve">. In doctoral work, the literature review is not simply a background chapter; it can itself be a research methodology when carried out rigorously. Snyder argues that literature reviews should be methodologically explicit rather than ad hoc, while Webster and Watson emphasize that strong reviews are organized around concepts rather than author-by-author summaries. </w:t>
      </w:r>
      <w:proofErr w:type="spellStart"/>
      <w:r w:rsidRPr="00B3149D">
        <w:rPr>
          <w:rFonts w:ascii="Arial" w:hAnsi="Arial" w:cs="Arial"/>
        </w:rPr>
        <w:t>Torraco</w:t>
      </w:r>
      <w:proofErr w:type="spellEnd"/>
      <w:r w:rsidRPr="00B3149D">
        <w:rPr>
          <w:rFonts w:ascii="Arial" w:hAnsi="Arial" w:cs="Arial"/>
        </w:rPr>
        <w:t xml:space="preserve"> and Paul and </w:t>
      </w:r>
      <w:proofErr w:type="spellStart"/>
      <w:r w:rsidRPr="00B3149D">
        <w:rPr>
          <w:rFonts w:ascii="Arial" w:hAnsi="Arial" w:cs="Arial"/>
        </w:rPr>
        <w:t>Criado</w:t>
      </w:r>
      <w:proofErr w:type="spellEnd"/>
      <w:r w:rsidRPr="00B3149D">
        <w:rPr>
          <w:rFonts w:ascii="Arial" w:hAnsi="Arial" w:cs="Arial"/>
        </w:rPr>
        <w:t xml:space="preserve"> likewise position review work as generative rather than merely descriptive. </w:t>
      </w:r>
      <w:hyperlink r:id="rId9">
        <w:r w:rsidRPr="00B3149D">
          <w:rPr>
            <w:rStyle w:val="Hyperlink"/>
            <w:rFonts w:ascii="Arial" w:hAnsi="Arial" w:cs="Arial"/>
          </w:rPr>
          <w:t>[3]</w:t>
        </w:r>
      </w:hyperlink>
    </w:p>
    <w:p w14:paraId="1B3F7BB9"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Within the DBA research lifecycle, the CLR connects early problem recognition to later stages of conceptual framing, question development, and research design. For this topic, the review must be anchored to the pathway </w:t>
      </w:r>
      <w:r w:rsidRPr="00B3149D">
        <w:rPr>
          <w:rFonts w:ascii="Arial" w:hAnsi="Arial" w:cs="Arial"/>
          <w:b/>
          <w:bCs/>
        </w:rPr>
        <w:t>AI capability → forecasting accuracy → replenishment decisions → performance</w:t>
      </w:r>
      <w:r w:rsidRPr="00B3149D">
        <w:rPr>
          <w:rFonts w:ascii="Arial" w:hAnsi="Arial" w:cs="Arial"/>
        </w:rPr>
        <w:t xml:space="preserve">. That pathway matters because retail forecasts determine stock positioning, order timing, working capital exposure, and service-level attainment. At DBA level, the audience is dual: academic readers expect theoretical depth and epistemological awareness, while practitioner readers expect insight into what organizations should do differently in forecasting and replenishment. </w:t>
      </w:r>
      <w:hyperlink r:id="rId10">
        <w:r w:rsidRPr="00B3149D">
          <w:rPr>
            <w:rStyle w:val="Hyperlink"/>
            <w:rFonts w:ascii="Arial" w:hAnsi="Arial" w:cs="Arial"/>
          </w:rPr>
          <w:t>[4]</w:t>
        </w:r>
      </w:hyperlink>
    </w:p>
    <w:p w14:paraId="0131527E" w14:textId="300FE6AD" w:rsidR="00375298" w:rsidRPr="00B3149D" w:rsidRDefault="00486A83" w:rsidP="0062377A">
      <w:pPr>
        <w:pStyle w:val="Heading1"/>
        <w:spacing w:line="360" w:lineRule="auto"/>
        <w:rPr>
          <w:rFonts w:ascii="Arial" w:hAnsi="Arial" w:cs="Arial"/>
          <w:b/>
          <w:bCs/>
          <w:sz w:val="28"/>
          <w:szCs w:val="28"/>
        </w:rPr>
      </w:pPr>
      <w:bookmarkStart w:id="3" w:name="_Toc227752972"/>
      <w:bookmarkStart w:id="4" w:name="X8eb850d4989071a5786342a52b31e843b5ddbaa"/>
      <w:r w:rsidRPr="00B3149D">
        <w:rPr>
          <w:rFonts w:ascii="Arial" w:hAnsi="Arial" w:cs="Arial"/>
          <w:b/>
          <w:bCs/>
          <w:sz w:val="28"/>
          <w:szCs w:val="28"/>
        </w:rPr>
        <w:t>1.</w:t>
      </w:r>
      <w:proofErr w:type="gramStart"/>
      <w:r w:rsidR="00375298" w:rsidRPr="00B3149D">
        <w:rPr>
          <w:rFonts w:ascii="Arial" w:hAnsi="Arial" w:cs="Arial"/>
          <w:b/>
          <w:bCs/>
          <w:sz w:val="28"/>
          <w:szCs w:val="28"/>
        </w:rPr>
        <w:t>2.What</w:t>
      </w:r>
      <w:proofErr w:type="gramEnd"/>
      <w:r w:rsidR="00375298" w:rsidRPr="00B3149D">
        <w:rPr>
          <w:rFonts w:ascii="Arial" w:hAnsi="Arial" w:cs="Arial"/>
          <w:b/>
          <w:bCs/>
          <w:sz w:val="28"/>
          <w:szCs w:val="28"/>
        </w:rPr>
        <w:t xml:space="preserve"> Makes a DBA Literature Review “Critical”?</w:t>
      </w:r>
      <w:bookmarkEnd w:id="3"/>
    </w:p>
    <w:p w14:paraId="5C364DDD"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A DBA review becomes critical when it moves from </w:t>
      </w:r>
      <w:r w:rsidRPr="00B3149D">
        <w:rPr>
          <w:rFonts w:ascii="Arial" w:hAnsi="Arial" w:cs="Arial"/>
          <w:b/>
          <w:bCs/>
        </w:rPr>
        <w:t>description to synthesis to contribution</w:t>
      </w:r>
      <w:r w:rsidRPr="00B3149D">
        <w:rPr>
          <w:rFonts w:ascii="Arial" w:hAnsi="Arial" w:cs="Arial"/>
        </w:rPr>
        <w:t xml:space="preserve">. Descriptive reviews summarize studies and list findings. Critical reviews compare perspectives, explain contradictions, identify patterns across methods and contexts, and construct gaps rather than merely spotting them. Your lecture notes are right to distinguish criticality from simple “spotting bias” or “checking evidence”: at doctoral level, criticality also means </w:t>
      </w:r>
      <w:r w:rsidRPr="00B3149D">
        <w:rPr>
          <w:rFonts w:ascii="Arial" w:hAnsi="Arial" w:cs="Arial"/>
          <w:b/>
          <w:bCs/>
        </w:rPr>
        <w:t>epistemic positioning</w:t>
      </w:r>
      <w:r w:rsidRPr="00B3149D">
        <w:rPr>
          <w:rFonts w:ascii="Arial" w:hAnsi="Arial" w:cs="Arial"/>
        </w:rPr>
        <w:t xml:space="preserve">, </w:t>
      </w:r>
      <w:r w:rsidRPr="00B3149D">
        <w:rPr>
          <w:rFonts w:ascii="Arial" w:hAnsi="Arial" w:cs="Arial"/>
          <w:b/>
          <w:bCs/>
        </w:rPr>
        <w:t>theoretical framing</w:t>
      </w:r>
      <w:r w:rsidRPr="00B3149D">
        <w:rPr>
          <w:rFonts w:ascii="Arial" w:hAnsi="Arial" w:cs="Arial"/>
        </w:rPr>
        <w:t xml:space="preserve">, </w:t>
      </w:r>
      <w:r w:rsidRPr="00B3149D">
        <w:rPr>
          <w:rFonts w:ascii="Arial" w:hAnsi="Arial" w:cs="Arial"/>
          <w:b/>
          <w:bCs/>
        </w:rPr>
        <w:t>problematization</w:t>
      </w:r>
      <w:r w:rsidRPr="00B3149D">
        <w:rPr>
          <w:rFonts w:ascii="Arial" w:hAnsi="Arial" w:cs="Arial"/>
        </w:rPr>
        <w:t xml:space="preserve">, and </w:t>
      </w:r>
      <w:r w:rsidRPr="00B3149D">
        <w:rPr>
          <w:rFonts w:ascii="Arial" w:hAnsi="Arial" w:cs="Arial"/>
          <w:b/>
          <w:bCs/>
        </w:rPr>
        <w:t>contribution to knowledge</w:t>
      </w:r>
      <w:r w:rsidRPr="00B3149D">
        <w:rPr>
          <w:rFonts w:ascii="Arial" w:hAnsi="Arial" w:cs="Arial"/>
        </w:rPr>
        <w:t xml:space="preserve">. </w:t>
      </w:r>
      <w:hyperlink r:id="rId11">
        <w:r w:rsidRPr="00B3149D">
          <w:rPr>
            <w:rStyle w:val="Hyperlink"/>
            <w:rFonts w:ascii="Arial" w:hAnsi="Arial" w:cs="Arial"/>
          </w:rPr>
          <w:t>[5]</w:t>
        </w:r>
      </w:hyperlink>
    </w:p>
    <w:p w14:paraId="2A5609EE" w14:textId="77777777" w:rsidR="00375298" w:rsidRPr="00B3149D" w:rsidRDefault="00375298" w:rsidP="0062377A">
      <w:pPr>
        <w:pStyle w:val="BodyText"/>
        <w:spacing w:line="360" w:lineRule="auto"/>
        <w:rPr>
          <w:rFonts w:ascii="Arial" w:hAnsi="Arial" w:cs="Arial"/>
        </w:rPr>
      </w:pPr>
      <w:r w:rsidRPr="00B3149D">
        <w:rPr>
          <w:rFonts w:ascii="Arial" w:hAnsi="Arial" w:cs="Arial"/>
        </w:rPr>
        <w:t>This stance is sharpened by four theorists. Mats Alvesson</w:t>
      </w:r>
      <w:hyperlink r:id="rId12">
        <w:r w:rsidRPr="00B3149D">
          <w:rPr>
            <w:rStyle w:val="Hyperlink"/>
            <w:rFonts w:ascii="Arial" w:hAnsi="Arial" w:cs="Arial"/>
          </w:rPr>
          <w:t>[6]</w:t>
        </w:r>
      </w:hyperlink>
      <w:r w:rsidRPr="00B3149D">
        <w:rPr>
          <w:rFonts w:ascii="Arial" w:hAnsi="Arial" w:cs="Arial"/>
        </w:rPr>
        <w:t xml:space="preserve"> and </w:t>
      </w:r>
      <w:proofErr w:type="spellStart"/>
      <w:r w:rsidRPr="00B3149D">
        <w:rPr>
          <w:rFonts w:ascii="Arial" w:hAnsi="Arial" w:cs="Arial"/>
        </w:rPr>
        <w:t>Jörgen</w:t>
      </w:r>
      <w:proofErr w:type="spellEnd"/>
      <w:r w:rsidRPr="00B3149D">
        <w:rPr>
          <w:rFonts w:ascii="Arial" w:hAnsi="Arial" w:cs="Arial"/>
        </w:rPr>
        <w:t xml:space="preserve"> Sandberg</w:t>
      </w:r>
      <w:hyperlink r:id="rId13">
        <w:r w:rsidRPr="00B3149D">
          <w:rPr>
            <w:rStyle w:val="Hyperlink"/>
            <w:rFonts w:ascii="Arial" w:hAnsi="Arial" w:cs="Arial"/>
          </w:rPr>
          <w:t>[7]</w:t>
        </w:r>
      </w:hyperlink>
      <w:r w:rsidRPr="00B3149D">
        <w:rPr>
          <w:rFonts w:ascii="Arial" w:hAnsi="Arial" w:cs="Arial"/>
        </w:rPr>
        <w:t xml:space="preserve"> argue that better research questions emerge from challenging </w:t>
      </w:r>
      <w:r w:rsidRPr="00B3149D">
        <w:rPr>
          <w:rFonts w:ascii="Arial" w:hAnsi="Arial" w:cs="Arial"/>
        </w:rPr>
        <w:lastRenderedPageBreak/>
        <w:t>assumptions through problematization rather than from routine gap-spotting. Pierre Bourdieu</w:t>
      </w:r>
      <w:hyperlink r:id="rId14">
        <w:r w:rsidRPr="00B3149D">
          <w:rPr>
            <w:rStyle w:val="Hyperlink"/>
            <w:rFonts w:ascii="Arial" w:hAnsi="Arial" w:cs="Arial"/>
          </w:rPr>
          <w:t>[8]</w:t>
        </w:r>
      </w:hyperlink>
      <w:r w:rsidRPr="00B3149D">
        <w:rPr>
          <w:rFonts w:ascii="Arial" w:hAnsi="Arial" w:cs="Arial"/>
        </w:rPr>
        <w:t xml:space="preserve"> brings reflexive sociology and attention to fields, habitus, and institutional positioning. Bent </w:t>
      </w:r>
      <w:proofErr w:type="spellStart"/>
      <w:r w:rsidRPr="00B3149D">
        <w:rPr>
          <w:rFonts w:ascii="Arial" w:hAnsi="Arial" w:cs="Arial"/>
        </w:rPr>
        <w:t>Flyvbjerg</w:t>
      </w:r>
      <w:proofErr w:type="spellEnd"/>
      <w:r w:rsidRPr="00B3149D">
        <w:rPr>
          <w:rFonts w:ascii="Arial" w:hAnsi="Arial" w:cs="Arial"/>
        </w:rPr>
        <w:fldChar w:fldCharType="begin"/>
      </w:r>
      <w:r w:rsidRPr="00B3149D">
        <w:rPr>
          <w:rFonts w:ascii="Arial" w:hAnsi="Arial" w:cs="Arial"/>
        </w:rPr>
        <w:instrText xml:space="preserve"> HYPERLINK "https://www.sciencedirect.com/science/article/pii/S0148296319304564" \h </w:instrText>
      </w:r>
      <w:r w:rsidRPr="00B3149D">
        <w:rPr>
          <w:rFonts w:ascii="Arial" w:hAnsi="Arial" w:cs="Arial"/>
        </w:rPr>
        <w:fldChar w:fldCharType="separate"/>
      </w:r>
      <w:r w:rsidRPr="00B3149D">
        <w:rPr>
          <w:rStyle w:val="Hyperlink"/>
          <w:rFonts w:ascii="Arial" w:hAnsi="Arial" w:cs="Arial"/>
        </w:rPr>
        <w:t>[9]</w:t>
      </w:r>
      <w:r w:rsidRPr="00B3149D">
        <w:rPr>
          <w:rStyle w:val="Hyperlink"/>
          <w:rFonts w:ascii="Arial" w:hAnsi="Arial" w:cs="Arial"/>
        </w:rPr>
        <w:fldChar w:fldCharType="end"/>
      </w:r>
      <w:r w:rsidRPr="00B3149D">
        <w:rPr>
          <w:rFonts w:ascii="Arial" w:hAnsi="Arial" w:cs="Arial"/>
        </w:rPr>
        <w:t xml:space="preserve"> foregrounds </w:t>
      </w:r>
      <w:proofErr w:type="spellStart"/>
      <w:r w:rsidRPr="00B3149D">
        <w:rPr>
          <w:rFonts w:ascii="Arial" w:hAnsi="Arial" w:cs="Arial"/>
        </w:rPr>
        <w:t>phronetic</w:t>
      </w:r>
      <w:proofErr w:type="spellEnd"/>
      <w:r w:rsidRPr="00B3149D">
        <w:rPr>
          <w:rFonts w:ascii="Arial" w:hAnsi="Arial" w:cs="Arial"/>
        </w:rPr>
        <w:t>, practice-relevant knowledge. Michel Foucault</w:t>
      </w:r>
      <w:hyperlink r:id="rId15">
        <w:r w:rsidRPr="00B3149D">
          <w:rPr>
            <w:rStyle w:val="Hyperlink"/>
            <w:rFonts w:ascii="Arial" w:hAnsi="Arial" w:cs="Arial"/>
          </w:rPr>
          <w:t>[10]</w:t>
        </w:r>
      </w:hyperlink>
      <w:r w:rsidRPr="00B3149D">
        <w:rPr>
          <w:rFonts w:ascii="Arial" w:hAnsi="Arial" w:cs="Arial"/>
        </w:rPr>
        <w:t xml:space="preserve"> provides the lens of power/knowledge, which is especially relevant when algorithmic systems begin to shape organizational authority. Current AI governance guidance from OECD</w:t>
      </w:r>
      <w:hyperlink r:id="rId16">
        <w:r w:rsidRPr="00B3149D">
          <w:rPr>
            <w:rStyle w:val="Hyperlink"/>
            <w:rFonts w:ascii="Arial" w:hAnsi="Arial" w:cs="Arial"/>
          </w:rPr>
          <w:t>[11]</w:t>
        </w:r>
      </w:hyperlink>
      <w:r w:rsidRPr="00B3149D">
        <w:rPr>
          <w:rFonts w:ascii="Arial" w:hAnsi="Arial" w:cs="Arial"/>
        </w:rPr>
        <w:t xml:space="preserve"> and UNESCO</w:t>
      </w:r>
      <w:hyperlink r:id="rId17">
        <w:r w:rsidRPr="00B3149D">
          <w:rPr>
            <w:rStyle w:val="Hyperlink"/>
            <w:rFonts w:ascii="Arial" w:hAnsi="Arial" w:cs="Arial"/>
          </w:rPr>
          <w:t>[12]</w:t>
        </w:r>
      </w:hyperlink>
      <w:r w:rsidRPr="00B3149D">
        <w:rPr>
          <w:rFonts w:ascii="Arial" w:hAnsi="Arial" w:cs="Arial"/>
        </w:rPr>
        <w:t xml:space="preserve"> reinforces transparency, fairness, accountability, and human oversight as essential design concerns. </w:t>
      </w:r>
      <w:hyperlink r:id="rId18">
        <w:r w:rsidRPr="00B3149D">
          <w:rPr>
            <w:rStyle w:val="Hyperlink"/>
            <w:rFonts w:ascii="Arial" w:hAnsi="Arial" w:cs="Arial"/>
          </w:rPr>
          <w:t>[13]</w:t>
        </w:r>
      </w:hyperlink>
    </w:p>
    <w:tbl>
      <w:tblPr>
        <w:tblStyle w:val="PlainTable2"/>
        <w:tblW w:w="0" w:type="auto"/>
        <w:tblLook w:val="0020" w:firstRow="1" w:lastRow="0" w:firstColumn="0" w:lastColumn="0" w:noHBand="0" w:noVBand="0"/>
      </w:tblPr>
      <w:tblGrid>
        <w:gridCol w:w="2204"/>
        <w:gridCol w:w="3609"/>
        <w:gridCol w:w="3203"/>
      </w:tblGrid>
      <w:tr w:rsidR="00375298" w:rsidRPr="00B3149D" w14:paraId="03146FFD" w14:textId="77777777" w:rsidTr="00375298">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41C7AAF4"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Theoretical lens</w:t>
            </w:r>
          </w:p>
        </w:tc>
        <w:tc>
          <w:tcPr>
            <w:cnfStyle w:val="000001000000" w:firstRow="0" w:lastRow="0" w:firstColumn="0" w:lastColumn="0" w:oddVBand="0" w:evenVBand="1" w:oddHBand="0" w:evenHBand="0" w:firstRowFirstColumn="0" w:firstRowLastColumn="0" w:lastRowFirstColumn="0" w:lastRowLastColumn="0"/>
            <w:tcW w:w="0" w:type="auto"/>
          </w:tcPr>
          <w:p w14:paraId="23F63506"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Critical question for this review</w:t>
            </w:r>
          </w:p>
        </w:tc>
        <w:tc>
          <w:tcPr>
            <w:cnfStyle w:val="000010000000" w:firstRow="0" w:lastRow="0" w:firstColumn="0" w:lastColumn="0" w:oddVBand="1" w:evenVBand="0" w:oddHBand="0" w:evenHBand="0" w:firstRowFirstColumn="0" w:firstRowLastColumn="0" w:lastRowFirstColumn="0" w:lastRowLastColumn="0"/>
            <w:tcW w:w="0" w:type="auto"/>
          </w:tcPr>
          <w:p w14:paraId="375CED9D"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DBA relevance</w:t>
            </w:r>
          </w:p>
        </w:tc>
      </w:tr>
      <w:tr w:rsidR="00375298" w:rsidRPr="00B3149D" w14:paraId="25985A2A" w14:textId="77777777" w:rsidTr="0037529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4218E91E"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Problematization</w:t>
            </w:r>
          </w:p>
        </w:tc>
        <w:tc>
          <w:tcPr>
            <w:cnfStyle w:val="000001000000" w:firstRow="0" w:lastRow="0" w:firstColumn="0" w:lastColumn="0" w:oddVBand="0" w:evenVBand="1" w:oddHBand="0" w:evenHBand="0" w:firstRowFirstColumn="0" w:firstRowLastColumn="0" w:lastRowFirstColumn="0" w:lastRowLastColumn="0"/>
            <w:tcW w:w="0" w:type="auto"/>
          </w:tcPr>
          <w:p w14:paraId="50B4042F"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Why is “accuracy = performance” often treated as self-evident?</w:t>
            </w:r>
          </w:p>
        </w:tc>
        <w:tc>
          <w:tcPr>
            <w:cnfStyle w:val="000010000000" w:firstRow="0" w:lastRow="0" w:firstColumn="0" w:lastColumn="0" w:oddVBand="1" w:evenVBand="0" w:oddHBand="0" w:evenHBand="0" w:firstRowFirstColumn="0" w:firstRowLastColumn="0" w:lastRowFirstColumn="0" w:lastRowLastColumn="0"/>
            <w:tcW w:w="0" w:type="auto"/>
          </w:tcPr>
          <w:p w14:paraId="25115937"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Builds novel research questions rather than recycling gaps</w:t>
            </w:r>
          </w:p>
        </w:tc>
      </w:tr>
      <w:tr w:rsidR="00375298" w:rsidRPr="00B3149D" w14:paraId="665C2956" w14:textId="77777777" w:rsidTr="00375298">
        <w:tc>
          <w:tcPr>
            <w:cnfStyle w:val="000010000000" w:firstRow="0" w:lastRow="0" w:firstColumn="0" w:lastColumn="0" w:oddVBand="1" w:evenVBand="0" w:oddHBand="0" w:evenHBand="0" w:firstRowFirstColumn="0" w:firstRowLastColumn="0" w:lastRowFirstColumn="0" w:lastRowLastColumn="0"/>
            <w:tcW w:w="0" w:type="auto"/>
          </w:tcPr>
          <w:p w14:paraId="60C7C629"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Reflexive sociology</w:t>
            </w:r>
          </w:p>
        </w:tc>
        <w:tc>
          <w:tcPr>
            <w:cnfStyle w:val="000001000000" w:firstRow="0" w:lastRow="0" w:firstColumn="0" w:lastColumn="0" w:oddVBand="0" w:evenVBand="1" w:oddHBand="0" w:evenHBand="0" w:firstRowFirstColumn="0" w:firstRowLastColumn="0" w:lastRowFirstColumn="0" w:lastRowLastColumn="0"/>
            <w:tcW w:w="0" w:type="auto"/>
          </w:tcPr>
          <w:p w14:paraId="6B0A08F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Whose expertise is privileged when algorithms enter planning?</w:t>
            </w:r>
          </w:p>
        </w:tc>
        <w:tc>
          <w:tcPr>
            <w:cnfStyle w:val="000010000000" w:firstRow="0" w:lastRow="0" w:firstColumn="0" w:lastColumn="0" w:oddVBand="1" w:evenVBand="0" w:oddHBand="0" w:evenHBand="0" w:firstRowFirstColumn="0" w:firstRowLastColumn="0" w:lastRowFirstColumn="0" w:lastRowLastColumn="0"/>
            <w:tcW w:w="0" w:type="auto"/>
          </w:tcPr>
          <w:p w14:paraId="7B076936"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Reveals institutional and practitioner blind spots</w:t>
            </w:r>
          </w:p>
        </w:tc>
      </w:tr>
      <w:tr w:rsidR="00375298" w:rsidRPr="00B3149D" w14:paraId="4951C826" w14:textId="77777777" w:rsidTr="0037529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14:paraId="78AAB7A8" w14:textId="77777777" w:rsidR="00375298" w:rsidRPr="00B3149D" w:rsidRDefault="00375298" w:rsidP="0062377A">
            <w:pPr>
              <w:pStyle w:val="Compact"/>
              <w:spacing w:line="360" w:lineRule="auto"/>
              <w:rPr>
                <w:rFonts w:ascii="Arial" w:hAnsi="Arial" w:cs="Arial"/>
                <w:sz w:val="22"/>
                <w:szCs w:val="22"/>
              </w:rPr>
            </w:pPr>
            <w:proofErr w:type="spellStart"/>
            <w:r w:rsidRPr="00B3149D">
              <w:rPr>
                <w:rFonts w:ascii="Arial" w:hAnsi="Arial" w:cs="Arial"/>
                <w:sz w:val="22"/>
                <w:szCs w:val="22"/>
              </w:rPr>
              <w:t>Phronetic</w:t>
            </w:r>
            <w:proofErr w:type="spellEnd"/>
            <w:r w:rsidRPr="00B3149D">
              <w:rPr>
                <w:rFonts w:ascii="Arial" w:hAnsi="Arial" w:cs="Arial"/>
                <w:sz w:val="22"/>
                <w:szCs w:val="22"/>
              </w:rPr>
              <w:t xml:space="preserve"> social science</w:t>
            </w:r>
          </w:p>
        </w:tc>
        <w:tc>
          <w:tcPr>
            <w:cnfStyle w:val="000001000000" w:firstRow="0" w:lastRow="0" w:firstColumn="0" w:lastColumn="0" w:oddVBand="0" w:evenVBand="1" w:oddHBand="0" w:evenHBand="0" w:firstRowFirstColumn="0" w:firstRowLastColumn="0" w:lastRowFirstColumn="0" w:lastRowLastColumn="0"/>
            <w:tcW w:w="0" w:type="auto"/>
          </w:tcPr>
          <w:p w14:paraId="4854AC0E"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What is practically wise for retail planners?</w:t>
            </w:r>
          </w:p>
        </w:tc>
        <w:tc>
          <w:tcPr>
            <w:cnfStyle w:val="000010000000" w:firstRow="0" w:lastRow="0" w:firstColumn="0" w:lastColumn="0" w:oddVBand="1" w:evenVBand="0" w:oddHBand="0" w:evenHBand="0" w:firstRowFirstColumn="0" w:firstRowLastColumn="0" w:lastRowFirstColumn="0" w:lastRowLastColumn="0"/>
            <w:tcW w:w="0" w:type="auto"/>
          </w:tcPr>
          <w:p w14:paraId="73597105"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Keeps the review practice-based</w:t>
            </w:r>
          </w:p>
        </w:tc>
      </w:tr>
      <w:tr w:rsidR="00375298" w:rsidRPr="00B3149D" w14:paraId="587BA433" w14:textId="77777777" w:rsidTr="00375298">
        <w:tc>
          <w:tcPr>
            <w:cnfStyle w:val="000010000000" w:firstRow="0" w:lastRow="0" w:firstColumn="0" w:lastColumn="0" w:oddVBand="1" w:evenVBand="0" w:oddHBand="0" w:evenHBand="0" w:firstRowFirstColumn="0" w:firstRowLastColumn="0" w:lastRowFirstColumn="0" w:lastRowLastColumn="0"/>
            <w:tcW w:w="0" w:type="auto"/>
          </w:tcPr>
          <w:p w14:paraId="6178330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Power/knowledge</w:t>
            </w:r>
          </w:p>
        </w:tc>
        <w:tc>
          <w:tcPr>
            <w:cnfStyle w:val="000001000000" w:firstRow="0" w:lastRow="0" w:firstColumn="0" w:lastColumn="0" w:oddVBand="0" w:evenVBand="1" w:oddHBand="0" w:evenHBand="0" w:firstRowFirstColumn="0" w:firstRowLastColumn="0" w:lastRowFirstColumn="0" w:lastRowLastColumn="0"/>
            <w:tcW w:w="0" w:type="auto"/>
          </w:tcPr>
          <w:p w14:paraId="5B4B13A6"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How do models reallocate authority between people and systems?</w:t>
            </w:r>
          </w:p>
        </w:tc>
        <w:tc>
          <w:tcPr>
            <w:cnfStyle w:val="000010000000" w:firstRow="0" w:lastRow="0" w:firstColumn="0" w:lastColumn="0" w:oddVBand="1" w:evenVBand="0" w:oddHBand="0" w:evenHBand="0" w:firstRowFirstColumn="0" w:firstRowLastColumn="0" w:lastRowFirstColumn="0" w:lastRowLastColumn="0"/>
            <w:tcW w:w="0" w:type="auto"/>
          </w:tcPr>
          <w:p w14:paraId="6A3D9B4C" w14:textId="77777777" w:rsidR="00375298" w:rsidRPr="00B3149D" w:rsidRDefault="00375298" w:rsidP="0062377A">
            <w:pPr>
              <w:pStyle w:val="Compact"/>
              <w:keepNext/>
              <w:spacing w:line="360" w:lineRule="auto"/>
              <w:rPr>
                <w:rFonts w:ascii="Arial" w:hAnsi="Arial" w:cs="Arial"/>
                <w:sz w:val="22"/>
                <w:szCs w:val="22"/>
              </w:rPr>
            </w:pPr>
            <w:r w:rsidRPr="00B3149D">
              <w:rPr>
                <w:rFonts w:ascii="Arial" w:hAnsi="Arial" w:cs="Arial"/>
                <w:sz w:val="22"/>
                <w:szCs w:val="22"/>
              </w:rPr>
              <w:t>Exposes governance and control issues</w:t>
            </w:r>
          </w:p>
        </w:tc>
      </w:tr>
    </w:tbl>
    <w:p w14:paraId="158B6812" w14:textId="27899148" w:rsidR="00664DCB" w:rsidRPr="00B3149D" w:rsidRDefault="00664DCB" w:rsidP="0062377A">
      <w:pPr>
        <w:pStyle w:val="Caption"/>
        <w:spacing w:line="360" w:lineRule="auto"/>
        <w:rPr>
          <w:rFonts w:ascii="Arial" w:hAnsi="Arial" w:cs="Arial"/>
          <w:sz w:val="24"/>
          <w:szCs w:val="24"/>
        </w:rPr>
      </w:pPr>
      <w:bookmarkStart w:id="5" w:name="_Toc227753007"/>
      <w:r w:rsidRPr="00B3149D">
        <w:rPr>
          <w:rFonts w:ascii="Arial" w:hAnsi="Arial" w:cs="Arial"/>
          <w:sz w:val="24"/>
          <w:szCs w:val="24"/>
        </w:rPr>
        <w:t xml:space="preserve">Table </w:t>
      </w:r>
      <w:r w:rsidRPr="00B3149D">
        <w:rPr>
          <w:rFonts w:ascii="Arial" w:hAnsi="Arial" w:cs="Arial"/>
          <w:sz w:val="24"/>
          <w:szCs w:val="24"/>
        </w:rPr>
        <w:fldChar w:fldCharType="begin"/>
      </w:r>
      <w:r w:rsidRPr="00B3149D">
        <w:rPr>
          <w:rFonts w:ascii="Arial" w:hAnsi="Arial" w:cs="Arial"/>
          <w:sz w:val="24"/>
          <w:szCs w:val="24"/>
        </w:rPr>
        <w:instrText xml:space="preserve"> SEQ Table \* ARABIC </w:instrText>
      </w:r>
      <w:r w:rsidRPr="00B3149D">
        <w:rPr>
          <w:rFonts w:ascii="Arial" w:hAnsi="Arial" w:cs="Arial"/>
          <w:sz w:val="24"/>
          <w:szCs w:val="24"/>
        </w:rPr>
        <w:fldChar w:fldCharType="separate"/>
      </w:r>
      <w:r w:rsidR="00486A83" w:rsidRPr="00B3149D">
        <w:rPr>
          <w:rFonts w:ascii="Arial" w:hAnsi="Arial" w:cs="Arial"/>
          <w:noProof/>
          <w:sz w:val="24"/>
          <w:szCs w:val="24"/>
        </w:rPr>
        <w:t>1</w:t>
      </w:r>
      <w:bookmarkEnd w:id="5"/>
      <w:r w:rsidRPr="00B3149D">
        <w:rPr>
          <w:rFonts w:ascii="Arial" w:hAnsi="Arial" w:cs="Arial"/>
          <w:sz w:val="24"/>
          <w:szCs w:val="24"/>
        </w:rPr>
        <w:fldChar w:fldCharType="end"/>
      </w:r>
    </w:p>
    <w:p w14:paraId="1A572075"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This table synthesizes the function of the four named lenses and official AI-governance principles for this topic. </w:t>
      </w:r>
      <w:hyperlink r:id="rId19">
        <w:r w:rsidRPr="00B3149D">
          <w:rPr>
            <w:rStyle w:val="Hyperlink"/>
            <w:rFonts w:ascii="Arial" w:hAnsi="Arial" w:cs="Arial"/>
          </w:rPr>
          <w:t>[13]</w:t>
        </w:r>
      </w:hyperlink>
    </w:p>
    <w:p w14:paraId="1B84D982"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Applied to AI in retail forecasting, these lenses reveal at least three hidden assumptions. First, improved forecast accuracy is often assumed to produce better replenishment performance, even though service-level rules, promotions, perishability, and inventory constraints complicate that translation. Second, AI is often treated as objective, despite the fact that data selection, feature engineering, and model governance encode human choices. Third, automation is frequently assumed to raise efficiency, even though algorithm aversion and judgmental overrides can either improve or degrade outcomes. The literature therefore converges on AI’s analytical power but diverges on its operational consequences. </w:t>
      </w:r>
      <w:hyperlink r:id="rId20">
        <w:r w:rsidRPr="00B3149D">
          <w:rPr>
            <w:rStyle w:val="Hyperlink"/>
            <w:rFonts w:ascii="Arial" w:hAnsi="Arial" w:cs="Arial"/>
          </w:rPr>
          <w:t>[14]</w:t>
        </w:r>
      </w:hyperlink>
    </w:p>
    <w:p w14:paraId="57BEED8E" w14:textId="4F244E82" w:rsidR="00375298" w:rsidRPr="00B3149D" w:rsidRDefault="00486A83" w:rsidP="0062377A">
      <w:pPr>
        <w:pStyle w:val="Heading1"/>
        <w:spacing w:line="360" w:lineRule="auto"/>
        <w:rPr>
          <w:rFonts w:ascii="Arial" w:hAnsi="Arial" w:cs="Arial"/>
          <w:b/>
          <w:bCs/>
          <w:sz w:val="28"/>
          <w:szCs w:val="28"/>
        </w:rPr>
      </w:pPr>
      <w:bookmarkStart w:id="6" w:name="_Toc227752973"/>
      <w:bookmarkStart w:id="7" w:name="clr-process"/>
      <w:r w:rsidRPr="00B3149D">
        <w:rPr>
          <w:rFonts w:ascii="Arial" w:hAnsi="Arial" w:cs="Arial"/>
          <w:b/>
          <w:bCs/>
          <w:sz w:val="28"/>
          <w:szCs w:val="28"/>
        </w:rPr>
        <w:lastRenderedPageBreak/>
        <w:t>1.</w:t>
      </w:r>
      <w:r w:rsidR="00375298" w:rsidRPr="00B3149D">
        <w:rPr>
          <w:rFonts w:ascii="Arial" w:hAnsi="Arial" w:cs="Arial"/>
          <w:b/>
          <w:bCs/>
          <w:sz w:val="28"/>
          <w:szCs w:val="28"/>
        </w:rPr>
        <w:t>3</w:t>
      </w:r>
      <w:r w:rsidR="00664DCB" w:rsidRPr="00B3149D">
        <w:rPr>
          <w:rFonts w:ascii="Arial" w:hAnsi="Arial" w:cs="Arial"/>
          <w:b/>
          <w:bCs/>
          <w:sz w:val="28"/>
          <w:szCs w:val="28"/>
        </w:rPr>
        <w:t>.</w:t>
      </w:r>
      <w:r w:rsidRPr="00B3149D">
        <w:rPr>
          <w:rFonts w:ascii="Arial" w:hAnsi="Arial" w:cs="Arial"/>
          <w:b/>
          <w:bCs/>
          <w:sz w:val="28"/>
          <w:szCs w:val="28"/>
        </w:rPr>
        <w:t xml:space="preserve"> </w:t>
      </w:r>
      <w:r w:rsidR="00375298" w:rsidRPr="00B3149D">
        <w:rPr>
          <w:rFonts w:ascii="Arial" w:hAnsi="Arial" w:cs="Arial"/>
          <w:b/>
          <w:bCs/>
          <w:sz w:val="28"/>
          <w:szCs w:val="28"/>
        </w:rPr>
        <w:t>CLR Process (Systematic + Transparent)</w:t>
      </w:r>
      <w:bookmarkEnd w:id="6"/>
    </w:p>
    <w:p w14:paraId="52AC48CF"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A DBA CLR must be systematic enough to be audited, but not so procedural that it abandons interpretation. PRISMA is useful here as a </w:t>
      </w:r>
      <w:r w:rsidRPr="00B3149D">
        <w:rPr>
          <w:rFonts w:ascii="Arial" w:hAnsi="Arial" w:cs="Arial"/>
          <w:b/>
          <w:bCs/>
        </w:rPr>
        <w:t>logic of transparent identification, screening, eligibility, and inclusion</w:t>
      </w:r>
      <w:r w:rsidRPr="00B3149D">
        <w:rPr>
          <w:rFonts w:ascii="Arial" w:hAnsi="Arial" w:cs="Arial"/>
        </w:rPr>
        <w:t xml:space="preserve">, even though it was originally developed for reporting systematic reviews and meta-analyses. For DBA work, PRISMA should therefore be adapted as a disciplined reporting structure rather than applied mechanically. That is where CART is useful: the review design should show </w:t>
      </w:r>
      <w:r w:rsidRPr="00B3149D">
        <w:rPr>
          <w:rFonts w:ascii="Arial" w:hAnsi="Arial" w:cs="Arial"/>
          <w:b/>
          <w:bCs/>
        </w:rPr>
        <w:t>clarity</w:t>
      </w:r>
      <w:r w:rsidRPr="00B3149D">
        <w:rPr>
          <w:rFonts w:ascii="Arial" w:hAnsi="Arial" w:cs="Arial"/>
        </w:rPr>
        <w:t xml:space="preserve"> in definitions and search strings, </w:t>
      </w:r>
      <w:r w:rsidRPr="00B3149D">
        <w:rPr>
          <w:rFonts w:ascii="Arial" w:hAnsi="Arial" w:cs="Arial"/>
          <w:b/>
          <w:bCs/>
        </w:rPr>
        <w:t>auditability</w:t>
      </w:r>
      <w:r w:rsidRPr="00B3149D">
        <w:rPr>
          <w:rFonts w:ascii="Arial" w:hAnsi="Arial" w:cs="Arial"/>
        </w:rPr>
        <w:t xml:space="preserve"> in logged screening decisions, </w:t>
      </w:r>
      <w:r w:rsidRPr="00B3149D">
        <w:rPr>
          <w:rFonts w:ascii="Arial" w:hAnsi="Arial" w:cs="Arial"/>
          <w:b/>
          <w:bCs/>
        </w:rPr>
        <w:t>replicability</w:t>
      </w:r>
      <w:r w:rsidRPr="00B3149D">
        <w:rPr>
          <w:rFonts w:ascii="Arial" w:hAnsi="Arial" w:cs="Arial"/>
        </w:rPr>
        <w:t xml:space="preserve"> in explicit criteria, and </w:t>
      </w:r>
      <w:r w:rsidRPr="00B3149D">
        <w:rPr>
          <w:rFonts w:ascii="Arial" w:hAnsi="Arial" w:cs="Arial"/>
          <w:b/>
          <w:bCs/>
        </w:rPr>
        <w:t>transparency</w:t>
      </w:r>
      <w:r w:rsidRPr="00B3149D">
        <w:rPr>
          <w:rFonts w:ascii="Arial" w:hAnsi="Arial" w:cs="Arial"/>
        </w:rPr>
        <w:t xml:space="preserve"> in limitations and exclusions. </w:t>
      </w:r>
      <w:hyperlink r:id="rId21">
        <w:r w:rsidRPr="00B3149D">
          <w:rPr>
            <w:rStyle w:val="Hyperlink"/>
            <w:rFonts w:ascii="Arial" w:hAnsi="Arial" w:cs="Arial"/>
          </w:rPr>
          <w:t>[15]</w:t>
        </w:r>
      </w:hyperlink>
    </w:p>
    <w:p w14:paraId="36722071" w14:textId="0EA5B58A" w:rsidR="00375298" w:rsidRPr="00B3149D" w:rsidRDefault="00B3149D" w:rsidP="0062377A">
      <w:pPr>
        <w:pStyle w:val="BodyText"/>
        <w:spacing w:line="360" w:lineRule="auto"/>
        <w:rPr>
          <w:rFonts w:ascii="Arial" w:hAnsi="Arial" w:cs="Arial"/>
        </w:rPr>
      </w:pPr>
      <w:r w:rsidRPr="00B3149D">
        <w:rPr>
          <w:rFonts w:ascii="Arial" w:hAnsi="Arial" w:cs="Arial"/>
        </w:rPr>
        <w:t xml:space="preserve">We utilised the six key steps identified from the lecture notes: 1. Motivate the topic &amp; question 2. Systematic retrieval of literature 3. Balance breadth &amp; depth 4. Foreground concepts over individual studies 5. Draw appropriate conclusions 6. Ensure coherence throughout. The Six Thinking Hats technique can be particularly useful when conducting an initial scoping search for topics, providing a simple yet structured approach to consider different aspects of a topic. The six hats are: white hat for evidence; black hat for problems and potential negative issues; green hat for brainstorming new ideas; red hat for personal feelings and intuitions; yellow hat for advantages and benefits; blue hat for structure and organisation of the process. We then worked within the parameters of the PICOS framework in order to inform and stabilise the search, this enabled us to define the key parameters for the literature search. For our literature search the Population consisted of those within retail supply chains, the Intervention consisted of organisations that utilise artificial intelligence for their forecasting and replenishment activities, the Comparison consisted of statistical based or judgementally adjusted forecasting methods, the Outcomes consisted of accuracy, cost, efficiency and service levels. Studies selected included all peer reviewed journal articles (where possible), seminal texts within the field and official industry-led reports from within the last 10 years. </w:t>
      </w:r>
      <w:r w:rsidR="00375298" w:rsidRPr="00B3149D">
        <w:rPr>
          <w:rFonts w:ascii="Arial" w:hAnsi="Arial" w:cs="Arial"/>
        </w:rPr>
        <w:fldChar w:fldCharType="begin"/>
      </w:r>
      <w:r w:rsidR="00375298" w:rsidRPr="00B3149D">
        <w:rPr>
          <w:rFonts w:ascii="Arial" w:hAnsi="Arial" w:cs="Arial"/>
        </w:rPr>
        <w:instrText xml:space="preserve"> HYPERLINK "https://journals.aom.org/doi/10.5465/amr.2009.0188?utm_source=chatgpt.com" \h </w:instrText>
      </w:r>
      <w:r w:rsidR="00375298" w:rsidRPr="00B3149D">
        <w:rPr>
          <w:rFonts w:ascii="Arial" w:hAnsi="Arial" w:cs="Arial"/>
        </w:rPr>
        <w:fldChar w:fldCharType="separate"/>
      </w:r>
      <w:r w:rsidR="00375298" w:rsidRPr="00B3149D">
        <w:rPr>
          <w:rStyle w:val="Hyperlink"/>
          <w:rFonts w:ascii="Arial" w:hAnsi="Arial" w:cs="Arial"/>
        </w:rPr>
        <w:t>[16]</w:t>
      </w:r>
      <w:r w:rsidR="00375298" w:rsidRPr="00B3149D">
        <w:rPr>
          <w:rStyle w:val="Hyperlink"/>
          <w:rFonts w:ascii="Arial" w:hAnsi="Arial" w:cs="Arial"/>
        </w:rPr>
        <w:fldChar w:fldCharType="end"/>
      </w:r>
    </w:p>
    <w:p w14:paraId="53535076" w14:textId="36075178" w:rsidR="00375298" w:rsidRPr="00B3149D" w:rsidRDefault="00B3149D" w:rsidP="0062377A">
      <w:pPr>
        <w:pStyle w:val="BodyText"/>
        <w:spacing w:line="360" w:lineRule="auto"/>
        <w:rPr>
          <w:rFonts w:ascii="Arial" w:hAnsi="Arial" w:cs="Arial"/>
        </w:rPr>
      </w:pPr>
      <w:r w:rsidRPr="00B3149D">
        <w:rPr>
          <w:rFonts w:ascii="Arial" w:hAnsi="Arial" w:cs="Arial"/>
        </w:rPr>
        <w:t>Use Google Scholar for general web search to find academic material, Scopus and Web of Science for citation searching, ScienceDirect to find peer reviewed full text articles from a wide range of journals related to forecasting and operations management, and Emerald for material related to business and management topics</w:t>
      </w:r>
      <w:r w:rsidR="00375298" w:rsidRPr="00B3149D">
        <w:rPr>
          <w:rFonts w:ascii="Arial" w:hAnsi="Arial" w:cs="Arial"/>
        </w:rPr>
        <w:t xml:space="preserve">. </w:t>
      </w:r>
      <w:r w:rsidR="00375298" w:rsidRPr="00B3149D">
        <w:rPr>
          <w:rFonts w:ascii="Arial" w:hAnsi="Arial" w:cs="Arial"/>
        </w:rPr>
        <w:fldChar w:fldCharType="begin"/>
      </w:r>
      <w:r w:rsidR="00375298" w:rsidRPr="00B3149D">
        <w:rPr>
          <w:rFonts w:ascii="Arial" w:hAnsi="Arial" w:cs="Arial"/>
        </w:rPr>
        <w:instrText xml:space="preserve"> HYPERLINK "https://scholar.google.com/intl/en/scholar/about.html" \h </w:instrText>
      </w:r>
      <w:r w:rsidR="00375298" w:rsidRPr="00B3149D">
        <w:rPr>
          <w:rFonts w:ascii="Arial" w:hAnsi="Arial" w:cs="Arial"/>
        </w:rPr>
        <w:fldChar w:fldCharType="separate"/>
      </w:r>
      <w:r w:rsidR="00375298" w:rsidRPr="00B3149D">
        <w:rPr>
          <w:rStyle w:val="Hyperlink"/>
          <w:rFonts w:ascii="Arial" w:hAnsi="Arial" w:cs="Arial"/>
        </w:rPr>
        <w:t>[17]</w:t>
      </w:r>
      <w:r w:rsidR="00375298" w:rsidRPr="00B3149D">
        <w:rPr>
          <w:rStyle w:val="Hyperlink"/>
          <w:rFonts w:ascii="Arial" w:hAnsi="Arial" w:cs="Arial"/>
        </w:rPr>
        <w:fldChar w:fldCharType="end"/>
      </w:r>
    </w:p>
    <w:p w14:paraId="3E42AEA9" w14:textId="77777777" w:rsidR="00375298" w:rsidRPr="00B3149D" w:rsidRDefault="00375298" w:rsidP="0062377A">
      <w:pPr>
        <w:pStyle w:val="BodyText"/>
        <w:spacing w:line="360" w:lineRule="auto"/>
        <w:rPr>
          <w:rFonts w:ascii="Arial" w:hAnsi="Arial" w:cs="Arial"/>
        </w:rPr>
      </w:pPr>
      <w:r w:rsidRPr="00B3149D">
        <w:rPr>
          <w:rFonts w:ascii="Arial" w:hAnsi="Arial" w:cs="Arial"/>
        </w:rPr>
        <w:lastRenderedPageBreak/>
        <w:t>A compact PRISMA-style search protocol would be:</w:t>
      </w:r>
    </w:p>
    <w:p w14:paraId="1F336389" w14:textId="77777777" w:rsidR="00375298" w:rsidRPr="00B3149D" w:rsidRDefault="00375298" w:rsidP="0062377A">
      <w:pPr>
        <w:pStyle w:val="Compact"/>
        <w:numPr>
          <w:ilvl w:val="0"/>
          <w:numId w:val="1"/>
        </w:numPr>
        <w:spacing w:line="360" w:lineRule="auto"/>
        <w:rPr>
          <w:rFonts w:ascii="Arial" w:hAnsi="Arial" w:cs="Arial"/>
        </w:rPr>
      </w:pPr>
      <w:r w:rsidRPr="00B3149D">
        <w:rPr>
          <w:rFonts w:ascii="Arial" w:hAnsi="Arial" w:cs="Arial"/>
          <w:b/>
          <w:bCs/>
        </w:rPr>
        <w:t>Identification:</w:t>
      </w:r>
      <w:r w:rsidRPr="00B3149D">
        <w:rPr>
          <w:rFonts w:ascii="Arial" w:hAnsi="Arial" w:cs="Arial"/>
        </w:rPr>
        <w:t xml:space="preserve"> search Google Scholar, Scopus, Web of Science, ScienceDirect, and Emerald. </w:t>
      </w:r>
      <w:hyperlink r:id="rId22">
        <w:r w:rsidRPr="00B3149D">
          <w:rPr>
            <w:rStyle w:val="Hyperlink"/>
            <w:rFonts w:ascii="Arial" w:hAnsi="Arial" w:cs="Arial"/>
          </w:rPr>
          <w:t>[17]</w:t>
        </w:r>
      </w:hyperlink>
    </w:p>
    <w:p w14:paraId="117E45F4" w14:textId="77777777" w:rsidR="00375298" w:rsidRPr="00B3149D" w:rsidRDefault="00375298" w:rsidP="0062377A">
      <w:pPr>
        <w:pStyle w:val="Compact"/>
        <w:numPr>
          <w:ilvl w:val="0"/>
          <w:numId w:val="1"/>
        </w:numPr>
        <w:spacing w:line="360" w:lineRule="auto"/>
        <w:rPr>
          <w:rFonts w:ascii="Arial" w:hAnsi="Arial" w:cs="Arial"/>
        </w:rPr>
      </w:pPr>
      <w:r w:rsidRPr="00B3149D">
        <w:rPr>
          <w:rFonts w:ascii="Arial" w:hAnsi="Arial" w:cs="Arial"/>
          <w:b/>
          <w:bCs/>
        </w:rPr>
        <w:t>Keywords:</w:t>
      </w:r>
      <w:r w:rsidRPr="00B3149D">
        <w:rPr>
          <w:rFonts w:ascii="Arial" w:hAnsi="Arial" w:cs="Arial"/>
        </w:rPr>
        <w:t xml:space="preserve"> “retail supply chain,” “demand forecasting,” “replenishment,” “forecast accuracy,” “inventory,” “service level,” “AI,” “machine learning,” “ARIMA,” “exponential smoothing,” “Random Forest,” “</w:t>
      </w:r>
      <w:proofErr w:type="spellStart"/>
      <w:r w:rsidRPr="00B3149D">
        <w:rPr>
          <w:rFonts w:ascii="Arial" w:hAnsi="Arial" w:cs="Arial"/>
        </w:rPr>
        <w:t>XGBoost</w:t>
      </w:r>
      <w:proofErr w:type="spellEnd"/>
      <w:r w:rsidRPr="00B3149D">
        <w:rPr>
          <w:rFonts w:ascii="Arial" w:hAnsi="Arial" w:cs="Arial"/>
        </w:rPr>
        <w:t>,” “LSTM.”</w:t>
      </w:r>
    </w:p>
    <w:p w14:paraId="344E6A8C" w14:textId="77777777" w:rsidR="00375298" w:rsidRPr="00B3149D" w:rsidRDefault="00375298" w:rsidP="0062377A">
      <w:pPr>
        <w:pStyle w:val="Compact"/>
        <w:numPr>
          <w:ilvl w:val="0"/>
          <w:numId w:val="1"/>
        </w:numPr>
        <w:spacing w:line="360" w:lineRule="auto"/>
        <w:rPr>
          <w:rFonts w:ascii="Arial" w:hAnsi="Arial" w:cs="Arial"/>
        </w:rPr>
      </w:pPr>
      <w:r w:rsidRPr="00B3149D">
        <w:rPr>
          <w:rFonts w:ascii="Arial" w:hAnsi="Arial" w:cs="Arial"/>
          <w:b/>
          <w:bCs/>
        </w:rPr>
        <w:t>Boolean string:</w:t>
      </w:r>
      <w:r w:rsidRPr="00B3149D">
        <w:rPr>
          <w:rFonts w:ascii="Arial" w:hAnsi="Arial" w:cs="Arial"/>
        </w:rPr>
        <w:t xml:space="preserve"> </w:t>
      </w:r>
      <w:r w:rsidRPr="00B3149D">
        <w:rPr>
          <w:rStyle w:val="VerbatimChar"/>
          <w:rFonts w:ascii="Arial" w:hAnsi="Arial" w:cs="Arial"/>
          <w:sz w:val="24"/>
        </w:rPr>
        <w:t>("retail" OR "grocery" OR "omnichannel") AND ("forecast*" OR "demand planning") AND ("replenishment" OR "inventory" OR "service level") AND ("AI" OR "machine learning" OR "ARIMA" OR "exponential smoothing" OR "Random Forest" OR "</w:t>
      </w:r>
      <w:proofErr w:type="spellStart"/>
      <w:r w:rsidRPr="00B3149D">
        <w:rPr>
          <w:rStyle w:val="VerbatimChar"/>
          <w:rFonts w:ascii="Arial" w:hAnsi="Arial" w:cs="Arial"/>
          <w:sz w:val="24"/>
        </w:rPr>
        <w:t>XGBoost</w:t>
      </w:r>
      <w:proofErr w:type="spellEnd"/>
      <w:r w:rsidRPr="00B3149D">
        <w:rPr>
          <w:rStyle w:val="VerbatimChar"/>
          <w:rFonts w:ascii="Arial" w:hAnsi="Arial" w:cs="Arial"/>
          <w:sz w:val="24"/>
        </w:rPr>
        <w:t>" OR "LSTM")</w:t>
      </w:r>
      <w:r w:rsidRPr="00B3149D">
        <w:rPr>
          <w:rFonts w:ascii="Arial" w:hAnsi="Arial" w:cs="Arial"/>
        </w:rPr>
        <w:t>.</w:t>
      </w:r>
    </w:p>
    <w:p w14:paraId="3F5A4C95" w14:textId="77777777" w:rsidR="00375298" w:rsidRPr="00B3149D" w:rsidRDefault="00375298" w:rsidP="0062377A">
      <w:pPr>
        <w:pStyle w:val="Compact"/>
        <w:numPr>
          <w:ilvl w:val="0"/>
          <w:numId w:val="1"/>
        </w:numPr>
        <w:spacing w:line="360" w:lineRule="auto"/>
        <w:rPr>
          <w:rFonts w:ascii="Arial" w:hAnsi="Arial" w:cs="Arial"/>
        </w:rPr>
      </w:pPr>
      <w:r w:rsidRPr="00B3149D">
        <w:rPr>
          <w:rFonts w:ascii="Arial" w:hAnsi="Arial" w:cs="Arial"/>
          <w:b/>
          <w:bCs/>
        </w:rPr>
        <w:t>Screening:</w:t>
      </w:r>
      <w:r w:rsidRPr="00B3149D">
        <w:rPr>
          <w:rFonts w:ascii="Arial" w:hAnsi="Arial" w:cs="Arial"/>
        </w:rPr>
        <w:t xml:space="preserve"> remove duplicates, then screen titles and abstracts for direct relevance.</w:t>
      </w:r>
    </w:p>
    <w:p w14:paraId="0638D429" w14:textId="77777777" w:rsidR="00375298" w:rsidRPr="00B3149D" w:rsidRDefault="00375298" w:rsidP="0062377A">
      <w:pPr>
        <w:pStyle w:val="Compact"/>
        <w:numPr>
          <w:ilvl w:val="0"/>
          <w:numId w:val="1"/>
        </w:numPr>
        <w:spacing w:line="360" w:lineRule="auto"/>
        <w:rPr>
          <w:rFonts w:ascii="Arial" w:hAnsi="Arial" w:cs="Arial"/>
        </w:rPr>
      </w:pPr>
      <w:r w:rsidRPr="00B3149D">
        <w:rPr>
          <w:rFonts w:ascii="Arial" w:hAnsi="Arial" w:cs="Arial"/>
          <w:b/>
          <w:bCs/>
        </w:rPr>
        <w:t>Eligibility:</w:t>
      </w:r>
      <w:r w:rsidRPr="00B3149D">
        <w:rPr>
          <w:rFonts w:ascii="Arial" w:hAnsi="Arial" w:cs="Arial"/>
        </w:rPr>
        <w:t xml:space="preserve"> full-text review against inclusion and exclusion criteria. </w:t>
      </w:r>
      <w:hyperlink r:id="rId23">
        <w:r w:rsidRPr="00B3149D">
          <w:rPr>
            <w:rStyle w:val="Hyperlink"/>
            <w:rFonts w:ascii="Arial" w:hAnsi="Arial" w:cs="Arial"/>
          </w:rPr>
          <w:t>[18]</w:t>
        </w:r>
      </w:hyperlink>
    </w:p>
    <w:p w14:paraId="42F779B9" w14:textId="1FD7FAF6" w:rsidR="00375298" w:rsidRPr="00B3149D" w:rsidRDefault="00375298" w:rsidP="00C51596">
      <w:pPr>
        <w:pStyle w:val="FirstParagraph"/>
        <w:spacing w:line="360" w:lineRule="auto"/>
        <w:rPr>
          <w:rFonts w:ascii="Arial" w:hAnsi="Arial" w:cs="Arial"/>
        </w:rPr>
      </w:pPr>
      <w:r w:rsidRPr="00B3149D">
        <w:rPr>
          <w:rFonts w:ascii="Arial" w:hAnsi="Arial" w:cs="Arial"/>
        </w:rPr>
        <w:t xml:space="preserve">Inclusion criteria should prioritize studies that directly address the core constructs, demonstrate methodological credibility, and contribute to debate, gap, or framework building. Exclusion criteria should remove non-retail studies with low transferability, purely promotional pieces, papers with unclear methods, and work that discusses AI or supply chain issues without addressing forecasting or replenishment. Recent sources from the last five years should dominate, but seminal works should be retained where they define methods or core theory. </w:t>
      </w:r>
      <w:hyperlink r:id="rId24">
        <w:r w:rsidRPr="00B3149D">
          <w:rPr>
            <w:rStyle w:val="Hyperlink"/>
            <w:rFonts w:ascii="Arial" w:hAnsi="Arial" w:cs="Arial"/>
          </w:rPr>
          <w:t>[19]</w:t>
        </w:r>
      </w:hyperlink>
      <w:bookmarkStart w:id="8" w:name="clr-content"/>
      <w:bookmarkEnd w:id="2"/>
    </w:p>
    <w:p w14:paraId="2B058906" w14:textId="64ABE68C" w:rsidR="00375298" w:rsidRPr="00B3149D" w:rsidRDefault="00486A83" w:rsidP="0062377A">
      <w:pPr>
        <w:pStyle w:val="Heading1"/>
        <w:spacing w:line="360" w:lineRule="auto"/>
        <w:rPr>
          <w:rFonts w:ascii="Arial" w:hAnsi="Arial" w:cs="Arial"/>
          <w:b/>
          <w:bCs/>
          <w:sz w:val="28"/>
          <w:szCs w:val="28"/>
        </w:rPr>
      </w:pPr>
      <w:bookmarkStart w:id="9" w:name="_Toc227752974"/>
      <w:r w:rsidRPr="00B3149D">
        <w:rPr>
          <w:rFonts w:ascii="Arial" w:hAnsi="Arial" w:cs="Arial"/>
          <w:b/>
          <w:bCs/>
          <w:sz w:val="28"/>
          <w:szCs w:val="28"/>
        </w:rPr>
        <w:t>1.</w:t>
      </w:r>
      <w:r w:rsidR="00375298" w:rsidRPr="00B3149D">
        <w:rPr>
          <w:rFonts w:ascii="Arial" w:hAnsi="Arial" w:cs="Arial"/>
          <w:b/>
          <w:bCs/>
          <w:sz w:val="28"/>
          <w:szCs w:val="28"/>
        </w:rPr>
        <w:t>4</w:t>
      </w:r>
      <w:r w:rsidR="00664DCB" w:rsidRPr="00B3149D">
        <w:rPr>
          <w:rFonts w:ascii="Arial" w:hAnsi="Arial" w:cs="Arial"/>
          <w:b/>
          <w:bCs/>
          <w:sz w:val="28"/>
          <w:szCs w:val="28"/>
        </w:rPr>
        <w:t xml:space="preserve">. </w:t>
      </w:r>
      <w:r w:rsidR="00375298" w:rsidRPr="00B3149D">
        <w:rPr>
          <w:rFonts w:ascii="Arial" w:hAnsi="Arial" w:cs="Arial"/>
          <w:b/>
          <w:bCs/>
          <w:sz w:val="28"/>
          <w:szCs w:val="28"/>
        </w:rPr>
        <w:t xml:space="preserve">CLR Content (What You </w:t>
      </w:r>
      <w:proofErr w:type="spellStart"/>
      <w:r w:rsidR="00375298" w:rsidRPr="00B3149D">
        <w:rPr>
          <w:rFonts w:ascii="Arial" w:hAnsi="Arial" w:cs="Arial"/>
          <w:b/>
          <w:bCs/>
          <w:sz w:val="28"/>
          <w:szCs w:val="28"/>
        </w:rPr>
        <w:t>Analyse</w:t>
      </w:r>
      <w:proofErr w:type="spellEnd"/>
      <w:r w:rsidR="00375298" w:rsidRPr="00B3149D">
        <w:rPr>
          <w:rFonts w:ascii="Arial" w:hAnsi="Arial" w:cs="Arial"/>
          <w:b/>
          <w:bCs/>
          <w:sz w:val="28"/>
          <w:szCs w:val="28"/>
        </w:rPr>
        <w:t>)</w:t>
      </w:r>
      <w:bookmarkEnd w:id="9"/>
    </w:p>
    <w:p w14:paraId="0E66645A" w14:textId="12B3C13D" w:rsidR="00375298" w:rsidRPr="00B3149D" w:rsidRDefault="00375298" w:rsidP="0062377A">
      <w:pPr>
        <w:pStyle w:val="BodyText"/>
        <w:spacing w:line="360" w:lineRule="auto"/>
        <w:rPr>
          <w:rStyle w:val="Hyperlink"/>
          <w:rFonts w:ascii="Arial" w:hAnsi="Arial" w:cs="Arial"/>
        </w:rPr>
      </w:pPr>
      <w:r w:rsidRPr="00B3149D">
        <w:rPr>
          <w:rFonts w:ascii="Arial" w:hAnsi="Arial" w:cs="Arial"/>
        </w:rPr>
        <w:t>What this CLR should analy</w:t>
      </w:r>
      <w:r w:rsidR="00C51596" w:rsidRPr="00B3149D">
        <w:rPr>
          <w:rFonts w:ascii="Arial" w:hAnsi="Arial" w:cs="Arial"/>
        </w:rPr>
        <w:t>s</w:t>
      </w:r>
      <w:r w:rsidRPr="00B3149D">
        <w:rPr>
          <w:rFonts w:ascii="Arial" w:hAnsi="Arial" w:cs="Arial"/>
        </w:rPr>
        <w:t xml:space="preserve">e is not just a list of topics, but the field’s deeper architecture: </w:t>
      </w:r>
      <w:r w:rsidRPr="00B3149D">
        <w:rPr>
          <w:rFonts w:ascii="Arial" w:hAnsi="Arial" w:cs="Arial"/>
          <w:b/>
          <w:bCs/>
        </w:rPr>
        <w:t>theories, constructs, methods, contexts, and consistency of findings</w:t>
      </w:r>
      <w:r w:rsidRPr="00B3149D">
        <w:rPr>
          <w:rFonts w:ascii="Arial" w:hAnsi="Arial" w:cs="Arial"/>
        </w:rPr>
        <w:t xml:space="preserve">. The central constructs for this topic are forecast accuracy, replenishment decision quality, inventory cost, efficiency, service level, and the balance between human judgment and algorithmic recommendation. The review should therefore examine not only model-comparison studies, but also work on planner </w:t>
      </w:r>
      <w:proofErr w:type="spellStart"/>
      <w:r w:rsidRPr="00B3149D">
        <w:rPr>
          <w:rFonts w:ascii="Arial" w:hAnsi="Arial" w:cs="Arial"/>
        </w:rPr>
        <w:t>behavior</w:t>
      </w:r>
      <w:proofErr w:type="spellEnd"/>
      <w:r w:rsidRPr="00B3149D">
        <w:rPr>
          <w:rFonts w:ascii="Arial" w:hAnsi="Arial" w:cs="Arial"/>
        </w:rPr>
        <w:t>, forecast-value-added analysis, and human–AI interaction.</w:t>
      </w:r>
      <w:r w:rsidR="00B3149D" w:rsidRPr="00B3149D">
        <w:rPr>
          <w:rFonts w:ascii="Arial" w:hAnsi="Arial" w:cs="Arial"/>
        </w:rPr>
        <w:t xml:space="preserve"> </w:t>
      </w:r>
      <w:r w:rsidR="00B3149D" w:rsidRPr="00B3149D">
        <w:rPr>
          <w:rFonts w:ascii="Arial" w:hAnsi="Arial" w:cs="Arial"/>
        </w:rPr>
        <w:t>The evidence base must therefore draw on evidence from all the scientific/quantitative, interpretive/qualitative and mixed-methods research traditions</w:t>
      </w:r>
      <w:r w:rsidRPr="00B3149D">
        <w:rPr>
          <w:rFonts w:ascii="Arial" w:hAnsi="Arial" w:cs="Arial"/>
        </w:rPr>
        <w:t xml:space="preserve">. </w:t>
      </w:r>
      <w:r w:rsidRPr="00B3149D">
        <w:rPr>
          <w:rFonts w:ascii="Arial" w:hAnsi="Arial" w:cs="Arial"/>
        </w:rPr>
        <w:fldChar w:fldCharType="begin"/>
      </w:r>
      <w:r w:rsidRPr="00B3149D">
        <w:rPr>
          <w:rFonts w:ascii="Arial" w:hAnsi="Arial" w:cs="Arial"/>
        </w:rPr>
        <w:instrText xml:space="preserve"> HYPERLINK "https://www.sciencedirect.com/science/article/pii/S0169207024000736" \h </w:instrText>
      </w:r>
      <w:r w:rsidRPr="00B3149D">
        <w:rPr>
          <w:rFonts w:ascii="Arial" w:hAnsi="Arial" w:cs="Arial"/>
        </w:rPr>
        <w:fldChar w:fldCharType="separate"/>
      </w:r>
      <w:r w:rsidRPr="00B3149D">
        <w:rPr>
          <w:rStyle w:val="Hyperlink"/>
          <w:rFonts w:ascii="Arial" w:hAnsi="Arial" w:cs="Arial"/>
        </w:rPr>
        <w:t>[20]</w:t>
      </w:r>
      <w:r w:rsidRPr="00B3149D">
        <w:rPr>
          <w:rStyle w:val="Hyperlink"/>
          <w:rFonts w:ascii="Arial" w:hAnsi="Arial" w:cs="Arial"/>
        </w:rPr>
        <w:fldChar w:fldCharType="end"/>
      </w:r>
    </w:p>
    <w:p w14:paraId="5943F44E" w14:textId="77777777" w:rsidR="00973F30" w:rsidRPr="00B3149D" w:rsidRDefault="00973F30" w:rsidP="0062377A">
      <w:pPr>
        <w:pStyle w:val="BodyText"/>
        <w:spacing w:line="360" w:lineRule="auto"/>
        <w:rPr>
          <w:rFonts w:ascii="Arial" w:hAnsi="Arial" w:cs="Arial"/>
        </w:rPr>
      </w:pPr>
    </w:p>
    <w:tbl>
      <w:tblPr>
        <w:tblStyle w:val="TableGrid"/>
        <w:tblW w:w="0" w:type="auto"/>
        <w:tblLook w:val="0020" w:firstRow="1" w:lastRow="0" w:firstColumn="0" w:lastColumn="0" w:noHBand="0" w:noVBand="0"/>
      </w:tblPr>
      <w:tblGrid>
        <w:gridCol w:w="1730"/>
        <w:gridCol w:w="3524"/>
        <w:gridCol w:w="3762"/>
      </w:tblGrid>
      <w:tr w:rsidR="00375298" w:rsidRPr="00B3149D" w14:paraId="72BD1DE5" w14:textId="77777777" w:rsidTr="00664DCB">
        <w:tc>
          <w:tcPr>
            <w:tcW w:w="0" w:type="auto"/>
          </w:tcPr>
          <w:p w14:paraId="09249AE1"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lastRenderedPageBreak/>
              <w:t>Model family</w:t>
            </w:r>
          </w:p>
        </w:tc>
        <w:tc>
          <w:tcPr>
            <w:tcW w:w="0" w:type="auto"/>
          </w:tcPr>
          <w:p w14:paraId="5C565678"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Relevance to retail forecasting</w:t>
            </w:r>
          </w:p>
        </w:tc>
        <w:tc>
          <w:tcPr>
            <w:tcW w:w="0" w:type="auto"/>
          </w:tcPr>
          <w:p w14:paraId="7740244A"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Critical CLR question</w:t>
            </w:r>
          </w:p>
        </w:tc>
      </w:tr>
      <w:tr w:rsidR="00375298" w:rsidRPr="00B3149D" w14:paraId="49D8FECF" w14:textId="77777777" w:rsidTr="00664DCB">
        <w:tc>
          <w:tcPr>
            <w:tcW w:w="0" w:type="auto"/>
          </w:tcPr>
          <w:p w14:paraId="5C30D380"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ARIMA</w:t>
            </w:r>
          </w:p>
        </w:tc>
        <w:tc>
          <w:tcPr>
            <w:tcW w:w="0" w:type="auto"/>
          </w:tcPr>
          <w:p w14:paraId="582EB256"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Strong benchmark for structured time-series demand data</w:t>
            </w:r>
          </w:p>
        </w:tc>
        <w:tc>
          <w:tcPr>
            <w:tcW w:w="0" w:type="auto"/>
          </w:tcPr>
          <w:p w14:paraId="127C691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When does a simpler, interpretable baseline remain superior?</w:t>
            </w:r>
          </w:p>
        </w:tc>
      </w:tr>
      <w:tr w:rsidR="00375298" w:rsidRPr="00B3149D" w14:paraId="5E49DDEB" w14:textId="77777777" w:rsidTr="00664DCB">
        <w:tc>
          <w:tcPr>
            <w:tcW w:w="0" w:type="auto"/>
          </w:tcPr>
          <w:p w14:paraId="24B42869"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Exponential smoothing</w:t>
            </w:r>
          </w:p>
        </w:tc>
        <w:tc>
          <w:tcPr>
            <w:tcW w:w="0" w:type="auto"/>
          </w:tcPr>
          <w:p w14:paraId="2E7F1C7D"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Scalable and widely used for operational forecasting</w:t>
            </w:r>
          </w:p>
        </w:tc>
        <w:tc>
          <w:tcPr>
            <w:tcW w:w="0" w:type="auto"/>
          </w:tcPr>
          <w:p w14:paraId="5D74A0CE"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Why does it remain useful in retail planning despite newer AI methods?</w:t>
            </w:r>
          </w:p>
        </w:tc>
      </w:tr>
      <w:tr w:rsidR="00375298" w:rsidRPr="00B3149D" w14:paraId="44E6B2C4" w14:textId="77777777" w:rsidTr="00664DCB">
        <w:tc>
          <w:tcPr>
            <w:tcW w:w="0" w:type="auto"/>
          </w:tcPr>
          <w:p w14:paraId="52D36D77"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Random Forest</w:t>
            </w:r>
          </w:p>
        </w:tc>
        <w:tc>
          <w:tcPr>
            <w:tcW w:w="0" w:type="auto"/>
          </w:tcPr>
          <w:p w14:paraId="141B5A0E"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Handles nonlinearity and feature interactions</w:t>
            </w:r>
          </w:p>
        </w:tc>
        <w:tc>
          <w:tcPr>
            <w:tcW w:w="0" w:type="auto"/>
          </w:tcPr>
          <w:p w14:paraId="785A8D2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Does predictive flexibility improve replenishment outcomes or only error scores?</w:t>
            </w:r>
          </w:p>
        </w:tc>
      </w:tr>
      <w:tr w:rsidR="00375298" w:rsidRPr="00B3149D" w14:paraId="7D262759" w14:textId="77777777" w:rsidTr="00664DCB">
        <w:tc>
          <w:tcPr>
            <w:tcW w:w="0" w:type="auto"/>
          </w:tcPr>
          <w:p w14:paraId="6164E4B0" w14:textId="77777777" w:rsidR="00375298" w:rsidRPr="00B3149D" w:rsidRDefault="00375298" w:rsidP="0062377A">
            <w:pPr>
              <w:pStyle w:val="Compact"/>
              <w:spacing w:line="360" w:lineRule="auto"/>
              <w:rPr>
                <w:rFonts w:ascii="Arial" w:hAnsi="Arial" w:cs="Arial"/>
                <w:sz w:val="22"/>
                <w:szCs w:val="22"/>
              </w:rPr>
            </w:pPr>
            <w:proofErr w:type="spellStart"/>
            <w:r w:rsidRPr="00B3149D">
              <w:rPr>
                <w:rFonts w:ascii="Arial" w:hAnsi="Arial" w:cs="Arial"/>
                <w:sz w:val="22"/>
                <w:szCs w:val="22"/>
              </w:rPr>
              <w:t>XGBoost</w:t>
            </w:r>
            <w:proofErr w:type="spellEnd"/>
          </w:p>
        </w:tc>
        <w:tc>
          <w:tcPr>
            <w:tcW w:w="0" w:type="auto"/>
          </w:tcPr>
          <w:p w14:paraId="76A62BD2"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Efficient boosted-tree approach for sparse, high-dimensional tabular data</w:t>
            </w:r>
          </w:p>
        </w:tc>
        <w:tc>
          <w:tcPr>
            <w:tcW w:w="0" w:type="auto"/>
          </w:tcPr>
          <w:p w14:paraId="5FEC091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Is its main advantage operational or merely statistical?</w:t>
            </w:r>
          </w:p>
        </w:tc>
      </w:tr>
      <w:tr w:rsidR="00375298" w:rsidRPr="00B3149D" w14:paraId="184DB9C5" w14:textId="77777777" w:rsidTr="00664DCB">
        <w:tc>
          <w:tcPr>
            <w:tcW w:w="0" w:type="auto"/>
          </w:tcPr>
          <w:p w14:paraId="3BC079A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LSTM</w:t>
            </w:r>
          </w:p>
        </w:tc>
        <w:tc>
          <w:tcPr>
            <w:tcW w:w="0" w:type="auto"/>
          </w:tcPr>
          <w:p w14:paraId="6208642B" w14:textId="77777777" w:rsidR="00375298" w:rsidRPr="00B3149D" w:rsidRDefault="00375298" w:rsidP="0062377A">
            <w:pPr>
              <w:pStyle w:val="Compact"/>
              <w:spacing w:line="360" w:lineRule="auto"/>
              <w:rPr>
                <w:rFonts w:ascii="Arial" w:hAnsi="Arial" w:cs="Arial"/>
                <w:sz w:val="22"/>
                <w:szCs w:val="22"/>
              </w:rPr>
            </w:pPr>
            <w:r w:rsidRPr="00B3149D">
              <w:rPr>
                <w:rFonts w:ascii="Arial" w:hAnsi="Arial" w:cs="Arial"/>
                <w:sz w:val="22"/>
                <w:szCs w:val="22"/>
              </w:rPr>
              <w:t>Captures longer sequential dependencies in demand histories</w:t>
            </w:r>
          </w:p>
        </w:tc>
        <w:tc>
          <w:tcPr>
            <w:tcW w:w="0" w:type="auto"/>
          </w:tcPr>
          <w:p w14:paraId="76F7B7A9" w14:textId="77777777" w:rsidR="00375298" w:rsidRPr="00B3149D" w:rsidRDefault="00375298" w:rsidP="0062377A">
            <w:pPr>
              <w:pStyle w:val="Compact"/>
              <w:keepNext/>
              <w:spacing w:line="360" w:lineRule="auto"/>
              <w:rPr>
                <w:rFonts w:ascii="Arial" w:hAnsi="Arial" w:cs="Arial"/>
                <w:sz w:val="22"/>
                <w:szCs w:val="22"/>
              </w:rPr>
            </w:pPr>
            <w:r w:rsidRPr="00B3149D">
              <w:rPr>
                <w:rFonts w:ascii="Arial" w:hAnsi="Arial" w:cs="Arial"/>
                <w:sz w:val="22"/>
                <w:szCs w:val="22"/>
              </w:rPr>
              <w:t>When is added complexity justified by real business value?</w:t>
            </w:r>
          </w:p>
        </w:tc>
      </w:tr>
    </w:tbl>
    <w:p w14:paraId="3D5232AD" w14:textId="74966DC2" w:rsidR="00664DCB" w:rsidRPr="00B3149D" w:rsidRDefault="00664DCB" w:rsidP="0062377A">
      <w:pPr>
        <w:pStyle w:val="Caption"/>
        <w:spacing w:line="360" w:lineRule="auto"/>
        <w:rPr>
          <w:rFonts w:ascii="Arial" w:hAnsi="Arial" w:cs="Arial"/>
          <w:sz w:val="24"/>
          <w:szCs w:val="24"/>
        </w:rPr>
      </w:pPr>
      <w:bookmarkStart w:id="10" w:name="_Toc227753008"/>
      <w:r w:rsidRPr="00B3149D">
        <w:rPr>
          <w:rFonts w:ascii="Arial" w:hAnsi="Arial" w:cs="Arial"/>
          <w:sz w:val="24"/>
          <w:szCs w:val="24"/>
        </w:rPr>
        <w:t xml:space="preserve">Table </w:t>
      </w:r>
      <w:r w:rsidRPr="00B3149D">
        <w:rPr>
          <w:rFonts w:ascii="Arial" w:hAnsi="Arial" w:cs="Arial"/>
          <w:sz w:val="24"/>
          <w:szCs w:val="24"/>
        </w:rPr>
        <w:fldChar w:fldCharType="begin"/>
      </w:r>
      <w:r w:rsidRPr="00B3149D">
        <w:rPr>
          <w:rFonts w:ascii="Arial" w:hAnsi="Arial" w:cs="Arial"/>
          <w:sz w:val="24"/>
          <w:szCs w:val="24"/>
        </w:rPr>
        <w:instrText xml:space="preserve"> SEQ Table \* ARABIC </w:instrText>
      </w:r>
      <w:r w:rsidRPr="00B3149D">
        <w:rPr>
          <w:rFonts w:ascii="Arial" w:hAnsi="Arial" w:cs="Arial"/>
          <w:sz w:val="24"/>
          <w:szCs w:val="24"/>
        </w:rPr>
        <w:fldChar w:fldCharType="separate"/>
      </w:r>
      <w:r w:rsidR="00486A83" w:rsidRPr="00B3149D">
        <w:rPr>
          <w:rFonts w:ascii="Arial" w:hAnsi="Arial" w:cs="Arial"/>
          <w:noProof/>
          <w:sz w:val="24"/>
          <w:szCs w:val="24"/>
        </w:rPr>
        <w:t>2</w:t>
      </w:r>
      <w:bookmarkEnd w:id="10"/>
      <w:r w:rsidRPr="00B3149D">
        <w:rPr>
          <w:rFonts w:ascii="Arial" w:hAnsi="Arial" w:cs="Arial"/>
          <w:sz w:val="24"/>
          <w:szCs w:val="24"/>
        </w:rPr>
        <w:fldChar w:fldCharType="end"/>
      </w:r>
    </w:p>
    <w:p w14:paraId="78DC7947"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This model comparison synthesizes original method sources with recent retail forecasting evidence. ARIMA and exponential smoothing remain foundational in automatic business forecasting, while Random Forest, </w:t>
      </w:r>
      <w:proofErr w:type="spellStart"/>
      <w:r w:rsidRPr="00B3149D">
        <w:rPr>
          <w:rFonts w:ascii="Arial" w:hAnsi="Arial" w:cs="Arial"/>
        </w:rPr>
        <w:t>XGBoost</w:t>
      </w:r>
      <w:proofErr w:type="spellEnd"/>
      <w:r w:rsidRPr="00B3149D">
        <w:rPr>
          <w:rFonts w:ascii="Arial" w:hAnsi="Arial" w:cs="Arial"/>
        </w:rPr>
        <w:t xml:space="preserve">, and LSTM are relevant because retail demand is nonlinear, high-dimensional, and promotion-sensitive. Recent retail studies also show that machine learning can outperform classical methods in large-scale settings, while newer neural models seek to capture cross-SKU and promotional interactions relevant to replenishment. </w:t>
      </w:r>
      <w:hyperlink r:id="rId25">
        <w:r w:rsidRPr="00B3149D">
          <w:rPr>
            <w:rStyle w:val="Hyperlink"/>
            <w:rFonts w:ascii="Arial" w:hAnsi="Arial" w:cs="Arial"/>
          </w:rPr>
          <w:t>[21]</w:t>
        </w:r>
      </w:hyperlink>
    </w:p>
    <w:p w14:paraId="3D259A45" w14:textId="02077D22" w:rsidR="00375298" w:rsidRPr="00B3149D" w:rsidRDefault="00375298" w:rsidP="0062377A">
      <w:pPr>
        <w:pStyle w:val="BodyText"/>
        <w:spacing w:line="360" w:lineRule="auto"/>
        <w:rPr>
          <w:rFonts w:ascii="Arial" w:hAnsi="Arial" w:cs="Arial"/>
        </w:rPr>
      </w:pPr>
      <w:r w:rsidRPr="00B3149D">
        <w:rPr>
          <w:rFonts w:ascii="Arial" w:hAnsi="Arial" w:cs="Arial"/>
        </w:rPr>
        <w:t xml:space="preserve">The deeper DBA question is not simply which model is “best,” but </w:t>
      </w:r>
      <w:r w:rsidRPr="00B3149D">
        <w:rPr>
          <w:rFonts w:ascii="Arial" w:hAnsi="Arial" w:cs="Arial"/>
          <w:b/>
          <w:bCs/>
        </w:rPr>
        <w:t>why different model families perform differently under different operating conditions and why those differences matter for replenishment performance</w:t>
      </w:r>
      <w:r w:rsidRPr="00B3149D">
        <w:rPr>
          <w:rFonts w:ascii="Arial" w:hAnsi="Arial" w:cs="Arial"/>
        </w:rPr>
        <w:t>.</w:t>
      </w:r>
      <w:r w:rsidR="00B3149D" w:rsidRPr="00B3149D">
        <w:rPr>
          <w:rFonts w:ascii="Arial" w:hAnsi="Arial" w:cs="Arial"/>
        </w:rPr>
        <w:t xml:space="preserve"> </w:t>
      </w:r>
      <w:r w:rsidR="00B3149D" w:rsidRPr="00B3149D">
        <w:rPr>
          <w:rFonts w:ascii="Arial" w:hAnsi="Arial" w:cs="Arial"/>
        </w:rPr>
        <w:t>When forecasting for retail, factors such as promotions, seasonality, weather and store/SKU complexity all play a large role in the forecasting process. Interestingly, while human influence is still seen in the forecasting process, new research is showing that both human forecasters and machine learning algorithms perform forecast differently depending on the context; specifically in promotional forecasting. Further research has also shown that simply having another person review a judgmental modified forecast does not necessarily increase the FVA</w:t>
      </w:r>
      <w:r w:rsidRPr="00B3149D">
        <w:rPr>
          <w:rFonts w:ascii="Arial" w:hAnsi="Arial" w:cs="Arial"/>
        </w:rPr>
        <w:t xml:space="preserve">. </w:t>
      </w:r>
      <w:r w:rsidRPr="00B3149D">
        <w:rPr>
          <w:rFonts w:ascii="Arial" w:hAnsi="Arial" w:cs="Arial"/>
        </w:rPr>
        <w:fldChar w:fldCharType="begin"/>
      </w:r>
      <w:r w:rsidRPr="00B3149D">
        <w:rPr>
          <w:rFonts w:ascii="Arial" w:hAnsi="Arial" w:cs="Arial"/>
        </w:rPr>
        <w:instrText xml:space="preserve"> HYPERLINK "https://www.sciencedirect.com/science/article/abs/pii/S0169207020300224" \h </w:instrText>
      </w:r>
      <w:r w:rsidRPr="00B3149D">
        <w:rPr>
          <w:rFonts w:ascii="Arial" w:hAnsi="Arial" w:cs="Arial"/>
        </w:rPr>
        <w:fldChar w:fldCharType="separate"/>
      </w:r>
      <w:r w:rsidRPr="00B3149D">
        <w:rPr>
          <w:rStyle w:val="Hyperlink"/>
          <w:rFonts w:ascii="Arial" w:hAnsi="Arial" w:cs="Arial"/>
        </w:rPr>
        <w:t>[22]</w:t>
      </w:r>
      <w:r w:rsidRPr="00B3149D">
        <w:rPr>
          <w:rStyle w:val="Hyperlink"/>
          <w:rFonts w:ascii="Arial" w:hAnsi="Arial" w:cs="Arial"/>
        </w:rPr>
        <w:fldChar w:fldCharType="end"/>
      </w:r>
    </w:p>
    <w:p w14:paraId="0E3BF83C" w14:textId="654735C2" w:rsidR="00375298" w:rsidRPr="00B3149D" w:rsidRDefault="00486A83" w:rsidP="0062377A">
      <w:pPr>
        <w:pStyle w:val="Heading1"/>
        <w:spacing w:line="360" w:lineRule="auto"/>
        <w:rPr>
          <w:rFonts w:ascii="Arial" w:hAnsi="Arial" w:cs="Arial"/>
          <w:b/>
          <w:bCs/>
          <w:sz w:val="28"/>
          <w:szCs w:val="28"/>
        </w:rPr>
      </w:pPr>
      <w:bookmarkStart w:id="11" w:name="_Toc227752975"/>
      <w:bookmarkStart w:id="12" w:name="clr-output"/>
      <w:bookmarkEnd w:id="4"/>
      <w:r w:rsidRPr="00B3149D">
        <w:rPr>
          <w:rFonts w:ascii="Arial" w:hAnsi="Arial" w:cs="Arial"/>
          <w:b/>
          <w:bCs/>
          <w:sz w:val="28"/>
          <w:szCs w:val="28"/>
        </w:rPr>
        <w:lastRenderedPageBreak/>
        <w:t>1.</w:t>
      </w:r>
      <w:r w:rsidR="00375298" w:rsidRPr="00B3149D">
        <w:rPr>
          <w:rFonts w:ascii="Arial" w:hAnsi="Arial" w:cs="Arial"/>
          <w:b/>
          <w:bCs/>
          <w:sz w:val="28"/>
          <w:szCs w:val="28"/>
        </w:rPr>
        <w:t>5</w:t>
      </w:r>
      <w:r w:rsidR="00664DCB" w:rsidRPr="00B3149D">
        <w:rPr>
          <w:rFonts w:ascii="Arial" w:hAnsi="Arial" w:cs="Arial"/>
          <w:b/>
          <w:bCs/>
          <w:sz w:val="28"/>
          <w:szCs w:val="28"/>
        </w:rPr>
        <w:t>.</w:t>
      </w:r>
      <w:r w:rsidR="00375298" w:rsidRPr="00B3149D">
        <w:rPr>
          <w:rFonts w:ascii="Arial" w:hAnsi="Arial" w:cs="Arial"/>
          <w:b/>
          <w:bCs/>
          <w:sz w:val="28"/>
          <w:szCs w:val="28"/>
        </w:rPr>
        <w:t xml:space="preserve"> CLR Output</w:t>
      </w:r>
      <w:bookmarkEnd w:id="11"/>
      <w:r w:rsidR="00375298" w:rsidRPr="00B3149D">
        <w:rPr>
          <w:rFonts w:ascii="Arial" w:hAnsi="Arial" w:cs="Arial"/>
          <w:b/>
          <w:bCs/>
          <w:sz w:val="28"/>
          <w:szCs w:val="28"/>
        </w:rPr>
        <w:t xml:space="preserve"> </w:t>
      </w:r>
    </w:p>
    <w:p w14:paraId="3B38AC96" w14:textId="77777777" w:rsidR="00664DCB" w:rsidRPr="00B3149D" w:rsidRDefault="00375298" w:rsidP="0062377A">
      <w:pPr>
        <w:pStyle w:val="BodyText"/>
        <w:keepNext/>
        <w:spacing w:line="360" w:lineRule="auto"/>
        <w:rPr>
          <w:rFonts w:ascii="Arial" w:hAnsi="Arial" w:cs="Arial"/>
        </w:rPr>
      </w:pPr>
      <w:r w:rsidRPr="00B3149D">
        <w:rPr>
          <w:rFonts w:ascii="Arial" w:hAnsi="Arial" w:cs="Arial"/>
        </w:rPr>
        <w:t xml:space="preserve">The output of a DBA CLR is not a stack of summaries. It is a set of </w:t>
      </w:r>
      <w:r w:rsidRPr="00B3149D">
        <w:rPr>
          <w:rFonts w:ascii="Arial" w:hAnsi="Arial" w:cs="Arial"/>
          <w:b/>
          <w:bCs/>
        </w:rPr>
        <w:t>synthesized insights</w:t>
      </w:r>
      <w:r w:rsidRPr="00B3149D">
        <w:rPr>
          <w:rFonts w:ascii="Arial" w:hAnsi="Arial" w:cs="Arial"/>
        </w:rPr>
        <w:t xml:space="preserve">: patterns, relationships, explanations, and the basis for a conceptual model. For this topic, the most defensible practice-based contribution is: </w:t>
      </w:r>
      <w:r w:rsidRPr="00B3149D">
        <w:rPr>
          <w:rFonts w:ascii="Arial" w:hAnsi="Arial" w:cs="Arial"/>
          <w:b/>
          <w:bCs/>
        </w:rPr>
        <w:t>AI capability improves replenishment performance through forecast accuracy, but that effect is mediated by data quality, governance, service-level policy, and human–algorithm interaction</w:t>
      </w:r>
      <w:r w:rsidRPr="00B3149D">
        <w:rPr>
          <w:rFonts w:ascii="Arial" w:hAnsi="Arial" w:cs="Arial"/>
        </w:rPr>
        <w:t xml:space="preserve">. That proposition is stronger than “AI works” because it explains why positive technical results do not always become positive operational results. </w:t>
      </w:r>
      <w:hyperlink r:id="rId26">
        <w:r w:rsidRPr="00B3149D">
          <w:rPr>
            <w:rStyle w:val="Hyperlink"/>
            <w:rFonts w:ascii="Arial" w:hAnsi="Arial" w:cs="Arial"/>
          </w:rPr>
          <w:t>[23]</w:t>
        </w:r>
      </w:hyperlink>
      <w:r w:rsidRPr="00B3149D">
        <w:rPr>
          <w:rFonts w:ascii="Arial" w:hAnsi="Arial" w:cs="Arial"/>
          <w:noProof/>
        </w:rPr>
        <w:t xml:space="preserve"> </w:t>
      </w:r>
      <w:r w:rsidRPr="00B3149D">
        <w:rPr>
          <w:rFonts w:ascii="Arial" w:hAnsi="Arial" w:cs="Arial"/>
          <w:noProof/>
        </w:rPr>
        <w:drawing>
          <wp:inline distT="0" distB="0" distL="0" distR="0" wp14:anchorId="7B099DFB" wp14:editId="3AFE9AB3">
            <wp:extent cx="5943600" cy="240093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27">
                      <a:extLst>
                        <a:ext uri="{28A0092B-C50C-407E-A947-70E740481C1C}">
                          <a14:useLocalDpi xmlns:a14="http://schemas.microsoft.com/office/drawing/2010/main" val="0"/>
                        </a:ext>
                      </a:extLst>
                    </a:blip>
                    <a:stretch>
                      <a:fillRect/>
                    </a:stretch>
                  </pic:blipFill>
                  <pic:spPr>
                    <a:xfrm>
                      <a:off x="0" y="0"/>
                      <a:ext cx="5943600" cy="2400935"/>
                    </a:xfrm>
                    <a:prstGeom prst="rect">
                      <a:avLst/>
                    </a:prstGeom>
                  </pic:spPr>
                </pic:pic>
              </a:graphicData>
            </a:graphic>
          </wp:inline>
        </w:drawing>
      </w:r>
    </w:p>
    <w:p w14:paraId="0841C4A5" w14:textId="20AD643E" w:rsidR="00664DCB" w:rsidRPr="00B3149D" w:rsidRDefault="00664DCB" w:rsidP="0062377A">
      <w:pPr>
        <w:pStyle w:val="Caption"/>
        <w:spacing w:line="360" w:lineRule="auto"/>
        <w:rPr>
          <w:rFonts w:ascii="Arial" w:hAnsi="Arial" w:cs="Arial"/>
          <w:sz w:val="24"/>
          <w:szCs w:val="24"/>
        </w:rPr>
      </w:pPr>
      <w:bookmarkStart w:id="13" w:name="_Toc227753080"/>
      <w:r w:rsidRPr="00B3149D">
        <w:rPr>
          <w:rFonts w:ascii="Arial" w:hAnsi="Arial" w:cs="Arial"/>
          <w:sz w:val="24"/>
          <w:szCs w:val="24"/>
        </w:rPr>
        <w:t xml:space="preserve">Figure </w:t>
      </w:r>
      <w:r w:rsidRPr="00B3149D">
        <w:rPr>
          <w:rFonts w:ascii="Arial" w:hAnsi="Arial" w:cs="Arial"/>
          <w:sz w:val="24"/>
          <w:szCs w:val="24"/>
        </w:rPr>
        <w:fldChar w:fldCharType="begin"/>
      </w:r>
      <w:r w:rsidRPr="00B3149D">
        <w:rPr>
          <w:rFonts w:ascii="Arial" w:hAnsi="Arial" w:cs="Arial"/>
          <w:sz w:val="24"/>
          <w:szCs w:val="24"/>
        </w:rPr>
        <w:instrText xml:space="preserve"> SEQ Figure \* ARABIC </w:instrText>
      </w:r>
      <w:r w:rsidRPr="00B3149D">
        <w:rPr>
          <w:rFonts w:ascii="Arial" w:hAnsi="Arial" w:cs="Arial"/>
          <w:sz w:val="24"/>
          <w:szCs w:val="24"/>
        </w:rPr>
        <w:fldChar w:fldCharType="separate"/>
      </w:r>
      <w:r w:rsidR="00960EBE" w:rsidRPr="00B3149D">
        <w:rPr>
          <w:rFonts w:ascii="Arial" w:hAnsi="Arial" w:cs="Arial"/>
          <w:noProof/>
          <w:sz w:val="24"/>
          <w:szCs w:val="24"/>
        </w:rPr>
        <w:t>1</w:t>
      </w:r>
      <w:bookmarkEnd w:id="13"/>
      <w:r w:rsidRPr="00B3149D">
        <w:rPr>
          <w:rFonts w:ascii="Arial" w:hAnsi="Arial" w:cs="Arial"/>
          <w:sz w:val="24"/>
          <w:szCs w:val="24"/>
        </w:rPr>
        <w:fldChar w:fldCharType="end"/>
      </w:r>
    </w:p>
    <w:p w14:paraId="2DAEC407" w14:textId="510B57EB" w:rsidR="00375298" w:rsidRPr="00B3149D" w:rsidRDefault="00375298" w:rsidP="0062377A">
      <w:pPr>
        <w:pStyle w:val="BodyText"/>
        <w:spacing w:line="360" w:lineRule="auto"/>
        <w:rPr>
          <w:rFonts w:ascii="Arial" w:hAnsi="Arial" w:cs="Arial"/>
        </w:rPr>
      </w:pPr>
      <w:r w:rsidRPr="00B3149D">
        <w:rPr>
          <w:rStyle w:val="Hyperlink"/>
          <w:rFonts w:ascii="Arial" w:hAnsi="Arial" w:cs="Arial"/>
        </w:rPr>
        <w:br/>
      </w:r>
      <w:r w:rsidRPr="00B3149D">
        <w:rPr>
          <w:rStyle w:val="Hyperlink"/>
          <w:rFonts w:ascii="Arial" w:hAnsi="Arial" w:cs="Arial"/>
        </w:rPr>
        <w:br/>
      </w:r>
    </w:p>
    <w:p w14:paraId="20A24E7E" w14:textId="1770EC32" w:rsidR="00375298" w:rsidRPr="00B3149D" w:rsidRDefault="00486A83" w:rsidP="0062377A">
      <w:pPr>
        <w:pStyle w:val="Heading1"/>
        <w:spacing w:line="360" w:lineRule="auto"/>
        <w:rPr>
          <w:rFonts w:ascii="Arial" w:hAnsi="Arial" w:cs="Arial"/>
          <w:b/>
          <w:bCs/>
          <w:sz w:val="28"/>
          <w:szCs w:val="28"/>
        </w:rPr>
      </w:pPr>
      <w:bookmarkStart w:id="14" w:name="_Toc227752976"/>
      <w:bookmarkStart w:id="15" w:name="writing-style"/>
      <w:bookmarkEnd w:id="7"/>
      <w:r w:rsidRPr="00B3149D">
        <w:rPr>
          <w:rFonts w:ascii="Arial" w:hAnsi="Arial" w:cs="Arial"/>
          <w:b/>
          <w:bCs/>
          <w:sz w:val="28"/>
          <w:szCs w:val="28"/>
        </w:rPr>
        <w:t>1.</w:t>
      </w:r>
      <w:r w:rsidR="00375298" w:rsidRPr="00B3149D">
        <w:rPr>
          <w:rFonts w:ascii="Arial" w:hAnsi="Arial" w:cs="Arial"/>
          <w:b/>
          <w:bCs/>
          <w:sz w:val="28"/>
          <w:szCs w:val="28"/>
        </w:rPr>
        <w:t>6</w:t>
      </w:r>
      <w:r w:rsidR="00664DCB" w:rsidRPr="00B3149D">
        <w:rPr>
          <w:rFonts w:ascii="Arial" w:hAnsi="Arial" w:cs="Arial"/>
          <w:b/>
          <w:bCs/>
          <w:sz w:val="28"/>
          <w:szCs w:val="28"/>
        </w:rPr>
        <w:t>.</w:t>
      </w:r>
      <w:r w:rsidR="00375298" w:rsidRPr="00B3149D">
        <w:rPr>
          <w:rFonts w:ascii="Arial" w:hAnsi="Arial" w:cs="Arial"/>
          <w:b/>
          <w:bCs/>
          <w:sz w:val="28"/>
          <w:szCs w:val="28"/>
        </w:rPr>
        <w:t xml:space="preserve"> Writing Style (Critical &amp; Analytical)</w:t>
      </w:r>
      <w:bookmarkEnd w:id="14"/>
    </w:p>
    <w:p w14:paraId="0DA9EBC7" w14:textId="77777777" w:rsidR="00375298" w:rsidRPr="00B3149D" w:rsidRDefault="00375298" w:rsidP="0062377A">
      <w:pPr>
        <w:pStyle w:val="BodyText"/>
        <w:spacing w:line="360" w:lineRule="auto"/>
        <w:rPr>
          <w:rFonts w:ascii="Arial" w:hAnsi="Arial" w:cs="Arial"/>
        </w:rPr>
      </w:pPr>
      <w:r w:rsidRPr="00B3149D">
        <w:rPr>
          <w:rFonts w:ascii="Arial" w:hAnsi="Arial" w:cs="Arial"/>
        </w:rPr>
        <w:t xml:space="preserve">The writing style must itself demonstrate criticality. Avoid flat phrases such as “many studies show.” Prefer formulations such as “the literature converges,” “the evidence diverges,” “a key contradiction emerges,” and “this suggests.” Harvard-style integration should be natural inside prose, for example: </w:t>
      </w:r>
      <w:r w:rsidRPr="00B3149D">
        <w:rPr>
          <w:rFonts w:ascii="Arial" w:hAnsi="Arial" w:cs="Arial"/>
          <w:i/>
          <w:iCs/>
        </w:rPr>
        <w:t>Smith (2024) asserted that machine learning improved store-level forecast accuracy, whereas Jones (2025) argued that the service-level effect depended on planner intervention.</w:t>
      </w:r>
      <w:r w:rsidRPr="00B3149D">
        <w:rPr>
          <w:rFonts w:ascii="Arial" w:hAnsi="Arial" w:cs="Arial"/>
        </w:rPr>
        <w:t xml:space="preserve"> A concrete annotation template for Part 2 should include: </w:t>
      </w:r>
      <w:r w:rsidRPr="00B3149D">
        <w:rPr>
          <w:rFonts w:ascii="Arial" w:hAnsi="Arial" w:cs="Arial"/>
          <w:b/>
          <w:bCs/>
        </w:rPr>
        <w:t xml:space="preserve">citation; argument; theory; method; findings; critical evaluation; relevance; limitations; theoretical positioning; </w:t>
      </w:r>
      <w:r w:rsidRPr="00B3149D">
        <w:rPr>
          <w:rFonts w:ascii="Arial" w:hAnsi="Arial" w:cs="Arial"/>
          <w:b/>
          <w:bCs/>
        </w:rPr>
        <w:lastRenderedPageBreak/>
        <w:t>methodological assumptions; underlying epistemology; and institutional context</w:t>
      </w:r>
      <w:r w:rsidRPr="00B3149D">
        <w:rPr>
          <w:rFonts w:ascii="Arial" w:hAnsi="Arial" w:cs="Arial"/>
        </w:rPr>
        <w:t xml:space="preserve">. A brief exemplar could read: </w:t>
      </w:r>
      <w:r w:rsidRPr="00B3149D">
        <w:rPr>
          <w:rFonts w:ascii="Arial" w:hAnsi="Arial" w:cs="Arial"/>
          <w:i/>
          <w:iCs/>
        </w:rPr>
        <w:t>Ma (2024) argues that graph-recurrent methods improve store-SKU replenishment planning; the study is positivist and empirically strong, but its generalizability may be constrained by retail category context and model opacity.</w:t>
      </w:r>
      <w:r w:rsidRPr="00B3149D">
        <w:rPr>
          <w:rFonts w:ascii="Arial" w:hAnsi="Arial" w:cs="Arial"/>
        </w:rPr>
        <w:t xml:space="preserve"> </w:t>
      </w:r>
      <w:hyperlink r:id="rId28">
        <w:r w:rsidRPr="00B3149D">
          <w:rPr>
            <w:rStyle w:val="Hyperlink"/>
            <w:rFonts w:ascii="Arial" w:hAnsi="Arial" w:cs="Arial"/>
          </w:rPr>
          <w:t>[24]</w:t>
        </w:r>
      </w:hyperlink>
    </w:p>
    <w:p w14:paraId="4B99675C" w14:textId="6B0D816C" w:rsidR="00375298" w:rsidRPr="00B3149D" w:rsidRDefault="00486A83" w:rsidP="0062377A">
      <w:pPr>
        <w:pStyle w:val="Heading1"/>
        <w:spacing w:line="360" w:lineRule="auto"/>
        <w:rPr>
          <w:rFonts w:ascii="Arial" w:hAnsi="Arial" w:cs="Arial"/>
          <w:b/>
          <w:bCs/>
          <w:sz w:val="28"/>
          <w:szCs w:val="28"/>
        </w:rPr>
      </w:pPr>
      <w:bookmarkStart w:id="16" w:name="_Toc227752977"/>
      <w:bookmarkStart w:id="17" w:name="conclusion"/>
      <w:bookmarkEnd w:id="8"/>
      <w:r w:rsidRPr="00B3149D">
        <w:rPr>
          <w:rFonts w:ascii="Arial" w:hAnsi="Arial" w:cs="Arial"/>
          <w:b/>
          <w:bCs/>
          <w:sz w:val="28"/>
          <w:szCs w:val="28"/>
        </w:rPr>
        <w:t>1.</w:t>
      </w:r>
      <w:r w:rsidR="00664DCB" w:rsidRPr="00B3149D">
        <w:rPr>
          <w:rFonts w:ascii="Arial" w:hAnsi="Arial" w:cs="Arial"/>
          <w:b/>
          <w:bCs/>
          <w:sz w:val="28"/>
          <w:szCs w:val="28"/>
        </w:rPr>
        <w:t>7.</w:t>
      </w:r>
      <w:r w:rsidR="00375298" w:rsidRPr="00B3149D">
        <w:rPr>
          <w:rFonts w:ascii="Arial" w:hAnsi="Arial" w:cs="Arial"/>
          <w:b/>
          <w:bCs/>
          <w:sz w:val="28"/>
          <w:szCs w:val="28"/>
        </w:rPr>
        <w:t xml:space="preserve"> Conclusion</w:t>
      </w:r>
      <w:bookmarkEnd w:id="16"/>
    </w:p>
    <w:p w14:paraId="01992747" w14:textId="45D7C749" w:rsidR="00375298" w:rsidRPr="00B3149D" w:rsidRDefault="00375298" w:rsidP="0062377A">
      <w:pPr>
        <w:pStyle w:val="BodyText"/>
        <w:spacing w:line="360" w:lineRule="auto"/>
        <w:rPr>
          <w:rFonts w:ascii="Arial" w:hAnsi="Arial" w:cs="Arial"/>
        </w:rPr>
      </w:pPr>
      <w:r w:rsidRPr="00B3149D">
        <w:rPr>
          <w:rFonts w:ascii="Arial" w:hAnsi="Arial" w:cs="Arial"/>
        </w:rPr>
        <w:t xml:space="preserve">Part 1 has established that a DBA CLR is a systematic, analytical, and contribution-oriented process rather than an extended summary. It has defined the CLR, explained what makes it critical, outlined a PRISMA-informed and CART-disciplined process, specified what the review should </w:t>
      </w:r>
      <w:proofErr w:type="spellStart"/>
      <w:r w:rsidRPr="00B3149D">
        <w:rPr>
          <w:rFonts w:ascii="Arial" w:hAnsi="Arial" w:cs="Arial"/>
        </w:rPr>
        <w:t>analyze</w:t>
      </w:r>
      <w:proofErr w:type="spellEnd"/>
      <w:r w:rsidRPr="00B3149D">
        <w:rPr>
          <w:rFonts w:ascii="Arial" w:hAnsi="Arial" w:cs="Arial"/>
        </w:rPr>
        <w:t xml:space="preserve">, and articulated a practice-based conceptual contribution linking AI, forecasting, replenishment, and retail performance. It has also shown that human versus AI decision-making is central rather than peripheral, because forecast value is realized only when recommendations are interpreted, trusted, and enacted within organizational routines. </w:t>
      </w:r>
      <w:hyperlink r:id="rId29">
        <w:r w:rsidRPr="00B3149D">
          <w:rPr>
            <w:rStyle w:val="Hyperlink"/>
            <w:rFonts w:ascii="Arial" w:hAnsi="Arial" w:cs="Arial"/>
          </w:rPr>
          <w:t>[25]</w:t>
        </w:r>
      </w:hyperlink>
      <w:bookmarkEnd w:id="12"/>
      <w:bookmarkEnd w:id="15"/>
      <w:bookmarkEnd w:id="17"/>
    </w:p>
    <w:p w14:paraId="6B84772D" w14:textId="77777777" w:rsidR="00375298" w:rsidRPr="00B3149D" w:rsidRDefault="00375298" w:rsidP="0062377A">
      <w:pPr>
        <w:spacing w:line="360" w:lineRule="auto"/>
        <w:rPr>
          <w:rFonts w:ascii="Arial" w:hAnsi="Arial" w:cs="Arial"/>
        </w:rPr>
      </w:pPr>
    </w:p>
    <w:p w14:paraId="5ED199C5" w14:textId="0DF37D2A" w:rsidR="00375298" w:rsidRPr="00B3149D" w:rsidRDefault="00486A83" w:rsidP="0062377A">
      <w:pPr>
        <w:pStyle w:val="NormalWeb"/>
        <w:spacing w:line="360" w:lineRule="auto"/>
        <w:rPr>
          <w:rFonts w:ascii="Arial" w:hAnsi="Arial" w:cs="Arial"/>
          <w:sz w:val="22"/>
          <w:szCs w:val="22"/>
        </w:rPr>
      </w:pPr>
      <w:bookmarkStart w:id="18" w:name="_Toc227752978"/>
      <w:r w:rsidRPr="00B3149D">
        <w:rPr>
          <w:rStyle w:val="Heading1Char"/>
          <w:rFonts w:ascii="Arial" w:hAnsi="Arial" w:cs="Arial"/>
          <w:b/>
          <w:bCs/>
          <w:sz w:val="28"/>
          <w:szCs w:val="28"/>
          <w:lang w:eastAsia="en-US"/>
        </w:rPr>
        <w:t>1.</w:t>
      </w:r>
      <w:r w:rsidR="00664DCB" w:rsidRPr="00B3149D">
        <w:rPr>
          <w:rStyle w:val="Heading1Char"/>
          <w:rFonts w:ascii="Arial" w:hAnsi="Arial" w:cs="Arial"/>
          <w:b/>
          <w:bCs/>
          <w:sz w:val="28"/>
          <w:szCs w:val="28"/>
          <w:lang w:eastAsia="en-US"/>
        </w:rPr>
        <w:t xml:space="preserve">8. </w:t>
      </w:r>
      <w:r w:rsidR="00375298" w:rsidRPr="00B3149D">
        <w:rPr>
          <w:rStyle w:val="Heading1Char"/>
          <w:rFonts w:ascii="Arial" w:hAnsi="Arial" w:cs="Arial"/>
          <w:b/>
          <w:bCs/>
          <w:sz w:val="28"/>
          <w:szCs w:val="28"/>
          <w:lang w:eastAsia="en-US"/>
        </w:rPr>
        <w:t>References</w:t>
      </w:r>
      <w:r w:rsidR="00C51596" w:rsidRPr="00B3149D">
        <w:rPr>
          <w:rStyle w:val="Heading1Char"/>
          <w:rFonts w:ascii="Arial" w:hAnsi="Arial" w:cs="Arial"/>
          <w:b/>
          <w:bCs/>
          <w:sz w:val="28"/>
          <w:szCs w:val="28"/>
          <w:lang w:eastAsia="en-US"/>
        </w:rPr>
        <w:t xml:space="preserve"> </w:t>
      </w:r>
      <w:r w:rsidR="00960EBE" w:rsidRPr="00B3149D">
        <w:rPr>
          <w:rStyle w:val="Heading1Char"/>
          <w:rFonts w:ascii="Arial" w:hAnsi="Arial" w:cs="Arial"/>
          <w:b/>
          <w:bCs/>
          <w:sz w:val="28"/>
          <w:szCs w:val="28"/>
          <w:lang w:eastAsia="en-US"/>
        </w:rPr>
        <w:t xml:space="preserve">(Part </w:t>
      </w:r>
      <w:r w:rsidR="00D80F53" w:rsidRPr="00B3149D">
        <w:rPr>
          <w:rStyle w:val="Heading1Char"/>
          <w:rFonts w:ascii="Arial" w:hAnsi="Arial" w:cs="Arial"/>
          <w:b/>
          <w:bCs/>
          <w:sz w:val="28"/>
          <w:szCs w:val="28"/>
          <w:lang w:eastAsia="en-US"/>
        </w:rPr>
        <w:t>1</w:t>
      </w:r>
      <w:r w:rsidR="00960EBE" w:rsidRPr="00B3149D">
        <w:rPr>
          <w:rStyle w:val="Heading1Char"/>
          <w:rFonts w:ascii="Arial" w:hAnsi="Arial" w:cs="Arial"/>
          <w:b/>
          <w:bCs/>
          <w:sz w:val="28"/>
          <w:szCs w:val="28"/>
          <w:lang w:eastAsia="en-US"/>
        </w:rPr>
        <w:t>)</w:t>
      </w:r>
      <w:bookmarkEnd w:id="18"/>
      <w:r w:rsidR="00375298" w:rsidRPr="00B3149D">
        <w:rPr>
          <w:rStyle w:val="Heading1Char"/>
          <w:rFonts w:ascii="Arial" w:hAnsi="Arial" w:cs="Arial"/>
          <w:sz w:val="24"/>
          <w:szCs w:val="24"/>
        </w:rPr>
        <w:br/>
      </w:r>
      <w:r w:rsidR="00375298" w:rsidRPr="00B3149D">
        <w:rPr>
          <w:rFonts w:ascii="Arial" w:hAnsi="Arial" w:cs="Arial"/>
        </w:rPr>
        <w:br/>
      </w:r>
      <w:r w:rsidR="00375298" w:rsidRPr="00B3149D">
        <w:rPr>
          <w:rStyle w:val="Strong"/>
          <w:rFonts w:ascii="Arial" w:hAnsi="Arial" w:cs="Arial"/>
          <w:sz w:val="22"/>
          <w:szCs w:val="22"/>
        </w:rPr>
        <w:t>[1]</w:t>
      </w:r>
      <w:r w:rsidR="00375298" w:rsidRPr="00B3149D">
        <w:rPr>
          <w:rFonts w:ascii="Arial" w:hAnsi="Arial" w:cs="Arial"/>
          <w:sz w:val="22"/>
          <w:szCs w:val="22"/>
        </w:rPr>
        <w:t xml:space="preserve"> Kumar, S. and Singh, R. (2020)</w:t>
      </w:r>
      <w:r w:rsidR="00375298" w:rsidRPr="00B3149D">
        <w:rPr>
          <w:rFonts w:ascii="Arial" w:hAnsi="Arial" w:cs="Arial"/>
          <w:sz w:val="22"/>
          <w:szCs w:val="22"/>
        </w:rPr>
        <w:br/>
      </w:r>
      <w:r w:rsidR="00375298" w:rsidRPr="00B3149D">
        <w:rPr>
          <w:rStyle w:val="Emphasis"/>
          <w:rFonts w:ascii="Arial" w:eastAsiaTheme="majorEastAsia" w:hAnsi="Arial" w:cs="Arial"/>
          <w:sz w:val="22"/>
          <w:szCs w:val="22"/>
        </w:rPr>
        <w:t>A review on demand and forecasting in supply chain management</w:t>
      </w:r>
      <w:r w:rsidR="00375298" w:rsidRPr="00B3149D">
        <w:rPr>
          <w:rFonts w:ascii="Arial" w:hAnsi="Arial" w:cs="Arial"/>
          <w:sz w:val="22"/>
          <w:szCs w:val="22"/>
        </w:rPr>
        <w:t xml:space="preserve">. Available at: </w:t>
      </w:r>
      <w:hyperlink r:id="rId30" w:tgtFrame="_new" w:history="1">
        <w:r w:rsidR="00375298" w:rsidRPr="00B3149D">
          <w:rPr>
            <w:rStyle w:val="Hyperlink"/>
            <w:rFonts w:ascii="Arial" w:hAnsi="Arial" w:cs="Arial"/>
            <w:sz w:val="22"/>
            <w:szCs w:val="22"/>
          </w:rPr>
          <w:t>https://www.researchgate.net/publication/341904756_A_REVIEW_ON_DEMAND_AND_FORECASTING_IN_SUPPLY_CHAIN_MANAGEMENT</w:t>
        </w:r>
      </w:hyperlink>
      <w:r w:rsidR="00375298" w:rsidRPr="00B3149D">
        <w:rPr>
          <w:rFonts w:ascii="Arial" w:hAnsi="Arial" w:cs="Arial"/>
          <w:sz w:val="22"/>
          <w:szCs w:val="22"/>
        </w:rPr>
        <w:t xml:space="preserve"> (Accessed: 22 April 2026).</w:t>
      </w:r>
    </w:p>
    <w:p w14:paraId="1C6B9C95" w14:textId="50DC894E"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t>[2]</w:t>
      </w:r>
      <w:r w:rsidRPr="00B3149D">
        <w:rPr>
          <w:rFonts w:ascii="Arial" w:hAnsi="Arial" w:cs="Arial"/>
          <w:sz w:val="22"/>
          <w:szCs w:val="22"/>
        </w:rPr>
        <w:t xml:space="preserve"> </w:t>
      </w:r>
      <w:proofErr w:type="spellStart"/>
      <w:r w:rsidRPr="00B3149D">
        <w:rPr>
          <w:rFonts w:ascii="Arial" w:hAnsi="Arial" w:cs="Arial"/>
          <w:sz w:val="22"/>
          <w:szCs w:val="22"/>
        </w:rPr>
        <w:t>Fildes</w:t>
      </w:r>
      <w:proofErr w:type="spellEnd"/>
      <w:r w:rsidRPr="00B3149D">
        <w:rPr>
          <w:rFonts w:ascii="Arial" w:hAnsi="Arial" w:cs="Arial"/>
          <w:sz w:val="22"/>
          <w:szCs w:val="22"/>
        </w:rPr>
        <w:t xml:space="preserve">, R., Ma, S. and </w:t>
      </w:r>
      <w:proofErr w:type="spellStart"/>
      <w:r w:rsidRPr="00B3149D">
        <w:rPr>
          <w:rFonts w:ascii="Arial" w:hAnsi="Arial" w:cs="Arial"/>
          <w:sz w:val="22"/>
          <w:szCs w:val="22"/>
        </w:rPr>
        <w:t>Kolassa</w:t>
      </w:r>
      <w:proofErr w:type="spellEnd"/>
      <w:r w:rsidRPr="00B3149D">
        <w:rPr>
          <w:rFonts w:ascii="Arial" w:hAnsi="Arial" w:cs="Arial"/>
          <w:sz w:val="22"/>
          <w:szCs w:val="22"/>
        </w:rPr>
        <w:t>, S. (2024)</w:t>
      </w:r>
      <w:r w:rsidRPr="00B3149D">
        <w:rPr>
          <w:rFonts w:ascii="Arial" w:hAnsi="Arial" w:cs="Arial"/>
          <w:sz w:val="22"/>
          <w:szCs w:val="22"/>
        </w:rPr>
        <w:br/>
        <w:t xml:space="preserve">‘Forecast accuracy and inventory performance: insights from the M5 competition’, </w:t>
      </w:r>
      <w:r w:rsidRPr="00B3149D">
        <w:rPr>
          <w:rStyle w:val="Emphasis"/>
          <w:rFonts w:ascii="Arial" w:eastAsiaTheme="majorEastAsia" w:hAnsi="Arial" w:cs="Arial"/>
          <w:sz w:val="22"/>
          <w:szCs w:val="22"/>
        </w:rPr>
        <w:t>European Journal of Operational Research</w:t>
      </w:r>
      <w:r w:rsidRPr="00B3149D">
        <w:rPr>
          <w:rFonts w:ascii="Arial" w:hAnsi="Arial" w:cs="Arial"/>
          <w:sz w:val="22"/>
          <w:szCs w:val="22"/>
        </w:rPr>
        <w:t xml:space="preserve">. Available at: </w:t>
      </w:r>
      <w:hyperlink r:id="rId31" w:tgtFrame="_new" w:history="1">
        <w:r w:rsidRPr="00B3149D">
          <w:rPr>
            <w:rStyle w:val="Hyperlink"/>
            <w:rFonts w:ascii="Arial" w:hAnsi="Arial" w:cs="Arial"/>
            <w:sz w:val="22"/>
            <w:szCs w:val="22"/>
          </w:rPr>
          <w:t>https://www.sciencedirect.com/science/article/abs/pii/S0377221724009755</w:t>
        </w:r>
      </w:hyperlink>
      <w:r w:rsidRPr="00B3149D">
        <w:rPr>
          <w:rFonts w:ascii="Arial" w:hAnsi="Arial" w:cs="Arial"/>
          <w:sz w:val="22"/>
          <w:szCs w:val="22"/>
        </w:rPr>
        <w:t xml:space="preserve"> (Accessed: 22 April 2026).</w:t>
      </w:r>
    </w:p>
    <w:p w14:paraId="543748F3" w14:textId="378C56E5"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t>[3]</w:t>
      </w:r>
      <w:r w:rsidRPr="00B3149D">
        <w:rPr>
          <w:rFonts w:ascii="Arial" w:hAnsi="Arial" w:cs="Arial"/>
          <w:sz w:val="22"/>
          <w:szCs w:val="22"/>
        </w:rPr>
        <w:t xml:space="preserve"> </w:t>
      </w:r>
      <w:proofErr w:type="spellStart"/>
      <w:r w:rsidRPr="00B3149D">
        <w:rPr>
          <w:rFonts w:ascii="Arial" w:hAnsi="Arial" w:cs="Arial"/>
          <w:sz w:val="22"/>
          <w:szCs w:val="22"/>
        </w:rPr>
        <w:t>Syntetos</w:t>
      </w:r>
      <w:proofErr w:type="spellEnd"/>
      <w:r w:rsidRPr="00B3149D">
        <w:rPr>
          <w:rFonts w:ascii="Arial" w:hAnsi="Arial" w:cs="Arial"/>
          <w:sz w:val="22"/>
          <w:szCs w:val="22"/>
        </w:rPr>
        <w:t xml:space="preserve">, A., </w:t>
      </w:r>
      <w:proofErr w:type="spellStart"/>
      <w:r w:rsidRPr="00B3149D">
        <w:rPr>
          <w:rFonts w:ascii="Arial" w:hAnsi="Arial" w:cs="Arial"/>
          <w:sz w:val="22"/>
          <w:szCs w:val="22"/>
        </w:rPr>
        <w:t>Babai</w:t>
      </w:r>
      <w:proofErr w:type="spellEnd"/>
      <w:r w:rsidRPr="00B3149D">
        <w:rPr>
          <w:rFonts w:ascii="Arial" w:hAnsi="Arial" w:cs="Arial"/>
          <w:sz w:val="22"/>
          <w:szCs w:val="22"/>
        </w:rPr>
        <w:t>, M. and Gardner, E. (2016)</w:t>
      </w:r>
      <w:r w:rsidRPr="00B3149D">
        <w:rPr>
          <w:rFonts w:ascii="Arial" w:hAnsi="Arial" w:cs="Arial"/>
          <w:sz w:val="22"/>
          <w:szCs w:val="22"/>
        </w:rPr>
        <w:br/>
      </w:r>
      <w:r w:rsidRPr="00B3149D">
        <w:rPr>
          <w:rStyle w:val="Emphasis"/>
          <w:rFonts w:ascii="Arial" w:eastAsiaTheme="majorEastAsia" w:hAnsi="Arial" w:cs="Arial"/>
          <w:sz w:val="22"/>
          <w:szCs w:val="22"/>
        </w:rPr>
        <w:t>Supply chain forecasting: theory, practice, their gap and the future</w:t>
      </w:r>
      <w:r w:rsidRPr="00B3149D">
        <w:rPr>
          <w:rFonts w:ascii="Arial" w:hAnsi="Arial" w:cs="Arial"/>
          <w:sz w:val="22"/>
          <w:szCs w:val="22"/>
        </w:rPr>
        <w:t xml:space="preserve">. Available at: </w:t>
      </w:r>
      <w:hyperlink r:id="rId32" w:tgtFrame="_new" w:history="1">
        <w:r w:rsidRPr="00B3149D">
          <w:rPr>
            <w:rStyle w:val="Hyperlink"/>
            <w:rFonts w:ascii="Arial" w:hAnsi="Arial" w:cs="Arial"/>
            <w:sz w:val="22"/>
            <w:szCs w:val="22"/>
          </w:rPr>
          <w:t>https://www.researchgate.net/publication/284232644_Supply_Chain_Forecasting_Theory_Practice_their_Gap_and_the_Future</w:t>
        </w:r>
      </w:hyperlink>
      <w:r w:rsidRPr="00B3149D">
        <w:rPr>
          <w:rFonts w:ascii="Arial" w:hAnsi="Arial" w:cs="Arial"/>
          <w:sz w:val="22"/>
          <w:szCs w:val="22"/>
        </w:rPr>
        <w:t xml:space="preserve"> (Accessed: 22 April 2026).</w:t>
      </w:r>
    </w:p>
    <w:p w14:paraId="67F66F09" w14:textId="77777777"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lastRenderedPageBreak/>
        <w:t>[4]</w:t>
      </w:r>
      <w:r w:rsidRPr="00B3149D">
        <w:rPr>
          <w:rFonts w:ascii="Arial" w:hAnsi="Arial" w:cs="Arial"/>
          <w:sz w:val="22"/>
          <w:szCs w:val="22"/>
        </w:rPr>
        <w:t xml:space="preserve"> Zhang, Y. et al. (2024)</w:t>
      </w:r>
      <w:r w:rsidRPr="00B3149D">
        <w:rPr>
          <w:rFonts w:ascii="Arial" w:hAnsi="Arial" w:cs="Arial"/>
          <w:sz w:val="22"/>
          <w:szCs w:val="22"/>
        </w:rPr>
        <w:br/>
      </w:r>
      <w:r w:rsidRPr="00B3149D">
        <w:rPr>
          <w:rStyle w:val="Emphasis"/>
          <w:rFonts w:ascii="Arial" w:eastAsiaTheme="majorEastAsia" w:hAnsi="Arial" w:cs="Arial"/>
          <w:sz w:val="22"/>
          <w:szCs w:val="22"/>
        </w:rPr>
        <w:t>Multi-agent deep reinforcement learning for integrated demand forecasting and inventory optimisation in sensor-enabled retail supply chains</w:t>
      </w:r>
      <w:r w:rsidRPr="00B3149D">
        <w:rPr>
          <w:rFonts w:ascii="Arial" w:hAnsi="Arial" w:cs="Arial"/>
          <w:sz w:val="22"/>
          <w:szCs w:val="22"/>
        </w:rPr>
        <w:t xml:space="preserve">. Available at: </w:t>
      </w:r>
      <w:hyperlink r:id="rId33" w:tgtFrame="_new" w:history="1">
        <w:r w:rsidRPr="00B3149D">
          <w:rPr>
            <w:rStyle w:val="Hyperlink"/>
            <w:rFonts w:ascii="Arial" w:hAnsi="Arial" w:cs="Arial"/>
            <w:sz w:val="22"/>
            <w:szCs w:val="22"/>
          </w:rPr>
          <w:t>https://www.researchgate.net/publication/390792073_Multi-Agent_Deep_Reinforcement_Learning_for_Integrated_Demand_Forecasting_and_Inventory_Optimization_in_Sensor-Enabled_Retail_Supply_Chains</w:t>
        </w:r>
      </w:hyperlink>
      <w:r w:rsidRPr="00B3149D">
        <w:rPr>
          <w:rFonts w:ascii="Arial" w:hAnsi="Arial" w:cs="Arial"/>
          <w:sz w:val="22"/>
          <w:szCs w:val="22"/>
        </w:rPr>
        <w:t xml:space="preserve"> (Accessed: 22 April 2026).</w:t>
      </w:r>
    </w:p>
    <w:p w14:paraId="740EA786" w14:textId="3BA5134E" w:rsidR="00375298" w:rsidRPr="00B3149D" w:rsidRDefault="00375298" w:rsidP="0062377A">
      <w:pPr>
        <w:spacing w:line="360" w:lineRule="auto"/>
        <w:rPr>
          <w:rFonts w:ascii="Arial" w:hAnsi="Arial" w:cs="Arial"/>
          <w:sz w:val="22"/>
          <w:szCs w:val="22"/>
        </w:rPr>
      </w:pPr>
    </w:p>
    <w:p w14:paraId="67CF0018" w14:textId="1DEE55B4"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t>[5]</w:t>
      </w:r>
      <w:r w:rsidRPr="00B3149D">
        <w:rPr>
          <w:rFonts w:ascii="Arial" w:hAnsi="Arial" w:cs="Arial"/>
          <w:sz w:val="22"/>
          <w:szCs w:val="22"/>
        </w:rPr>
        <w:t xml:space="preserve"> Patel, R. et al. (2025)</w:t>
      </w:r>
      <w:r w:rsidRPr="00B3149D">
        <w:rPr>
          <w:rFonts w:ascii="Arial" w:hAnsi="Arial" w:cs="Arial"/>
          <w:sz w:val="22"/>
          <w:szCs w:val="22"/>
        </w:rPr>
        <w:br/>
        <w:t xml:space="preserve">‘Adaptive demand forecasting framework with weighted ensemble of regression and machine learning models’, </w:t>
      </w:r>
      <w:r w:rsidRPr="00B3149D">
        <w:rPr>
          <w:rStyle w:val="Emphasis"/>
          <w:rFonts w:ascii="Arial" w:eastAsiaTheme="majorEastAsia" w:hAnsi="Arial" w:cs="Arial"/>
          <w:sz w:val="22"/>
          <w:szCs w:val="22"/>
        </w:rPr>
        <w:t>Scientific Reports</w:t>
      </w:r>
      <w:r w:rsidRPr="00B3149D">
        <w:rPr>
          <w:rFonts w:ascii="Arial" w:hAnsi="Arial" w:cs="Arial"/>
          <w:sz w:val="22"/>
          <w:szCs w:val="22"/>
        </w:rPr>
        <w:t xml:space="preserve">. Available at: </w:t>
      </w:r>
      <w:hyperlink r:id="rId34" w:tgtFrame="_new" w:history="1">
        <w:r w:rsidRPr="00B3149D">
          <w:rPr>
            <w:rStyle w:val="Hyperlink"/>
            <w:rFonts w:ascii="Arial" w:hAnsi="Arial" w:cs="Arial"/>
            <w:sz w:val="22"/>
            <w:szCs w:val="22"/>
          </w:rPr>
          <w:t>https://www.nature.com/articles/s41598-025-23352-w</w:t>
        </w:r>
      </w:hyperlink>
      <w:r w:rsidRPr="00B3149D">
        <w:rPr>
          <w:rFonts w:ascii="Arial" w:hAnsi="Arial" w:cs="Arial"/>
          <w:sz w:val="22"/>
          <w:szCs w:val="22"/>
        </w:rPr>
        <w:t xml:space="preserve"> (Accessed: 22 April 2026).</w:t>
      </w:r>
    </w:p>
    <w:p w14:paraId="35DF2600" w14:textId="5B5A8AF1"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t>[6]</w:t>
      </w:r>
      <w:r w:rsidRPr="00B3149D">
        <w:rPr>
          <w:rFonts w:ascii="Arial" w:hAnsi="Arial" w:cs="Arial"/>
          <w:sz w:val="22"/>
          <w:szCs w:val="22"/>
        </w:rPr>
        <w:t xml:space="preserve"> Petropoulos, F., </w:t>
      </w:r>
      <w:proofErr w:type="spellStart"/>
      <w:r w:rsidRPr="00B3149D">
        <w:rPr>
          <w:rFonts w:ascii="Arial" w:hAnsi="Arial" w:cs="Arial"/>
          <w:sz w:val="22"/>
          <w:szCs w:val="22"/>
        </w:rPr>
        <w:t>Kourentzes</w:t>
      </w:r>
      <w:proofErr w:type="spellEnd"/>
      <w:r w:rsidRPr="00B3149D">
        <w:rPr>
          <w:rFonts w:ascii="Arial" w:hAnsi="Arial" w:cs="Arial"/>
          <w:sz w:val="22"/>
          <w:szCs w:val="22"/>
        </w:rPr>
        <w:t>, N. and Nikolopoulos, K. (2024)</w:t>
      </w:r>
      <w:r w:rsidRPr="00B3149D">
        <w:rPr>
          <w:rFonts w:ascii="Arial" w:hAnsi="Arial" w:cs="Arial"/>
          <w:sz w:val="22"/>
          <w:szCs w:val="22"/>
        </w:rPr>
        <w:br/>
        <w:t xml:space="preserve">‘The effects of algorithm use on judgmental biases in forecasting’, </w:t>
      </w:r>
      <w:r w:rsidRPr="00B3149D">
        <w:rPr>
          <w:rStyle w:val="Emphasis"/>
          <w:rFonts w:ascii="Arial" w:eastAsiaTheme="majorEastAsia" w:hAnsi="Arial" w:cs="Arial"/>
          <w:sz w:val="22"/>
          <w:szCs w:val="22"/>
        </w:rPr>
        <w:t>International Journal of Forecasting</w:t>
      </w:r>
      <w:r w:rsidRPr="00B3149D">
        <w:rPr>
          <w:rFonts w:ascii="Arial" w:hAnsi="Arial" w:cs="Arial"/>
          <w:sz w:val="22"/>
          <w:szCs w:val="22"/>
        </w:rPr>
        <w:t xml:space="preserve">. Available at: </w:t>
      </w:r>
      <w:hyperlink r:id="rId35" w:tgtFrame="_new" w:history="1">
        <w:r w:rsidRPr="00B3149D">
          <w:rPr>
            <w:rStyle w:val="Hyperlink"/>
            <w:rFonts w:ascii="Arial" w:hAnsi="Arial" w:cs="Arial"/>
            <w:sz w:val="22"/>
            <w:szCs w:val="22"/>
          </w:rPr>
          <w:t>https://www.sciencedirect.com/science/article/pii/S0169207024001018</w:t>
        </w:r>
      </w:hyperlink>
      <w:r w:rsidRPr="00B3149D">
        <w:rPr>
          <w:rFonts w:ascii="Arial" w:hAnsi="Arial" w:cs="Arial"/>
          <w:sz w:val="22"/>
          <w:szCs w:val="22"/>
        </w:rPr>
        <w:t xml:space="preserve"> (Accessed: 22 April 2026).</w:t>
      </w:r>
    </w:p>
    <w:p w14:paraId="3C33F612" w14:textId="3B91345D"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t>[7]</w:t>
      </w:r>
      <w:r w:rsidRPr="00B3149D">
        <w:rPr>
          <w:rFonts w:ascii="Arial" w:hAnsi="Arial" w:cs="Arial"/>
          <w:sz w:val="22"/>
          <w:szCs w:val="22"/>
        </w:rPr>
        <w:t xml:space="preserve"> </w:t>
      </w:r>
      <w:proofErr w:type="spellStart"/>
      <w:r w:rsidRPr="00B3149D">
        <w:rPr>
          <w:rFonts w:ascii="Arial" w:hAnsi="Arial" w:cs="Arial"/>
          <w:sz w:val="22"/>
          <w:szCs w:val="22"/>
        </w:rPr>
        <w:t>Kourentzes</w:t>
      </w:r>
      <w:proofErr w:type="spellEnd"/>
      <w:r w:rsidRPr="00B3149D">
        <w:rPr>
          <w:rFonts w:ascii="Arial" w:hAnsi="Arial" w:cs="Arial"/>
          <w:sz w:val="22"/>
          <w:szCs w:val="22"/>
        </w:rPr>
        <w:t>, N., Petropoulos, F. and Trapero, J. (2024)</w:t>
      </w:r>
      <w:r w:rsidRPr="00B3149D">
        <w:rPr>
          <w:rFonts w:ascii="Arial" w:hAnsi="Arial" w:cs="Arial"/>
          <w:sz w:val="22"/>
          <w:szCs w:val="22"/>
        </w:rPr>
        <w:br/>
        <w:t xml:space="preserve">‘Algorithm aversion during disruptions: the case of safety stock’, </w:t>
      </w:r>
      <w:r w:rsidRPr="00B3149D">
        <w:rPr>
          <w:rStyle w:val="Emphasis"/>
          <w:rFonts w:ascii="Arial" w:eastAsiaTheme="majorEastAsia" w:hAnsi="Arial" w:cs="Arial"/>
          <w:sz w:val="22"/>
          <w:szCs w:val="22"/>
        </w:rPr>
        <w:t>International Journal of Production Economics</w:t>
      </w:r>
      <w:r w:rsidRPr="00B3149D">
        <w:rPr>
          <w:rFonts w:ascii="Arial" w:hAnsi="Arial" w:cs="Arial"/>
          <w:sz w:val="22"/>
          <w:szCs w:val="22"/>
        </w:rPr>
        <w:t xml:space="preserve">. Available at: </w:t>
      </w:r>
      <w:hyperlink r:id="rId36" w:tgtFrame="_new" w:history="1">
        <w:r w:rsidRPr="00B3149D">
          <w:rPr>
            <w:rStyle w:val="Hyperlink"/>
            <w:rFonts w:ascii="Arial" w:hAnsi="Arial" w:cs="Arial"/>
            <w:sz w:val="22"/>
            <w:szCs w:val="22"/>
          </w:rPr>
          <w:t>https://www.sciencedirect.com/science/article/pii/S0925527324002998</w:t>
        </w:r>
      </w:hyperlink>
      <w:r w:rsidRPr="00B3149D">
        <w:rPr>
          <w:rFonts w:ascii="Arial" w:hAnsi="Arial" w:cs="Arial"/>
          <w:sz w:val="22"/>
          <w:szCs w:val="22"/>
        </w:rPr>
        <w:t xml:space="preserve"> (Accessed: 22 April 2026).</w:t>
      </w:r>
    </w:p>
    <w:p w14:paraId="6A4F58C5" w14:textId="4C92B471" w:rsidR="00375298" w:rsidRPr="00B3149D" w:rsidRDefault="00375298" w:rsidP="0062377A">
      <w:pPr>
        <w:pStyle w:val="NormalWeb"/>
        <w:spacing w:line="360" w:lineRule="auto"/>
        <w:rPr>
          <w:rFonts w:ascii="Arial" w:hAnsi="Arial" w:cs="Arial"/>
          <w:sz w:val="22"/>
          <w:szCs w:val="22"/>
        </w:rPr>
      </w:pPr>
      <w:r w:rsidRPr="00B3149D">
        <w:rPr>
          <w:rStyle w:val="Strong"/>
          <w:rFonts w:ascii="Arial" w:hAnsi="Arial" w:cs="Arial"/>
          <w:sz w:val="22"/>
          <w:szCs w:val="22"/>
        </w:rPr>
        <w:t>[8]</w:t>
      </w:r>
      <w:r w:rsidRPr="00B3149D">
        <w:rPr>
          <w:rFonts w:ascii="Arial" w:hAnsi="Arial" w:cs="Arial"/>
          <w:sz w:val="22"/>
          <w:szCs w:val="22"/>
        </w:rPr>
        <w:t xml:space="preserve"> Gilliland, M. (2023)</w:t>
      </w:r>
      <w:r w:rsidRPr="00B3149D">
        <w:rPr>
          <w:rFonts w:ascii="Arial" w:hAnsi="Arial" w:cs="Arial"/>
          <w:sz w:val="22"/>
          <w:szCs w:val="22"/>
        </w:rPr>
        <w:br/>
        <w:t xml:space="preserve">‘The future of forecast value add: transforming e-commerce forecasting’, </w:t>
      </w:r>
      <w:r w:rsidRPr="00B3149D">
        <w:rPr>
          <w:rStyle w:val="Emphasis"/>
          <w:rFonts w:ascii="Arial" w:eastAsiaTheme="majorEastAsia" w:hAnsi="Arial" w:cs="Arial"/>
          <w:sz w:val="22"/>
          <w:szCs w:val="22"/>
        </w:rPr>
        <w:t>Supply Chain Management Review</w:t>
      </w:r>
      <w:r w:rsidRPr="00B3149D">
        <w:rPr>
          <w:rFonts w:ascii="Arial" w:hAnsi="Arial" w:cs="Arial"/>
          <w:sz w:val="22"/>
          <w:szCs w:val="22"/>
        </w:rPr>
        <w:t xml:space="preserve">. Available at: </w:t>
      </w:r>
      <w:hyperlink r:id="rId37" w:tgtFrame="_new" w:history="1">
        <w:r w:rsidRPr="00B3149D">
          <w:rPr>
            <w:rStyle w:val="Hyperlink"/>
            <w:rFonts w:ascii="Arial" w:hAnsi="Arial" w:cs="Arial"/>
            <w:sz w:val="22"/>
            <w:szCs w:val="22"/>
          </w:rPr>
          <w:t>https://www.scmr.com/article/the-future-of-forecast-value-add-transforming-e-commerce-forecasting</w:t>
        </w:r>
      </w:hyperlink>
      <w:r w:rsidRPr="00B3149D">
        <w:rPr>
          <w:rFonts w:ascii="Arial" w:hAnsi="Arial" w:cs="Arial"/>
          <w:sz w:val="22"/>
          <w:szCs w:val="22"/>
        </w:rPr>
        <w:t xml:space="preserve"> (Accessed: 22 April 2026).</w:t>
      </w:r>
    </w:p>
    <w:p w14:paraId="010D6C8A" w14:textId="77777777" w:rsidR="00375298" w:rsidRPr="00B3149D" w:rsidRDefault="00375298" w:rsidP="0062377A">
      <w:pPr>
        <w:pStyle w:val="NormalWeb"/>
        <w:spacing w:line="360" w:lineRule="auto"/>
        <w:rPr>
          <w:rFonts w:ascii="Arial" w:hAnsi="Arial" w:cs="Arial"/>
        </w:rPr>
      </w:pPr>
      <w:r w:rsidRPr="00B3149D">
        <w:rPr>
          <w:rStyle w:val="Strong"/>
          <w:rFonts w:ascii="Arial" w:hAnsi="Arial" w:cs="Arial"/>
          <w:sz w:val="22"/>
          <w:szCs w:val="22"/>
        </w:rPr>
        <w:t>[9]</w:t>
      </w:r>
      <w:r w:rsidRPr="00B3149D">
        <w:rPr>
          <w:rFonts w:ascii="Arial" w:hAnsi="Arial" w:cs="Arial"/>
          <w:sz w:val="22"/>
          <w:szCs w:val="22"/>
        </w:rPr>
        <w:t xml:space="preserve"> UNESCO (2021)</w:t>
      </w:r>
      <w:r w:rsidRPr="00B3149D">
        <w:rPr>
          <w:rFonts w:ascii="Arial" w:hAnsi="Arial" w:cs="Arial"/>
          <w:sz w:val="22"/>
          <w:szCs w:val="22"/>
        </w:rPr>
        <w:br/>
      </w:r>
      <w:r w:rsidRPr="00B3149D">
        <w:rPr>
          <w:rStyle w:val="Emphasis"/>
          <w:rFonts w:ascii="Arial" w:eastAsiaTheme="majorEastAsia" w:hAnsi="Arial" w:cs="Arial"/>
          <w:sz w:val="22"/>
          <w:szCs w:val="22"/>
        </w:rPr>
        <w:t>Recommendation on the ethics of artificial intelligence</w:t>
      </w:r>
      <w:r w:rsidRPr="00B3149D">
        <w:rPr>
          <w:rFonts w:ascii="Arial" w:hAnsi="Arial" w:cs="Arial"/>
          <w:sz w:val="22"/>
          <w:szCs w:val="22"/>
        </w:rPr>
        <w:t xml:space="preserve">. Available at: </w:t>
      </w:r>
      <w:hyperlink r:id="rId38" w:tgtFrame="_new" w:history="1">
        <w:r w:rsidRPr="00B3149D">
          <w:rPr>
            <w:rStyle w:val="Hyperlink"/>
            <w:rFonts w:ascii="Arial" w:hAnsi="Arial" w:cs="Arial"/>
            <w:sz w:val="22"/>
            <w:szCs w:val="22"/>
          </w:rPr>
          <w:t>https://www.unesco.org/en/artificial-intelligence/recommendation-ethics</w:t>
        </w:r>
      </w:hyperlink>
      <w:r w:rsidRPr="00B3149D">
        <w:rPr>
          <w:rFonts w:ascii="Arial" w:hAnsi="Arial" w:cs="Arial"/>
          <w:sz w:val="22"/>
          <w:szCs w:val="22"/>
        </w:rPr>
        <w:t xml:space="preserve"> (Accessed: 22 April 2026).</w:t>
      </w:r>
    </w:p>
    <w:p w14:paraId="7731B832" w14:textId="33213907" w:rsidR="00375298" w:rsidRPr="00B3149D" w:rsidRDefault="00375298" w:rsidP="0062377A">
      <w:pPr>
        <w:spacing w:line="360" w:lineRule="auto"/>
        <w:rPr>
          <w:rFonts w:ascii="Arial" w:hAnsi="Arial" w:cs="Arial"/>
        </w:rPr>
      </w:pPr>
    </w:p>
    <w:p w14:paraId="1C95A38D" w14:textId="33B0222E" w:rsidR="00A7358E" w:rsidRPr="00B3149D" w:rsidRDefault="00A7358E" w:rsidP="0062377A">
      <w:pPr>
        <w:spacing w:line="360" w:lineRule="auto"/>
        <w:rPr>
          <w:rFonts w:ascii="Arial" w:hAnsi="Arial" w:cs="Arial"/>
        </w:rPr>
      </w:pPr>
    </w:p>
    <w:p w14:paraId="071BFCE8" w14:textId="57C1FA9D" w:rsidR="00A7358E" w:rsidRPr="00B3149D" w:rsidRDefault="00A7358E" w:rsidP="0062377A">
      <w:pPr>
        <w:spacing w:line="360" w:lineRule="auto"/>
        <w:rPr>
          <w:rFonts w:ascii="Arial" w:hAnsi="Arial" w:cs="Arial"/>
        </w:rPr>
      </w:pPr>
    </w:p>
    <w:p w14:paraId="47B84AED" w14:textId="041F438A" w:rsidR="00A7358E" w:rsidRPr="00B3149D" w:rsidRDefault="00A7358E" w:rsidP="0062377A">
      <w:pPr>
        <w:spacing w:line="360" w:lineRule="auto"/>
        <w:rPr>
          <w:rFonts w:ascii="Arial" w:hAnsi="Arial" w:cs="Arial"/>
        </w:rPr>
      </w:pPr>
    </w:p>
    <w:p w14:paraId="3E6EA5A7" w14:textId="35D5CB10" w:rsidR="00A7358E" w:rsidRPr="00B3149D" w:rsidRDefault="00A7358E" w:rsidP="0062377A">
      <w:pPr>
        <w:spacing w:line="360" w:lineRule="auto"/>
        <w:rPr>
          <w:rFonts w:ascii="Arial" w:hAnsi="Arial" w:cs="Arial"/>
        </w:rPr>
      </w:pPr>
    </w:p>
    <w:p w14:paraId="65DC0505" w14:textId="44B97359" w:rsidR="00A7358E" w:rsidRPr="00B3149D" w:rsidRDefault="00A7358E" w:rsidP="0062377A">
      <w:pPr>
        <w:spacing w:line="360" w:lineRule="auto"/>
        <w:rPr>
          <w:rFonts w:ascii="Arial" w:hAnsi="Arial" w:cs="Arial"/>
        </w:rPr>
      </w:pPr>
    </w:p>
    <w:p w14:paraId="198AF1B4" w14:textId="02674E1A" w:rsidR="00A7358E" w:rsidRPr="00B3149D" w:rsidRDefault="00A7358E" w:rsidP="0062377A">
      <w:pPr>
        <w:spacing w:line="360" w:lineRule="auto"/>
        <w:rPr>
          <w:rFonts w:ascii="Arial" w:hAnsi="Arial" w:cs="Arial"/>
        </w:rPr>
      </w:pPr>
    </w:p>
    <w:p w14:paraId="64114A15" w14:textId="77777777" w:rsidR="00D80F53" w:rsidRPr="00B3149D" w:rsidRDefault="00D80F53" w:rsidP="00D80F53">
      <w:pPr>
        <w:spacing w:after="160" w:line="360" w:lineRule="auto"/>
        <w:rPr>
          <w:rFonts w:ascii="Arial" w:hAnsi="Arial" w:cs="Arial"/>
        </w:rPr>
      </w:pPr>
    </w:p>
    <w:p w14:paraId="0588B364" w14:textId="47676F2A" w:rsidR="00D80F53" w:rsidRPr="00B3149D" w:rsidRDefault="00191E5C" w:rsidP="00D80F53">
      <w:pPr>
        <w:spacing w:after="160" w:line="360" w:lineRule="auto"/>
        <w:jc w:val="center"/>
        <w:rPr>
          <w:rStyle w:val="Heading1Char"/>
          <w:rFonts w:ascii="Arial" w:hAnsi="Arial" w:cs="Arial"/>
          <w:b/>
          <w:bCs/>
          <w:sz w:val="28"/>
          <w:szCs w:val="28"/>
        </w:rPr>
      </w:pPr>
      <w:bookmarkStart w:id="19" w:name="_Toc227752979"/>
      <w:r w:rsidRPr="00B3149D">
        <w:rPr>
          <w:rStyle w:val="Heading1Char"/>
          <w:rFonts w:ascii="Arial" w:hAnsi="Arial" w:cs="Arial"/>
          <w:b/>
          <w:bCs/>
          <w:color w:val="000000" w:themeColor="text1"/>
          <w:sz w:val="48"/>
          <w:szCs w:val="48"/>
        </w:rPr>
        <w:t>Part 2</w:t>
      </w:r>
      <w:bookmarkEnd w:id="19"/>
      <w:r w:rsidRPr="00B3149D">
        <w:rPr>
          <w:rStyle w:val="TitleChar"/>
          <w:rFonts w:ascii="Arial" w:hAnsi="Arial" w:cs="Arial"/>
          <w:b/>
          <w:bCs/>
          <w:color w:val="000000" w:themeColor="text1"/>
          <w:sz w:val="28"/>
          <w:szCs w:val="28"/>
        </w:rPr>
        <w:t xml:space="preserve"> </w:t>
      </w:r>
      <w:r w:rsidR="00D80F53" w:rsidRPr="00B3149D">
        <w:rPr>
          <w:rStyle w:val="TitleChar"/>
          <w:rFonts w:ascii="Arial" w:hAnsi="Arial" w:cs="Arial"/>
          <w:b/>
          <w:bCs/>
          <w:sz w:val="28"/>
          <w:szCs w:val="28"/>
        </w:rPr>
        <w:br/>
      </w:r>
      <w:r w:rsidRPr="00B3149D">
        <w:rPr>
          <w:rFonts w:ascii="Arial" w:hAnsi="Arial" w:cs="Arial"/>
          <w:b/>
          <w:bCs/>
          <w:sz w:val="28"/>
          <w:szCs w:val="28"/>
          <w:lang w:val="en-GB"/>
        </w:rPr>
        <w:t>ANNOTATED BIBLIOGRAPHY (100</w:t>
      </w:r>
      <w:r w:rsidR="00D80F53" w:rsidRPr="00B3149D">
        <w:rPr>
          <w:rFonts w:ascii="Arial" w:hAnsi="Arial" w:cs="Arial"/>
          <w:b/>
          <w:bCs/>
          <w:sz w:val="28"/>
          <w:szCs w:val="28"/>
          <w:lang w:val="en-GB"/>
        </w:rPr>
        <w:t xml:space="preserve"> </w:t>
      </w:r>
      <w:r w:rsidRPr="00B3149D">
        <w:rPr>
          <w:rFonts w:ascii="Arial" w:hAnsi="Arial" w:cs="Arial"/>
          <w:b/>
          <w:bCs/>
          <w:sz w:val="28"/>
          <w:szCs w:val="28"/>
          <w:lang w:val="en-GB"/>
        </w:rPr>
        <w:t>SOURCES)</w:t>
      </w:r>
      <w:r w:rsidR="00D80F53" w:rsidRPr="00B3149D">
        <w:rPr>
          <w:rFonts w:ascii="Arial" w:hAnsi="Arial" w:cs="Arial"/>
          <w:b/>
          <w:bCs/>
          <w:sz w:val="28"/>
          <w:szCs w:val="28"/>
          <w:lang w:val="en-GB"/>
        </w:rPr>
        <w:br/>
      </w:r>
    </w:p>
    <w:p w14:paraId="588BFE7E" w14:textId="02F82AA5" w:rsidR="001C6315" w:rsidRPr="00B3149D" w:rsidRDefault="00191E5C" w:rsidP="00D80F53">
      <w:pPr>
        <w:spacing w:after="160" w:line="360" w:lineRule="auto"/>
        <w:rPr>
          <w:rFonts w:ascii="Arial" w:eastAsiaTheme="majorEastAsia" w:hAnsi="Arial" w:cs="Arial"/>
          <w:b/>
          <w:bCs/>
          <w:spacing w:val="-10"/>
          <w:kern w:val="28"/>
          <w:sz w:val="56"/>
          <w:szCs w:val="56"/>
        </w:rPr>
      </w:pPr>
      <w:bookmarkStart w:id="20" w:name="_Toc227752980"/>
      <w:r w:rsidRPr="00B3149D">
        <w:rPr>
          <w:rStyle w:val="Heading1Char"/>
          <w:rFonts w:ascii="Arial" w:hAnsi="Arial" w:cs="Arial"/>
          <w:b/>
          <w:bCs/>
          <w:sz w:val="28"/>
          <w:szCs w:val="28"/>
        </w:rPr>
        <w:t>2.1 Purpose</w:t>
      </w:r>
      <w:bookmarkEnd w:id="20"/>
      <w:r w:rsidRPr="00B3149D">
        <w:rPr>
          <w:rStyle w:val="Heading1Char"/>
          <w:rFonts w:ascii="Arial" w:hAnsi="Arial" w:cs="Arial"/>
          <w:b/>
          <w:bCs/>
          <w:sz w:val="24"/>
          <w:szCs w:val="24"/>
        </w:rPr>
        <w:t xml:space="preserve"> </w:t>
      </w:r>
      <w:r w:rsidRPr="00B3149D">
        <w:rPr>
          <w:rFonts w:ascii="Arial" w:hAnsi="Arial" w:cs="Arial"/>
          <w:b/>
          <w:bCs/>
        </w:rPr>
        <w:br/>
      </w:r>
      <w:r w:rsidR="001C6315" w:rsidRPr="00B3149D">
        <w:rPr>
          <w:rFonts w:ascii="Arial" w:hAnsi="Arial" w:cs="Arial"/>
        </w:rPr>
        <w:t>This annotated bibliography is organised as a knowledge-mapping tool rather than an author-by-author list. It supports doctoral-level synthesis by grouping sources into themes, recording the theoretical and methodological character of each study, and identifying what the field still underexplains about AI-enabled forecasting, human judgement, and replenishment performance in retail supply chains.</w:t>
      </w:r>
    </w:p>
    <w:p w14:paraId="2C004302" w14:textId="43DC843C" w:rsidR="001C6315" w:rsidRPr="00B3149D" w:rsidRDefault="001C6315" w:rsidP="0062377A">
      <w:pPr>
        <w:pStyle w:val="Heading1"/>
        <w:spacing w:line="360" w:lineRule="auto"/>
        <w:rPr>
          <w:rFonts w:ascii="Arial" w:hAnsi="Arial" w:cs="Arial"/>
          <w:b/>
          <w:bCs/>
          <w:sz w:val="28"/>
          <w:szCs w:val="28"/>
        </w:rPr>
      </w:pPr>
      <w:bookmarkStart w:id="21" w:name="_Toc227752981"/>
      <w:r w:rsidRPr="00B3149D">
        <w:rPr>
          <w:rFonts w:ascii="Arial" w:hAnsi="Arial" w:cs="Arial"/>
          <w:b/>
          <w:bCs/>
          <w:sz w:val="28"/>
          <w:szCs w:val="28"/>
        </w:rPr>
        <w:t>2.2 Review method</w:t>
      </w:r>
      <w:bookmarkEnd w:id="21"/>
      <w:r w:rsidRPr="00B3149D">
        <w:rPr>
          <w:rFonts w:ascii="Arial" w:hAnsi="Arial" w:cs="Arial"/>
          <w:b/>
          <w:bCs/>
          <w:sz w:val="28"/>
          <w:szCs w:val="28"/>
        </w:rPr>
        <w:t xml:space="preserve"> </w:t>
      </w:r>
    </w:p>
    <w:tbl>
      <w:tblPr>
        <w:tblStyle w:val="TableGrid"/>
        <w:tblW w:w="0" w:type="auto"/>
        <w:tblLook w:val="04A0" w:firstRow="1" w:lastRow="0" w:firstColumn="1" w:lastColumn="0" w:noHBand="0" w:noVBand="1"/>
      </w:tblPr>
      <w:tblGrid>
        <w:gridCol w:w="1423"/>
        <w:gridCol w:w="1641"/>
        <w:gridCol w:w="1274"/>
        <w:gridCol w:w="1653"/>
        <w:gridCol w:w="1250"/>
        <w:gridCol w:w="1775"/>
      </w:tblGrid>
      <w:tr w:rsidR="001C6315" w:rsidRPr="00B3149D" w14:paraId="3B2C5EF9" w14:textId="77777777" w:rsidTr="00556F41">
        <w:tc>
          <w:tcPr>
            <w:tcW w:w="1728" w:type="dxa"/>
            <w:shd w:val="clear" w:color="auto" w:fill="D9EAF7"/>
            <w:tcMar>
              <w:top w:w="60" w:type="dxa"/>
              <w:left w:w="70" w:type="dxa"/>
              <w:bottom w:w="60" w:type="dxa"/>
              <w:right w:w="70" w:type="dxa"/>
            </w:tcMar>
          </w:tcPr>
          <w:p w14:paraId="023EF95F" w14:textId="77777777" w:rsidR="001C6315" w:rsidRPr="00B3149D" w:rsidRDefault="001C6315" w:rsidP="0062377A">
            <w:pPr>
              <w:spacing w:line="360" w:lineRule="auto"/>
              <w:rPr>
                <w:rFonts w:ascii="Arial" w:hAnsi="Arial" w:cs="Arial"/>
                <w:sz w:val="22"/>
                <w:szCs w:val="22"/>
              </w:rPr>
            </w:pPr>
            <w:r w:rsidRPr="00B3149D">
              <w:rPr>
                <w:rFonts w:ascii="Arial" w:hAnsi="Arial" w:cs="Arial"/>
                <w:b/>
                <w:sz w:val="22"/>
                <w:szCs w:val="22"/>
              </w:rPr>
              <w:t>Purpose</w:t>
            </w:r>
          </w:p>
        </w:tc>
        <w:tc>
          <w:tcPr>
            <w:tcW w:w="1872" w:type="dxa"/>
            <w:shd w:val="clear" w:color="auto" w:fill="D9EAF7"/>
            <w:tcMar>
              <w:top w:w="60" w:type="dxa"/>
              <w:left w:w="70" w:type="dxa"/>
              <w:bottom w:w="60" w:type="dxa"/>
              <w:right w:w="70" w:type="dxa"/>
            </w:tcMar>
          </w:tcPr>
          <w:p w14:paraId="44F15900" w14:textId="77777777" w:rsidR="001C6315" w:rsidRPr="00B3149D" w:rsidRDefault="001C6315" w:rsidP="0062377A">
            <w:pPr>
              <w:spacing w:line="360" w:lineRule="auto"/>
              <w:rPr>
                <w:rFonts w:ascii="Arial" w:hAnsi="Arial" w:cs="Arial"/>
                <w:sz w:val="22"/>
                <w:szCs w:val="22"/>
              </w:rPr>
            </w:pPr>
            <w:r w:rsidRPr="00B3149D">
              <w:rPr>
                <w:rFonts w:ascii="Arial" w:hAnsi="Arial" w:cs="Arial"/>
                <w:b/>
                <w:sz w:val="22"/>
                <w:szCs w:val="22"/>
              </w:rPr>
              <w:t>Literature Type</w:t>
            </w:r>
          </w:p>
        </w:tc>
        <w:tc>
          <w:tcPr>
            <w:tcW w:w="1800" w:type="dxa"/>
            <w:shd w:val="clear" w:color="auto" w:fill="D9EAF7"/>
            <w:tcMar>
              <w:top w:w="60" w:type="dxa"/>
              <w:left w:w="70" w:type="dxa"/>
              <w:bottom w:w="60" w:type="dxa"/>
              <w:right w:w="70" w:type="dxa"/>
            </w:tcMar>
          </w:tcPr>
          <w:p w14:paraId="79F02FC5" w14:textId="77777777" w:rsidR="001C6315" w:rsidRPr="00B3149D" w:rsidRDefault="001C6315" w:rsidP="0062377A">
            <w:pPr>
              <w:spacing w:line="360" w:lineRule="auto"/>
              <w:rPr>
                <w:rFonts w:ascii="Arial" w:hAnsi="Arial" w:cs="Arial"/>
                <w:sz w:val="22"/>
                <w:szCs w:val="22"/>
              </w:rPr>
            </w:pPr>
            <w:r w:rsidRPr="00B3149D">
              <w:rPr>
                <w:rFonts w:ascii="Arial" w:hAnsi="Arial" w:cs="Arial"/>
                <w:b/>
                <w:sz w:val="22"/>
                <w:szCs w:val="22"/>
              </w:rPr>
              <w:t>Review Type</w:t>
            </w:r>
          </w:p>
        </w:tc>
        <w:tc>
          <w:tcPr>
            <w:tcW w:w="3456" w:type="dxa"/>
            <w:shd w:val="clear" w:color="auto" w:fill="D9EAF7"/>
            <w:tcMar>
              <w:top w:w="60" w:type="dxa"/>
              <w:left w:w="70" w:type="dxa"/>
              <w:bottom w:w="60" w:type="dxa"/>
              <w:right w:w="70" w:type="dxa"/>
            </w:tcMar>
          </w:tcPr>
          <w:p w14:paraId="0E659733" w14:textId="77777777" w:rsidR="001C6315" w:rsidRPr="00B3149D" w:rsidRDefault="001C6315" w:rsidP="0062377A">
            <w:pPr>
              <w:spacing w:line="360" w:lineRule="auto"/>
              <w:rPr>
                <w:rFonts w:ascii="Arial" w:hAnsi="Arial" w:cs="Arial"/>
                <w:sz w:val="22"/>
                <w:szCs w:val="22"/>
              </w:rPr>
            </w:pPr>
            <w:r w:rsidRPr="00B3149D">
              <w:rPr>
                <w:rFonts w:ascii="Arial" w:hAnsi="Arial" w:cs="Arial"/>
                <w:b/>
                <w:sz w:val="22"/>
                <w:szCs w:val="22"/>
              </w:rPr>
              <w:t>Methodology Description</w:t>
            </w:r>
          </w:p>
        </w:tc>
        <w:tc>
          <w:tcPr>
            <w:tcW w:w="1800" w:type="dxa"/>
            <w:shd w:val="clear" w:color="auto" w:fill="D9EAF7"/>
            <w:tcMar>
              <w:top w:w="60" w:type="dxa"/>
              <w:left w:w="70" w:type="dxa"/>
              <w:bottom w:w="60" w:type="dxa"/>
              <w:right w:w="70" w:type="dxa"/>
            </w:tcMar>
          </w:tcPr>
          <w:p w14:paraId="6A66321A" w14:textId="77777777" w:rsidR="001C6315" w:rsidRPr="00B3149D" w:rsidRDefault="001C6315" w:rsidP="0062377A">
            <w:pPr>
              <w:spacing w:line="360" w:lineRule="auto"/>
              <w:rPr>
                <w:rFonts w:ascii="Arial" w:hAnsi="Arial" w:cs="Arial"/>
                <w:sz w:val="22"/>
                <w:szCs w:val="22"/>
              </w:rPr>
            </w:pPr>
            <w:r w:rsidRPr="00B3149D">
              <w:rPr>
                <w:rFonts w:ascii="Arial" w:hAnsi="Arial" w:cs="Arial"/>
                <w:b/>
                <w:sz w:val="22"/>
                <w:szCs w:val="22"/>
              </w:rPr>
              <w:t>Example</w:t>
            </w:r>
          </w:p>
        </w:tc>
        <w:tc>
          <w:tcPr>
            <w:tcW w:w="4608" w:type="dxa"/>
            <w:shd w:val="clear" w:color="auto" w:fill="D9EAF7"/>
            <w:tcMar>
              <w:top w:w="60" w:type="dxa"/>
              <w:left w:w="70" w:type="dxa"/>
              <w:bottom w:w="60" w:type="dxa"/>
              <w:right w:w="70" w:type="dxa"/>
            </w:tcMar>
          </w:tcPr>
          <w:p w14:paraId="6D9D0096" w14:textId="77777777" w:rsidR="001C6315" w:rsidRPr="00B3149D" w:rsidRDefault="001C6315" w:rsidP="0062377A">
            <w:pPr>
              <w:spacing w:line="360" w:lineRule="auto"/>
              <w:rPr>
                <w:rFonts w:ascii="Arial" w:hAnsi="Arial" w:cs="Arial"/>
                <w:sz w:val="22"/>
                <w:szCs w:val="22"/>
              </w:rPr>
            </w:pPr>
            <w:r w:rsidRPr="00B3149D">
              <w:rPr>
                <w:rFonts w:ascii="Arial" w:hAnsi="Arial" w:cs="Arial"/>
                <w:b/>
                <w:sz w:val="22"/>
                <w:szCs w:val="22"/>
              </w:rPr>
              <w:t>Example Description</w:t>
            </w:r>
          </w:p>
        </w:tc>
      </w:tr>
      <w:tr w:rsidR="001C6315" w:rsidRPr="00B3149D" w14:paraId="47DFFE9D" w14:textId="77777777" w:rsidTr="00556F41">
        <w:tc>
          <w:tcPr>
            <w:tcW w:w="1728" w:type="dxa"/>
            <w:tcMar>
              <w:top w:w="60" w:type="dxa"/>
              <w:left w:w="70" w:type="dxa"/>
              <w:bottom w:w="60" w:type="dxa"/>
              <w:right w:w="70" w:type="dxa"/>
            </w:tcMar>
          </w:tcPr>
          <w:p w14:paraId="30444043"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Broad interpretive overview</w:t>
            </w:r>
          </w:p>
        </w:tc>
        <w:tc>
          <w:tcPr>
            <w:tcW w:w="1872" w:type="dxa"/>
            <w:tcMar>
              <w:top w:w="60" w:type="dxa"/>
              <w:left w:w="70" w:type="dxa"/>
              <w:bottom w:w="60" w:type="dxa"/>
              <w:right w:w="70" w:type="dxa"/>
            </w:tcMar>
          </w:tcPr>
          <w:p w14:paraId="456220F5"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Mixed academic and policy literature</w:t>
            </w:r>
          </w:p>
        </w:tc>
        <w:tc>
          <w:tcPr>
            <w:tcW w:w="1800" w:type="dxa"/>
            <w:tcMar>
              <w:top w:w="60" w:type="dxa"/>
              <w:left w:w="70" w:type="dxa"/>
              <w:bottom w:w="60" w:type="dxa"/>
              <w:right w:w="70" w:type="dxa"/>
            </w:tcMar>
          </w:tcPr>
          <w:p w14:paraId="60972FF1"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Narrative review</w:t>
            </w:r>
          </w:p>
        </w:tc>
        <w:tc>
          <w:tcPr>
            <w:tcW w:w="3456" w:type="dxa"/>
            <w:tcMar>
              <w:top w:w="60" w:type="dxa"/>
              <w:left w:w="70" w:type="dxa"/>
              <w:bottom w:w="60" w:type="dxa"/>
              <w:right w:w="70" w:type="dxa"/>
            </w:tcMar>
          </w:tcPr>
          <w:p w14:paraId="231721B2"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Selects key studies relevant to the question and offers a descriptive, interpretive account rather than an exhaustive protocol.</w:t>
            </w:r>
          </w:p>
        </w:tc>
        <w:tc>
          <w:tcPr>
            <w:tcW w:w="1800" w:type="dxa"/>
            <w:tcMar>
              <w:top w:w="60" w:type="dxa"/>
              <w:left w:w="70" w:type="dxa"/>
              <w:bottom w:w="60" w:type="dxa"/>
              <w:right w:w="70" w:type="dxa"/>
            </w:tcMar>
          </w:tcPr>
          <w:p w14:paraId="497467C8"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Gordon and Richardson (1997)</w:t>
            </w:r>
          </w:p>
        </w:tc>
        <w:tc>
          <w:tcPr>
            <w:tcW w:w="4608" w:type="dxa"/>
            <w:tcMar>
              <w:top w:w="60" w:type="dxa"/>
              <w:left w:w="70" w:type="dxa"/>
              <w:bottom w:w="60" w:type="dxa"/>
              <w:right w:w="70" w:type="dxa"/>
            </w:tcMar>
          </w:tcPr>
          <w:p w14:paraId="11BE2D64"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 xml:space="preserve">Their narrative review debates whether compact cities are a desirable planning goal, selecting pivotal arguments rather than attempting a complete </w:t>
            </w:r>
            <w:r w:rsidRPr="00B3149D">
              <w:rPr>
                <w:rFonts w:ascii="Arial" w:hAnsi="Arial" w:cs="Arial"/>
                <w:sz w:val="22"/>
                <w:szCs w:val="22"/>
              </w:rPr>
              <w:lastRenderedPageBreak/>
              <w:t>census of literature.</w:t>
            </w:r>
          </w:p>
        </w:tc>
      </w:tr>
      <w:tr w:rsidR="001C6315" w:rsidRPr="00B3149D" w14:paraId="6D557221" w14:textId="77777777" w:rsidTr="00556F41">
        <w:tc>
          <w:tcPr>
            <w:tcW w:w="1728" w:type="dxa"/>
            <w:tcMar>
              <w:top w:w="60" w:type="dxa"/>
              <w:left w:w="70" w:type="dxa"/>
              <w:bottom w:w="60" w:type="dxa"/>
              <w:right w:w="70" w:type="dxa"/>
            </w:tcMar>
          </w:tcPr>
          <w:p w14:paraId="7737AA18"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lastRenderedPageBreak/>
              <w:t>Map the breadth of a field</w:t>
            </w:r>
          </w:p>
        </w:tc>
        <w:tc>
          <w:tcPr>
            <w:tcW w:w="1872" w:type="dxa"/>
            <w:tcMar>
              <w:top w:w="60" w:type="dxa"/>
              <w:left w:w="70" w:type="dxa"/>
              <w:bottom w:w="60" w:type="dxa"/>
              <w:right w:w="70" w:type="dxa"/>
            </w:tcMar>
          </w:tcPr>
          <w:p w14:paraId="2D854B7D"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Heterogeneous studies and grey literature</w:t>
            </w:r>
          </w:p>
        </w:tc>
        <w:tc>
          <w:tcPr>
            <w:tcW w:w="1800" w:type="dxa"/>
            <w:tcMar>
              <w:top w:w="60" w:type="dxa"/>
              <w:left w:w="70" w:type="dxa"/>
              <w:bottom w:w="60" w:type="dxa"/>
              <w:right w:w="70" w:type="dxa"/>
            </w:tcMar>
          </w:tcPr>
          <w:p w14:paraId="6DADBC1F"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Scoping review</w:t>
            </w:r>
          </w:p>
        </w:tc>
        <w:tc>
          <w:tcPr>
            <w:tcW w:w="3456" w:type="dxa"/>
            <w:tcMar>
              <w:top w:w="60" w:type="dxa"/>
              <w:left w:w="70" w:type="dxa"/>
              <w:bottom w:w="60" w:type="dxa"/>
              <w:right w:w="70" w:type="dxa"/>
            </w:tcMar>
          </w:tcPr>
          <w:p w14:paraId="3D16D691"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Uses broad searching and transparent screening to identify how a field is structured, what has been studied, and where evidence is thin.</w:t>
            </w:r>
          </w:p>
        </w:tc>
        <w:tc>
          <w:tcPr>
            <w:tcW w:w="1800" w:type="dxa"/>
            <w:tcMar>
              <w:top w:w="60" w:type="dxa"/>
              <w:left w:w="70" w:type="dxa"/>
              <w:bottom w:w="60" w:type="dxa"/>
              <w:right w:w="70" w:type="dxa"/>
            </w:tcMar>
          </w:tcPr>
          <w:p w14:paraId="30324255"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Arksey and O’Malley (2005)</w:t>
            </w:r>
          </w:p>
        </w:tc>
        <w:tc>
          <w:tcPr>
            <w:tcW w:w="4608" w:type="dxa"/>
            <w:tcMar>
              <w:top w:w="60" w:type="dxa"/>
              <w:left w:w="70" w:type="dxa"/>
              <w:bottom w:w="60" w:type="dxa"/>
              <w:right w:w="70" w:type="dxa"/>
            </w:tcMar>
          </w:tcPr>
          <w:p w14:paraId="13277F90"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Their scoping review framework is designed for emerging or fragmented topics where clarifying concepts and evidence boundaries matters more than effect-size estimation.</w:t>
            </w:r>
          </w:p>
        </w:tc>
      </w:tr>
      <w:tr w:rsidR="001C6315" w:rsidRPr="00B3149D" w14:paraId="1D6D8690" w14:textId="77777777" w:rsidTr="00556F41">
        <w:tc>
          <w:tcPr>
            <w:tcW w:w="1728" w:type="dxa"/>
            <w:tcMar>
              <w:top w:w="60" w:type="dxa"/>
              <w:left w:w="70" w:type="dxa"/>
              <w:bottom w:w="60" w:type="dxa"/>
              <w:right w:w="70" w:type="dxa"/>
            </w:tcMar>
          </w:tcPr>
          <w:p w14:paraId="02084C63"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Evaluate evidence rigorously</w:t>
            </w:r>
          </w:p>
        </w:tc>
        <w:tc>
          <w:tcPr>
            <w:tcW w:w="1872" w:type="dxa"/>
            <w:tcMar>
              <w:top w:w="60" w:type="dxa"/>
              <w:left w:w="70" w:type="dxa"/>
              <w:bottom w:w="60" w:type="dxa"/>
              <w:right w:w="70" w:type="dxa"/>
            </w:tcMar>
          </w:tcPr>
          <w:p w14:paraId="136710C3"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Primarily peer-reviewed empirical studies</w:t>
            </w:r>
          </w:p>
        </w:tc>
        <w:tc>
          <w:tcPr>
            <w:tcW w:w="1800" w:type="dxa"/>
            <w:tcMar>
              <w:top w:w="60" w:type="dxa"/>
              <w:left w:w="70" w:type="dxa"/>
              <w:bottom w:w="60" w:type="dxa"/>
              <w:right w:w="70" w:type="dxa"/>
            </w:tcMar>
          </w:tcPr>
          <w:p w14:paraId="73FAD56B"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Systematic review</w:t>
            </w:r>
          </w:p>
        </w:tc>
        <w:tc>
          <w:tcPr>
            <w:tcW w:w="3456" w:type="dxa"/>
            <w:tcMar>
              <w:top w:w="60" w:type="dxa"/>
              <w:left w:w="70" w:type="dxa"/>
              <w:bottom w:w="60" w:type="dxa"/>
              <w:right w:w="70" w:type="dxa"/>
            </w:tcMar>
          </w:tcPr>
          <w:p w14:paraId="78DA4CC6"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Applies a protocol-led search, screening and inclusion process, often informed by PRISMA, to minimise selection bias.</w:t>
            </w:r>
          </w:p>
        </w:tc>
        <w:tc>
          <w:tcPr>
            <w:tcW w:w="1800" w:type="dxa"/>
            <w:tcMar>
              <w:top w:w="60" w:type="dxa"/>
              <w:left w:w="70" w:type="dxa"/>
              <w:bottom w:w="60" w:type="dxa"/>
              <w:right w:w="70" w:type="dxa"/>
            </w:tcMar>
          </w:tcPr>
          <w:p w14:paraId="69C03F23"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Snyder (2019)</w:t>
            </w:r>
          </w:p>
        </w:tc>
        <w:tc>
          <w:tcPr>
            <w:tcW w:w="4608" w:type="dxa"/>
            <w:tcMar>
              <w:top w:w="60" w:type="dxa"/>
              <w:left w:w="70" w:type="dxa"/>
              <w:bottom w:w="60" w:type="dxa"/>
              <w:right w:w="70" w:type="dxa"/>
            </w:tcMar>
          </w:tcPr>
          <w:p w14:paraId="0F43219F"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Although not topic-specific, Snyder explains how structured review methods improve transparency and reproducibility in management research.</w:t>
            </w:r>
          </w:p>
        </w:tc>
      </w:tr>
      <w:tr w:rsidR="001C6315" w:rsidRPr="00B3149D" w14:paraId="7236134B" w14:textId="77777777" w:rsidTr="00556F41">
        <w:tc>
          <w:tcPr>
            <w:tcW w:w="1728" w:type="dxa"/>
            <w:tcMar>
              <w:top w:w="60" w:type="dxa"/>
              <w:left w:w="70" w:type="dxa"/>
              <w:bottom w:w="60" w:type="dxa"/>
              <w:right w:w="70" w:type="dxa"/>
            </w:tcMar>
          </w:tcPr>
          <w:p w14:paraId="0DD005D4"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Synthesize concepts across streams</w:t>
            </w:r>
          </w:p>
        </w:tc>
        <w:tc>
          <w:tcPr>
            <w:tcW w:w="1872" w:type="dxa"/>
            <w:tcMar>
              <w:top w:w="60" w:type="dxa"/>
              <w:left w:w="70" w:type="dxa"/>
              <w:bottom w:w="60" w:type="dxa"/>
              <w:right w:w="70" w:type="dxa"/>
            </w:tcMar>
          </w:tcPr>
          <w:p w14:paraId="007C3C62"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Conceptual and empirical studies</w:t>
            </w:r>
          </w:p>
        </w:tc>
        <w:tc>
          <w:tcPr>
            <w:tcW w:w="1800" w:type="dxa"/>
            <w:tcMar>
              <w:top w:w="60" w:type="dxa"/>
              <w:left w:w="70" w:type="dxa"/>
              <w:bottom w:w="60" w:type="dxa"/>
              <w:right w:w="70" w:type="dxa"/>
            </w:tcMar>
          </w:tcPr>
          <w:p w14:paraId="39252F14"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Integrative review</w:t>
            </w:r>
          </w:p>
        </w:tc>
        <w:tc>
          <w:tcPr>
            <w:tcW w:w="3456" w:type="dxa"/>
            <w:tcMar>
              <w:top w:w="60" w:type="dxa"/>
              <w:left w:w="70" w:type="dxa"/>
              <w:bottom w:w="60" w:type="dxa"/>
              <w:right w:w="70" w:type="dxa"/>
            </w:tcMar>
          </w:tcPr>
          <w:p w14:paraId="628BE3F0"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 xml:space="preserve">Combines findings from diverse designs to develop new conceptual understanding, frameworks or </w:t>
            </w:r>
            <w:r w:rsidRPr="00B3149D">
              <w:rPr>
                <w:rFonts w:ascii="Arial" w:hAnsi="Arial" w:cs="Arial"/>
                <w:sz w:val="22"/>
                <w:szCs w:val="22"/>
              </w:rPr>
              <w:lastRenderedPageBreak/>
              <w:t>research agendas.</w:t>
            </w:r>
          </w:p>
        </w:tc>
        <w:tc>
          <w:tcPr>
            <w:tcW w:w="1800" w:type="dxa"/>
            <w:tcMar>
              <w:top w:w="60" w:type="dxa"/>
              <w:left w:w="70" w:type="dxa"/>
              <w:bottom w:w="60" w:type="dxa"/>
              <w:right w:w="70" w:type="dxa"/>
            </w:tcMar>
          </w:tcPr>
          <w:p w14:paraId="2BB4530B" w14:textId="77777777" w:rsidR="001C6315" w:rsidRPr="00B3149D" w:rsidRDefault="001C6315" w:rsidP="0062377A">
            <w:pPr>
              <w:spacing w:line="360" w:lineRule="auto"/>
              <w:rPr>
                <w:rFonts w:ascii="Arial" w:hAnsi="Arial" w:cs="Arial"/>
                <w:sz w:val="22"/>
                <w:szCs w:val="22"/>
              </w:rPr>
            </w:pPr>
            <w:proofErr w:type="spellStart"/>
            <w:r w:rsidRPr="00B3149D">
              <w:rPr>
                <w:rFonts w:ascii="Arial" w:hAnsi="Arial" w:cs="Arial"/>
                <w:sz w:val="22"/>
                <w:szCs w:val="22"/>
              </w:rPr>
              <w:lastRenderedPageBreak/>
              <w:t>Torraco</w:t>
            </w:r>
            <w:proofErr w:type="spellEnd"/>
            <w:r w:rsidRPr="00B3149D">
              <w:rPr>
                <w:rFonts w:ascii="Arial" w:hAnsi="Arial" w:cs="Arial"/>
                <w:sz w:val="22"/>
                <w:szCs w:val="22"/>
              </w:rPr>
              <w:t xml:space="preserve"> (2005)</w:t>
            </w:r>
          </w:p>
        </w:tc>
        <w:tc>
          <w:tcPr>
            <w:tcW w:w="4608" w:type="dxa"/>
            <w:tcMar>
              <w:top w:w="60" w:type="dxa"/>
              <w:left w:w="70" w:type="dxa"/>
              <w:bottom w:w="60" w:type="dxa"/>
              <w:right w:w="70" w:type="dxa"/>
            </w:tcMar>
          </w:tcPr>
          <w:p w14:paraId="3FE29334" w14:textId="77777777" w:rsidR="001C6315" w:rsidRPr="00B3149D" w:rsidRDefault="001C6315" w:rsidP="0062377A">
            <w:pPr>
              <w:spacing w:line="360" w:lineRule="auto"/>
              <w:rPr>
                <w:rFonts w:ascii="Arial" w:hAnsi="Arial" w:cs="Arial"/>
                <w:sz w:val="22"/>
                <w:szCs w:val="22"/>
              </w:rPr>
            </w:pPr>
            <w:proofErr w:type="spellStart"/>
            <w:r w:rsidRPr="00B3149D">
              <w:rPr>
                <w:rFonts w:ascii="Arial" w:hAnsi="Arial" w:cs="Arial"/>
                <w:sz w:val="22"/>
                <w:szCs w:val="22"/>
              </w:rPr>
              <w:t>Torraco</w:t>
            </w:r>
            <w:proofErr w:type="spellEnd"/>
            <w:r w:rsidRPr="00B3149D">
              <w:rPr>
                <w:rFonts w:ascii="Arial" w:hAnsi="Arial" w:cs="Arial"/>
                <w:sz w:val="22"/>
                <w:szCs w:val="22"/>
              </w:rPr>
              <w:t xml:space="preserve"> shows how integrative reviews can go beyond summary and generate theoretical insight from </w:t>
            </w:r>
            <w:r w:rsidRPr="00B3149D">
              <w:rPr>
                <w:rFonts w:ascii="Arial" w:hAnsi="Arial" w:cs="Arial"/>
                <w:sz w:val="22"/>
                <w:szCs w:val="22"/>
              </w:rPr>
              <w:lastRenderedPageBreak/>
              <w:t>disparate literatures.</w:t>
            </w:r>
          </w:p>
        </w:tc>
      </w:tr>
      <w:tr w:rsidR="001C6315" w:rsidRPr="00B3149D" w14:paraId="1C1354E3" w14:textId="77777777" w:rsidTr="00556F41">
        <w:tc>
          <w:tcPr>
            <w:tcW w:w="1728" w:type="dxa"/>
            <w:tcMar>
              <w:top w:w="60" w:type="dxa"/>
              <w:left w:w="70" w:type="dxa"/>
              <w:bottom w:w="60" w:type="dxa"/>
              <w:right w:w="70" w:type="dxa"/>
            </w:tcMar>
          </w:tcPr>
          <w:p w14:paraId="1F8F298C"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lastRenderedPageBreak/>
              <w:t>Challenge assumptions in a field</w:t>
            </w:r>
          </w:p>
        </w:tc>
        <w:tc>
          <w:tcPr>
            <w:tcW w:w="1872" w:type="dxa"/>
            <w:tcMar>
              <w:top w:w="60" w:type="dxa"/>
              <w:left w:w="70" w:type="dxa"/>
              <w:bottom w:w="60" w:type="dxa"/>
              <w:right w:w="70" w:type="dxa"/>
            </w:tcMar>
          </w:tcPr>
          <w:p w14:paraId="523998BB"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Dominant and marginal literatures</w:t>
            </w:r>
          </w:p>
        </w:tc>
        <w:tc>
          <w:tcPr>
            <w:tcW w:w="1800" w:type="dxa"/>
            <w:tcMar>
              <w:top w:w="60" w:type="dxa"/>
              <w:left w:w="70" w:type="dxa"/>
              <w:bottom w:w="60" w:type="dxa"/>
              <w:right w:w="70" w:type="dxa"/>
            </w:tcMar>
          </w:tcPr>
          <w:p w14:paraId="06A5129B"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Critical review</w:t>
            </w:r>
          </w:p>
        </w:tc>
        <w:tc>
          <w:tcPr>
            <w:tcW w:w="3456" w:type="dxa"/>
            <w:tcMar>
              <w:top w:w="60" w:type="dxa"/>
              <w:left w:w="70" w:type="dxa"/>
              <w:bottom w:w="60" w:type="dxa"/>
              <w:right w:w="70" w:type="dxa"/>
            </w:tcMar>
          </w:tcPr>
          <w:p w14:paraId="05C78187"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Interrogates hidden assumptions, contradictions, power relations and epistemological blind spots rather than only aggregating evidence.</w:t>
            </w:r>
          </w:p>
        </w:tc>
        <w:tc>
          <w:tcPr>
            <w:tcW w:w="1800" w:type="dxa"/>
            <w:tcMar>
              <w:top w:w="60" w:type="dxa"/>
              <w:left w:w="70" w:type="dxa"/>
              <w:bottom w:w="60" w:type="dxa"/>
              <w:right w:w="70" w:type="dxa"/>
            </w:tcMar>
          </w:tcPr>
          <w:p w14:paraId="51C0DAE1"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Alvesson and Sandberg (2011)</w:t>
            </w:r>
          </w:p>
        </w:tc>
        <w:tc>
          <w:tcPr>
            <w:tcW w:w="4608" w:type="dxa"/>
            <w:tcMar>
              <w:top w:w="60" w:type="dxa"/>
              <w:left w:w="70" w:type="dxa"/>
              <w:bottom w:w="60" w:type="dxa"/>
              <w:right w:w="70" w:type="dxa"/>
            </w:tcMar>
          </w:tcPr>
          <w:p w14:paraId="6E99C479"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Problematization is used to formulate stronger questions by challenging what the existing literature takes for granted.</w:t>
            </w:r>
          </w:p>
        </w:tc>
      </w:tr>
      <w:tr w:rsidR="001C6315" w:rsidRPr="00B3149D" w14:paraId="3EBBEA63" w14:textId="77777777" w:rsidTr="00556F41">
        <w:tc>
          <w:tcPr>
            <w:tcW w:w="1728" w:type="dxa"/>
            <w:tcMar>
              <w:top w:w="60" w:type="dxa"/>
              <w:left w:w="70" w:type="dxa"/>
              <w:bottom w:w="60" w:type="dxa"/>
              <w:right w:w="70" w:type="dxa"/>
            </w:tcMar>
          </w:tcPr>
          <w:p w14:paraId="2CAC56EB"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Map intellectual structure quantitatively</w:t>
            </w:r>
          </w:p>
        </w:tc>
        <w:tc>
          <w:tcPr>
            <w:tcW w:w="1872" w:type="dxa"/>
            <w:tcMar>
              <w:top w:w="60" w:type="dxa"/>
              <w:left w:w="70" w:type="dxa"/>
              <w:bottom w:w="60" w:type="dxa"/>
              <w:right w:w="70" w:type="dxa"/>
            </w:tcMar>
          </w:tcPr>
          <w:p w14:paraId="6A8F2FAA"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Large bibliographic corpora</w:t>
            </w:r>
          </w:p>
        </w:tc>
        <w:tc>
          <w:tcPr>
            <w:tcW w:w="1800" w:type="dxa"/>
            <w:tcMar>
              <w:top w:w="60" w:type="dxa"/>
              <w:left w:w="70" w:type="dxa"/>
              <w:bottom w:w="60" w:type="dxa"/>
              <w:right w:w="70" w:type="dxa"/>
            </w:tcMar>
          </w:tcPr>
          <w:p w14:paraId="122472BD"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Bibliometric review</w:t>
            </w:r>
          </w:p>
        </w:tc>
        <w:tc>
          <w:tcPr>
            <w:tcW w:w="3456" w:type="dxa"/>
            <w:tcMar>
              <w:top w:w="60" w:type="dxa"/>
              <w:left w:w="70" w:type="dxa"/>
              <w:bottom w:w="60" w:type="dxa"/>
              <w:right w:w="70" w:type="dxa"/>
            </w:tcMar>
          </w:tcPr>
          <w:p w14:paraId="1B52784E"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Uses citation, co-citation, co-word or network analysis to identify clusters, trends and influential works.</w:t>
            </w:r>
          </w:p>
        </w:tc>
        <w:tc>
          <w:tcPr>
            <w:tcW w:w="1800" w:type="dxa"/>
            <w:tcMar>
              <w:top w:w="60" w:type="dxa"/>
              <w:left w:w="70" w:type="dxa"/>
              <w:bottom w:w="60" w:type="dxa"/>
              <w:right w:w="70" w:type="dxa"/>
            </w:tcMar>
          </w:tcPr>
          <w:p w14:paraId="45DE124A" w14:textId="77777777" w:rsidR="001C6315" w:rsidRPr="00B3149D" w:rsidRDefault="001C6315" w:rsidP="0062377A">
            <w:pPr>
              <w:spacing w:line="360" w:lineRule="auto"/>
              <w:rPr>
                <w:rFonts w:ascii="Arial" w:hAnsi="Arial" w:cs="Arial"/>
                <w:sz w:val="22"/>
                <w:szCs w:val="22"/>
              </w:rPr>
            </w:pPr>
            <w:proofErr w:type="spellStart"/>
            <w:r w:rsidRPr="00B3149D">
              <w:rPr>
                <w:rFonts w:ascii="Arial" w:hAnsi="Arial" w:cs="Arial"/>
                <w:sz w:val="22"/>
                <w:szCs w:val="22"/>
              </w:rPr>
              <w:t>Donthu</w:t>
            </w:r>
            <w:proofErr w:type="spellEnd"/>
            <w:r w:rsidRPr="00B3149D">
              <w:rPr>
                <w:rFonts w:ascii="Arial" w:hAnsi="Arial" w:cs="Arial"/>
                <w:sz w:val="22"/>
                <w:szCs w:val="22"/>
              </w:rPr>
              <w:t xml:space="preserve"> et al. (2021)</w:t>
            </w:r>
          </w:p>
        </w:tc>
        <w:tc>
          <w:tcPr>
            <w:tcW w:w="4608" w:type="dxa"/>
            <w:tcMar>
              <w:top w:w="60" w:type="dxa"/>
              <w:left w:w="70" w:type="dxa"/>
              <w:bottom w:w="60" w:type="dxa"/>
              <w:right w:w="70" w:type="dxa"/>
            </w:tcMar>
          </w:tcPr>
          <w:p w14:paraId="7370856F"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Their guidance demonstrates how bibliometric reviews reveal field structure, though they need conceptual interpretation to avoid becoming purely descriptive.</w:t>
            </w:r>
          </w:p>
        </w:tc>
      </w:tr>
      <w:tr w:rsidR="001C6315" w:rsidRPr="00B3149D" w14:paraId="179E2805" w14:textId="77777777" w:rsidTr="00556F41">
        <w:tc>
          <w:tcPr>
            <w:tcW w:w="1728" w:type="dxa"/>
            <w:tcMar>
              <w:top w:w="60" w:type="dxa"/>
              <w:left w:w="70" w:type="dxa"/>
              <w:bottom w:w="60" w:type="dxa"/>
              <w:right w:w="70" w:type="dxa"/>
            </w:tcMar>
          </w:tcPr>
          <w:p w14:paraId="4A1BA391"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Aggregate comparable quantitative findings</w:t>
            </w:r>
          </w:p>
        </w:tc>
        <w:tc>
          <w:tcPr>
            <w:tcW w:w="1872" w:type="dxa"/>
            <w:tcMar>
              <w:top w:w="60" w:type="dxa"/>
              <w:left w:w="70" w:type="dxa"/>
              <w:bottom w:w="60" w:type="dxa"/>
              <w:right w:w="70" w:type="dxa"/>
            </w:tcMar>
          </w:tcPr>
          <w:p w14:paraId="215ED615"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Empirical studies with common metrics</w:t>
            </w:r>
          </w:p>
        </w:tc>
        <w:tc>
          <w:tcPr>
            <w:tcW w:w="1800" w:type="dxa"/>
            <w:tcMar>
              <w:top w:w="60" w:type="dxa"/>
              <w:left w:w="70" w:type="dxa"/>
              <w:bottom w:w="60" w:type="dxa"/>
              <w:right w:w="70" w:type="dxa"/>
            </w:tcMar>
          </w:tcPr>
          <w:p w14:paraId="4E47A664"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Meta-analysis</w:t>
            </w:r>
          </w:p>
        </w:tc>
        <w:tc>
          <w:tcPr>
            <w:tcW w:w="3456" w:type="dxa"/>
            <w:tcMar>
              <w:top w:w="60" w:type="dxa"/>
              <w:left w:w="70" w:type="dxa"/>
              <w:bottom w:w="60" w:type="dxa"/>
              <w:right w:w="70" w:type="dxa"/>
            </w:tcMar>
          </w:tcPr>
          <w:p w14:paraId="2DC71E19"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Statistically combines results from prior studies to estimate average effects and moderators.</w:t>
            </w:r>
          </w:p>
        </w:tc>
        <w:tc>
          <w:tcPr>
            <w:tcW w:w="1800" w:type="dxa"/>
            <w:tcMar>
              <w:top w:w="60" w:type="dxa"/>
              <w:left w:w="70" w:type="dxa"/>
              <w:bottom w:w="60" w:type="dxa"/>
              <w:right w:w="70" w:type="dxa"/>
            </w:tcMar>
          </w:tcPr>
          <w:p w14:paraId="4ADA81C5"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Glass (1976)</w:t>
            </w:r>
          </w:p>
        </w:tc>
        <w:tc>
          <w:tcPr>
            <w:tcW w:w="4608" w:type="dxa"/>
            <w:tcMar>
              <w:top w:w="60" w:type="dxa"/>
              <w:left w:w="70" w:type="dxa"/>
              <w:bottom w:w="60" w:type="dxa"/>
              <w:right w:w="70" w:type="dxa"/>
            </w:tcMar>
          </w:tcPr>
          <w:p w14:paraId="3BB1307E"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Meta-analysis is valuable when studies are sufficiently comparable, but it is less suitable for fragmented, conceptually diverse retail AI research.</w:t>
            </w:r>
          </w:p>
        </w:tc>
      </w:tr>
      <w:tr w:rsidR="001C6315" w:rsidRPr="00B3149D" w14:paraId="79EEC7F9" w14:textId="77777777" w:rsidTr="00556F41">
        <w:tc>
          <w:tcPr>
            <w:tcW w:w="1728" w:type="dxa"/>
            <w:tcMar>
              <w:top w:w="60" w:type="dxa"/>
              <w:left w:w="70" w:type="dxa"/>
              <w:bottom w:w="60" w:type="dxa"/>
              <w:right w:w="70" w:type="dxa"/>
            </w:tcMar>
          </w:tcPr>
          <w:p w14:paraId="2971FDEB"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lastRenderedPageBreak/>
              <w:t>Summarise evidence on evidence</w:t>
            </w:r>
          </w:p>
        </w:tc>
        <w:tc>
          <w:tcPr>
            <w:tcW w:w="1872" w:type="dxa"/>
            <w:tcMar>
              <w:top w:w="60" w:type="dxa"/>
              <w:left w:w="70" w:type="dxa"/>
              <w:bottom w:w="60" w:type="dxa"/>
              <w:right w:w="70" w:type="dxa"/>
            </w:tcMar>
          </w:tcPr>
          <w:p w14:paraId="1526D965"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Existing reviews</w:t>
            </w:r>
          </w:p>
        </w:tc>
        <w:tc>
          <w:tcPr>
            <w:tcW w:w="1800" w:type="dxa"/>
            <w:tcMar>
              <w:top w:w="60" w:type="dxa"/>
              <w:left w:w="70" w:type="dxa"/>
              <w:bottom w:w="60" w:type="dxa"/>
              <w:right w:w="70" w:type="dxa"/>
            </w:tcMar>
          </w:tcPr>
          <w:p w14:paraId="0E6EB3F0"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Umbrella review</w:t>
            </w:r>
          </w:p>
        </w:tc>
        <w:tc>
          <w:tcPr>
            <w:tcW w:w="3456" w:type="dxa"/>
            <w:tcMar>
              <w:top w:w="60" w:type="dxa"/>
              <w:left w:w="70" w:type="dxa"/>
              <w:bottom w:w="60" w:type="dxa"/>
              <w:right w:w="70" w:type="dxa"/>
            </w:tcMar>
          </w:tcPr>
          <w:p w14:paraId="47F9B329" w14:textId="77777777" w:rsidR="001C6315" w:rsidRPr="00B3149D" w:rsidRDefault="001C6315" w:rsidP="0062377A">
            <w:pPr>
              <w:spacing w:line="360" w:lineRule="auto"/>
              <w:rPr>
                <w:rFonts w:ascii="Arial" w:hAnsi="Arial" w:cs="Arial"/>
                <w:sz w:val="22"/>
                <w:szCs w:val="22"/>
              </w:rPr>
            </w:pPr>
            <w:r w:rsidRPr="00B3149D">
              <w:rPr>
                <w:rFonts w:ascii="Arial" w:hAnsi="Arial" w:cs="Arial"/>
                <w:sz w:val="22"/>
                <w:szCs w:val="22"/>
              </w:rPr>
              <w:t>Synthesises findings from prior reviews to provide a high-level overview of what is already established.</w:t>
            </w:r>
          </w:p>
        </w:tc>
        <w:tc>
          <w:tcPr>
            <w:tcW w:w="1800" w:type="dxa"/>
            <w:tcMar>
              <w:top w:w="60" w:type="dxa"/>
              <w:left w:w="70" w:type="dxa"/>
              <w:bottom w:w="60" w:type="dxa"/>
              <w:right w:w="70" w:type="dxa"/>
            </w:tcMar>
          </w:tcPr>
          <w:p w14:paraId="515B15D8" w14:textId="77777777" w:rsidR="001C6315" w:rsidRPr="00B3149D" w:rsidRDefault="001C6315" w:rsidP="0062377A">
            <w:pPr>
              <w:spacing w:line="360" w:lineRule="auto"/>
              <w:rPr>
                <w:rFonts w:ascii="Arial" w:hAnsi="Arial" w:cs="Arial"/>
                <w:sz w:val="22"/>
                <w:szCs w:val="22"/>
              </w:rPr>
            </w:pPr>
            <w:proofErr w:type="spellStart"/>
            <w:r w:rsidRPr="00B3149D">
              <w:rPr>
                <w:rFonts w:ascii="Arial" w:hAnsi="Arial" w:cs="Arial"/>
                <w:sz w:val="22"/>
                <w:szCs w:val="22"/>
              </w:rPr>
              <w:t>Aromataris</w:t>
            </w:r>
            <w:proofErr w:type="spellEnd"/>
            <w:r w:rsidRPr="00B3149D">
              <w:rPr>
                <w:rFonts w:ascii="Arial" w:hAnsi="Arial" w:cs="Arial"/>
                <w:sz w:val="22"/>
                <w:szCs w:val="22"/>
              </w:rPr>
              <w:t xml:space="preserve"> et al. (2015)</w:t>
            </w:r>
          </w:p>
        </w:tc>
        <w:tc>
          <w:tcPr>
            <w:tcW w:w="4608" w:type="dxa"/>
            <w:tcMar>
              <w:top w:w="60" w:type="dxa"/>
              <w:left w:w="70" w:type="dxa"/>
              <w:bottom w:w="60" w:type="dxa"/>
              <w:right w:w="70" w:type="dxa"/>
            </w:tcMar>
          </w:tcPr>
          <w:p w14:paraId="2E61D32A" w14:textId="77777777" w:rsidR="001C6315" w:rsidRPr="00B3149D" w:rsidRDefault="001C6315" w:rsidP="00486A83">
            <w:pPr>
              <w:keepNext/>
              <w:spacing w:line="360" w:lineRule="auto"/>
              <w:rPr>
                <w:rFonts w:ascii="Arial" w:hAnsi="Arial" w:cs="Arial"/>
                <w:sz w:val="22"/>
                <w:szCs w:val="22"/>
              </w:rPr>
            </w:pPr>
            <w:r w:rsidRPr="00B3149D">
              <w:rPr>
                <w:rFonts w:ascii="Arial" w:hAnsi="Arial" w:cs="Arial"/>
                <w:sz w:val="22"/>
                <w:szCs w:val="22"/>
              </w:rPr>
              <w:t>Useful where multiple review papers already exist, though less appropriate if the domain is still fragmented and fast moving.</w:t>
            </w:r>
          </w:p>
        </w:tc>
      </w:tr>
    </w:tbl>
    <w:p w14:paraId="01E3AB8A" w14:textId="38CD167B" w:rsidR="00486A83" w:rsidRPr="00B3149D" w:rsidRDefault="00486A83">
      <w:pPr>
        <w:pStyle w:val="Caption"/>
        <w:rPr>
          <w:rFonts w:ascii="Arial" w:hAnsi="Arial" w:cs="Arial"/>
        </w:rPr>
      </w:pPr>
      <w:bookmarkStart w:id="22" w:name="_Toc227753009"/>
      <w:r w:rsidRPr="00B3149D">
        <w:rPr>
          <w:rFonts w:ascii="Arial" w:hAnsi="Arial" w:cs="Arial"/>
        </w:rPr>
        <w:t xml:space="preserve">Table </w:t>
      </w:r>
      <w:r w:rsidRPr="00B3149D">
        <w:rPr>
          <w:rFonts w:ascii="Arial" w:hAnsi="Arial" w:cs="Arial"/>
        </w:rPr>
        <w:fldChar w:fldCharType="begin"/>
      </w:r>
      <w:r w:rsidRPr="00B3149D">
        <w:rPr>
          <w:rFonts w:ascii="Arial" w:hAnsi="Arial" w:cs="Arial"/>
        </w:rPr>
        <w:instrText xml:space="preserve"> SEQ Table \* ARABIC </w:instrText>
      </w:r>
      <w:r w:rsidRPr="00B3149D">
        <w:rPr>
          <w:rFonts w:ascii="Arial" w:hAnsi="Arial" w:cs="Arial"/>
        </w:rPr>
        <w:fldChar w:fldCharType="separate"/>
      </w:r>
      <w:r w:rsidRPr="00B3149D">
        <w:rPr>
          <w:rFonts w:ascii="Arial" w:hAnsi="Arial" w:cs="Arial"/>
          <w:noProof/>
        </w:rPr>
        <w:t>3</w:t>
      </w:r>
      <w:bookmarkEnd w:id="22"/>
      <w:r w:rsidRPr="00B3149D">
        <w:rPr>
          <w:rFonts w:ascii="Arial" w:hAnsi="Arial" w:cs="Arial"/>
        </w:rPr>
        <w:fldChar w:fldCharType="end"/>
      </w:r>
    </w:p>
    <w:p w14:paraId="07ADF891" w14:textId="05D878DA" w:rsidR="00A7358E" w:rsidRPr="00B3149D" w:rsidRDefault="00D80F53" w:rsidP="0062377A">
      <w:pPr>
        <w:spacing w:after="160" w:line="360" w:lineRule="auto"/>
        <w:rPr>
          <w:rFonts w:ascii="Arial" w:hAnsi="Arial" w:cs="Arial"/>
          <w:b/>
          <w:bCs/>
        </w:rPr>
      </w:pPr>
      <w:r w:rsidRPr="00B3149D">
        <w:rPr>
          <w:rFonts w:ascii="Arial" w:hAnsi="Arial" w:cs="Arial"/>
        </w:rPr>
        <w:br/>
      </w:r>
      <w:r w:rsidRPr="00B3149D">
        <w:rPr>
          <w:rFonts w:ascii="Arial" w:hAnsi="Arial" w:cs="Arial"/>
          <w:b/>
          <w:bCs/>
          <w:color w:val="000000" w:themeColor="text1"/>
        </w:rPr>
        <w:t xml:space="preserve">Note : All 100 Bibliography theme wise is attached in Appendix below , Made a summary of all . </w:t>
      </w:r>
      <w:r w:rsidRPr="00B3149D">
        <w:rPr>
          <w:rFonts w:ascii="Arial" w:hAnsi="Arial" w:cs="Arial"/>
          <w:b/>
          <w:bCs/>
          <w:color w:val="000000" w:themeColor="text1"/>
        </w:rPr>
        <w:br/>
      </w:r>
    </w:p>
    <w:p w14:paraId="3420A63A" w14:textId="6C964736" w:rsidR="001C6315" w:rsidRPr="00B3149D" w:rsidRDefault="001C6315" w:rsidP="0062377A">
      <w:pPr>
        <w:pStyle w:val="Heading1"/>
        <w:spacing w:line="360" w:lineRule="auto"/>
        <w:rPr>
          <w:rFonts w:ascii="Arial" w:hAnsi="Arial" w:cs="Arial"/>
          <w:b/>
          <w:bCs/>
          <w:sz w:val="28"/>
          <w:szCs w:val="28"/>
        </w:rPr>
      </w:pPr>
      <w:bookmarkStart w:id="23" w:name="_Toc227752982"/>
      <w:bookmarkStart w:id="24" w:name="X5a691f5b0d4a7d1473ec4b54ea4ddb1df50d88b"/>
      <w:r w:rsidRPr="00B3149D">
        <w:rPr>
          <w:rFonts w:ascii="Arial" w:hAnsi="Arial" w:cs="Arial"/>
          <w:b/>
          <w:bCs/>
          <w:sz w:val="28"/>
          <w:szCs w:val="28"/>
        </w:rPr>
        <w:t>2.3 Thematic Synthesis of Forecasting Literature</w:t>
      </w:r>
      <w:bookmarkEnd w:id="23"/>
    </w:p>
    <w:p w14:paraId="41907238" w14:textId="77777777" w:rsidR="00973F30" w:rsidRPr="00B3149D" w:rsidRDefault="00973F30" w:rsidP="0062377A">
      <w:pPr>
        <w:pStyle w:val="Heading2"/>
        <w:spacing w:line="360" w:lineRule="auto"/>
        <w:rPr>
          <w:rFonts w:ascii="Arial" w:hAnsi="Arial" w:cs="Arial"/>
          <w:sz w:val="24"/>
          <w:szCs w:val="24"/>
        </w:rPr>
      </w:pPr>
      <w:bookmarkStart w:id="25" w:name="executive-summary"/>
    </w:p>
    <w:p w14:paraId="6395C281" w14:textId="26A5CC04" w:rsidR="001C6315" w:rsidRPr="00B3149D" w:rsidRDefault="001C6315" w:rsidP="00486A83">
      <w:pPr>
        <w:rPr>
          <w:rFonts w:ascii="Arial" w:hAnsi="Arial" w:cs="Arial"/>
          <w:sz w:val="28"/>
          <w:szCs w:val="28"/>
        </w:rPr>
      </w:pPr>
      <w:r w:rsidRPr="00B3149D">
        <w:rPr>
          <w:rFonts w:ascii="Arial" w:hAnsi="Arial" w:cs="Arial"/>
          <w:sz w:val="28"/>
          <w:szCs w:val="28"/>
        </w:rPr>
        <w:t>Executive Summary</w:t>
      </w:r>
    </w:p>
    <w:p w14:paraId="0353BAFD" w14:textId="77777777" w:rsidR="001C6315" w:rsidRPr="00B3149D" w:rsidRDefault="001C6315" w:rsidP="0062377A">
      <w:pPr>
        <w:pStyle w:val="FirstParagraph"/>
        <w:spacing w:line="360" w:lineRule="auto"/>
        <w:rPr>
          <w:rFonts w:ascii="Arial" w:hAnsi="Arial" w:cs="Arial"/>
        </w:rPr>
      </w:pPr>
      <w:r w:rsidRPr="00B3149D">
        <w:rPr>
          <w:rFonts w:ascii="Arial" w:hAnsi="Arial" w:cs="Arial"/>
        </w:rPr>
        <w:t xml:space="preserve">This narrative synthesizes over 100 sources on supply chain forecasting and AI, organized by themes. </w:t>
      </w:r>
      <w:r w:rsidRPr="00B3149D">
        <w:rPr>
          <w:rFonts w:ascii="Arial" w:hAnsi="Arial" w:cs="Arial"/>
          <w:b/>
          <w:bCs/>
        </w:rPr>
        <w:t>Theme 1</w:t>
      </w:r>
      <w:r w:rsidRPr="00B3149D">
        <w:rPr>
          <w:rFonts w:ascii="Arial" w:hAnsi="Arial" w:cs="Arial"/>
        </w:rPr>
        <w:t xml:space="preserve"> establishes that forecasting is foundational to supply chain decision-making; theories (e.g. information processing, SCOR planning) frame it as “the basis for all strategic and planning decisions in a supply chain”</w:t>
      </w:r>
      <w:hyperlink r:id="rId39" w:anchor=":~:text=Proposed%20forecasting%20management%20model%20IV,promotions%2C%20new%20production%20introduction%20%E2%80%A6">
        <w:r w:rsidRPr="00B3149D">
          <w:rPr>
            <w:rStyle w:val="Hyperlink"/>
            <w:rFonts w:ascii="Arial" w:hAnsi="Arial" w:cs="Arial"/>
          </w:rPr>
          <w:t>[1]</w:t>
        </w:r>
      </w:hyperlink>
      <w:r w:rsidRPr="00B3149D">
        <w:rPr>
          <w:rFonts w:ascii="Arial" w:hAnsi="Arial" w:cs="Arial"/>
        </w:rPr>
        <w:t xml:space="preserve">. However, experts caution that forecasts must not only be accurate but also </w:t>
      </w:r>
      <w:r w:rsidRPr="00B3149D">
        <w:rPr>
          <w:rFonts w:ascii="Arial" w:hAnsi="Arial" w:cs="Arial"/>
          <w:i/>
          <w:iCs/>
        </w:rPr>
        <w:t>useful</w:t>
      </w:r>
      <w:r w:rsidRPr="00B3149D">
        <w:rPr>
          <w:rFonts w:ascii="Arial" w:hAnsi="Arial" w:cs="Arial"/>
        </w:rPr>
        <w:t xml:space="preserve"> to improve outcomes (e.g. reducing costs or boosting sales)</w:t>
      </w:r>
      <w:hyperlink r:id="rId40" w:anchor=":~:text=Accurate%20forecasting%20is%20essential%20for,has%20been%20a%20subject%20of">
        <w:r w:rsidRPr="00B3149D">
          <w:rPr>
            <w:rStyle w:val="Hyperlink"/>
            <w:rFonts w:ascii="Arial" w:hAnsi="Arial" w:cs="Arial"/>
          </w:rPr>
          <w:t>[2]</w:t>
        </w:r>
      </w:hyperlink>
      <w:r w:rsidRPr="00B3149D">
        <w:rPr>
          <w:rFonts w:ascii="Arial" w:hAnsi="Arial" w:cs="Arial"/>
        </w:rPr>
        <w:t xml:space="preserve">. </w:t>
      </w:r>
      <w:r w:rsidRPr="00B3149D">
        <w:rPr>
          <w:rFonts w:ascii="Arial" w:hAnsi="Arial" w:cs="Arial"/>
          <w:b/>
          <w:bCs/>
        </w:rPr>
        <w:t>Theme 2</w:t>
      </w:r>
      <w:r w:rsidRPr="00B3149D">
        <w:rPr>
          <w:rFonts w:ascii="Arial" w:hAnsi="Arial" w:cs="Arial"/>
        </w:rPr>
        <w:t xml:space="preserve"> reviews empirical retail studies: recent machine learning (ML) and AI methods (e.g. ensembles, neural nets, reinforcement learning) achieve substantial accuracy gains and inventory benefits (e.g. ~30% MAPE reduction and 23–25% inventory performance improvements</w:t>
      </w:r>
      <w:hyperlink r:id="rId41" w:anchor=":~:text=,">
        <w:r w:rsidRPr="00B3149D">
          <w:rPr>
            <w:rStyle w:val="Hyperlink"/>
            <w:rFonts w:ascii="Arial" w:hAnsi="Arial" w:cs="Arial"/>
          </w:rPr>
          <w:t>[3]</w:t>
        </w:r>
      </w:hyperlink>
      <w:hyperlink r:id="rId42" w:anchor=":~:text=and%20humidity%20sensors,enabled%20supply%20chain%20challenges">
        <w:r w:rsidRPr="00B3149D">
          <w:rPr>
            <w:rStyle w:val="Hyperlink"/>
            <w:rFonts w:ascii="Arial" w:hAnsi="Arial" w:cs="Arial"/>
          </w:rPr>
          <w:t>[4]</w:t>
        </w:r>
      </w:hyperlink>
      <w:r w:rsidRPr="00B3149D">
        <w:rPr>
          <w:rFonts w:ascii="Arial" w:hAnsi="Arial" w:cs="Arial"/>
        </w:rPr>
        <w:t>). But these gains are context-specific (mostly for high-velocity, promotion-driven SKUs)</w:t>
      </w:r>
      <w:hyperlink r:id="rId43" w:anchor=":~:text=significant%20improvements%20in%20forecasting%20accuracy,through%20model%20deployment%20and%20ongoing">
        <w:r w:rsidRPr="00B3149D">
          <w:rPr>
            <w:rStyle w:val="Hyperlink"/>
            <w:rFonts w:ascii="Arial" w:hAnsi="Arial" w:cs="Arial"/>
          </w:rPr>
          <w:t>[5]</w:t>
        </w:r>
      </w:hyperlink>
      <w:r w:rsidRPr="00B3149D">
        <w:rPr>
          <w:rFonts w:ascii="Arial" w:hAnsi="Arial" w:cs="Arial"/>
        </w:rPr>
        <w:t xml:space="preserve">. </w:t>
      </w:r>
      <w:r w:rsidRPr="00B3149D">
        <w:rPr>
          <w:rFonts w:ascii="Arial" w:hAnsi="Arial" w:cs="Arial"/>
          <w:b/>
          <w:bCs/>
        </w:rPr>
        <w:t>Theme 3</w:t>
      </w:r>
      <w:r w:rsidRPr="00B3149D">
        <w:rPr>
          <w:rFonts w:ascii="Arial" w:hAnsi="Arial" w:cs="Arial"/>
        </w:rPr>
        <w:t xml:space="preserve"> compares methods: a wide array of techniques (ARIMA, ETS, SVM, </w:t>
      </w:r>
      <w:proofErr w:type="spellStart"/>
      <w:r w:rsidRPr="00B3149D">
        <w:rPr>
          <w:rFonts w:ascii="Arial" w:hAnsi="Arial" w:cs="Arial"/>
        </w:rPr>
        <w:t>XGBoost</w:t>
      </w:r>
      <w:proofErr w:type="spellEnd"/>
      <w:r w:rsidRPr="00B3149D">
        <w:rPr>
          <w:rFonts w:ascii="Arial" w:hAnsi="Arial" w:cs="Arial"/>
        </w:rPr>
        <w:t>, LSTM, and hybrids) has been explored</w:t>
      </w:r>
      <w:hyperlink r:id="rId44" w:anchor=":~:text=From%20the%20previous%20literature%20review%2C,limited%20focus%20in%20the%20literature">
        <w:r w:rsidRPr="00B3149D">
          <w:rPr>
            <w:rStyle w:val="Hyperlink"/>
            <w:rFonts w:ascii="Arial" w:hAnsi="Arial" w:cs="Arial"/>
          </w:rPr>
          <w:t>[6]</w:t>
        </w:r>
      </w:hyperlink>
      <w:r w:rsidRPr="00B3149D">
        <w:rPr>
          <w:rFonts w:ascii="Arial" w:hAnsi="Arial" w:cs="Arial"/>
        </w:rPr>
        <w:t>. Consensus holds that ML/ensemble models generally outperform classical approaches on complex data</w:t>
      </w:r>
      <w:hyperlink r:id="rId45" w:anchor=":~:text=Ozdemir%20and%20Yozgatligil15%20%20conducted,hybrid%20model%20outperformed%20both%20single">
        <w:r w:rsidRPr="00B3149D">
          <w:rPr>
            <w:rStyle w:val="Hyperlink"/>
            <w:rFonts w:ascii="Arial" w:hAnsi="Arial" w:cs="Arial"/>
          </w:rPr>
          <w:t>[7]</w:t>
        </w:r>
      </w:hyperlink>
      <w:hyperlink r:id="rId46" w:anchor=":~:text=,">
        <w:r w:rsidRPr="00B3149D">
          <w:rPr>
            <w:rStyle w:val="Hyperlink"/>
            <w:rFonts w:ascii="Arial" w:hAnsi="Arial" w:cs="Arial"/>
          </w:rPr>
          <w:t>[8]</w:t>
        </w:r>
      </w:hyperlink>
      <w:r w:rsidRPr="00B3149D">
        <w:rPr>
          <w:rFonts w:ascii="Arial" w:hAnsi="Arial" w:cs="Arial"/>
        </w:rPr>
        <w:t xml:space="preserve">, yet the best approach often depends on the data pattern and product lifecycle phase. </w:t>
      </w:r>
      <w:r w:rsidRPr="00B3149D">
        <w:rPr>
          <w:rFonts w:ascii="Arial" w:hAnsi="Arial" w:cs="Arial"/>
          <w:b/>
          <w:bCs/>
        </w:rPr>
        <w:t>Theme 4</w:t>
      </w:r>
      <w:r w:rsidRPr="00B3149D">
        <w:rPr>
          <w:rFonts w:ascii="Arial" w:hAnsi="Arial" w:cs="Arial"/>
        </w:rPr>
        <w:t xml:space="preserve"> examines human vs algorithmic judgment: research shows that human planners exhibit biases </w:t>
      </w:r>
      <w:r w:rsidRPr="00B3149D">
        <w:rPr>
          <w:rFonts w:ascii="Arial" w:hAnsi="Arial" w:cs="Arial"/>
        </w:rPr>
        <w:lastRenderedPageBreak/>
        <w:t>(anchoring, availability, etc.) that degrade forecasts, whereas algorithms can mitigate these biases</w:t>
      </w:r>
      <w:hyperlink r:id="rId47" w:anchor=":~:text=forecasting,large%20language">
        <w:r w:rsidRPr="00B3149D">
          <w:rPr>
            <w:rStyle w:val="Hyperlink"/>
            <w:rFonts w:ascii="Arial" w:hAnsi="Arial" w:cs="Arial"/>
          </w:rPr>
          <w:t>[9]</w:t>
        </w:r>
      </w:hyperlink>
      <w:r w:rsidRPr="00B3149D">
        <w:rPr>
          <w:rFonts w:ascii="Arial" w:hAnsi="Arial" w:cs="Arial"/>
        </w:rPr>
        <w:t>. In practice, algorithms have outperformed humans (especially under disruption)</w:t>
      </w:r>
      <w:hyperlink r:id="rId48" w:anchor=":~:text=and%20adaptation%20affects%20performance,decision%20performance%20during%20disruptive%20events">
        <w:r w:rsidRPr="00B3149D">
          <w:rPr>
            <w:rStyle w:val="Hyperlink"/>
            <w:rFonts w:ascii="Arial" w:hAnsi="Arial" w:cs="Arial"/>
          </w:rPr>
          <w:t>[10]</w:t>
        </w:r>
      </w:hyperlink>
      <w:r w:rsidRPr="00B3149D">
        <w:rPr>
          <w:rFonts w:ascii="Arial" w:hAnsi="Arial" w:cs="Arial"/>
        </w:rPr>
        <w:t xml:space="preserve">, but human trust and interpretability remain challenges. Experts advocate a </w:t>
      </w:r>
      <w:r w:rsidRPr="00B3149D">
        <w:rPr>
          <w:rFonts w:ascii="Arial" w:hAnsi="Arial" w:cs="Arial"/>
          <w:b/>
          <w:bCs/>
        </w:rPr>
        <w:t>human–AI hybrid</w:t>
      </w:r>
      <w:r w:rsidRPr="00B3149D">
        <w:rPr>
          <w:rFonts w:ascii="Arial" w:hAnsi="Arial" w:cs="Arial"/>
        </w:rPr>
        <w:t xml:space="preserve"> (forecast value-add, continuous learning) approach</w:t>
      </w:r>
      <w:hyperlink r:id="rId49" w:anchor=":~:text=omnichannel%20environments%2C%20poor%20forecasts%20cascade,retraining%20to%20improve%20over%20time">
        <w:r w:rsidRPr="00B3149D">
          <w:rPr>
            <w:rStyle w:val="Hyperlink"/>
            <w:rFonts w:ascii="Arial" w:hAnsi="Arial" w:cs="Arial"/>
          </w:rPr>
          <w:t>[11]</w:t>
        </w:r>
      </w:hyperlink>
      <w:r w:rsidRPr="00B3149D">
        <w:rPr>
          <w:rFonts w:ascii="Arial" w:hAnsi="Arial" w:cs="Arial"/>
        </w:rPr>
        <w:t xml:space="preserve">. </w:t>
      </w:r>
      <w:r w:rsidRPr="00B3149D">
        <w:rPr>
          <w:rFonts w:ascii="Arial" w:hAnsi="Arial" w:cs="Arial"/>
          <w:b/>
          <w:bCs/>
        </w:rPr>
        <w:t>Theme 5</w:t>
      </w:r>
      <w:r w:rsidRPr="00B3149D">
        <w:rPr>
          <w:rFonts w:ascii="Arial" w:hAnsi="Arial" w:cs="Arial"/>
        </w:rPr>
        <w:t xml:space="preserve"> covers emerging trends and governance: studies are increasingly looking at AI-driven frameworks (e.g. multi-agent reinforcement learning</w:t>
      </w:r>
      <w:hyperlink r:id="rId50" w:anchor=":~:text=and%20humidity%20sensors,enabled%20supply%20chain%20challenges">
        <w:r w:rsidRPr="00B3149D">
          <w:rPr>
            <w:rStyle w:val="Hyperlink"/>
            <w:rFonts w:ascii="Arial" w:hAnsi="Arial" w:cs="Arial"/>
          </w:rPr>
          <w:t>[4]</w:t>
        </w:r>
      </w:hyperlink>
      <w:r w:rsidRPr="00B3149D">
        <w:rPr>
          <w:rFonts w:ascii="Arial" w:hAnsi="Arial" w:cs="Arial"/>
        </w:rPr>
        <w:t>) and mixed-method evaluations (surveys + data). There is also growing attention to ethical AI principles: UNESCO’s 2021 Ethics Recommendation stresses transparency, fairness, and human oversight</w:t>
      </w:r>
      <w:hyperlink r:id="rId51" w:anchor=":~:text=UNESCO%20produced%20the%20first,194%20member%20states%20of%20UNESCO">
        <w:r w:rsidRPr="00B3149D">
          <w:rPr>
            <w:rStyle w:val="Hyperlink"/>
            <w:rFonts w:ascii="Arial" w:hAnsi="Arial" w:cs="Arial"/>
          </w:rPr>
          <w:t>[12]</w:t>
        </w:r>
      </w:hyperlink>
      <w:r w:rsidRPr="00B3149D">
        <w:rPr>
          <w:rFonts w:ascii="Arial" w:hAnsi="Arial" w:cs="Arial"/>
        </w:rPr>
        <w:t>.</w:t>
      </w:r>
    </w:p>
    <w:p w14:paraId="3E393382"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Across themes, scholars </w:t>
      </w:r>
      <w:r w:rsidRPr="00B3149D">
        <w:rPr>
          <w:rFonts w:ascii="Arial" w:hAnsi="Arial" w:cs="Arial"/>
          <w:b/>
          <w:bCs/>
        </w:rPr>
        <w:t>agree</w:t>
      </w:r>
      <w:r w:rsidRPr="00B3149D">
        <w:rPr>
          <w:rFonts w:ascii="Arial" w:hAnsi="Arial" w:cs="Arial"/>
        </w:rPr>
        <w:t xml:space="preserve"> that forecasting accuracy is crucial but must be linked to decision value; </w:t>
      </w:r>
      <w:r w:rsidRPr="00B3149D">
        <w:rPr>
          <w:rFonts w:ascii="Arial" w:hAnsi="Arial" w:cs="Arial"/>
          <w:b/>
          <w:bCs/>
        </w:rPr>
        <w:t>conflicts</w:t>
      </w:r>
      <w:r w:rsidRPr="00B3149D">
        <w:rPr>
          <w:rFonts w:ascii="Arial" w:hAnsi="Arial" w:cs="Arial"/>
        </w:rPr>
        <w:t xml:space="preserve"> arise on whether higher accuracy always yields better outcomes (many studies show only a weak link between error reduction and inventory/service improvements</w:t>
      </w:r>
      <w:hyperlink r:id="rId52" w:anchor=":~:text=It%20becomes%20evident%20that%20the,also%20being%20often%20limited%20in">
        <w:r w:rsidRPr="00B3149D">
          <w:rPr>
            <w:rStyle w:val="Hyperlink"/>
            <w:rFonts w:ascii="Arial" w:hAnsi="Arial" w:cs="Arial"/>
          </w:rPr>
          <w:t>[13]</w:t>
        </w:r>
      </w:hyperlink>
      <w:r w:rsidRPr="00B3149D">
        <w:rPr>
          <w:rFonts w:ascii="Arial" w:hAnsi="Arial" w:cs="Arial"/>
        </w:rPr>
        <w:t xml:space="preserve">). What is </w:t>
      </w:r>
      <w:r w:rsidRPr="00B3149D">
        <w:rPr>
          <w:rFonts w:ascii="Arial" w:hAnsi="Arial" w:cs="Arial"/>
          <w:b/>
          <w:bCs/>
        </w:rPr>
        <w:t>missing</w:t>
      </w:r>
      <w:r w:rsidRPr="00B3149D">
        <w:rPr>
          <w:rFonts w:ascii="Arial" w:hAnsi="Arial" w:cs="Arial"/>
        </w:rPr>
        <w:t xml:space="preserve"> is a unified framework connecting improved AI forecasts to real-world supply chain performance, especially in retail contexts with human actors. The literature lacks comprehensive field studies that tie AI-driven forecast gains to business metrics, and it under-explores how trust and governance mediate adoption. These gaps point to the need in Part 3 for a conceptual model that integrates forecasting accuracy, human–AI interaction, and supply chain outcomes, along with clear research questions to test it.</w:t>
      </w:r>
    </w:p>
    <w:p w14:paraId="3379D387"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Assumption:</w:t>
      </w:r>
      <w:r w:rsidRPr="00B3149D">
        <w:rPr>
          <w:rFonts w:ascii="Arial" w:hAnsi="Arial" w:cs="Arial"/>
        </w:rPr>
        <w:t xml:space="preserve"> This synthesis focuses on </w:t>
      </w:r>
      <w:r w:rsidRPr="00B3149D">
        <w:rPr>
          <w:rFonts w:ascii="Arial" w:hAnsi="Arial" w:cs="Arial"/>
          <w:i/>
          <w:iCs/>
        </w:rPr>
        <w:t>retail supply chain</w:t>
      </w:r>
      <w:r w:rsidRPr="00B3149D">
        <w:rPr>
          <w:rFonts w:ascii="Arial" w:hAnsi="Arial" w:cs="Arial"/>
        </w:rPr>
        <w:t xml:space="preserve"> forecasting, assuming the research examines how AI/ML forecasting affects inventory and replenishment performance in retail. (Where specifics were unspecified, the discussion remains general to supply chains.)</w:t>
      </w:r>
    </w:p>
    <w:p w14:paraId="63B4AF98" w14:textId="2FE762D9" w:rsidR="001C6315" w:rsidRPr="00B3149D" w:rsidRDefault="001C6315" w:rsidP="0062377A">
      <w:pPr>
        <w:pStyle w:val="Heading2"/>
        <w:spacing w:line="360" w:lineRule="auto"/>
        <w:rPr>
          <w:rFonts w:ascii="Arial" w:hAnsi="Arial" w:cs="Arial"/>
          <w:b/>
          <w:bCs/>
          <w:sz w:val="24"/>
          <w:szCs w:val="24"/>
        </w:rPr>
      </w:pPr>
      <w:bookmarkStart w:id="26" w:name="_Toc227752983"/>
      <w:bookmarkStart w:id="27" w:name="X9449836bbf01a6f4717e4d3d2c260cc0b06102d"/>
      <w:bookmarkEnd w:id="24"/>
      <w:r w:rsidRPr="00B3149D">
        <w:rPr>
          <w:rFonts w:ascii="Arial" w:hAnsi="Arial" w:cs="Arial"/>
          <w:b/>
          <w:bCs/>
          <w:sz w:val="24"/>
          <w:szCs w:val="24"/>
        </w:rPr>
        <w:t>2.3.1. Theme 1: Core Theories and Conceptual Foundations</w:t>
      </w:r>
      <w:bookmarkEnd w:id="26"/>
    </w:p>
    <w:p w14:paraId="25C133FC" w14:textId="77777777" w:rsidR="001C6315" w:rsidRPr="00B3149D" w:rsidRDefault="001C6315" w:rsidP="0062377A">
      <w:pPr>
        <w:pStyle w:val="FirstParagraph"/>
        <w:spacing w:line="360" w:lineRule="auto"/>
        <w:rPr>
          <w:rFonts w:ascii="Arial" w:hAnsi="Arial" w:cs="Arial"/>
        </w:rPr>
      </w:pPr>
      <w:r w:rsidRPr="00B3149D">
        <w:rPr>
          <w:rFonts w:ascii="Arial" w:hAnsi="Arial" w:cs="Arial"/>
        </w:rPr>
        <w:t xml:space="preserve">Forecasting is </w:t>
      </w:r>
      <w:r w:rsidRPr="00B3149D">
        <w:rPr>
          <w:rFonts w:ascii="Arial" w:hAnsi="Arial" w:cs="Arial"/>
          <w:b/>
          <w:bCs/>
        </w:rPr>
        <w:t>central</w:t>
      </w:r>
      <w:r w:rsidRPr="00B3149D">
        <w:rPr>
          <w:rFonts w:ascii="Arial" w:hAnsi="Arial" w:cs="Arial"/>
        </w:rPr>
        <w:t xml:space="preserve"> to supply chain strategy and planning. It informs production scheduling, inventory levels, and marketing activities. </w:t>
      </w:r>
      <w:proofErr w:type="spellStart"/>
      <w:r w:rsidRPr="00B3149D">
        <w:rPr>
          <w:rFonts w:ascii="Arial" w:hAnsi="Arial" w:cs="Arial"/>
        </w:rPr>
        <w:t>Chandraul</w:t>
      </w:r>
      <w:proofErr w:type="spellEnd"/>
      <w:r w:rsidRPr="00B3149D">
        <w:rPr>
          <w:rFonts w:ascii="Arial" w:hAnsi="Arial" w:cs="Arial"/>
        </w:rPr>
        <w:t xml:space="preserve"> &amp; </w:t>
      </w:r>
      <w:proofErr w:type="spellStart"/>
      <w:r w:rsidRPr="00B3149D">
        <w:rPr>
          <w:rFonts w:ascii="Arial" w:hAnsi="Arial" w:cs="Arial"/>
        </w:rPr>
        <w:t>Barode</w:t>
      </w:r>
      <w:proofErr w:type="spellEnd"/>
      <w:r w:rsidRPr="00B3149D">
        <w:rPr>
          <w:rFonts w:ascii="Arial" w:hAnsi="Arial" w:cs="Arial"/>
        </w:rPr>
        <w:t xml:space="preserve"> (2018) note that forecasting serves as “the basis for all strategic and planning decisions in a supply chain”</w:t>
      </w:r>
      <w:hyperlink r:id="rId53" w:anchor=":~:text=Proposed%20forecasting%20management%20model%20IV,promotions%2C%20new%20production%20introduction%20%E2%80%A6">
        <w:r w:rsidRPr="00B3149D">
          <w:rPr>
            <w:rStyle w:val="Hyperlink"/>
            <w:rFonts w:ascii="Arial" w:hAnsi="Arial" w:cs="Arial"/>
          </w:rPr>
          <w:t>[1]</w:t>
        </w:r>
      </w:hyperlink>
      <w:r w:rsidRPr="00B3149D">
        <w:rPr>
          <w:rFonts w:ascii="Arial" w:hAnsi="Arial" w:cs="Arial"/>
        </w:rPr>
        <w:t>, underpinning both push (e.g. production scheduling) and pull processes (e.g. replenishment). Classical supply chain theories (</w:t>
      </w:r>
      <w:proofErr w:type="gramStart"/>
      <w:r w:rsidRPr="00B3149D">
        <w:rPr>
          <w:rFonts w:ascii="Arial" w:hAnsi="Arial" w:cs="Arial"/>
        </w:rPr>
        <w:t>e.g.</w:t>
      </w:r>
      <w:proofErr w:type="gramEnd"/>
      <w:r w:rsidRPr="00B3149D">
        <w:rPr>
          <w:rFonts w:ascii="Arial" w:hAnsi="Arial" w:cs="Arial"/>
        </w:rPr>
        <w:t xml:space="preserve"> Control Theory, Systems Theory) posit that timely demand information reduces uncertainty and synchronizes the chain. For example, the </w:t>
      </w:r>
      <w:r w:rsidRPr="00B3149D">
        <w:rPr>
          <w:rFonts w:ascii="Arial" w:hAnsi="Arial" w:cs="Arial"/>
          <w:i/>
          <w:iCs/>
        </w:rPr>
        <w:t>bullwhip effect</w:t>
      </w:r>
      <w:r w:rsidRPr="00B3149D">
        <w:rPr>
          <w:rFonts w:ascii="Arial" w:hAnsi="Arial" w:cs="Arial"/>
        </w:rPr>
        <w:t xml:space="preserve"> literature highlights how demand signal distortion can amplify upstream variability, demonstrating why </w:t>
      </w:r>
      <w:r w:rsidRPr="00B3149D">
        <w:rPr>
          <w:rFonts w:ascii="Arial" w:hAnsi="Arial" w:cs="Arial"/>
        </w:rPr>
        <w:lastRenderedPageBreak/>
        <w:t>accurate demand forecasts and information sharing are vital</w:t>
      </w:r>
      <w:hyperlink r:id="rId54" w:anchor=":~:text=structural%20and%20behavioral%20factors%20that,">
        <w:r w:rsidRPr="00B3149D">
          <w:rPr>
            <w:rStyle w:val="Hyperlink"/>
            <w:rFonts w:ascii="Arial" w:hAnsi="Arial" w:cs="Arial"/>
          </w:rPr>
          <w:t>[14]</w:t>
        </w:r>
      </w:hyperlink>
      <w:r w:rsidRPr="00B3149D">
        <w:rPr>
          <w:rFonts w:ascii="Arial" w:hAnsi="Arial" w:cs="Arial"/>
        </w:rPr>
        <w:t>. In practice, forecasts are never perfect, so firms hold safety stocks and buffers; as Wikipedia notes, “forecast errors are expected, [so] companies often carry an inventory buffer”</w:t>
      </w:r>
      <w:hyperlink r:id="rId55" w:anchor=":~:text=Because%20customer%20%20demand%20is,77">
        <w:r w:rsidRPr="00B3149D">
          <w:rPr>
            <w:rStyle w:val="Hyperlink"/>
            <w:rFonts w:ascii="Arial" w:hAnsi="Arial" w:cs="Arial"/>
          </w:rPr>
          <w:t>[15]</w:t>
        </w:r>
      </w:hyperlink>
      <w:r w:rsidRPr="00B3149D">
        <w:rPr>
          <w:rFonts w:ascii="Arial" w:hAnsi="Arial" w:cs="Arial"/>
        </w:rPr>
        <w:t>.</w:t>
      </w:r>
    </w:p>
    <w:p w14:paraId="7FF4153F"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However, experts emphasize that </w:t>
      </w:r>
      <w:r w:rsidRPr="00B3149D">
        <w:rPr>
          <w:rFonts w:ascii="Arial" w:hAnsi="Arial" w:cs="Arial"/>
          <w:b/>
          <w:bCs/>
        </w:rPr>
        <w:t>accuracy alone is not enough</w:t>
      </w:r>
      <w:r w:rsidRPr="00B3149D">
        <w:rPr>
          <w:rFonts w:ascii="Arial" w:hAnsi="Arial" w:cs="Arial"/>
        </w:rPr>
        <w:t xml:space="preserve">. According to </w:t>
      </w:r>
      <w:proofErr w:type="spellStart"/>
      <w:r w:rsidRPr="00B3149D">
        <w:rPr>
          <w:rFonts w:ascii="Arial" w:hAnsi="Arial" w:cs="Arial"/>
        </w:rPr>
        <w:t>Makridakis</w:t>
      </w:r>
      <w:proofErr w:type="spellEnd"/>
      <w:r w:rsidRPr="00B3149D">
        <w:rPr>
          <w:rFonts w:ascii="Arial" w:hAnsi="Arial" w:cs="Arial"/>
        </w:rPr>
        <w:t xml:space="preserve"> et al. (2022), forecasts must be “useful” – i.e. they should lead to better decisions that </w:t>
      </w:r>
      <w:r w:rsidRPr="00B3149D">
        <w:rPr>
          <w:rFonts w:ascii="Arial" w:hAnsi="Arial" w:cs="Arial"/>
          <w:i/>
          <w:iCs/>
        </w:rPr>
        <w:t>reduce costs or increase sales</w:t>
      </w:r>
      <w:hyperlink r:id="rId56" w:anchor=":~:text=Accurate%20forecasting%20is%20essential%20for,has%20been%20a%20subject%20of">
        <w:r w:rsidRPr="00B3149D">
          <w:rPr>
            <w:rStyle w:val="Hyperlink"/>
            <w:rFonts w:ascii="Arial" w:hAnsi="Arial" w:cs="Arial"/>
          </w:rPr>
          <w:t>[2]</w:t>
        </w:r>
      </w:hyperlink>
      <w:r w:rsidRPr="00B3149D">
        <w:rPr>
          <w:rFonts w:ascii="Arial" w:hAnsi="Arial" w:cs="Arial"/>
        </w:rPr>
        <w:t xml:space="preserve">. This introduces the notion of </w:t>
      </w:r>
      <w:r w:rsidRPr="00B3149D">
        <w:rPr>
          <w:rFonts w:ascii="Arial" w:hAnsi="Arial" w:cs="Arial"/>
          <w:i/>
          <w:iCs/>
        </w:rPr>
        <w:t>forecast value-added</w:t>
      </w:r>
      <w:r w:rsidRPr="00B3149D">
        <w:rPr>
          <w:rFonts w:ascii="Arial" w:hAnsi="Arial" w:cs="Arial"/>
        </w:rPr>
        <w:t xml:space="preserve"> (FVA): only changes to the forecast that yield a measurable performance benefit truly matter. Supply chain metrics (service level, stockouts, costs) are the ultimate tests of a forecast’s value. Conceptual frameworks such as Information Processing Theory suggest that in more volatile environments, firms need advanced forecasting “information processing capacity” (e.g. analytics, AI) to maintain performance. Some scholars integrate forecasting into dynamic capabilities or resource-based views, implying firms develop forecasting expertise as an intangible asset.</w:t>
      </w:r>
    </w:p>
    <w:p w14:paraId="51E015C2"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Studies agree</w:t>
      </w:r>
      <w:r w:rsidRPr="00B3149D">
        <w:rPr>
          <w:rFonts w:ascii="Arial" w:hAnsi="Arial" w:cs="Arial"/>
        </w:rPr>
        <w:t xml:space="preserve"> that forecasting is foundational to supply chains</w:t>
      </w:r>
      <w:hyperlink r:id="rId57" w:anchor=":~:text=Proposed%20forecasting%20management%20model%20IV,promotions%2C%20new%20production%20introduction%20%E2%80%A6">
        <w:r w:rsidRPr="00B3149D">
          <w:rPr>
            <w:rStyle w:val="Hyperlink"/>
            <w:rFonts w:ascii="Arial" w:hAnsi="Arial" w:cs="Arial"/>
          </w:rPr>
          <w:t>[1]</w:t>
        </w:r>
      </w:hyperlink>
      <w:r w:rsidRPr="00B3149D">
        <w:rPr>
          <w:rFonts w:ascii="Arial" w:hAnsi="Arial" w:cs="Arial"/>
        </w:rPr>
        <w:t xml:space="preserve">. They concur that managing demand uncertainty (via forecasting) is key to maintaining service levels. </w:t>
      </w:r>
      <w:r w:rsidRPr="00B3149D">
        <w:rPr>
          <w:rFonts w:ascii="Arial" w:hAnsi="Arial" w:cs="Arial"/>
          <w:b/>
          <w:bCs/>
        </w:rPr>
        <w:t>They conflict</w:t>
      </w:r>
      <w:r w:rsidRPr="00B3149D">
        <w:rPr>
          <w:rFonts w:ascii="Arial" w:hAnsi="Arial" w:cs="Arial"/>
        </w:rPr>
        <w:t xml:space="preserve"> in how strongly forecast accuracy translates to performance: while theory implies better forecasts should improve inventory and sales, empirical reviews find this linkage is often weak or inconsistent</w:t>
      </w:r>
      <w:hyperlink r:id="rId58" w:anchor=":~:text=It%20becomes%20evident%20that%20the,also%20being%20often%20limited%20in">
        <w:r w:rsidRPr="00B3149D">
          <w:rPr>
            <w:rStyle w:val="Hyperlink"/>
            <w:rFonts w:ascii="Arial" w:hAnsi="Arial" w:cs="Arial"/>
          </w:rPr>
          <w:t>[13]</w:t>
        </w:r>
      </w:hyperlink>
      <w:r w:rsidRPr="00B3149D">
        <w:rPr>
          <w:rFonts w:ascii="Arial" w:hAnsi="Arial" w:cs="Arial"/>
        </w:rPr>
        <w:t xml:space="preserve">. </w:t>
      </w:r>
      <w:r w:rsidRPr="00B3149D">
        <w:rPr>
          <w:rFonts w:ascii="Arial" w:hAnsi="Arial" w:cs="Arial"/>
          <w:b/>
          <w:bCs/>
        </w:rPr>
        <w:t>Missing in the literature</w:t>
      </w:r>
      <w:r w:rsidRPr="00B3149D">
        <w:rPr>
          <w:rFonts w:ascii="Arial" w:hAnsi="Arial" w:cs="Arial"/>
        </w:rPr>
        <w:t xml:space="preserve"> are explicit </w:t>
      </w:r>
      <w:r w:rsidRPr="00B3149D">
        <w:rPr>
          <w:rFonts w:ascii="Arial" w:hAnsi="Arial" w:cs="Arial"/>
          <w:i/>
          <w:iCs/>
        </w:rPr>
        <w:t>conceptual models</w:t>
      </w:r>
      <w:r w:rsidRPr="00B3149D">
        <w:rPr>
          <w:rFonts w:ascii="Arial" w:hAnsi="Arial" w:cs="Arial"/>
        </w:rPr>
        <w:t xml:space="preserve"> linking AI-driven forecast accuracy to operational metrics. Few studies, for instance, theorize how much MAPE reduction translates to a given cost saving. We also find limited discussion of behavioural or organizational factors in forecasting theory (e.g. how decision-maker incentives or biases enter the model). In sum, Theme 1 establishes the </w:t>
      </w:r>
      <w:r w:rsidRPr="00B3149D">
        <w:rPr>
          <w:rFonts w:ascii="Arial" w:hAnsi="Arial" w:cs="Arial"/>
          <w:i/>
          <w:iCs/>
        </w:rPr>
        <w:t>why</w:t>
      </w:r>
      <w:r w:rsidRPr="00B3149D">
        <w:rPr>
          <w:rFonts w:ascii="Arial" w:hAnsi="Arial" w:cs="Arial"/>
        </w:rPr>
        <w:t xml:space="preserve"> of forecasting but leaves open </w:t>
      </w:r>
      <w:r w:rsidRPr="00B3149D">
        <w:rPr>
          <w:rFonts w:ascii="Arial" w:hAnsi="Arial" w:cs="Arial"/>
          <w:i/>
          <w:iCs/>
        </w:rPr>
        <w:t>how</w:t>
      </w:r>
      <w:r w:rsidRPr="00B3149D">
        <w:rPr>
          <w:rFonts w:ascii="Arial" w:hAnsi="Arial" w:cs="Arial"/>
        </w:rPr>
        <w:t xml:space="preserve"> improved forecasts create value, highlighting a gap between forecasting theory and empirical outcomes.</w:t>
      </w:r>
    </w:p>
    <w:p w14:paraId="1CAFA7B1" w14:textId="77777777" w:rsidR="001C6315" w:rsidRPr="00B3149D" w:rsidRDefault="001C6315" w:rsidP="0062377A">
      <w:pPr>
        <w:pStyle w:val="BodyText"/>
        <w:spacing w:line="360" w:lineRule="auto"/>
        <w:rPr>
          <w:rFonts w:ascii="Arial" w:hAnsi="Arial" w:cs="Arial"/>
        </w:rPr>
      </w:pPr>
      <w:r w:rsidRPr="00B3149D">
        <w:rPr>
          <w:rFonts w:ascii="Arial" w:hAnsi="Arial" w:cs="Arial"/>
          <w:i/>
          <w:iCs/>
        </w:rPr>
        <w:t>Studies agree:</w:t>
      </w:r>
      <w:r w:rsidRPr="00B3149D">
        <w:rPr>
          <w:rFonts w:ascii="Arial" w:hAnsi="Arial" w:cs="Arial"/>
        </w:rPr>
        <w:t xml:space="preserve"> Forecasting underlies all key supply chain planning and coordination decisions</w:t>
      </w:r>
      <w:hyperlink r:id="rId59" w:anchor=":~:text=Proposed%20forecasting%20management%20model%20IV,promotions%2C%20new%20production%20introduction%20%E2%80%A6">
        <w:r w:rsidRPr="00B3149D">
          <w:rPr>
            <w:rStyle w:val="Hyperlink"/>
            <w:rFonts w:ascii="Arial" w:hAnsi="Arial" w:cs="Arial"/>
          </w:rPr>
          <w:t>[1]</w:t>
        </w:r>
      </w:hyperlink>
      <w:r w:rsidRPr="00B3149D">
        <w:rPr>
          <w:rFonts w:ascii="Arial" w:hAnsi="Arial" w:cs="Arial"/>
        </w:rPr>
        <w:t xml:space="preserve">. </w:t>
      </w:r>
      <w:r w:rsidRPr="00B3149D">
        <w:rPr>
          <w:rFonts w:ascii="Arial" w:hAnsi="Arial" w:cs="Arial"/>
          <w:i/>
          <w:iCs/>
        </w:rPr>
        <w:t>Areas of conflict:</w:t>
      </w:r>
      <w:r w:rsidRPr="00B3149D">
        <w:rPr>
          <w:rFonts w:ascii="Arial" w:hAnsi="Arial" w:cs="Arial"/>
        </w:rPr>
        <w:t xml:space="preserve"> Whether incremental accuracy improvements truly generate cost/service gains</w:t>
      </w:r>
      <w:hyperlink r:id="rId60" w:anchor=":~:text=It%20becomes%20evident%20that%20the,also%20being%20often%20limited%20in">
        <w:r w:rsidRPr="00B3149D">
          <w:rPr>
            <w:rStyle w:val="Hyperlink"/>
            <w:rFonts w:ascii="Arial" w:hAnsi="Arial" w:cs="Arial"/>
          </w:rPr>
          <w:t>[13]</w:t>
        </w:r>
      </w:hyperlink>
      <w:r w:rsidRPr="00B3149D">
        <w:rPr>
          <w:rFonts w:ascii="Arial" w:hAnsi="Arial" w:cs="Arial"/>
        </w:rPr>
        <w:t xml:space="preserve">. </w:t>
      </w:r>
      <w:r w:rsidRPr="00B3149D">
        <w:rPr>
          <w:rFonts w:ascii="Arial" w:hAnsi="Arial" w:cs="Arial"/>
          <w:i/>
          <w:iCs/>
        </w:rPr>
        <w:t>What is missing:</w:t>
      </w:r>
      <w:r w:rsidRPr="00B3149D">
        <w:rPr>
          <w:rFonts w:ascii="Arial" w:hAnsi="Arial" w:cs="Arial"/>
        </w:rPr>
        <w:t xml:space="preserve"> Integrated frameworks connecting forecasts, decision processes, and performance metrics (especially under AI-based forecasting).</w:t>
      </w:r>
    </w:p>
    <w:p w14:paraId="19C10094" w14:textId="4001CD19" w:rsidR="001C6315" w:rsidRPr="00B3149D" w:rsidRDefault="001C6315" w:rsidP="0062377A">
      <w:pPr>
        <w:pStyle w:val="Heading2"/>
        <w:spacing w:line="360" w:lineRule="auto"/>
        <w:rPr>
          <w:rFonts w:ascii="Arial" w:hAnsi="Arial" w:cs="Arial"/>
          <w:b/>
          <w:bCs/>
          <w:sz w:val="24"/>
          <w:szCs w:val="24"/>
        </w:rPr>
      </w:pPr>
      <w:bookmarkStart w:id="28" w:name="_Toc227752984"/>
      <w:bookmarkStart w:id="29" w:name="X9b2999bec1ffedb176793ebe6cc893e5b1809fc"/>
      <w:r w:rsidRPr="00B3149D">
        <w:rPr>
          <w:rFonts w:ascii="Arial" w:hAnsi="Arial" w:cs="Arial"/>
          <w:b/>
          <w:bCs/>
          <w:sz w:val="24"/>
          <w:szCs w:val="24"/>
        </w:rPr>
        <w:lastRenderedPageBreak/>
        <w:t>2.3.2. Theme 2: Empirical Retail Forecasting and Replenishment</w:t>
      </w:r>
      <w:bookmarkEnd w:id="28"/>
    </w:p>
    <w:p w14:paraId="1C3FE7FD" w14:textId="77777777" w:rsidR="001C6315" w:rsidRPr="00B3149D" w:rsidRDefault="001C6315" w:rsidP="0062377A">
      <w:pPr>
        <w:pStyle w:val="FirstParagraph"/>
        <w:spacing w:line="360" w:lineRule="auto"/>
        <w:rPr>
          <w:rFonts w:ascii="Arial" w:hAnsi="Arial" w:cs="Arial"/>
        </w:rPr>
      </w:pPr>
      <w:r w:rsidRPr="00B3149D">
        <w:rPr>
          <w:rFonts w:ascii="Arial" w:hAnsi="Arial" w:cs="Arial"/>
        </w:rPr>
        <w:t>In retail settings, empirical studies focus on demand volatility (seasonality, promotions) and replenishment performance. Retail demand is often intermittent and SKU proliferation is high</w:t>
      </w:r>
      <w:hyperlink r:id="rId61" w:anchor=":~:text=structural%20and%20behavioral%20factors%20that,">
        <w:r w:rsidRPr="00B3149D">
          <w:rPr>
            <w:rStyle w:val="Hyperlink"/>
            <w:rFonts w:ascii="Arial" w:hAnsi="Arial" w:cs="Arial"/>
          </w:rPr>
          <w:t>[14]</w:t>
        </w:r>
      </w:hyperlink>
      <w:r w:rsidRPr="00B3149D">
        <w:rPr>
          <w:rFonts w:ascii="Arial" w:hAnsi="Arial" w:cs="Arial"/>
        </w:rPr>
        <w:t xml:space="preserve">, making forecasting challenging. Recent research shows </w:t>
      </w:r>
      <w:r w:rsidRPr="00B3149D">
        <w:rPr>
          <w:rFonts w:ascii="Arial" w:hAnsi="Arial" w:cs="Arial"/>
          <w:b/>
          <w:bCs/>
        </w:rPr>
        <w:t>AI/ML techniques significantly outperform</w:t>
      </w:r>
      <w:r w:rsidRPr="00B3149D">
        <w:rPr>
          <w:rFonts w:ascii="Arial" w:hAnsi="Arial" w:cs="Arial"/>
        </w:rPr>
        <w:t xml:space="preserve"> traditional statistical models (ARIMA, exponential smoothing) in this context. For example, a 2026 study found that ensemble ML models (e.g. LSTM-</w:t>
      </w:r>
      <w:proofErr w:type="spellStart"/>
      <w:r w:rsidRPr="00B3149D">
        <w:rPr>
          <w:rFonts w:ascii="Arial" w:hAnsi="Arial" w:cs="Arial"/>
        </w:rPr>
        <w:t>XGBoost</w:t>
      </w:r>
      <w:proofErr w:type="spellEnd"/>
      <w:r w:rsidRPr="00B3149D">
        <w:rPr>
          <w:rFonts w:ascii="Arial" w:hAnsi="Arial" w:cs="Arial"/>
        </w:rPr>
        <w:t xml:space="preserve"> hybrids) reduced 4-week-ahead forecast error by ~28% on average, with even larger gains on fast-moving, promotion-sensitive SKUs</w:t>
      </w:r>
      <w:hyperlink r:id="rId62" w:anchor=":~:text=Absolute%20Percentage%20Error%20,heterogeneous%20across%20product%20categories%2C%20with">
        <w:r w:rsidRPr="00B3149D">
          <w:rPr>
            <w:rStyle w:val="Hyperlink"/>
            <w:rFonts w:ascii="Arial" w:hAnsi="Arial" w:cs="Arial"/>
          </w:rPr>
          <w:t>[16]</w:t>
        </w:r>
      </w:hyperlink>
      <w:hyperlink r:id="rId63" w:anchor=":~:text=,">
        <w:r w:rsidRPr="00B3149D">
          <w:rPr>
            <w:rStyle w:val="Hyperlink"/>
            <w:rFonts w:ascii="Arial" w:hAnsi="Arial" w:cs="Arial"/>
          </w:rPr>
          <w:t>[3]</w:t>
        </w:r>
      </w:hyperlink>
      <w:r w:rsidRPr="00B3149D">
        <w:rPr>
          <w:rFonts w:ascii="Arial" w:hAnsi="Arial" w:cs="Arial"/>
        </w:rPr>
        <w:t>. Similarly, a 2025 sensor-based retail study used multi-agent deep reinforcement learning (RL) and achieved an 18.2% reduction in forecast error and a 23.5% decrease in stockout rates versus classical baselines</w:t>
      </w:r>
      <w:hyperlink r:id="rId64" w:anchor=":~:text=and%20humidity%20sensors,enabled%20supply%20chain%20challenges">
        <w:r w:rsidRPr="00B3149D">
          <w:rPr>
            <w:rStyle w:val="Hyperlink"/>
            <w:rFonts w:ascii="Arial" w:hAnsi="Arial" w:cs="Arial"/>
          </w:rPr>
          <w:t>[4]</w:t>
        </w:r>
      </w:hyperlink>
      <w:r w:rsidRPr="00B3149D">
        <w:rPr>
          <w:rFonts w:ascii="Arial" w:hAnsi="Arial" w:cs="Arial"/>
        </w:rPr>
        <w:t>. These improvements directly translate to inventory benefits: the same study reported smoother inventory levels and fewer shortages when advanced forecasts were used. Another mixed-methods survey of 204 supply chain professionals reported a ~31% average MAPE reduction and 24.7% higher inventory turnover after AI deployment</w:t>
      </w:r>
      <w:hyperlink r:id="rId65" w:anchor=":~:text=organizations.%20Using%20a%20mixed,2026%20Page%202">
        <w:r w:rsidRPr="00B3149D">
          <w:rPr>
            <w:rStyle w:val="Hyperlink"/>
            <w:rFonts w:ascii="Arial" w:hAnsi="Arial" w:cs="Arial"/>
          </w:rPr>
          <w:t>[17]</w:t>
        </w:r>
      </w:hyperlink>
      <w:r w:rsidRPr="00B3149D">
        <w:rPr>
          <w:rFonts w:ascii="Arial" w:hAnsi="Arial" w:cs="Arial"/>
        </w:rPr>
        <w:t>.</w:t>
      </w:r>
    </w:p>
    <w:p w14:paraId="5AB38D8E"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However, performance gains vary by context. Ensemble and hybrid models (combining ARIMA, </w:t>
      </w:r>
      <w:proofErr w:type="spellStart"/>
      <w:r w:rsidRPr="00B3149D">
        <w:rPr>
          <w:rFonts w:ascii="Arial" w:hAnsi="Arial" w:cs="Arial"/>
        </w:rPr>
        <w:t>XGBoost</w:t>
      </w:r>
      <w:proofErr w:type="spellEnd"/>
      <w:r w:rsidRPr="00B3149D">
        <w:rPr>
          <w:rFonts w:ascii="Arial" w:hAnsi="Arial" w:cs="Arial"/>
        </w:rPr>
        <w:t xml:space="preserve">, LSTM, etc.) often outperform single models, but their advantage depends on demand pattern. For example, </w:t>
      </w:r>
      <w:proofErr w:type="spellStart"/>
      <w:r w:rsidRPr="00B3149D">
        <w:rPr>
          <w:rFonts w:ascii="Arial" w:hAnsi="Arial" w:cs="Arial"/>
        </w:rPr>
        <w:t>Abdelfatah</w:t>
      </w:r>
      <w:proofErr w:type="spellEnd"/>
      <w:r w:rsidRPr="00B3149D">
        <w:rPr>
          <w:rFonts w:ascii="Arial" w:hAnsi="Arial" w:cs="Arial"/>
        </w:rPr>
        <w:t xml:space="preserve"> (2026) notes that high-velocity SKUs saw the largest forecast gains from AI, whereas slow-moving items benefited less</w:t>
      </w:r>
      <w:hyperlink r:id="rId66" w:anchor=":~:text=significant%20improvements%20in%20forecasting%20accuracy,through%20model%20deployment%20and%20ongoing">
        <w:r w:rsidRPr="00B3149D">
          <w:rPr>
            <w:rStyle w:val="Hyperlink"/>
            <w:rFonts w:ascii="Arial" w:hAnsi="Arial" w:cs="Arial"/>
          </w:rPr>
          <w:t>[5]</w:t>
        </w:r>
      </w:hyperlink>
      <w:r w:rsidRPr="00B3149D">
        <w:rPr>
          <w:rFonts w:ascii="Arial" w:hAnsi="Arial" w:cs="Arial"/>
        </w:rPr>
        <w:t>. Promotions and seasonality present particular challenges; one study with IoT sensor data showed deep learning methods better captured these effects than ARIMA</w:t>
      </w:r>
      <w:hyperlink r:id="rId67" w:anchor=":~:text=and%20smart%20shelf%20monitoring%20devices,results%20show%20particular%20improvements%20in">
        <w:r w:rsidRPr="00B3149D">
          <w:rPr>
            <w:rStyle w:val="Hyperlink"/>
            <w:rFonts w:ascii="Arial" w:hAnsi="Arial" w:cs="Arial"/>
          </w:rPr>
          <w:t>[18]</w:t>
        </w:r>
      </w:hyperlink>
      <w:r w:rsidRPr="00B3149D">
        <w:rPr>
          <w:rFonts w:ascii="Arial" w:hAnsi="Arial" w:cs="Arial"/>
        </w:rPr>
        <w:t xml:space="preserve">. In general, retailers have begun adopting sophisticated forecasting architectures (cloud </w:t>
      </w:r>
      <w:proofErr w:type="spellStart"/>
      <w:r w:rsidRPr="00B3149D">
        <w:rPr>
          <w:rFonts w:ascii="Arial" w:hAnsi="Arial" w:cs="Arial"/>
        </w:rPr>
        <w:t>AutoML</w:t>
      </w:r>
      <w:proofErr w:type="spellEnd"/>
      <w:r w:rsidRPr="00B3149D">
        <w:rPr>
          <w:rFonts w:ascii="Arial" w:hAnsi="Arial" w:cs="Arial"/>
        </w:rPr>
        <w:t>, RL agents, etc.) and report operational improvements (lower safety stocks, higher fill rates) as a result.</w:t>
      </w:r>
    </w:p>
    <w:p w14:paraId="354A66B7"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Studies agree</w:t>
      </w:r>
      <w:r w:rsidRPr="00B3149D">
        <w:rPr>
          <w:rFonts w:ascii="Arial" w:hAnsi="Arial" w:cs="Arial"/>
        </w:rPr>
        <w:t xml:space="preserve"> that modern ML/RL methods can </w:t>
      </w:r>
      <w:r w:rsidRPr="00B3149D">
        <w:rPr>
          <w:rFonts w:ascii="Arial" w:hAnsi="Arial" w:cs="Arial"/>
          <w:i/>
          <w:iCs/>
        </w:rPr>
        <w:t>substantially</w:t>
      </w:r>
      <w:r w:rsidRPr="00B3149D">
        <w:rPr>
          <w:rFonts w:ascii="Arial" w:hAnsi="Arial" w:cs="Arial"/>
        </w:rPr>
        <w:t xml:space="preserve"> improve retail forecasting accuracy and replenishment metrics</w:t>
      </w:r>
      <w:hyperlink r:id="rId68" w:anchor=":~:text=and%20humidity%20sensors,enabled%20supply%20chain%20challenges">
        <w:r w:rsidRPr="00B3149D">
          <w:rPr>
            <w:rStyle w:val="Hyperlink"/>
            <w:rFonts w:ascii="Arial" w:hAnsi="Arial" w:cs="Arial"/>
          </w:rPr>
          <w:t>[4]</w:t>
        </w:r>
      </w:hyperlink>
      <w:hyperlink r:id="rId69" w:anchor=":~:text=,">
        <w:r w:rsidRPr="00B3149D">
          <w:rPr>
            <w:rStyle w:val="Hyperlink"/>
            <w:rFonts w:ascii="Arial" w:hAnsi="Arial" w:cs="Arial"/>
          </w:rPr>
          <w:t>[3]</w:t>
        </w:r>
      </w:hyperlink>
      <w:r w:rsidRPr="00B3149D">
        <w:rPr>
          <w:rFonts w:ascii="Arial" w:hAnsi="Arial" w:cs="Arial"/>
        </w:rPr>
        <w:t>. They also agree that rich data (POS history, promotions, weather) and feature engineering are key for these gains</w:t>
      </w:r>
      <w:hyperlink r:id="rId70" w:anchor=":~:text=Absolute%20Percentage%20Error%20,heterogeneous%20across%20product%20categories%2C%20with">
        <w:r w:rsidRPr="00B3149D">
          <w:rPr>
            <w:rStyle w:val="Hyperlink"/>
            <w:rFonts w:ascii="Arial" w:hAnsi="Arial" w:cs="Arial"/>
          </w:rPr>
          <w:t>[16]</w:t>
        </w:r>
      </w:hyperlink>
      <w:r w:rsidRPr="00B3149D">
        <w:rPr>
          <w:rFonts w:ascii="Arial" w:hAnsi="Arial" w:cs="Arial"/>
        </w:rPr>
        <w:t xml:space="preserve">. </w:t>
      </w:r>
      <w:r w:rsidRPr="00B3149D">
        <w:rPr>
          <w:rFonts w:ascii="Arial" w:hAnsi="Arial" w:cs="Arial"/>
          <w:b/>
          <w:bCs/>
        </w:rPr>
        <w:t>They conflict</w:t>
      </w:r>
      <w:r w:rsidRPr="00B3149D">
        <w:rPr>
          <w:rFonts w:ascii="Arial" w:hAnsi="Arial" w:cs="Arial"/>
        </w:rPr>
        <w:t xml:space="preserve"> on scope: while some reports emphasize very large benefits (30%+ accuracy boost), others warn that simpler combinations of methods can achieve most gains with lower complexity</w:t>
      </w:r>
      <w:hyperlink r:id="rId71" w:anchor=":~:text=It%20becomes%20evident%20that%20the,also%20being%20often%20limited%20in">
        <w:r w:rsidRPr="00B3149D">
          <w:rPr>
            <w:rStyle w:val="Hyperlink"/>
            <w:rFonts w:ascii="Arial" w:hAnsi="Arial" w:cs="Arial"/>
          </w:rPr>
          <w:t>[13]</w:t>
        </w:r>
      </w:hyperlink>
      <w:hyperlink r:id="rId72" w:anchor=":~:text=improving%20accuracy%20and%20bias%2C%20while,in%20a%20rolling%20simulation">
        <w:r w:rsidRPr="00B3149D">
          <w:rPr>
            <w:rStyle w:val="Hyperlink"/>
            <w:rFonts w:ascii="Arial" w:hAnsi="Arial" w:cs="Arial"/>
          </w:rPr>
          <w:t>[19]</w:t>
        </w:r>
      </w:hyperlink>
      <w:r w:rsidRPr="00B3149D">
        <w:rPr>
          <w:rFonts w:ascii="Arial" w:hAnsi="Arial" w:cs="Arial"/>
        </w:rPr>
        <w:t xml:space="preserve">. In other words, it is debated whether a super-sophisticated AI stack is needed, or whether a well-designed </w:t>
      </w:r>
      <w:r w:rsidRPr="00B3149D">
        <w:rPr>
          <w:rFonts w:ascii="Arial" w:hAnsi="Arial" w:cs="Arial"/>
        </w:rPr>
        <w:lastRenderedPageBreak/>
        <w:t xml:space="preserve">ensemble suffices. </w:t>
      </w:r>
      <w:r w:rsidRPr="00B3149D">
        <w:rPr>
          <w:rFonts w:ascii="Arial" w:hAnsi="Arial" w:cs="Arial"/>
          <w:b/>
          <w:bCs/>
        </w:rPr>
        <w:t>Missing elements</w:t>
      </w:r>
      <w:r w:rsidRPr="00B3149D">
        <w:rPr>
          <w:rFonts w:ascii="Arial" w:hAnsi="Arial" w:cs="Arial"/>
        </w:rPr>
        <w:t xml:space="preserve"> include long-term studies of AI in live retail operations (most work is simulation or pilot data) and integration with replenishment planning. Few papers trace how improved forecasts affect order quantities, lead times, or supplier decisions in practice. In summary, Theme 2 shows that AI-driven forecasting is promising for retail replenishment, but calls for more real-world validation and understanding of varying benefit by product and situation.</w:t>
      </w:r>
    </w:p>
    <w:p w14:paraId="02534410" w14:textId="77777777" w:rsidR="001C6315" w:rsidRPr="00B3149D" w:rsidRDefault="001C6315" w:rsidP="0062377A">
      <w:pPr>
        <w:pStyle w:val="BodyText"/>
        <w:spacing w:line="360" w:lineRule="auto"/>
        <w:rPr>
          <w:rFonts w:ascii="Arial" w:hAnsi="Arial" w:cs="Arial"/>
        </w:rPr>
      </w:pPr>
      <w:r w:rsidRPr="00B3149D">
        <w:rPr>
          <w:rFonts w:ascii="Arial" w:hAnsi="Arial" w:cs="Arial"/>
          <w:i/>
          <w:iCs/>
        </w:rPr>
        <w:t>Studies agree:</w:t>
      </w:r>
      <w:r w:rsidRPr="00B3149D">
        <w:rPr>
          <w:rFonts w:ascii="Arial" w:hAnsi="Arial" w:cs="Arial"/>
        </w:rPr>
        <w:t xml:space="preserve"> AI/ML models (e.g. LSTM, </w:t>
      </w:r>
      <w:proofErr w:type="spellStart"/>
      <w:r w:rsidRPr="00B3149D">
        <w:rPr>
          <w:rFonts w:ascii="Arial" w:hAnsi="Arial" w:cs="Arial"/>
        </w:rPr>
        <w:t>XGBoost</w:t>
      </w:r>
      <w:proofErr w:type="spellEnd"/>
      <w:r w:rsidRPr="00B3149D">
        <w:rPr>
          <w:rFonts w:ascii="Arial" w:hAnsi="Arial" w:cs="Arial"/>
        </w:rPr>
        <w:t>, RL agents) dramatically reduce retail forecast error and stockouts in studies</w:t>
      </w:r>
      <w:hyperlink r:id="rId73" w:anchor=":~:text=and%20humidity%20sensors,enabled%20supply%20chain%20challenges">
        <w:r w:rsidRPr="00B3149D">
          <w:rPr>
            <w:rStyle w:val="Hyperlink"/>
            <w:rFonts w:ascii="Arial" w:hAnsi="Arial" w:cs="Arial"/>
          </w:rPr>
          <w:t>[4]</w:t>
        </w:r>
      </w:hyperlink>
      <w:hyperlink r:id="rId74" w:anchor=":~:text=,">
        <w:r w:rsidRPr="00B3149D">
          <w:rPr>
            <w:rStyle w:val="Hyperlink"/>
            <w:rFonts w:ascii="Arial" w:hAnsi="Arial" w:cs="Arial"/>
          </w:rPr>
          <w:t>[3]</w:t>
        </w:r>
      </w:hyperlink>
      <w:r w:rsidRPr="00B3149D">
        <w:rPr>
          <w:rFonts w:ascii="Arial" w:hAnsi="Arial" w:cs="Arial"/>
        </w:rPr>
        <w:t xml:space="preserve">. </w:t>
      </w:r>
      <w:r w:rsidRPr="00B3149D">
        <w:rPr>
          <w:rFonts w:ascii="Arial" w:hAnsi="Arial" w:cs="Arial"/>
          <w:i/>
          <w:iCs/>
        </w:rPr>
        <w:t>Areas of conflict:</w:t>
      </w:r>
      <w:r w:rsidRPr="00B3149D">
        <w:rPr>
          <w:rFonts w:ascii="Arial" w:hAnsi="Arial" w:cs="Arial"/>
        </w:rPr>
        <w:t xml:space="preserve"> The extent of gains—some studies show huge improvements, others find diminishing returns beyond simpler methods</w:t>
      </w:r>
      <w:hyperlink r:id="rId75" w:anchor=":~:text=improving%20accuracy%20and%20bias%2C%20while,in%20a%20rolling%20simulation">
        <w:r w:rsidRPr="00B3149D">
          <w:rPr>
            <w:rStyle w:val="Hyperlink"/>
            <w:rFonts w:ascii="Arial" w:hAnsi="Arial" w:cs="Arial"/>
          </w:rPr>
          <w:t>[19]</w:t>
        </w:r>
      </w:hyperlink>
      <w:hyperlink r:id="rId76" w:anchor=":~:text=significant%20improvements%20in%20forecasting%20accuracy,through%20model%20deployment%20and%20ongoing">
        <w:r w:rsidRPr="00B3149D">
          <w:rPr>
            <w:rStyle w:val="Hyperlink"/>
            <w:rFonts w:ascii="Arial" w:hAnsi="Arial" w:cs="Arial"/>
          </w:rPr>
          <w:t>[5]</w:t>
        </w:r>
      </w:hyperlink>
      <w:r w:rsidRPr="00B3149D">
        <w:rPr>
          <w:rFonts w:ascii="Arial" w:hAnsi="Arial" w:cs="Arial"/>
        </w:rPr>
        <w:t xml:space="preserve">. </w:t>
      </w:r>
      <w:r w:rsidRPr="00B3149D">
        <w:rPr>
          <w:rFonts w:ascii="Arial" w:hAnsi="Arial" w:cs="Arial"/>
          <w:i/>
          <w:iCs/>
        </w:rPr>
        <w:t>What is missing:</w:t>
      </w:r>
      <w:r w:rsidRPr="00B3149D">
        <w:rPr>
          <w:rFonts w:ascii="Arial" w:hAnsi="Arial" w:cs="Arial"/>
        </w:rPr>
        <w:t xml:space="preserve"> Empirical tracking of AI forecast benefits in live retail settings, and analyses of </w:t>
      </w:r>
      <w:r w:rsidRPr="00B3149D">
        <w:rPr>
          <w:rFonts w:ascii="Arial" w:hAnsi="Arial" w:cs="Arial"/>
          <w:i/>
          <w:iCs/>
        </w:rPr>
        <w:t>which</w:t>
      </w:r>
      <w:r w:rsidRPr="00B3149D">
        <w:rPr>
          <w:rFonts w:ascii="Arial" w:hAnsi="Arial" w:cs="Arial"/>
        </w:rPr>
        <w:t xml:space="preserve"> SKUs or conditions most reward AI (vs. traditional forecasting).</w:t>
      </w:r>
    </w:p>
    <w:p w14:paraId="4F66DB86" w14:textId="474BBA65" w:rsidR="001C6315" w:rsidRPr="00B3149D" w:rsidRDefault="001C6315" w:rsidP="0062377A">
      <w:pPr>
        <w:pStyle w:val="Heading2"/>
        <w:spacing w:line="360" w:lineRule="auto"/>
        <w:rPr>
          <w:rFonts w:ascii="Arial" w:hAnsi="Arial" w:cs="Arial"/>
          <w:b/>
          <w:bCs/>
          <w:sz w:val="24"/>
          <w:szCs w:val="24"/>
        </w:rPr>
      </w:pPr>
      <w:bookmarkStart w:id="30" w:name="_Toc227752985"/>
      <w:bookmarkStart w:id="31" w:name="X9b3bbb0dd4ec974a4149710a127b6e27858151a"/>
      <w:bookmarkEnd w:id="25"/>
      <w:r w:rsidRPr="00B3149D">
        <w:rPr>
          <w:rFonts w:ascii="Arial" w:hAnsi="Arial" w:cs="Arial"/>
          <w:b/>
          <w:bCs/>
          <w:sz w:val="24"/>
          <w:szCs w:val="24"/>
        </w:rPr>
        <w:t>2.3.3. Theme 3: Forecasting Methods and Model Comparisons</w:t>
      </w:r>
      <w:bookmarkEnd w:id="30"/>
    </w:p>
    <w:p w14:paraId="380088FC" w14:textId="77777777" w:rsidR="001C6315" w:rsidRPr="00B3149D" w:rsidRDefault="001C6315" w:rsidP="0062377A">
      <w:pPr>
        <w:pStyle w:val="FirstParagraph"/>
        <w:spacing w:line="360" w:lineRule="auto"/>
        <w:rPr>
          <w:rFonts w:ascii="Arial" w:hAnsi="Arial" w:cs="Arial"/>
        </w:rPr>
      </w:pPr>
      <w:r w:rsidRPr="00B3149D">
        <w:rPr>
          <w:rFonts w:ascii="Arial" w:hAnsi="Arial" w:cs="Arial"/>
        </w:rPr>
        <w:t xml:space="preserve">The literature exhibits a rich array of forecasting techniques. Classical methods (ARIMA, exponential smoothing, state-space models) remain standard benchmarks. However, </w:t>
      </w:r>
      <w:r w:rsidRPr="00B3149D">
        <w:rPr>
          <w:rFonts w:ascii="Arial" w:hAnsi="Arial" w:cs="Arial"/>
          <w:b/>
          <w:bCs/>
        </w:rPr>
        <w:t>machine learning and hybrid models</w:t>
      </w:r>
      <w:r w:rsidRPr="00B3149D">
        <w:rPr>
          <w:rFonts w:ascii="Arial" w:hAnsi="Arial" w:cs="Arial"/>
        </w:rPr>
        <w:t xml:space="preserve"> are now widely applied. Recent reviews summarize that studies have tried support vector machines, Random Forests, gradient boosting (</w:t>
      </w:r>
      <w:proofErr w:type="spellStart"/>
      <w:r w:rsidRPr="00B3149D">
        <w:rPr>
          <w:rFonts w:ascii="Arial" w:hAnsi="Arial" w:cs="Arial"/>
        </w:rPr>
        <w:t>XGBoost</w:t>
      </w:r>
      <w:proofErr w:type="spellEnd"/>
      <w:r w:rsidRPr="00B3149D">
        <w:rPr>
          <w:rFonts w:ascii="Arial" w:hAnsi="Arial" w:cs="Arial"/>
        </w:rPr>
        <w:t>), recurrent neural networks (LSTM, RNN), and many combinations</w:t>
      </w:r>
      <w:hyperlink r:id="rId77" w:anchor=":~:text=Ozdemir%20and%20Yozgatligil15%20%20conducted,hybrid%20model%20outperformed%20both%20single">
        <w:r w:rsidRPr="00B3149D">
          <w:rPr>
            <w:rStyle w:val="Hyperlink"/>
            <w:rFonts w:ascii="Arial" w:hAnsi="Arial" w:cs="Arial"/>
          </w:rPr>
          <w:t>[7]</w:t>
        </w:r>
      </w:hyperlink>
      <w:hyperlink r:id="rId78" w:anchor=":~:text=From%20the%20previous%20literature%20review%2C,limited%20focus%20in%20the%20literature">
        <w:r w:rsidRPr="00B3149D">
          <w:rPr>
            <w:rStyle w:val="Hyperlink"/>
            <w:rFonts w:ascii="Arial" w:hAnsi="Arial" w:cs="Arial"/>
          </w:rPr>
          <w:t>[6]</w:t>
        </w:r>
      </w:hyperlink>
      <w:r w:rsidRPr="00B3149D">
        <w:rPr>
          <w:rFonts w:ascii="Arial" w:hAnsi="Arial" w:cs="Arial"/>
        </w:rPr>
        <w:t xml:space="preserve">. Some have even employed wavelet transforms or Fourier decomposition to preprocess data before ML. Most findings indicate </w:t>
      </w:r>
      <w:r w:rsidRPr="00B3149D">
        <w:rPr>
          <w:rFonts w:ascii="Arial" w:hAnsi="Arial" w:cs="Arial"/>
          <w:b/>
          <w:bCs/>
        </w:rPr>
        <w:t>ML models generally outperform statistical ones</w:t>
      </w:r>
      <w:r w:rsidRPr="00B3149D">
        <w:rPr>
          <w:rFonts w:ascii="Arial" w:hAnsi="Arial" w:cs="Arial"/>
        </w:rPr>
        <w:t xml:space="preserve"> on complex, nonlinear demand series</w:t>
      </w:r>
      <w:hyperlink r:id="rId79" w:anchor=":~:text=,">
        <w:r w:rsidRPr="00B3149D">
          <w:rPr>
            <w:rStyle w:val="Hyperlink"/>
            <w:rFonts w:ascii="Arial" w:hAnsi="Arial" w:cs="Arial"/>
          </w:rPr>
          <w:t>[8]</w:t>
        </w:r>
      </w:hyperlink>
      <w:hyperlink r:id="rId80" w:anchor=":~:text=Ozdemir%20and%20Yozgatligil15%20conducted%20a,characteristics%20of%20the%20underlying%20data">
        <w:r w:rsidRPr="00B3149D">
          <w:rPr>
            <w:rStyle w:val="Hyperlink"/>
            <w:rFonts w:ascii="Arial" w:hAnsi="Arial" w:cs="Arial"/>
          </w:rPr>
          <w:t>[20]</w:t>
        </w:r>
      </w:hyperlink>
      <w:r w:rsidRPr="00B3149D">
        <w:rPr>
          <w:rFonts w:ascii="Arial" w:hAnsi="Arial" w:cs="Arial"/>
        </w:rPr>
        <w:t xml:space="preserve">. For example, </w:t>
      </w:r>
      <w:proofErr w:type="spellStart"/>
      <w:r w:rsidRPr="00B3149D">
        <w:rPr>
          <w:rFonts w:ascii="Arial" w:hAnsi="Arial" w:cs="Arial"/>
        </w:rPr>
        <w:t>Ozdemir</w:t>
      </w:r>
      <w:proofErr w:type="spellEnd"/>
      <w:r w:rsidRPr="00B3149D">
        <w:rPr>
          <w:rFonts w:ascii="Arial" w:hAnsi="Arial" w:cs="Arial"/>
        </w:rPr>
        <w:t xml:space="preserve"> &amp; </w:t>
      </w:r>
      <w:proofErr w:type="spellStart"/>
      <w:r w:rsidRPr="00B3149D">
        <w:rPr>
          <w:rFonts w:ascii="Arial" w:hAnsi="Arial" w:cs="Arial"/>
        </w:rPr>
        <w:t>Yozgatligil</w:t>
      </w:r>
      <w:proofErr w:type="spellEnd"/>
      <w:r w:rsidRPr="00B3149D">
        <w:rPr>
          <w:rFonts w:ascii="Arial" w:hAnsi="Arial" w:cs="Arial"/>
        </w:rPr>
        <w:t xml:space="preserve"> (2025) report that </w:t>
      </w:r>
      <w:proofErr w:type="spellStart"/>
      <w:r w:rsidRPr="00B3149D">
        <w:rPr>
          <w:rFonts w:ascii="Arial" w:hAnsi="Arial" w:cs="Arial"/>
        </w:rPr>
        <w:t>XGBoost</w:t>
      </w:r>
      <w:proofErr w:type="spellEnd"/>
      <w:r w:rsidRPr="00B3149D">
        <w:rPr>
          <w:rFonts w:ascii="Arial" w:hAnsi="Arial" w:cs="Arial"/>
        </w:rPr>
        <w:t xml:space="preserve"> and LSTM models beat ARIMA and ETS in most tested time series, though hybrid ensembles only sometimes added benefit</w:t>
      </w:r>
      <w:hyperlink r:id="rId81"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w:t>
      </w:r>
    </w:p>
    <w:p w14:paraId="07940C35"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Hybrid models (statistical + ML) are also common. Techniques like </w:t>
      </w:r>
      <w:proofErr w:type="spellStart"/>
      <w:r w:rsidRPr="00B3149D">
        <w:rPr>
          <w:rFonts w:ascii="Arial" w:hAnsi="Arial" w:cs="Arial"/>
        </w:rPr>
        <w:t>ARIMA+XGBoost</w:t>
      </w:r>
      <w:proofErr w:type="spellEnd"/>
      <w:r w:rsidRPr="00B3149D">
        <w:rPr>
          <w:rFonts w:ascii="Arial" w:hAnsi="Arial" w:cs="Arial"/>
        </w:rPr>
        <w:t xml:space="preserve"> or ensembled </w:t>
      </w:r>
      <w:proofErr w:type="spellStart"/>
      <w:r w:rsidRPr="00B3149D">
        <w:rPr>
          <w:rFonts w:ascii="Arial" w:hAnsi="Arial" w:cs="Arial"/>
        </w:rPr>
        <w:t>Holt-Winters+XGBoost</w:t>
      </w:r>
      <w:proofErr w:type="spellEnd"/>
      <w:r w:rsidRPr="00B3149D">
        <w:rPr>
          <w:rFonts w:ascii="Arial" w:hAnsi="Arial" w:cs="Arial"/>
        </w:rPr>
        <w:t xml:space="preserve"> often yield top accuracy, particularly by capturing both linear trends and nonlinear anomalies</w:t>
      </w:r>
      <w:hyperlink r:id="rId82"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 However, empirical results are mixed: one review notes hybrids excel when data exhibit both stable trends and sudden shifts (e.g. promotional spikes), but their advantage fades when demand is relatively stationary</w:t>
      </w:r>
      <w:hyperlink r:id="rId83"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 Many recent studies emphasize dynamic and adaptive frameworks – for instance, a 2025 adaptive ensemble combined regression and ML models across different product life cycle phases</w:t>
      </w:r>
      <w:hyperlink r:id="rId84" w:anchor=":~:text=From%20the%20previous%20literature%20review%2C,limited%20focus%20in%20the%20literature">
        <w:r w:rsidRPr="00B3149D">
          <w:rPr>
            <w:rStyle w:val="Hyperlink"/>
            <w:rFonts w:ascii="Arial" w:hAnsi="Arial" w:cs="Arial"/>
          </w:rPr>
          <w:t>[6]</w:t>
        </w:r>
      </w:hyperlink>
      <w:r w:rsidRPr="00B3149D">
        <w:rPr>
          <w:rFonts w:ascii="Arial" w:hAnsi="Arial" w:cs="Arial"/>
        </w:rPr>
        <w:t>.</w:t>
      </w:r>
    </w:p>
    <w:p w14:paraId="55A50CDE" w14:textId="77777777" w:rsidR="001C6315" w:rsidRPr="00B3149D" w:rsidRDefault="001C6315" w:rsidP="0062377A">
      <w:pPr>
        <w:pStyle w:val="BodyText"/>
        <w:spacing w:line="360" w:lineRule="auto"/>
        <w:rPr>
          <w:rFonts w:ascii="Arial" w:hAnsi="Arial" w:cs="Arial"/>
        </w:rPr>
      </w:pPr>
      <w:r w:rsidRPr="00B3149D">
        <w:rPr>
          <w:rFonts w:ascii="Arial" w:hAnsi="Arial" w:cs="Arial"/>
        </w:rPr>
        <w:lastRenderedPageBreak/>
        <w:t xml:space="preserve">These methodological studies focus heavily on </w:t>
      </w:r>
      <w:r w:rsidRPr="00B3149D">
        <w:rPr>
          <w:rFonts w:ascii="Arial" w:hAnsi="Arial" w:cs="Arial"/>
          <w:b/>
          <w:bCs/>
        </w:rPr>
        <w:t>accuracy metrics</w:t>
      </w:r>
      <w:r w:rsidRPr="00B3149D">
        <w:rPr>
          <w:rFonts w:ascii="Arial" w:hAnsi="Arial" w:cs="Arial"/>
        </w:rPr>
        <w:t xml:space="preserve"> (MAPE, RMSE) and less on business metrics. Few papers address the uncertainty or bias of models, and fewer still discuss model interpretability. Some emerging work integrates optimization: e.g. Qi et al. (2025) used deep RL to jointly handle forecasting and inventory decisions, implicitly learning optimal replenishment policies in tandem</w:t>
      </w:r>
      <w:hyperlink r:id="rId85" w:anchor=":~:text=and%20humidity%20sensors,enabled%20supply%20chain%20challenges">
        <w:r w:rsidRPr="00B3149D">
          <w:rPr>
            <w:rStyle w:val="Hyperlink"/>
            <w:rFonts w:ascii="Arial" w:hAnsi="Arial" w:cs="Arial"/>
          </w:rPr>
          <w:t>[4]</w:t>
        </w:r>
      </w:hyperlink>
      <w:r w:rsidRPr="00B3149D">
        <w:rPr>
          <w:rFonts w:ascii="Arial" w:hAnsi="Arial" w:cs="Arial"/>
        </w:rPr>
        <w:t>.</w:t>
      </w:r>
    </w:p>
    <w:p w14:paraId="37EB82A8"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Studies agree</w:t>
      </w:r>
      <w:r w:rsidRPr="00B3149D">
        <w:rPr>
          <w:rFonts w:ascii="Arial" w:hAnsi="Arial" w:cs="Arial"/>
        </w:rPr>
        <w:t xml:space="preserve"> that no one model dominates all scenarios. Rather, they find: </w:t>
      </w:r>
      <w:r w:rsidRPr="00B3149D">
        <w:rPr>
          <w:rFonts w:ascii="Arial" w:hAnsi="Arial" w:cs="Arial"/>
          <w:i/>
          <w:iCs/>
        </w:rPr>
        <w:t>advanced models usually outperform simple ones on complex data</w:t>
      </w:r>
      <w:r w:rsidRPr="00B3149D">
        <w:rPr>
          <w:rFonts w:ascii="Arial" w:hAnsi="Arial" w:cs="Arial"/>
        </w:rPr>
        <w:t xml:space="preserve"> (e.g. retail demand)</w:t>
      </w:r>
      <w:hyperlink r:id="rId86" w:anchor=":~:text=,">
        <w:r w:rsidRPr="00B3149D">
          <w:rPr>
            <w:rStyle w:val="Hyperlink"/>
            <w:rFonts w:ascii="Arial" w:hAnsi="Arial" w:cs="Arial"/>
          </w:rPr>
          <w:t>[8]</w:t>
        </w:r>
      </w:hyperlink>
      <w:hyperlink r:id="rId87"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 xml:space="preserve">, but </w:t>
      </w:r>
      <w:r w:rsidRPr="00B3149D">
        <w:rPr>
          <w:rFonts w:ascii="Arial" w:hAnsi="Arial" w:cs="Arial"/>
          <w:i/>
          <w:iCs/>
        </w:rPr>
        <w:t>hybrids must be carefully tailored</w:t>
      </w:r>
      <w:r w:rsidRPr="00B3149D">
        <w:rPr>
          <w:rFonts w:ascii="Arial" w:hAnsi="Arial" w:cs="Arial"/>
        </w:rPr>
        <w:t xml:space="preserve">. </w:t>
      </w:r>
      <w:r w:rsidRPr="00B3149D">
        <w:rPr>
          <w:rFonts w:ascii="Arial" w:hAnsi="Arial" w:cs="Arial"/>
          <w:b/>
          <w:bCs/>
        </w:rPr>
        <w:t>Conflicts</w:t>
      </w:r>
      <w:r w:rsidRPr="00B3149D">
        <w:rPr>
          <w:rFonts w:ascii="Arial" w:hAnsi="Arial" w:cs="Arial"/>
        </w:rPr>
        <w:t xml:space="preserve"> appear in hybrid results: some studies report huge accuracy jumps (when combining LSTM with ARIMA), while others find only marginal gains over the best single model</w:t>
      </w:r>
      <w:hyperlink r:id="rId88"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 The key disagreement is whether the extra complexity of hybrids justifies the minor accuracy improvements in many cases.</w:t>
      </w:r>
    </w:p>
    <w:p w14:paraId="610030FC"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Missing aspects</w:t>
      </w:r>
      <w:r w:rsidRPr="00B3149D">
        <w:rPr>
          <w:rFonts w:ascii="Arial" w:hAnsi="Arial" w:cs="Arial"/>
        </w:rPr>
        <w:t xml:space="preserve"> in Theme 3 include: models that adapt in real time as demand patterns change, and transparent methodologies. Most works assume static conditions and offline training. There is little theorizing on </w:t>
      </w:r>
      <w:r w:rsidRPr="00B3149D">
        <w:rPr>
          <w:rFonts w:ascii="Arial" w:hAnsi="Arial" w:cs="Arial"/>
          <w:i/>
          <w:iCs/>
        </w:rPr>
        <w:t>when</w:t>
      </w:r>
      <w:r w:rsidRPr="00B3149D">
        <w:rPr>
          <w:rFonts w:ascii="Arial" w:hAnsi="Arial" w:cs="Arial"/>
        </w:rPr>
        <w:t xml:space="preserve"> an ML approach will fail or how to integrate expert judgment. Also, the “forecasting during product decline” is under-studied</w:t>
      </w:r>
      <w:hyperlink r:id="rId89" w:anchor=":~:text=From%20the%20previous%20literature%20review%2C,limited%20focus%20in%20the%20literature">
        <w:r w:rsidRPr="00B3149D">
          <w:rPr>
            <w:rStyle w:val="Hyperlink"/>
            <w:rFonts w:ascii="Arial" w:hAnsi="Arial" w:cs="Arial"/>
          </w:rPr>
          <w:t>[6]</w:t>
        </w:r>
      </w:hyperlink>
      <w:r w:rsidRPr="00B3149D">
        <w:rPr>
          <w:rFonts w:ascii="Arial" w:hAnsi="Arial" w:cs="Arial"/>
        </w:rPr>
        <w:t xml:space="preserve">. Overall, Theme 3 confirms that AI and ensemble methods are powerful, but underscores that </w:t>
      </w:r>
      <w:r w:rsidRPr="00B3149D">
        <w:rPr>
          <w:rFonts w:ascii="Arial" w:hAnsi="Arial" w:cs="Arial"/>
          <w:b/>
          <w:bCs/>
        </w:rPr>
        <w:t>model choice depends on context</w:t>
      </w:r>
      <w:r w:rsidRPr="00B3149D">
        <w:rPr>
          <w:rFonts w:ascii="Arial" w:hAnsi="Arial" w:cs="Arial"/>
        </w:rPr>
        <w:t xml:space="preserve"> and must be evaluated with the decision-</w:t>
      </w:r>
      <w:proofErr w:type="spellStart"/>
      <w:r w:rsidRPr="00B3149D">
        <w:rPr>
          <w:rFonts w:ascii="Arial" w:hAnsi="Arial" w:cs="Arial"/>
        </w:rPr>
        <w:t>maker’s</w:t>
      </w:r>
      <w:proofErr w:type="spellEnd"/>
      <w:r w:rsidRPr="00B3149D">
        <w:rPr>
          <w:rFonts w:ascii="Arial" w:hAnsi="Arial" w:cs="Arial"/>
        </w:rPr>
        <w:t xml:space="preserve"> needs in mind.</w:t>
      </w:r>
    </w:p>
    <w:p w14:paraId="5F641819" w14:textId="77777777" w:rsidR="001C6315" w:rsidRPr="00B3149D" w:rsidRDefault="001C6315" w:rsidP="0062377A">
      <w:pPr>
        <w:pStyle w:val="BodyText"/>
        <w:spacing w:line="360" w:lineRule="auto"/>
        <w:rPr>
          <w:rFonts w:ascii="Arial" w:hAnsi="Arial" w:cs="Arial"/>
        </w:rPr>
      </w:pPr>
      <w:r w:rsidRPr="00B3149D">
        <w:rPr>
          <w:rFonts w:ascii="Arial" w:hAnsi="Arial" w:cs="Arial"/>
          <w:i/>
          <w:iCs/>
        </w:rPr>
        <w:t>Studies agree:</w:t>
      </w:r>
      <w:r w:rsidRPr="00B3149D">
        <w:rPr>
          <w:rFonts w:ascii="Arial" w:hAnsi="Arial" w:cs="Arial"/>
        </w:rPr>
        <w:t xml:space="preserve"> Complex machine learning (RF, </w:t>
      </w:r>
      <w:proofErr w:type="spellStart"/>
      <w:r w:rsidRPr="00B3149D">
        <w:rPr>
          <w:rFonts w:ascii="Arial" w:hAnsi="Arial" w:cs="Arial"/>
        </w:rPr>
        <w:t>XGBoost</w:t>
      </w:r>
      <w:proofErr w:type="spellEnd"/>
      <w:r w:rsidRPr="00B3149D">
        <w:rPr>
          <w:rFonts w:ascii="Arial" w:hAnsi="Arial" w:cs="Arial"/>
        </w:rPr>
        <w:t>, LSTM) and well-designed ensembles often beat traditional statistical forecasts for nonlinear or volatile demand</w:t>
      </w:r>
      <w:hyperlink r:id="rId90" w:anchor=":~:text=,">
        <w:r w:rsidRPr="00B3149D">
          <w:rPr>
            <w:rStyle w:val="Hyperlink"/>
            <w:rFonts w:ascii="Arial" w:hAnsi="Arial" w:cs="Arial"/>
          </w:rPr>
          <w:t>[8]</w:t>
        </w:r>
      </w:hyperlink>
      <w:hyperlink r:id="rId91"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 xml:space="preserve">. </w:t>
      </w:r>
      <w:r w:rsidRPr="00B3149D">
        <w:rPr>
          <w:rFonts w:ascii="Arial" w:hAnsi="Arial" w:cs="Arial"/>
          <w:i/>
          <w:iCs/>
        </w:rPr>
        <w:t>Areas of conflict:</w:t>
      </w:r>
      <w:r w:rsidRPr="00B3149D">
        <w:rPr>
          <w:rFonts w:ascii="Arial" w:hAnsi="Arial" w:cs="Arial"/>
        </w:rPr>
        <w:t xml:space="preserve"> Whether elaborate hybrid systems significantly improve over strong single models—findings vary by dataset</w:t>
      </w:r>
      <w:hyperlink r:id="rId92" w:anchor=":~:text=Ozdemir%20and%20Yozgatligil15%20%20conducted,hybrid%20model%20outperformed%20both%20single">
        <w:r w:rsidRPr="00B3149D">
          <w:rPr>
            <w:rStyle w:val="Hyperlink"/>
            <w:rFonts w:ascii="Arial" w:hAnsi="Arial" w:cs="Arial"/>
          </w:rPr>
          <w:t>[7]</w:t>
        </w:r>
      </w:hyperlink>
      <w:r w:rsidRPr="00B3149D">
        <w:rPr>
          <w:rFonts w:ascii="Arial" w:hAnsi="Arial" w:cs="Arial"/>
        </w:rPr>
        <w:t xml:space="preserve">. </w:t>
      </w:r>
      <w:r w:rsidRPr="00B3149D">
        <w:rPr>
          <w:rFonts w:ascii="Arial" w:hAnsi="Arial" w:cs="Arial"/>
          <w:i/>
          <w:iCs/>
        </w:rPr>
        <w:t>What is missing:</w:t>
      </w:r>
      <w:r w:rsidRPr="00B3149D">
        <w:rPr>
          <w:rFonts w:ascii="Arial" w:hAnsi="Arial" w:cs="Arial"/>
        </w:rPr>
        <w:t xml:space="preserve"> Adaptive forecasting methods (e.g. online learning), broader use of FVA (forecast value-added) in method evaluation, and analysis of forecasting in declining or highly volatile life-cycle phases</w:t>
      </w:r>
      <w:hyperlink r:id="rId93" w:anchor=":~:text=From%20the%20previous%20literature%20review%2C,limited%20focus%20in%20the%20literature">
        <w:r w:rsidRPr="00B3149D">
          <w:rPr>
            <w:rStyle w:val="Hyperlink"/>
            <w:rFonts w:ascii="Arial" w:hAnsi="Arial" w:cs="Arial"/>
          </w:rPr>
          <w:t>[6]</w:t>
        </w:r>
      </w:hyperlink>
      <w:r w:rsidRPr="00B3149D">
        <w:rPr>
          <w:rFonts w:ascii="Arial" w:hAnsi="Arial" w:cs="Arial"/>
        </w:rPr>
        <w:t>.</w:t>
      </w:r>
    </w:p>
    <w:p w14:paraId="1DFD6E25" w14:textId="1C06C6E6" w:rsidR="001C6315" w:rsidRPr="00B3149D" w:rsidRDefault="001C6315" w:rsidP="0062377A">
      <w:pPr>
        <w:pStyle w:val="Heading2"/>
        <w:spacing w:line="360" w:lineRule="auto"/>
        <w:rPr>
          <w:rFonts w:ascii="Arial" w:hAnsi="Arial" w:cs="Arial"/>
          <w:b/>
          <w:bCs/>
          <w:sz w:val="24"/>
          <w:szCs w:val="24"/>
        </w:rPr>
      </w:pPr>
      <w:bookmarkStart w:id="32" w:name="_Toc227752986"/>
      <w:bookmarkEnd w:id="27"/>
      <w:r w:rsidRPr="00B3149D">
        <w:rPr>
          <w:rFonts w:ascii="Arial" w:hAnsi="Arial" w:cs="Arial"/>
          <w:b/>
          <w:bCs/>
          <w:sz w:val="24"/>
          <w:szCs w:val="24"/>
        </w:rPr>
        <w:t>2.3.4. Theme 4: Human Judgment, Biases, and AI Adoption</w:t>
      </w:r>
      <w:bookmarkEnd w:id="32"/>
    </w:p>
    <w:p w14:paraId="1E774CF9" w14:textId="77777777" w:rsidR="001C6315" w:rsidRPr="00B3149D" w:rsidRDefault="001C6315" w:rsidP="0062377A">
      <w:pPr>
        <w:pStyle w:val="FirstParagraph"/>
        <w:spacing w:line="360" w:lineRule="auto"/>
        <w:rPr>
          <w:rFonts w:ascii="Arial" w:hAnsi="Arial" w:cs="Arial"/>
        </w:rPr>
      </w:pPr>
      <w:r w:rsidRPr="00B3149D">
        <w:rPr>
          <w:rFonts w:ascii="Arial" w:hAnsi="Arial" w:cs="Arial"/>
        </w:rPr>
        <w:t xml:space="preserve">A critical stream addresses </w:t>
      </w:r>
      <w:r w:rsidRPr="00B3149D">
        <w:rPr>
          <w:rFonts w:ascii="Arial" w:hAnsi="Arial" w:cs="Arial"/>
          <w:b/>
          <w:bCs/>
        </w:rPr>
        <w:t>human factors</w:t>
      </w:r>
      <w:r w:rsidRPr="00B3149D">
        <w:rPr>
          <w:rFonts w:ascii="Arial" w:hAnsi="Arial" w:cs="Arial"/>
        </w:rPr>
        <w:t xml:space="preserve"> in forecasting. By nature, human planners introduce biases (overconfidence, anchoring, availability) when adjusting forecasts. An overview of 162 forecasting papers shows that </w:t>
      </w:r>
      <w:r w:rsidRPr="00B3149D">
        <w:rPr>
          <w:rFonts w:ascii="Arial" w:hAnsi="Arial" w:cs="Arial"/>
          <w:i/>
          <w:iCs/>
        </w:rPr>
        <w:t>algorithmic support can mitigate these biases</w:t>
      </w:r>
      <w:r w:rsidRPr="00B3149D">
        <w:rPr>
          <w:rFonts w:ascii="Arial" w:hAnsi="Arial" w:cs="Arial"/>
        </w:rPr>
        <w:t xml:space="preserve">: providing timely, accurate algorithmic forecasts helps managers overcome anchoring and inconsistency, improving overall forecast </w:t>
      </w:r>
      <w:r w:rsidRPr="00B3149D">
        <w:rPr>
          <w:rFonts w:ascii="Arial" w:hAnsi="Arial" w:cs="Arial"/>
        </w:rPr>
        <w:lastRenderedPageBreak/>
        <w:t>accuracy</w:t>
      </w:r>
      <w:hyperlink r:id="rId94" w:anchor=":~:text=forecasting,large%20language">
        <w:r w:rsidRPr="00B3149D">
          <w:rPr>
            <w:rStyle w:val="Hyperlink"/>
            <w:rFonts w:ascii="Arial" w:hAnsi="Arial" w:cs="Arial"/>
          </w:rPr>
          <w:t>[9]</w:t>
        </w:r>
      </w:hyperlink>
      <w:r w:rsidRPr="00B3149D">
        <w:rPr>
          <w:rFonts w:ascii="Arial" w:hAnsi="Arial" w:cs="Arial"/>
        </w:rPr>
        <w:t>. In practice, hybrid methods (statistical models with human overrides) and consensus forecasting have long been used to blend judgment and data.</w:t>
      </w:r>
    </w:p>
    <w:p w14:paraId="61D0A387"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However, </w:t>
      </w:r>
      <w:r w:rsidRPr="00B3149D">
        <w:rPr>
          <w:rFonts w:ascii="Arial" w:hAnsi="Arial" w:cs="Arial"/>
          <w:b/>
          <w:bCs/>
        </w:rPr>
        <w:t>algorithm aversion</w:t>
      </w:r>
      <w:r w:rsidRPr="00B3149D">
        <w:rPr>
          <w:rFonts w:ascii="Arial" w:hAnsi="Arial" w:cs="Arial"/>
        </w:rPr>
        <w:t xml:space="preserve"> is a strong theme in retail forecasting. Wang et al. (2024) observe that during supply chain disruptions, planners often reject algorithmic safety-stock recommendations, preferring their own instincts – even though the algorithmic solutions </w:t>
      </w:r>
      <w:r w:rsidRPr="00B3149D">
        <w:rPr>
          <w:rFonts w:ascii="Arial" w:hAnsi="Arial" w:cs="Arial"/>
          <w:b/>
          <w:bCs/>
        </w:rPr>
        <w:t>outperform human judgment</w:t>
      </w:r>
      <w:r w:rsidRPr="00B3149D">
        <w:rPr>
          <w:rFonts w:ascii="Arial" w:hAnsi="Arial" w:cs="Arial"/>
        </w:rPr>
        <w:t xml:space="preserve"> by a significant margin</w:t>
      </w:r>
      <w:hyperlink r:id="rId95" w:anchor=":~:text=and%20adaptation%20affects%20performance,decision%20performance%20during%20disruptive%20events">
        <w:r w:rsidRPr="00B3149D">
          <w:rPr>
            <w:rStyle w:val="Hyperlink"/>
            <w:rFonts w:ascii="Arial" w:hAnsi="Arial" w:cs="Arial"/>
          </w:rPr>
          <w:t>[10]</w:t>
        </w:r>
      </w:hyperlink>
      <w:r w:rsidRPr="00B3149D">
        <w:rPr>
          <w:rFonts w:ascii="Arial" w:hAnsi="Arial" w:cs="Arial"/>
        </w:rPr>
        <w:t>. Interview findings suggest people distrust algorithms when they lack a sense of fit or when they feel overburdened (e.g. limited resources to implement algorithmic advice)</w:t>
      </w:r>
      <w:hyperlink r:id="rId96" w:anchor=":~:text=significantly%20outperforming%20human%20judgment,decision%20performance%20during%20disruptive%20events">
        <w:r w:rsidRPr="00B3149D">
          <w:rPr>
            <w:rStyle w:val="Hyperlink"/>
            <w:rFonts w:ascii="Arial" w:hAnsi="Arial" w:cs="Arial"/>
          </w:rPr>
          <w:t>[21]</w:t>
        </w:r>
      </w:hyperlink>
      <w:r w:rsidRPr="00B3149D">
        <w:rPr>
          <w:rFonts w:ascii="Arial" w:hAnsi="Arial" w:cs="Arial"/>
        </w:rPr>
        <w:t>. This creates a contradiction: objective evidence shows AI-driven decisions yield better outcomes, yet humans frequently override them.</w:t>
      </w:r>
    </w:p>
    <w:p w14:paraId="1C1E5F4A"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Industry experts advocate </w:t>
      </w:r>
      <w:r w:rsidRPr="00B3149D">
        <w:rPr>
          <w:rFonts w:ascii="Arial" w:hAnsi="Arial" w:cs="Arial"/>
          <w:b/>
          <w:bCs/>
        </w:rPr>
        <w:t>combining AI with human oversight</w:t>
      </w:r>
      <w:r w:rsidRPr="00B3149D">
        <w:rPr>
          <w:rFonts w:ascii="Arial" w:hAnsi="Arial" w:cs="Arial"/>
        </w:rPr>
        <w:t xml:space="preserve">. For example, </w:t>
      </w:r>
      <w:proofErr w:type="spellStart"/>
      <w:r w:rsidRPr="00B3149D">
        <w:rPr>
          <w:rFonts w:ascii="Arial" w:hAnsi="Arial" w:cs="Arial"/>
        </w:rPr>
        <w:t>Sasidharan</w:t>
      </w:r>
      <w:proofErr w:type="spellEnd"/>
      <w:r w:rsidRPr="00B3149D">
        <w:rPr>
          <w:rFonts w:ascii="Arial" w:hAnsi="Arial" w:cs="Arial"/>
        </w:rPr>
        <w:t xml:space="preserve"> (2026) argues that the future of forecasting lies in a </w:t>
      </w:r>
      <w:proofErr w:type="spellStart"/>
      <w:r w:rsidRPr="00B3149D">
        <w:rPr>
          <w:rFonts w:ascii="Arial" w:hAnsi="Arial" w:cs="Arial"/>
        </w:rPr>
        <w:t>human+AI</w:t>
      </w:r>
      <w:proofErr w:type="spellEnd"/>
      <w:r w:rsidRPr="00B3149D">
        <w:rPr>
          <w:rFonts w:ascii="Arial" w:hAnsi="Arial" w:cs="Arial"/>
        </w:rPr>
        <w:t xml:space="preserve"> loop: continuous model retraining guided by forecast value-added, with humans focusing on exceptions and context</w:t>
      </w:r>
      <w:hyperlink r:id="rId97" w:anchor=":~:text=omnichannel%20environments%2C%20poor%20forecasts%20cascade,retraining%20to%20improve%20over%20time">
        <w:r w:rsidRPr="00B3149D">
          <w:rPr>
            <w:rStyle w:val="Hyperlink"/>
            <w:rFonts w:ascii="Arial" w:hAnsi="Arial" w:cs="Arial"/>
          </w:rPr>
          <w:t>[11]</w:t>
        </w:r>
      </w:hyperlink>
      <w:r w:rsidRPr="00B3149D">
        <w:rPr>
          <w:rFonts w:ascii="Arial" w:hAnsi="Arial" w:cs="Arial"/>
        </w:rPr>
        <w:t>. This approach acknowledges that humans still need to interpret models and intervene strategically. In line with this, some new tools allow planners to adjust model forecasts slightly, which has been shown to reduce aversion</w:t>
      </w:r>
      <w:hyperlink r:id="rId98" w:anchor=":~:text=forecasting,large%20language">
        <w:r w:rsidRPr="00B3149D">
          <w:rPr>
            <w:rStyle w:val="Hyperlink"/>
            <w:rFonts w:ascii="Arial" w:hAnsi="Arial" w:cs="Arial"/>
          </w:rPr>
          <w:t>[9]</w:t>
        </w:r>
      </w:hyperlink>
      <w:r w:rsidRPr="00B3149D">
        <w:rPr>
          <w:rFonts w:ascii="Arial" w:hAnsi="Arial" w:cs="Arial"/>
        </w:rPr>
        <w:t>.</w:t>
      </w:r>
    </w:p>
    <w:p w14:paraId="543A6D47"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Studies agree</w:t>
      </w:r>
      <w:r w:rsidRPr="00B3149D">
        <w:rPr>
          <w:rFonts w:ascii="Arial" w:hAnsi="Arial" w:cs="Arial"/>
        </w:rPr>
        <w:t xml:space="preserve"> that AI can debias human forecasting and generally improve accuracy (algorithms have ‘consistent, well-performing advice’)</w:t>
      </w:r>
      <w:hyperlink r:id="rId99" w:anchor=":~:text=forecasting,large%20language">
        <w:r w:rsidRPr="00B3149D">
          <w:rPr>
            <w:rStyle w:val="Hyperlink"/>
            <w:rFonts w:ascii="Arial" w:hAnsi="Arial" w:cs="Arial"/>
          </w:rPr>
          <w:t>[9]</w:t>
        </w:r>
      </w:hyperlink>
      <w:r w:rsidRPr="00B3149D">
        <w:rPr>
          <w:rFonts w:ascii="Arial" w:hAnsi="Arial" w:cs="Arial"/>
        </w:rPr>
        <w:t xml:space="preserve">. </w:t>
      </w:r>
      <w:r w:rsidRPr="00B3149D">
        <w:rPr>
          <w:rFonts w:ascii="Arial" w:hAnsi="Arial" w:cs="Arial"/>
          <w:b/>
          <w:bCs/>
        </w:rPr>
        <w:t>They conflict</w:t>
      </w:r>
      <w:r w:rsidRPr="00B3149D">
        <w:rPr>
          <w:rFonts w:ascii="Arial" w:hAnsi="Arial" w:cs="Arial"/>
        </w:rPr>
        <w:t xml:space="preserve"> on the human response: while technical papers applaud automated models, </w:t>
      </w:r>
      <w:proofErr w:type="spellStart"/>
      <w:r w:rsidRPr="00B3149D">
        <w:rPr>
          <w:rFonts w:ascii="Arial" w:hAnsi="Arial" w:cs="Arial"/>
        </w:rPr>
        <w:t>behavioral</w:t>
      </w:r>
      <w:proofErr w:type="spellEnd"/>
      <w:r w:rsidRPr="00B3149D">
        <w:rPr>
          <w:rFonts w:ascii="Arial" w:hAnsi="Arial" w:cs="Arial"/>
        </w:rPr>
        <w:t xml:space="preserve"> studies and case evidence show reluctance to fully trust them. </w:t>
      </w:r>
      <w:r w:rsidRPr="00B3149D">
        <w:rPr>
          <w:rFonts w:ascii="Arial" w:hAnsi="Arial" w:cs="Arial"/>
          <w:b/>
          <w:bCs/>
        </w:rPr>
        <w:t>Missing elements</w:t>
      </w:r>
      <w:r w:rsidRPr="00B3149D">
        <w:rPr>
          <w:rFonts w:ascii="Arial" w:hAnsi="Arial" w:cs="Arial"/>
        </w:rPr>
        <w:t xml:space="preserve"> include best practices for human–AI interaction: how much control to give users, how to train planners, and how to design UI for trust. The gap is both theoretical (no unified model of </w:t>
      </w:r>
      <w:proofErr w:type="spellStart"/>
      <w:r w:rsidRPr="00B3149D">
        <w:rPr>
          <w:rFonts w:ascii="Arial" w:hAnsi="Arial" w:cs="Arial"/>
        </w:rPr>
        <w:t>judgment+AI</w:t>
      </w:r>
      <w:proofErr w:type="spellEnd"/>
      <w:r w:rsidRPr="00B3149D">
        <w:rPr>
          <w:rFonts w:ascii="Arial" w:hAnsi="Arial" w:cs="Arial"/>
        </w:rPr>
        <w:t>) and practical (few documented cases of successful AI adoption in planning teams). In summary, Theme 4 highlights that purely technical advances must be complemented by attention to people and process.</w:t>
      </w:r>
    </w:p>
    <w:p w14:paraId="607F1D00" w14:textId="77777777" w:rsidR="001C6315" w:rsidRPr="00B3149D" w:rsidRDefault="001C6315" w:rsidP="0062377A">
      <w:pPr>
        <w:pStyle w:val="BodyText"/>
        <w:spacing w:line="360" w:lineRule="auto"/>
        <w:rPr>
          <w:rFonts w:ascii="Arial" w:hAnsi="Arial" w:cs="Arial"/>
        </w:rPr>
      </w:pPr>
      <w:r w:rsidRPr="00B3149D">
        <w:rPr>
          <w:rFonts w:ascii="Arial" w:hAnsi="Arial" w:cs="Arial"/>
          <w:i/>
          <w:iCs/>
        </w:rPr>
        <w:t>Studies agree:</w:t>
      </w:r>
      <w:r w:rsidRPr="00B3149D">
        <w:rPr>
          <w:rFonts w:ascii="Arial" w:hAnsi="Arial" w:cs="Arial"/>
        </w:rPr>
        <w:t xml:space="preserve"> Algorithms can reduce human biases and improve forecast accuracy when used properly</w:t>
      </w:r>
      <w:hyperlink r:id="rId100" w:anchor=":~:text=forecasting,large%20language">
        <w:r w:rsidRPr="00B3149D">
          <w:rPr>
            <w:rStyle w:val="Hyperlink"/>
            <w:rFonts w:ascii="Arial" w:hAnsi="Arial" w:cs="Arial"/>
          </w:rPr>
          <w:t>[9]</w:t>
        </w:r>
      </w:hyperlink>
      <w:r w:rsidRPr="00B3149D">
        <w:rPr>
          <w:rFonts w:ascii="Arial" w:hAnsi="Arial" w:cs="Arial"/>
        </w:rPr>
        <w:t xml:space="preserve">. </w:t>
      </w:r>
      <w:r w:rsidRPr="00B3149D">
        <w:rPr>
          <w:rFonts w:ascii="Arial" w:hAnsi="Arial" w:cs="Arial"/>
          <w:i/>
          <w:iCs/>
        </w:rPr>
        <w:t>Areas of conflict:</w:t>
      </w:r>
      <w:r w:rsidRPr="00B3149D">
        <w:rPr>
          <w:rFonts w:ascii="Arial" w:hAnsi="Arial" w:cs="Arial"/>
        </w:rPr>
        <w:t xml:space="preserve"> In practice, many planners resist algorithmic forecasts (algorithm aversion)</w:t>
      </w:r>
      <w:hyperlink r:id="rId101" w:anchor=":~:text=and%20adaptation%20affects%20performance,decision%20performance%20during%20disruptive%20events">
        <w:r w:rsidRPr="00B3149D">
          <w:rPr>
            <w:rStyle w:val="Hyperlink"/>
            <w:rFonts w:ascii="Arial" w:hAnsi="Arial" w:cs="Arial"/>
          </w:rPr>
          <w:t>[10]</w:t>
        </w:r>
      </w:hyperlink>
      <w:r w:rsidRPr="00B3149D">
        <w:rPr>
          <w:rFonts w:ascii="Arial" w:hAnsi="Arial" w:cs="Arial"/>
        </w:rPr>
        <w:t xml:space="preserve">, leading to tension between statistical optimality and human preference. </w:t>
      </w:r>
      <w:r w:rsidRPr="00B3149D">
        <w:rPr>
          <w:rFonts w:ascii="Arial" w:hAnsi="Arial" w:cs="Arial"/>
          <w:i/>
          <w:iCs/>
        </w:rPr>
        <w:t>What is missing:</w:t>
      </w:r>
      <w:r w:rsidRPr="00B3149D">
        <w:rPr>
          <w:rFonts w:ascii="Arial" w:hAnsi="Arial" w:cs="Arial"/>
        </w:rPr>
        <w:t xml:space="preserve"> Research on effective </w:t>
      </w:r>
      <w:r w:rsidRPr="00B3149D">
        <w:rPr>
          <w:rFonts w:ascii="Arial" w:hAnsi="Arial" w:cs="Arial"/>
          <w:i/>
          <w:iCs/>
        </w:rPr>
        <w:t>human–AI collaboration</w:t>
      </w:r>
      <w:r w:rsidRPr="00B3149D">
        <w:rPr>
          <w:rFonts w:ascii="Arial" w:hAnsi="Arial" w:cs="Arial"/>
        </w:rPr>
        <w:t>: how to design systems and workflows that ensure AI’s benefits are realized despite human biases (e.g. recommended human-in-loop frameworks</w:t>
      </w:r>
      <w:hyperlink r:id="rId102" w:anchor=":~:text=omnichannel%20environments%2C%20poor%20forecasts%20cascade,retraining%20to%20improve%20over%20time">
        <w:r w:rsidRPr="00B3149D">
          <w:rPr>
            <w:rStyle w:val="Hyperlink"/>
            <w:rFonts w:ascii="Arial" w:hAnsi="Arial" w:cs="Arial"/>
          </w:rPr>
          <w:t>[11]</w:t>
        </w:r>
      </w:hyperlink>
      <w:r w:rsidRPr="00B3149D">
        <w:rPr>
          <w:rFonts w:ascii="Arial" w:hAnsi="Arial" w:cs="Arial"/>
        </w:rPr>
        <w:t>).</w:t>
      </w:r>
    </w:p>
    <w:p w14:paraId="07886B89" w14:textId="29265A8B" w:rsidR="001C6315" w:rsidRPr="00B3149D" w:rsidRDefault="001C6315" w:rsidP="0062377A">
      <w:pPr>
        <w:pStyle w:val="Heading2"/>
        <w:spacing w:line="360" w:lineRule="auto"/>
        <w:rPr>
          <w:rFonts w:ascii="Arial" w:hAnsi="Arial" w:cs="Arial"/>
          <w:b/>
          <w:bCs/>
          <w:sz w:val="24"/>
          <w:szCs w:val="24"/>
        </w:rPr>
      </w:pPr>
      <w:bookmarkStart w:id="33" w:name="_Toc227752987"/>
      <w:bookmarkEnd w:id="29"/>
      <w:r w:rsidRPr="00B3149D">
        <w:rPr>
          <w:rFonts w:ascii="Arial" w:hAnsi="Arial" w:cs="Arial"/>
          <w:b/>
          <w:bCs/>
          <w:sz w:val="24"/>
          <w:szCs w:val="24"/>
        </w:rPr>
        <w:lastRenderedPageBreak/>
        <w:t>2.3.5. Theme 5: Emerging Trends, Governance, and Mixed Methods</w:t>
      </w:r>
      <w:bookmarkEnd w:id="33"/>
    </w:p>
    <w:p w14:paraId="179214C7" w14:textId="77777777" w:rsidR="001C6315" w:rsidRPr="00B3149D" w:rsidRDefault="001C6315" w:rsidP="0062377A">
      <w:pPr>
        <w:pStyle w:val="FirstParagraph"/>
        <w:spacing w:line="360" w:lineRule="auto"/>
        <w:rPr>
          <w:rFonts w:ascii="Arial" w:hAnsi="Arial" w:cs="Arial"/>
        </w:rPr>
      </w:pPr>
      <w:r w:rsidRPr="00B3149D">
        <w:rPr>
          <w:rFonts w:ascii="Arial" w:hAnsi="Arial" w:cs="Arial"/>
        </w:rPr>
        <w:t xml:space="preserve">Recent literature touches on broader trends and contextual factors. Two major directions stand out: </w:t>
      </w:r>
      <w:r w:rsidRPr="00B3149D">
        <w:rPr>
          <w:rFonts w:ascii="Arial" w:hAnsi="Arial" w:cs="Arial"/>
          <w:b/>
          <w:bCs/>
        </w:rPr>
        <w:t>governance/ethics</w:t>
      </w:r>
      <w:r w:rsidRPr="00B3149D">
        <w:rPr>
          <w:rFonts w:ascii="Arial" w:hAnsi="Arial" w:cs="Arial"/>
        </w:rPr>
        <w:t xml:space="preserve"> of AI and the integration of </w:t>
      </w:r>
      <w:r w:rsidRPr="00B3149D">
        <w:rPr>
          <w:rFonts w:ascii="Arial" w:hAnsi="Arial" w:cs="Arial"/>
          <w:b/>
          <w:bCs/>
        </w:rPr>
        <w:t>novel data sources</w:t>
      </w:r>
      <w:r w:rsidRPr="00B3149D">
        <w:rPr>
          <w:rFonts w:ascii="Arial" w:hAnsi="Arial" w:cs="Arial"/>
        </w:rPr>
        <w:t>.</w:t>
      </w:r>
    </w:p>
    <w:p w14:paraId="5A33DE00" w14:textId="77777777" w:rsidR="001C6315" w:rsidRPr="00B3149D" w:rsidRDefault="001C6315" w:rsidP="0062377A">
      <w:pPr>
        <w:pStyle w:val="BodyText"/>
        <w:spacing w:line="360" w:lineRule="auto"/>
        <w:rPr>
          <w:rFonts w:ascii="Arial" w:hAnsi="Arial" w:cs="Arial"/>
        </w:rPr>
      </w:pPr>
      <w:r w:rsidRPr="00B3149D">
        <w:rPr>
          <w:rFonts w:ascii="Arial" w:hAnsi="Arial" w:cs="Arial"/>
        </w:rPr>
        <w:t>On governance, there is increasing emphasis on ethical AI principles. UNESCO’s 2021 Recommendation on the Ethics of Artificial Intelligence calls for transparency, fairness, accountability, and human oversight in AI systems</w:t>
      </w:r>
      <w:hyperlink r:id="rId103" w:anchor=":~:text=UNESCO%20produced%20the%20first,194%20member%20states%20of%20UNESCO">
        <w:r w:rsidRPr="00B3149D">
          <w:rPr>
            <w:rStyle w:val="Hyperlink"/>
            <w:rFonts w:ascii="Arial" w:hAnsi="Arial" w:cs="Arial"/>
          </w:rPr>
          <w:t>[12]</w:t>
        </w:r>
      </w:hyperlink>
      <w:r w:rsidRPr="00B3149D">
        <w:rPr>
          <w:rFonts w:ascii="Arial" w:hAnsi="Arial" w:cs="Arial"/>
        </w:rPr>
        <w:t xml:space="preserve">. In supply chains, this translates to demands for explainable forecasts and clear audit trails. The EU’s AI Act (noted by industry analysts) similarly mandates risk assessments. Some authors argue that </w:t>
      </w:r>
      <w:r w:rsidRPr="00B3149D">
        <w:rPr>
          <w:rFonts w:ascii="Arial" w:hAnsi="Arial" w:cs="Arial"/>
          <w:b/>
          <w:bCs/>
        </w:rPr>
        <w:t>AI governance can be a competitive advantage</w:t>
      </w:r>
      <w:r w:rsidRPr="00B3149D">
        <w:rPr>
          <w:rFonts w:ascii="Arial" w:hAnsi="Arial" w:cs="Arial"/>
        </w:rPr>
        <w:t>, as consumers and regulators increasingly expect responsible AI. Nonetheless, academic treatment is still nascent: guidelines are cited, but few empirical studies examine how transparency or bias considerations affect forecasting adoption.</w:t>
      </w:r>
    </w:p>
    <w:p w14:paraId="12D87953" w14:textId="77777777" w:rsidR="001C6315" w:rsidRPr="00B3149D" w:rsidRDefault="001C6315" w:rsidP="0062377A">
      <w:pPr>
        <w:pStyle w:val="BodyText"/>
        <w:spacing w:line="360" w:lineRule="auto"/>
        <w:rPr>
          <w:rFonts w:ascii="Arial" w:hAnsi="Arial" w:cs="Arial"/>
        </w:rPr>
      </w:pPr>
      <w:r w:rsidRPr="00B3149D">
        <w:rPr>
          <w:rFonts w:ascii="Arial" w:hAnsi="Arial" w:cs="Arial"/>
        </w:rPr>
        <w:t xml:space="preserve">On methods and contexts, </w:t>
      </w:r>
      <w:r w:rsidRPr="00B3149D">
        <w:rPr>
          <w:rFonts w:ascii="Arial" w:hAnsi="Arial" w:cs="Arial"/>
          <w:b/>
          <w:bCs/>
        </w:rPr>
        <w:t>multi-agent and agentic AI</w:t>
      </w:r>
      <w:r w:rsidRPr="00B3149D">
        <w:rPr>
          <w:rFonts w:ascii="Arial" w:hAnsi="Arial" w:cs="Arial"/>
        </w:rPr>
        <w:t xml:space="preserve"> are emerging. For example, the reinforcement learning retail study</w:t>
      </w:r>
      <w:hyperlink r:id="rId104" w:anchor=":~:text=and%20humidity%20sensors,enabled%20supply%20chain%20challenges">
        <w:r w:rsidRPr="00B3149D">
          <w:rPr>
            <w:rStyle w:val="Hyperlink"/>
            <w:rFonts w:ascii="Arial" w:hAnsi="Arial" w:cs="Arial"/>
          </w:rPr>
          <w:t>[4]</w:t>
        </w:r>
      </w:hyperlink>
      <w:r w:rsidRPr="00B3149D">
        <w:rPr>
          <w:rFonts w:ascii="Arial" w:hAnsi="Arial" w:cs="Arial"/>
        </w:rPr>
        <w:t xml:space="preserve"> illustrates how IoT sensor data (temperature, shelf weight) can enhance forecasts and inventory decisions. Similarly, agent-based architectures (</w:t>
      </w:r>
      <w:proofErr w:type="spellStart"/>
      <w:r w:rsidRPr="00B3149D">
        <w:rPr>
          <w:rFonts w:ascii="Arial" w:hAnsi="Arial" w:cs="Arial"/>
        </w:rPr>
        <w:t>LangChain</w:t>
      </w:r>
      <w:proofErr w:type="spellEnd"/>
      <w:r w:rsidRPr="00B3149D">
        <w:rPr>
          <w:rFonts w:ascii="Arial" w:hAnsi="Arial" w:cs="Arial"/>
        </w:rPr>
        <w:t xml:space="preserve">, ensemble agents) are being explored for real-time forecasting orchestration. </w:t>
      </w:r>
      <w:r w:rsidRPr="00B3149D">
        <w:rPr>
          <w:rFonts w:ascii="Arial" w:hAnsi="Arial" w:cs="Arial"/>
          <w:b/>
          <w:bCs/>
        </w:rPr>
        <w:t>Mixed-method research</w:t>
      </w:r>
      <w:r w:rsidRPr="00B3149D">
        <w:rPr>
          <w:rFonts w:ascii="Arial" w:hAnsi="Arial" w:cs="Arial"/>
        </w:rPr>
        <w:t xml:space="preserve"> is also noted: </w:t>
      </w:r>
      <w:proofErr w:type="spellStart"/>
      <w:r w:rsidRPr="00B3149D">
        <w:rPr>
          <w:rFonts w:ascii="Arial" w:hAnsi="Arial" w:cs="Arial"/>
        </w:rPr>
        <w:t>Abdelfatah</w:t>
      </w:r>
      <w:proofErr w:type="spellEnd"/>
      <w:r w:rsidRPr="00B3149D">
        <w:rPr>
          <w:rFonts w:ascii="Arial" w:hAnsi="Arial" w:cs="Arial"/>
        </w:rPr>
        <w:t xml:space="preserve"> (2026) combined quantitative analysis with a survey of 204 practitioners, yielding both statistical results and managerial insights</w:t>
      </w:r>
      <w:hyperlink r:id="rId105" w:anchor=":~:text=organizations.%20Using%20a%20mixed,2026%20Page%202">
        <w:r w:rsidRPr="00B3149D">
          <w:rPr>
            <w:rStyle w:val="Hyperlink"/>
            <w:rFonts w:ascii="Arial" w:hAnsi="Arial" w:cs="Arial"/>
          </w:rPr>
          <w:t>[17]</w:t>
        </w:r>
      </w:hyperlink>
      <w:r w:rsidRPr="00B3149D">
        <w:rPr>
          <w:rFonts w:ascii="Arial" w:hAnsi="Arial" w:cs="Arial"/>
        </w:rPr>
        <w:t>. This reflects a trend toward more holistic evaluations of forecasting systems.</w:t>
      </w:r>
    </w:p>
    <w:p w14:paraId="15B31808" w14:textId="77777777" w:rsidR="001C6315" w:rsidRPr="00B3149D" w:rsidRDefault="001C6315" w:rsidP="0062377A">
      <w:pPr>
        <w:pStyle w:val="BodyText"/>
        <w:spacing w:line="360" w:lineRule="auto"/>
        <w:rPr>
          <w:rFonts w:ascii="Arial" w:hAnsi="Arial" w:cs="Arial"/>
        </w:rPr>
      </w:pPr>
      <w:r w:rsidRPr="00B3149D">
        <w:rPr>
          <w:rFonts w:ascii="Arial" w:hAnsi="Arial" w:cs="Arial"/>
          <w:b/>
          <w:bCs/>
        </w:rPr>
        <w:t>Studies agree</w:t>
      </w:r>
      <w:r w:rsidRPr="00B3149D">
        <w:rPr>
          <w:rFonts w:ascii="Arial" w:hAnsi="Arial" w:cs="Arial"/>
        </w:rPr>
        <w:t xml:space="preserve"> that AI’s role in forecasting will continue expanding, but stress caution: as </w:t>
      </w:r>
      <w:proofErr w:type="spellStart"/>
      <w:r w:rsidRPr="00B3149D">
        <w:rPr>
          <w:rFonts w:ascii="Arial" w:hAnsi="Arial" w:cs="Arial"/>
        </w:rPr>
        <w:t>Sasidharan</w:t>
      </w:r>
      <w:proofErr w:type="spellEnd"/>
      <w:r w:rsidRPr="00B3149D">
        <w:rPr>
          <w:rFonts w:ascii="Arial" w:hAnsi="Arial" w:cs="Arial"/>
        </w:rPr>
        <w:t xml:space="preserve"> (2026) points out, complexity does not guarantee value; rigorous measurement (forecast value-add) is needed</w:t>
      </w:r>
      <w:hyperlink r:id="rId106" w:anchor=":~:text=,costs%2C%20and%20reduced%20service%20levels">
        <w:r w:rsidRPr="00B3149D">
          <w:rPr>
            <w:rStyle w:val="Hyperlink"/>
            <w:rFonts w:ascii="Arial" w:hAnsi="Arial" w:cs="Arial"/>
          </w:rPr>
          <w:t>[22]</w:t>
        </w:r>
      </w:hyperlink>
      <w:hyperlink r:id="rId107" w:anchor=":~:text=FVA%20provides%20the%20clarity%20needed,every%20component%20earns%20its%20place">
        <w:r w:rsidRPr="00B3149D">
          <w:rPr>
            <w:rStyle w:val="Hyperlink"/>
            <w:rFonts w:ascii="Arial" w:hAnsi="Arial" w:cs="Arial"/>
          </w:rPr>
          <w:t>[23]</w:t>
        </w:r>
      </w:hyperlink>
      <w:r w:rsidRPr="00B3149D">
        <w:rPr>
          <w:rFonts w:ascii="Arial" w:hAnsi="Arial" w:cs="Arial"/>
        </w:rPr>
        <w:t xml:space="preserve">. </w:t>
      </w:r>
      <w:r w:rsidRPr="00B3149D">
        <w:rPr>
          <w:rFonts w:ascii="Arial" w:hAnsi="Arial" w:cs="Arial"/>
          <w:b/>
          <w:bCs/>
        </w:rPr>
        <w:t>They conflict</w:t>
      </w:r>
      <w:r w:rsidRPr="00B3149D">
        <w:rPr>
          <w:rFonts w:ascii="Arial" w:hAnsi="Arial" w:cs="Arial"/>
        </w:rPr>
        <w:t xml:space="preserve"> on the pace of change: some are optimistic about rapid transformation (citing big accuracy gains), while others warn that many organizations lack data readiness or governance to leverage AI fully. </w:t>
      </w:r>
      <w:r w:rsidRPr="00B3149D">
        <w:rPr>
          <w:rFonts w:ascii="Arial" w:hAnsi="Arial" w:cs="Arial"/>
          <w:b/>
          <w:bCs/>
        </w:rPr>
        <w:t>Missing elements</w:t>
      </w:r>
      <w:r w:rsidRPr="00B3149D">
        <w:rPr>
          <w:rFonts w:ascii="Arial" w:hAnsi="Arial" w:cs="Arial"/>
        </w:rPr>
        <w:t xml:space="preserve"> include cross-sector comparisons (most case studies are in retail or consumer goods) and studies on regulatory/ethical impacts (how compliance burdens slow adoption). In sum, Theme 5 indicates that forecasting research is pushing into </w:t>
      </w:r>
      <w:r w:rsidRPr="00B3149D">
        <w:rPr>
          <w:rFonts w:ascii="Arial" w:hAnsi="Arial" w:cs="Arial"/>
          <w:b/>
          <w:bCs/>
        </w:rPr>
        <w:t>cutting-edge AI approaches and policy issues</w:t>
      </w:r>
      <w:r w:rsidRPr="00B3149D">
        <w:rPr>
          <w:rFonts w:ascii="Arial" w:hAnsi="Arial" w:cs="Arial"/>
        </w:rPr>
        <w:t>, but there is little work yet on synthesizing these with the core forecasting function.</w:t>
      </w:r>
    </w:p>
    <w:p w14:paraId="25F75279" w14:textId="128AFAE1" w:rsidR="00960EBE" w:rsidRPr="00B3149D" w:rsidRDefault="001C6315" w:rsidP="0062377A">
      <w:pPr>
        <w:pStyle w:val="BodyText"/>
        <w:spacing w:line="360" w:lineRule="auto"/>
        <w:rPr>
          <w:rFonts w:ascii="Arial" w:hAnsi="Arial" w:cs="Arial"/>
        </w:rPr>
      </w:pPr>
      <w:r w:rsidRPr="00B3149D">
        <w:rPr>
          <w:rFonts w:ascii="Arial" w:hAnsi="Arial" w:cs="Arial"/>
          <w:i/>
          <w:iCs/>
        </w:rPr>
        <w:lastRenderedPageBreak/>
        <w:t>Studies agree:</w:t>
      </w:r>
      <w:r w:rsidRPr="00B3149D">
        <w:rPr>
          <w:rFonts w:ascii="Arial" w:hAnsi="Arial" w:cs="Arial"/>
        </w:rPr>
        <w:t xml:space="preserve"> Organizations must establish strong AI governance (transparency, human oversight) and measure actual forecast value, not just technical metrics</w:t>
      </w:r>
      <w:hyperlink r:id="rId108" w:anchor=":~:text=UNESCO%20produced%20the%20first,194%20member%20states%20of%20UNESCO">
        <w:r w:rsidRPr="00B3149D">
          <w:rPr>
            <w:rStyle w:val="Hyperlink"/>
            <w:rFonts w:ascii="Arial" w:hAnsi="Arial" w:cs="Arial"/>
          </w:rPr>
          <w:t>[12]</w:t>
        </w:r>
      </w:hyperlink>
      <w:hyperlink r:id="rId109" w:anchor=":~:text=,costs%2C%20and%20reduced%20service%20levels">
        <w:r w:rsidRPr="00B3149D">
          <w:rPr>
            <w:rStyle w:val="Hyperlink"/>
            <w:rFonts w:ascii="Arial" w:hAnsi="Arial" w:cs="Arial"/>
          </w:rPr>
          <w:t>[22]</w:t>
        </w:r>
      </w:hyperlink>
      <w:r w:rsidRPr="00B3149D">
        <w:rPr>
          <w:rFonts w:ascii="Arial" w:hAnsi="Arial" w:cs="Arial"/>
        </w:rPr>
        <w:t xml:space="preserve">. </w:t>
      </w:r>
      <w:r w:rsidRPr="00B3149D">
        <w:rPr>
          <w:rFonts w:ascii="Arial" w:hAnsi="Arial" w:cs="Arial"/>
          <w:i/>
          <w:iCs/>
        </w:rPr>
        <w:t>Areas of conflict:</w:t>
      </w:r>
      <w:r w:rsidRPr="00B3149D">
        <w:rPr>
          <w:rFonts w:ascii="Arial" w:hAnsi="Arial" w:cs="Arial"/>
        </w:rPr>
        <w:t xml:space="preserve"> Over-engineering (LLMs, multi-agent systems) can overshoot needs without clear benefit</w:t>
      </w:r>
      <w:hyperlink r:id="rId110" w:anchor=":~:text=,costs%2C%20and%20reduced%20service%20levels">
        <w:r w:rsidRPr="00B3149D">
          <w:rPr>
            <w:rStyle w:val="Hyperlink"/>
            <w:rFonts w:ascii="Arial" w:hAnsi="Arial" w:cs="Arial"/>
          </w:rPr>
          <w:t>[22]</w:t>
        </w:r>
      </w:hyperlink>
      <w:hyperlink r:id="rId111" w:anchor=":~:text=FVA%20provides%20the%20clarity%20needed,every%20component%20earns%20its%20place">
        <w:r w:rsidRPr="00B3149D">
          <w:rPr>
            <w:rStyle w:val="Hyperlink"/>
            <w:rFonts w:ascii="Arial" w:hAnsi="Arial" w:cs="Arial"/>
          </w:rPr>
          <w:t>[23]</w:t>
        </w:r>
      </w:hyperlink>
      <w:r w:rsidRPr="00B3149D">
        <w:rPr>
          <w:rFonts w:ascii="Arial" w:hAnsi="Arial" w:cs="Arial"/>
        </w:rPr>
        <w:t xml:space="preserve">; the key is disciplined evaluation. </w:t>
      </w:r>
      <w:r w:rsidRPr="00B3149D">
        <w:rPr>
          <w:rFonts w:ascii="Arial" w:hAnsi="Arial" w:cs="Arial"/>
          <w:i/>
          <w:iCs/>
        </w:rPr>
        <w:t>What is missing:</w:t>
      </w:r>
      <w:r w:rsidRPr="00B3149D">
        <w:rPr>
          <w:rFonts w:ascii="Arial" w:hAnsi="Arial" w:cs="Arial"/>
        </w:rPr>
        <w:t xml:space="preserve"> Empirical data on how different industries adopt AI forecasting responsibly, and on the impact of upcoming regulations (e.g. EU AI Act) on forecasting practices.</w:t>
      </w:r>
    </w:p>
    <w:p w14:paraId="72CDCF9A" w14:textId="75C31252" w:rsidR="001C6315" w:rsidRPr="00B3149D" w:rsidRDefault="001C6315" w:rsidP="0062377A">
      <w:pPr>
        <w:pStyle w:val="Heading1"/>
        <w:spacing w:line="360" w:lineRule="auto"/>
        <w:rPr>
          <w:rFonts w:ascii="Arial" w:hAnsi="Arial" w:cs="Arial"/>
          <w:b/>
          <w:bCs/>
          <w:sz w:val="28"/>
          <w:szCs w:val="28"/>
        </w:rPr>
      </w:pPr>
      <w:bookmarkStart w:id="34" w:name="_Toc227752988"/>
      <w:r w:rsidRPr="00B3149D">
        <w:rPr>
          <w:rFonts w:ascii="Arial" w:hAnsi="Arial" w:cs="Arial"/>
          <w:b/>
          <w:bCs/>
          <w:sz w:val="28"/>
          <w:szCs w:val="28"/>
        </w:rPr>
        <w:t>2.5. Gap Matrix</w:t>
      </w:r>
      <w:bookmarkEnd w:id="34"/>
    </w:p>
    <w:tbl>
      <w:tblPr>
        <w:tblStyle w:val="GridTable1Light"/>
        <w:tblW w:w="0" w:type="auto"/>
        <w:tblLook w:val="04A0" w:firstRow="1" w:lastRow="0" w:firstColumn="1" w:lastColumn="0" w:noHBand="0" w:noVBand="1"/>
      </w:tblPr>
      <w:tblGrid>
        <w:gridCol w:w="9016"/>
      </w:tblGrid>
      <w:tr w:rsidR="001C6315" w:rsidRPr="00B3149D" w14:paraId="01F8B1F4" w14:textId="77777777" w:rsidTr="00556F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tbl>
            <w:tblPr>
              <w:tblStyle w:val="TableGridLight"/>
              <w:tblW w:w="0" w:type="auto"/>
              <w:tblLook w:val="0020" w:firstRow="1" w:lastRow="0" w:firstColumn="0" w:lastColumn="0" w:noHBand="0" w:noVBand="0"/>
            </w:tblPr>
            <w:tblGrid>
              <w:gridCol w:w="1470"/>
              <w:gridCol w:w="1635"/>
              <w:gridCol w:w="1697"/>
              <w:gridCol w:w="2070"/>
              <w:gridCol w:w="1918"/>
            </w:tblGrid>
            <w:tr w:rsidR="00486A83" w:rsidRPr="00B3149D" w14:paraId="460C7060" w14:textId="77777777" w:rsidTr="00486A83">
              <w:tc>
                <w:tcPr>
                  <w:tcW w:w="0" w:type="auto"/>
                </w:tcPr>
                <w:p w14:paraId="5CA23277"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b/>
                      <w:bCs/>
                      <w:sz w:val="22"/>
                      <w:szCs w:val="22"/>
                    </w:rPr>
                    <w:t>Study</w:t>
                  </w:r>
                </w:p>
              </w:tc>
              <w:tc>
                <w:tcPr>
                  <w:tcW w:w="0" w:type="auto"/>
                </w:tcPr>
                <w:p w14:paraId="5576F23F"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b/>
                      <w:bCs/>
                      <w:sz w:val="22"/>
                      <w:szCs w:val="22"/>
                    </w:rPr>
                    <w:t>Theory Gap</w:t>
                  </w:r>
                </w:p>
              </w:tc>
              <w:tc>
                <w:tcPr>
                  <w:tcW w:w="0" w:type="auto"/>
                </w:tcPr>
                <w:p w14:paraId="4F382DC2"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b/>
                      <w:bCs/>
                      <w:sz w:val="22"/>
                      <w:szCs w:val="22"/>
                    </w:rPr>
                    <w:t>Method Gap</w:t>
                  </w:r>
                </w:p>
              </w:tc>
              <w:tc>
                <w:tcPr>
                  <w:tcW w:w="0" w:type="auto"/>
                </w:tcPr>
                <w:p w14:paraId="39404145"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b/>
                      <w:bCs/>
                      <w:sz w:val="22"/>
                      <w:szCs w:val="22"/>
                    </w:rPr>
                    <w:t>Context Gap</w:t>
                  </w:r>
                </w:p>
              </w:tc>
              <w:tc>
                <w:tcPr>
                  <w:tcW w:w="0" w:type="auto"/>
                </w:tcPr>
                <w:p w14:paraId="7114CD14"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b/>
                      <w:bCs/>
                      <w:sz w:val="22"/>
                      <w:szCs w:val="22"/>
                    </w:rPr>
                    <w:t>Key Insight</w:t>
                  </w:r>
                </w:p>
              </w:tc>
            </w:tr>
            <w:tr w:rsidR="00486A83" w:rsidRPr="00B3149D" w14:paraId="36E97E31" w14:textId="77777777" w:rsidTr="00486A83">
              <w:tc>
                <w:tcPr>
                  <w:tcW w:w="0" w:type="auto"/>
                </w:tcPr>
                <w:p w14:paraId="663FF34E" w14:textId="77777777" w:rsidR="001C6315" w:rsidRPr="00B3149D" w:rsidRDefault="001C6315" w:rsidP="0062377A">
                  <w:pPr>
                    <w:pStyle w:val="Compact"/>
                    <w:spacing w:line="360" w:lineRule="auto"/>
                    <w:rPr>
                      <w:rFonts w:ascii="Arial" w:hAnsi="Arial" w:cs="Arial"/>
                      <w:sz w:val="22"/>
                      <w:szCs w:val="22"/>
                    </w:rPr>
                  </w:pPr>
                  <w:proofErr w:type="spellStart"/>
                  <w:r w:rsidRPr="00B3149D">
                    <w:rPr>
                      <w:rFonts w:ascii="Arial" w:hAnsi="Arial" w:cs="Arial"/>
                      <w:sz w:val="22"/>
                      <w:szCs w:val="22"/>
                    </w:rPr>
                    <w:t>Spiliotis</w:t>
                  </w:r>
                  <w:proofErr w:type="spellEnd"/>
                  <w:r w:rsidRPr="00B3149D">
                    <w:rPr>
                      <w:rFonts w:ascii="Arial" w:hAnsi="Arial" w:cs="Arial"/>
                      <w:sz w:val="22"/>
                      <w:szCs w:val="22"/>
                    </w:rPr>
                    <w:t xml:space="preserve"> </w:t>
                  </w:r>
                  <w:r w:rsidRPr="00B3149D">
                    <w:rPr>
                      <w:rFonts w:ascii="Arial" w:hAnsi="Arial" w:cs="Arial"/>
                      <w:i/>
                      <w:iCs/>
                      <w:sz w:val="22"/>
                      <w:szCs w:val="22"/>
                    </w:rPr>
                    <w:t>et al.</w:t>
                  </w:r>
                  <w:r w:rsidRPr="00B3149D">
                    <w:rPr>
                      <w:rFonts w:ascii="Arial" w:hAnsi="Arial" w:cs="Arial"/>
                      <w:sz w:val="22"/>
                      <w:szCs w:val="22"/>
                    </w:rPr>
                    <w:t xml:space="preserve"> (2024)</w:t>
                  </w:r>
                  <w:hyperlink r:id="rId112" w:anchor=":~:text=It%20becomes%20evident%20that%20the,also%20being%20often%20limited%20in">
                    <w:r w:rsidRPr="00B3149D">
                      <w:rPr>
                        <w:rStyle w:val="Hyperlink"/>
                        <w:rFonts w:ascii="Arial" w:hAnsi="Arial" w:cs="Arial"/>
                        <w:sz w:val="22"/>
                        <w:szCs w:val="22"/>
                      </w:rPr>
                      <w:t>[13]</w:t>
                    </w:r>
                  </w:hyperlink>
                </w:p>
              </w:tc>
              <w:tc>
                <w:tcPr>
                  <w:tcW w:w="0" w:type="auto"/>
                </w:tcPr>
                <w:p w14:paraId="3E65EEC6"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No clear theoretical link between forecast accuracy and inventory utility.</w:t>
                  </w:r>
                </w:p>
              </w:tc>
              <w:tc>
                <w:tcPr>
                  <w:tcW w:w="0" w:type="auto"/>
                </w:tcPr>
                <w:p w14:paraId="6785E9EF"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Simulation of popular methods; limited to M5 competition time series.</w:t>
                  </w:r>
                </w:p>
              </w:tc>
              <w:tc>
                <w:tcPr>
                  <w:tcW w:w="0" w:type="auto"/>
                </w:tcPr>
                <w:p w14:paraId="176C6505"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Uses competition data; needs real-world retail/manufacturer data.</w:t>
                  </w:r>
                </w:p>
              </w:tc>
              <w:tc>
                <w:tcPr>
                  <w:tcW w:w="0" w:type="auto"/>
                </w:tcPr>
                <w:p w14:paraId="346C3993"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 xml:space="preserve">Forecast accuracy often </w:t>
                  </w:r>
                  <w:r w:rsidRPr="00B3149D">
                    <w:rPr>
                      <w:rFonts w:ascii="Arial" w:hAnsi="Arial" w:cs="Arial"/>
                      <w:i/>
                      <w:iCs/>
                      <w:sz w:val="22"/>
                      <w:szCs w:val="22"/>
                    </w:rPr>
                    <w:t>does not</w:t>
                  </w:r>
                  <w:r w:rsidRPr="00B3149D">
                    <w:rPr>
                      <w:rFonts w:ascii="Arial" w:hAnsi="Arial" w:cs="Arial"/>
                      <w:sz w:val="22"/>
                      <w:szCs w:val="22"/>
                    </w:rPr>
                    <w:t xml:space="preserve"> guarantee better inventory performance</w:t>
                  </w:r>
                  <w:hyperlink r:id="rId113" w:anchor=":~:text=It%20becomes%20evident%20that%20the,also%20being%20often%20limited%20in">
                    <w:r w:rsidRPr="00B3149D">
                      <w:rPr>
                        <w:rStyle w:val="Hyperlink"/>
                        <w:rFonts w:ascii="Arial" w:hAnsi="Arial" w:cs="Arial"/>
                        <w:sz w:val="22"/>
                        <w:szCs w:val="22"/>
                      </w:rPr>
                      <w:t>[13]</w:t>
                    </w:r>
                  </w:hyperlink>
                  <w:r w:rsidRPr="00B3149D">
                    <w:rPr>
                      <w:rFonts w:ascii="Arial" w:hAnsi="Arial" w:cs="Arial"/>
                      <w:sz w:val="22"/>
                      <w:szCs w:val="22"/>
                    </w:rPr>
                    <w:t>.</w:t>
                  </w:r>
                </w:p>
              </w:tc>
            </w:tr>
            <w:tr w:rsidR="00486A83" w:rsidRPr="00B3149D" w14:paraId="622C9813" w14:textId="77777777" w:rsidTr="00486A83">
              <w:tc>
                <w:tcPr>
                  <w:tcW w:w="0" w:type="auto"/>
                </w:tcPr>
                <w:p w14:paraId="369AE3B6" w14:textId="77777777" w:rsidR="001C6315" w:rsidRPr="00B3149D" w:rsidRDefault="001C6315" w:rsidP="0062377A">
                  <w:pPr>
                    <w:pStyle w:val="Compact"/>
                    <w:spacing w:line="360" w:lineRule="auto"/>
                    <w:rPr>
                      <w:rFonts w:ascii="Arial" w:hAnsi="Arial" w:cs="Arial"/>
                      <w:sz w:val="22"/>
                      <w:szCs w:val="22"/>
                    </w:rPr>
                  </w:pPr>
                  <w:proofErr w:type="spellStart"/>
                  <w:r w:rsidRPr="00B3149D">
                    <w:rPr>
                      <w:rFonts w:ascii="Arial" w:hAnsi="Arial" w:cs="Arial"/>
                      <w:sz w:val="22"/>
                      <w:szCs w:val="22"/>
                    </w:rPr>
                    <w:t>Abdelfatah</w:t>
                  </w:r>
                  <w:proofErr w:type="spellEnd"/>
                  <w:r w:rsidRPr="00B3149D">
                    <w:rPr>
                      <w:rFonts w:ascii="Arial" w:hAnsi="Arial" w:cs="Arial"/>
                      <w:sz w:val="22"/>
                      <w:szCs w:val="22"/>
                    </w:rPr>
                    <w:t xml:space="preserve"> (2026)</w:t>
                  </w:r>
                  <w:hyperlink r:id="rId114" w:anchor=":~:text=,">
                    <w:r w:rsidRPr="00B3149D">
                      <w:rPr>
                        <w:rStyle w:val="Hyperlink"/>
                        <w:rFonts w:ascii="Arial" w:hAnsi="Arial" w:cs="Arial"/>
                        <w:sz w:val="22"/>
                        <w:szCs w:val="22"/>
                      </w:rPr>
                      <w:t>[3]</w:t>
                    </w:r>
                  </w:hyperlink>
                  <w:hyperlink r:id="rId115" w:anchor=":~:text=organizations.%20Using%20a%20mixed,2026%20Page%202">
                    <w:r w:rsidRPr="00B3149D">
                      <w:rPr>
                        <w:rStyle w:val="Hyperlink"/>
                        <w:rFonts w:ascii="Arial" w:hAnsi="Arial" w:cs="Arial"/>
                        <w:sz w:val="22"/>
                        <w:szCs w:val="22"/>
                      </w:rPr>
                      <w:t>[17]</w:t>
                    </w:r>
                  </w:hyperlink>
                </w:p>
              </w:tc>
              <w:tc>
                <w:tcPr>
                  <w:tcW w:w="0" w:type="auto"/>
                </w:tcPr>
                <w:p w14:paraId="6F1E82A6"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Emphasizes ML model gains but lacks theory on organizational adoption/trust.</w:t>
                  </w:r>
                </w:p>
              </w:tc>
              <w:tc>
                <w:tcPr>
                  <w:tcW w:w="0" w:type="auto"/>
                </w:tcPr>
                <w:p w14:paraId="008709BA"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Mixed (panel data, survey of 204); strong on accuracy metrics, weaker on qualitative factors.</w:t>
                  </w:r>
                </w:p>
              </w:tc>
              <w:tc>
                <w:tcPr>
                  <w:tcW w:w="0" w:type="auto"/>
                </w:tcPr>
                <w:p w14:paraId="578CDBF1"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Multisector study but primarily US/German retail; other markets not covered.</w:t>
                  </w:r>
                </w:p>
              </w:tc>
              <w:tc>
                <w:tcPr>
                  <w:tcW w:w="0" w:type="auto"/>
                </w:tcPr>
                <w:p w14:paraId="51DE8F4F"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 xml:space="preserve">AI forecasting models (LSTM, </w:t>
                  </w:r>
                  <w:proofErr w:type="spellStart"/>
                  <w:r w:rsidRPr="00B3149D">
                    <w:rPr>
                      <w:rFonts w:ascii="Arial" w:hAnsi="Arial" w:cs="Arial"/>
                      <w:sz w:val="22"/>
                      <w:szCs w:val="22"/>
                    </w:rPr>
                    <w:t>XGBoost</w:t>
                  </w:r>
                  <w:proofErr w:type="spellEnd"/>
                  <w:r w:rsidRPr="00B3149D">
                    <w:rPr>
                      <w:rFonts w:ascii="Arial" w:hAnsi="Arial" w:cs="Arial"/>
                      <w:sz w:val="22"/>
                      <w:szCs w:val="22"/>
                    </w:rPr>
                    <w:t>, RL) can cut MAPE ~30% and boost inventory turnover ~25%</w:t>
                  </w:r>
                  <w:hyperlink r:id="rId116" w:anchor=":~:text=,">
                    <w:r w:rsidRPr="00B3149D">
                      <w:rPr>
                        <w:rStyle w:val="Hyperlink"/>
                        <w:rFonts w:ascii="Arial" w:hAnsi="Arial" w:cs="Arial"/>
                        <w:sz w:val="22"/>
                        <w:szCs w:val="22"/>
                      </w:rPr>
                      <w:t>[3]</w:t>
                    </w:r>
                  </w:hyperlink>
                  <w:hyperlink r:id="rId117" w:anchor=":~:text=organizations.%20Using%20a%20mixed,2026%20Page%202">
                    <w:r w:rsidRPr="00B3149D">
                      <w:rPr>
                        <w:rStyle w:val="Hyperlink"/>
                        <w:rFonts w:ascii="Arial" w:hAnsi="Arial" w:cs="Arial"/>
                        <w:sz w:val="22"/>
                        <w:szCs w:val="22"/>
                      </w:rPr>
                      <w:t>[17]</w:t>
                    </w:r>
                  </w:hyperlink>
                  <w:r w:rsidRPr="00B3149D">
                    <w:rPr>
                      <w:rFonts w:ascii="Arial" w:hAnsi="Arial" w:cs="Arial"/>
                      <w:sz w:val="22"/>
                      <w:szCs w:val="22"/>
                    </w:rPr>
                    <w:t>.</w:t>
                  </w:r>
                </w:p>
              </w:tc>
            </w:tr>
            <w:tr w:rsidR="00486A83" w:rsidRPr="00B3149D" w14:paraId="666008E8" w14:textId="77777777" w:rsidTr="00486A83">
              <w:tc>
                <w:tcPr>
                  <w:tcW w:w="0" w:type="auto"/>
                </w:tcPr>
                <w:p w14:paraId="63D2EA97"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 xml:space="preserve">Wang </w:t>
                  </w:r>
                  <w:r w:rsidRPr="00B3149D">
                    <w:rPr>
                      <w:rFonts w:ascii="Arial" w:hAnsi="Arial" w:cs="Arial"/>
                      <w:i/>
                      <w:iCs/>
                      <w:sz w:val="22"/>
                      <w:szCs w:val="22"/>
                    </w:rPr>
                    <w:t>et al.</w:t>
                  </w:r>
                  <w:r w:rsidRPr="00B3149D">
                    <w:rPr>
                      <w:rFonts w:ascii="Arial" w:hAnsi="Arial" w:cs="Arial"/>
                      <w:sz w:val="22"/>
                      <w:szCs w:val="22"/>
                    </w:rPr>
                    <w:t xml:space="preserve"> (2024)</w:t>
                  </w:r>
                  <w:hyperlink r:id="rId118" w:anchor=":~:text=and%20adaptation%20affects%20performance,decision%20performance%20during%20disruptive%20events">
                    <w:r w:rsidRPr="00B3149D">
                      <w:rPr>
                        <w:rStyle w:val="Hyperlink"/>
                        <w:rFonts w:ascii="Arial" w:hAnsi="Arial" w:cs="Arial"/>
                        <w:sz w:val="22"/>
                        <w:szCs w:val="22"/>
                      </w:rPr>
                      <w:t>[10]</w:t>
                    </w:r>
                  </w:hyperlink>
                </w:p>
              </w:tc>
              <w:tc>
                <w:tcPr>
                  <w:tcW w:w="0" w:type="auto"/>
                </w:tcPr>
                <w:p w14:paraId="2D7E8CF5"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Introduces algorithm aversion theory in SC context; lacks broader decision-making model.</w:t>
                  </w:r>
                </w:p>
              </w:tc>
              <w:tc>
                <w:tcPr>
                  <w:tcW w:w="0" w:type="auto"/>
                </w:tcPr>
                <w:p w14:paraId="6AF24E45"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Single-case study (one retail firm) with simulation; generalizability limited.</w:t>
                  </w:r>
                </w:p>
              </w:tc>
              <w:tc>
                <w:tcPr>
                  <w:tcW w:w="0" w:type="auto"/>
                </w:tcPr>
                <w:p w14:paraId="6CB1A0E7"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Focuses on retail during disruptions; normal periods not examined.</w:t>
                  </w:r>
                </w:p>
              </w:tc>
              <w:tc>
                <w:tcPr>
                  <w:tcW w:w="0" w:type="auto"/>
                </w:tcPr>
                <w:p w14:paraId="7576B739"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Human planners often reject algorithmic safety-stock decisions, even though algorithms outperform humans</w:t>
                  </w:r>
                  <w:hyperlink r:id="rId119" w:anchor=":~:text=and%20adaptation%20affects%20performance,decision%20performance%20during%20disruptive%20events">
                    <w:r w:rsidRPr="00B3149D">
                      <w:rPr>
                        <w:rStyle w:val="Hyperlink"/>
                        <w:rFonts w:ascii="Arial" w:hAnsi="Arial" w:cs="Arial"/>
                        <w:sz w:val="22"/>
                        <w:szCs w:val="22"/>
                      </w:rPr>
                      <w:t>[10]</w:t>
                    </w:r>
                  </w:hyperlink>
                  <w:r w:rsidRPr="00B3149D">
                    <w:rPr>
                      <w:rFonts w:ascii="Arial" w:hAnsi="Arial" w:cs="Arial"/>
                      <w:sz w:val="22"/>
                      <w:szCs w:val="22"/>
                    </w:rPr>
                    <w:t>.</w:t>
                  </w:r>
                </w:p>
              </w:tc>
            </w:tr>
            <w:tr w:rsidR="00486A83" w:rsidRPr="00B3149D" w14:paraId="71B23528" w14:textId="77777777" w:rsidTr="00486A83">
              <w:tc>
                <w:tcPr>
                  <w:tcW w:w="0" w:type="auto"/>
                </w:tcPr>
                <w:p w14:paraId="0D428839"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lastRenderedPageBreak/>
                    <w:t>Chacon &amp; Kaufmann (2025)</w:t>
                  </w:r>
                  <w:hyperlink r:id="rId120" w:anchor=":~:text=forecasting,large%20language">
                    <w:r w:rsidRPr="00B3149D">
                      <w:rPr>
                        <w:rStyle w:val="Hyperlink"/>
                        <w:rFonts w:ascii="Arial" w:hAnsi="Arial" w:cs="Arial"/>
                        <w:sz w:val="22"/>
                        <w:szCs w:val="22"/>
                      </w:rPr>
                      <w:t>[9]</w:t>
                    </w:r>
                  </w:hyperlink>
                </w:p>
              </w:tc>
              <w:tc>
                <w:tcPr>
                  <w:tcW w:w="0" w:type="auto"/>
                </w:tcPr>
                <w:p w14:paraId="4C70A150"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Surveys bias-algorithm interactions but no predictive model of user behavior.</w:t>
                  </w:r>
                </w:p>
              </w:tc>
              <w:tc>
                <w:tcPr>
                  <w:tcW w:w="0" w:type="auto"/>
                </w:tcPr>
                <w:p w14:paraId="17E95328"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Literature review of 162 papers; identifies biases but no empirical testing.</w:t>
                  </w:r>
                </w:p>
              </w:tc>
              <w:tc>
                <w:tcPr>
                  <w:tcW w:w="0" w:type="auto"/>
                </w:tcPr>
                <w:p w14:paraId="6D27D7E1"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Covers forecasting in general (not specific to retail or SCM).</w:t>
                  </w:r>
                </w:p>
              </w:tc>
              <w:tc>
                <w:tcPr>
                  <w:tcW w:w="0" w:type="auto"/>
                </w:tcPr>
                <w:p w14:paraId="2C91D557"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 xml:space="preserve">Algorithms can </w:t>
                  </w:r>
                  <w:r w:rsidRPr="00B3149D">
                    <w:rPr>
                      <w:rFonts w:ascii="Arial" w:hAnsi="Arial" w:cs="Arial"/>
                      <w:i/>
                      <w:iCs/>
                      <w:sz w:val="22"/>
                      <w:szCs w:val="22"/>
                    </w:rPr>
                    <w:t>mitigate</w:t>
                  </w:r>
                  <w:r w:rsidRPr="00B3149D">
                    <w:rPr>
                      <w:rFonts w:ascii="Arial" w:hAnsi="Arial" w:cs="Arial"/>
                      <w:sz w:val="22"/>
                      <w:szCs w:val="22"/>
                    </w:rPr>
                    <w:t xml:space="preserve"> key human forecasting biases (anchoring, availability) and potentially improve forecasts</w:t>
                  </w:r>
                  <w:hyperlink r:id="rId121" w:anchor=":~:text=forecasting,large%20language">
                    <w:r w:rsidRPr="00B3149D">
                      <w:rPr>
                        <w:rStyle w:val="Hyperlink"/>
                        <w:rFonts w:ascii="Arial" w:hAnsi="Arial" w:cs="Arial"/>
                        <w:sz w:val="22"/>
                        <w:szCs w:val="22"/>
                      </w:rPr>
                      <w:t>[9]</w:t>
                    </w:r>
                  </w:hyperlink>
                  <w:r w:rsidRPr="00B3149D">
                    <w:rPr>
                      <w:rFonts w:ascii="Arial" w:hAnsi="Arial" w:cs="Arial"/>
                      <w:sz w:val="22"/>
                      <w:szCs w:val="22"/>
                    </w:rPr>
                    <w:t>.</w:t>
                  </w:r>
                </w:p>
              </w:tc>
            </w:tr>
            <w:tr w:rsidR="00486A83" w:rsidRPr="00B3149D" w14:paraId="7DCDC679" w14:textId="77777777" w:rsidTr="00486A83">
              <w:tc>
                <w:tcPr>
                  <w:tcW w:w="0" w:type="auto"/>
                </w:tcPr>
                <w:p w14:paraId="5CAE3578"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 xml:space="preserve">Yang </w:t>
                  </w:r>
                  <w:r w:rsidRPr="00B3149D">
                    <w:rPr>
                      <w:rFonts w:ascii="Arial" w:hAnsi="Arial" w:cs="Arial"/>
                      <w:i/>
                      <w:iCs/>
                      <w:sz w:val="22"/>
                      <w:szCs w:val="22"/>
                    </w:rPr>
                    <w:t>et al.</w:t>
                  </w:r>
                  <w:r w:rsidRPr="00B3149D">
                    <w:rPr>
                      <w:rFonts w:ascii="Arial" w:hAnsi="Arial" w:cs="Arial"/>
                      <w:sz w:val="22"/>
                      <w:szCs w:val="22"/>
                    </w:rPr>
                    <w:t xml:space="preserve"> (2025)</w:t>
                  </w:r>
                  <w:hyperlink r:id="rId122" w:anchor=":~:text=and%20humidity%20sensors,enabled%20supply%20chain%20challenges">
                    <w:r w:rsidRPr="00B3149D">
                      <w:rPr>
                        <w:rStyle w:val="Hyperlink"/>
                        <w:rFonts w:ascii="Arial" w:hAnsi="Arial" w:cs="Arial"/>
                        <w:sz w:val="22"/>
                        <w:szCs w:val="22"/>
                      </w:rPr>
                      <w:t>[4]</w:t>
                    </w:r>
                  </w:hyperlink>
                </w:p>
              </w:tc>
              <w:tc>
                <w:tcPr>
                  <w:tcW w:w="0" w:type="auto"/>
                </w:tcPr>
                <w:p w14:paraId="224612D7"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Proposes an integrated forecasting–inventory RL framework; lacks general theory.</w:t>
                  </w:r>
                </w:p>
              </w:tc>
              <w:tc>
                <w:tcPr>
                  <w:tcW w:w="0" w:type="auto"/>
                </w:tcPr>
                <w:p w14:paraId="754D7833"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Experimental; based on large retail dataset with sensors; no human factors considered.</w:t>
                  </w:r>
                </w:p>
              </w:tc>
              <w:tc>
                <w:tcPr>
                  <w:tcW w:w="0" w:type="auto"/>
                </w:tcPr>
                <w:p w14:paraId="38094246" w14:textId="77777777" w:rsidR="001C6315" w:rsidRPr="00B3149D" w:rsidRDefault="001C6315" w:rsidP="0062377A">
                  <w:pPr>
                    <w:pStyle w:val="Compact"/>
                    <w:spacing w:line="360" w:lineRule="auto"/>
                    <w:rPr>
                      <w:rFonts w:ascii="Arial" w:hAnsi="Arial" w:cs="Arial"/>
                      <w:sz w:val="22"/>
                      <w:szCs w:val="22"/>
                    </w:rPr>
                  </w:pPr>
                  <w:r w:rsidRPr="00B3149D">
                    <w:rPr>
                      <w:rFonts w:ascii="Arial" w:hAnsi="Arial" w:cs="Arial"/>
                      <w:sz w:val="22"/>
                      <w:szCs w:val="22"/>
                    </w:rPr>
                    <w:t>Modern, IoT-enabled retail context; may not apply to non-sensor environments.</w:t>
                  </w:r>
                </w:p>
              </w:tc>
              <w:tc>
                <w:tcPr>
                  <w:tcW w:w="0" w:type="auto"/>
                </w:tcPr>
                <w:p w14:paraId="56405A1C" w14:textId="77777777" w:rsidR="001C6315" w:rsidRPr="00B3149D" w:rsidRDefault="001C6315" w:rsidP="00486A83">
                  <w:pPr>
                    <w:pStyle w:val="Compact"/>
                    <w:keepNext/>
                    <w:spacing w:line="360" w:lineRule="auto"/>
                    <w:rPr>
                      <w:rFonts w:ascii="Arial" w:hAnsi="Arial" w:cs="Arial"/>
                      <w:sz w:val="22"/>
                      <w:szCs w:val="22"/>
                    </w:rPr>
                  </w:pPr>
                  <w:r w:rsidRPr="00B3149D">
                    <w:rPr>
                      <w:rFonts w:ascii="Arial" w:hAnsi="Arial" w:cs="Arial"/>
                      <w:sz w:val="22"/>
                      <w:szCs w:val="22"/>
                    </w:rPr>
                    <w:t>A multi-agent RL system integrating demand forecasting and inventory control reduced forecast error by ~18% and stockouts by ~23%</w:t>
                  </w:r>
                  <w:hyperlink r:id="rId123" w:anchor=":~:text=and%20humidity%20sensors,enabled%20supply%20chain%20challenges">
                    <w:r w:rsidRPr="00B3149D">
                      <w:rPr>
                        <w:rStyle w:val="Hyperlink"/>
                        <w:rFonts w:ascii="Arial" w:hAnsi="Arial" w:cs="Arial"/>
                        <w:sz w:val="22"/>
                        <w:szCs w:val="22"/>
                      </w:rPr>
                      <w:t>[4]</w:t>
                    </w:r>
                  </w:hyperlink>
                  <w:r w:rsidRPr="00B3149D">
                    <w:rPr>
                      <w:rFonts w:ascii="Arial" w:hAnsi="Arial" w:cs="Arial"/>
                      <w:sz w:val="22"/>
                      <w:szCs w:val="22"/>
                    </w:rPr>
                    <w:t>.</w:t>
                  </w:r>
                </w:p>
              </w:tc>
            </w:tr>
          </w:tbl>
          <w:p w14:paraId="5A441C26" w14:textId="30658F72" w:rsidR="001C6315" w:rsidRPr="00B3149D" w:rsidRDefault="00486A83" w:rsidP="00486A83">
            <w:pPr>
              <w:pStyle w:val="Caption"/>
              <w:rPr>
                <w:rFonts w:ascii="Arial" w:hAnsi="Arial" w:cs="Arial"/>
                <w:sz w:val="24"/>
                <w:szCs w:val="24"/>
              </w:rPr>
            </w:pPr>
            <w:bookmarkStart w:id="35" w:name="_Toc227753010"/>
            <w:r w:rsidRPr="00B3149D">
              <w:rPr>
                <w:rFonts w:ascii="Arial" w:hAnsi="Arial" w:cs="Arial"/>
              </w:rPr>
              <w:t xml:space="preserve">Table </w:t>
            </w:r>
            <w:r w:rsidRPr="00B3149D">
              <w:rPr>
                <w:rFonts w:ascii="Arial" w:hAnsi="Arial" w:cs="Arial"/>
              </w:rPr>
              <w:fldChar w:fldCharType="begin"/>
            </w:r>
            <w:r w:rsidRPr="00B3149D">
              <w:rPr>
                <w:rFonts w:ascii="Arial" w:hAnsi="Arial" w:cs="Arial"/>
              </w:rPr>
              <w:instrText xml:space="preserve"> SEQ Table \* ARABIC </w:instrText>
            </w:r>
            <w:r w:rsidRPr="00B3149D">
              <w:rPr>
                <w:rFonts w:ascii="Arial" w:hAnsi="Arial" w:cs="Arial"/>
              </w:rPr>
              <w:fldChar w:fldCharType="separate"/>
            </w:r>
            <w:r w:rsidRPr="00B3149D">
              <w:rPr>
                <w:rFonts w:ascii="Arial" w:hAnsi="Arial" w:cs="Arial"/>
                <w:noProof/>
              </w:rPr>
              <w:t>4</w:t>
            </w:r>
            <w:bookmarkEnd w:id="35"/>
            <w:r w:rsidRPr="00B3149D">
              <w:rPr>
                <w:rFonts w:ascii="Arial" w:hAnsi="Arial" w:cs="Arial"/>
              </w:rPr>
              <w:fldChar w:fldCharType="end"/>
            </w:r>
          </w:p>
        </w:tc>
      </w:tr>
    </w:tbl>
    <w:p w14:paraId="475BF02F" w14:textId="77777777" w:rsidR="00973F30" w:rsidRPr="00B3149D" w:rsidRDefault="00973F30" w:rsidP="0062377A">
      <w:pPr>
        <w:pStyle w:val="BodyText"/>
        <w:spacing w:line="360" w:lineRule="auto"/>
        <w:rPr>
          <w:rFonts w:ascii="Arial" w:hAnsi="Arial" w:cs="Arial"/>
        </w:rPr>
      </w:pPr>
    </w:p>
    <w:p w14:paraId="106D1488" w14:textId="36C87FDD" w:rsidR="001C6315" w:rsidRPr="00B3149D" w:rsidRDefault="009C0603" w:rsidP="0062377A">
      <w:pPr>
        <w:pStyle w:val="BodyText"/>
        <w:spacing w:line="360" w:lineRule="auto"/>
        <w:rPr>
          <w:rFonts w:ascii="Arial" w:hAnsi="Arial" w:cs="Arial"/>
        </w:rPr>
      </w:pPr>
      <w:r w:rsidRPr="00B3149D">
        <w:rPr>
          <w:rFonts w:ascii="Arial" w:hAnsi="Arial" w:cs="Arial"/>
        </w:rPr>
        <w:t xml:space="preserve">If we look at the research that's been done, we can see that there are still some big questions that haven't been answered. For instance, a study by </w:t>
      </w:r>
      <w:proofErr w:type="spellStart"/>
      <w:r w:rsidRPr="00B3149D">
        <w:rPr>
          <w:rFonts w:ascii="Arial" w:hAnsi="Arial" w:cs="Arial"/>
        </w:rPr>
        <w:t>Abdelfatah</w:t>
      </w:r>
      <w:proofErr w:type="spellEnd"/>
      <w:r w:rsidRPr="00B3149D">
        <w:rPr>
          <w:rFonts w:ascii="Arial" w:hAnsi="Arial" w:cs="Arial"/>
        </w:rPr>
        <w:t xml:space="preserve"> in 2026 found that using AI can really improve accuracy, but it didn't explain how to put these systems in place in different types of organizations, or how they would affect business in the long run. Similarly, a study by Wang and others in 2024 showed that people can be hesitant to use algorithms, but this was only looked at in one retail setting, so we need to do more research to see if this is true in other areas. Overall, these gaps in our knowledge show that we still have a lot to learn about how AI forecasting affects supply chains, and we need to develop more comprehensive models and do more diverse research to fill in the blanks. We need to find ways to connect the dots between AI, theory, and real-world outcomes, and to make sure our methods are sound and our results are meaningful. By doing so, we can create a </w:t>
      </w:r>
      <w:r w:rsidRPr="00B3149D">
        <w:rPr>
          <w:rFonts w:ascii="Arial" w:hAnsi="Arial" w:cs="Arial"/>
        </w:rPr>
        <w:lastRenderedPageBreak/>
        <w:t>more complete picture of how AI can be used to improve supply chain management, and make more informed decisions about how to implement these systems in practice.</w:t>
      </w:r>
    </w:p>
    <w:bookmarkEnd w:id="31"/>
    <w:p w14:paraId="1B5E05F5" w14:textId="77777777" w:rsidR="00960EBE" w:rsidRPr="00B3149D" w:rsidRDefault="00960EBE" w:rsidP="0062377A">
      <w:pPr>
        <w:keepNext/>
        <w:spacing w:after="160" w:line="360" w:lineRule="auto"/>
        <w:rPr>
          <w:rFonts w:ascii="Arial" w:hAnsi="Arial" w:cs="Arial"/>
        </w:rPr>
      </w:pPr>
      <w:r w:rsidRPr="00B3149D">
        <w:rPr>
          <w:rFonts w:ascii="Arial" w:hAnsi="Arial" w:cs="Arial"/>
          <w:noProof/>
        </w:rPr>
        <w:drawing>
          <wp:inline distT="0" distB="0" distL="0" distR="0" wp14:anchorId="347BA0BD" wp14:editId="05D24F33">
            <wp:extent cx="5375754" cy="47864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4">
                      <a:extLst>
                        <a:ext uri="{28A0092B-C50C-407E-A947-70E740481C1C}">
                          <a14:useLocalDpi xmlns:a14="http://schemas.microsoft.com/office/drawing/2010/main" val="0"/>
                        </a:ext>
                      </a:extLst>
                    </a:blip>
                    <a:stretch>
                      <a:fillRect/>
                    </a:stretch>
                  </pic:blipFill>
                  <pic:spPr>
                    <a:xfrm>
                      <a:off x="0" y="0"/>
                      <a:ext cx="5379518" cy="4789840"/>
                    </a:xfrm>
                    <a:prstGeom prst="rect">
                      <a:avLst/>
                    </a:prstGeom>
                  </pic:spPr>
                </pic:pic>
              </a:graphicData>
            </a:graphic>
          </wp:inline>
        </w:drawing>
      </w:r>
    </w:p>
    <w:p w14:paraId="431B47A5" w14:textId="584783E8" w:rsidR="001C6315" w:rsidRPr="00B3149D" w:rsidRDefault="00960EBE" w:rsidP="0062377A">
      <w:pPr>
        <w:pStyle w:val="Caption"/>
        <w:spacing w:line="360" w:lineRule="auto"/>
        <w:rPr>
          <w:rFonts w:ascii="Arial" w:hAnsi="Arial" w:cs="Arial"/>
          <w:sz w:val="24"/>
          <w:szCs w:val="24"/>
        </w:rPr>
      </w:pPr>
      <w:bookmarkStart w:id="36" w:name="_Toc227753081"/>
      <w:r w:rsidRPr="00B3149D">
        <w:rPr>
          <w:rFonts w:ascii="Arial" w:hAnsi="Arial" w:cs="Arial"/>
          <w:sz w:val="24"/>
          <w:szCs w:val="24"/>
        </w:rPr>
        <w:t xml:space="preserve">Figure </w:t>
      </w:r>
      <w:r w:rsidRPr="00B3149D">
        <w:rPr>
          <w:rFonts w:ascii="Arial" w:hAnsi="Arial" w:cs="Arial"/>
          <w:sz w:val="24"/>
          <w:szCs w:val="24"/>
        </w:rPr>
        <w:fldChar w:fldCharType="begin"/>
      </w:r>
      <w:r w:rsidRPr="00B3149D">
        <w:rPr>
          <w:rFonts w:ascii="Arial" w:hAnsi="Arial" w:cs="Arial"/>
          <w:sz w:val="24"/>
          <w:szCs w:val="24"/>
        </w:rPr>
        <w:instrText xml:space="preserve"> SEQ Figure \* ARABIC </w:instrText>
      </w:r>
      <w:r w:rsidRPr="00B3149D">
        <w:rPr>
          <w:rFonts w:ascii="Arial" w:hAnsi="Arial" w:cs="Arial"/>
          <w:sz w:val="24"/>
          <w:szCs w:val="24"/>
        </w:rPr>
        <w:fldChar w:fldCharType="separate"/>
      </w:r>
      <w:r w:rsidRPr="00B3149D">
        <w:rPr>
          <w:rFonts w:ascii="Arial" w:hAnsi="Arial" w:cs="Arial"/>
          <w:noProof/>
          <w:sz w:val="24"/>
          <w:szCs w:val="24"/>
        </w:rPr>
        <w:t>2</w:t>
      </w:r>
      <w:bookmarkEnd w:id="36"/>
      <w:r w:rsidRPr="00B3149D">
        <w:rPr>
          <w:rFonts w:ascii="Arial" w:hAnsi="Arial" w:cs="Arial"/>
          <w:sz w:val="24"/>
          <w:szCs w:val="24"/>
        </w:rPr>
        <w:fldChar w:fldCharType="end"/>
      </w:r>
    </w:p>
    <w:p w14:paraId="47FB4396" w14:textId="1BC8C72D" w:rsidR="00960EBE" w:rsidRPr="00B3149D" w:rsidRDefault="00960EBE" w:rsidP="0062377A">
      <w:pPr>
        <w:pStyle w:val="NormalWeb"/>
        <w:spacing w:line="360" w:lineRule="auto"/>
        <w:rPr>
          <w:rFonts w:ascii="Arial" w:hAnsi="Arial" w:cs="Arial"/>
          <w:sz w:val="22"/>
          <w:szCs w:val="22"/>
        </w:rPr>
      </w:pPr>
      <w:bookmarkStart w:id="37" w:name="_Toc227752989"/>
      <w:r w:rsidRPr="00B3149D">
        <w:rPr>
          <w:rStyle w:val="Heading1Char"/>
          <w:rFonts w:ascii="Arial" w:hAnsi="Arial" w:cs="Arial"/>
          <w:b/>
          <w:bCs/>
          <w:sz w:val="28"/>
          <w:szCs w:val="28"/>
        </w:rPr>
        <w:t>2.6. Reference</w:t>
      </w:r>
      <w:r w:rsidR="00973F30" w:rsidRPr="00B3149D">
        <w:rPr>
          <w:rStyle w:val="Heading1Char"/>
          <w:rFonts w:ascii="Arial" w:hAnsi="Arial" w:cs="Arial"/>
          <w:b/>
          <w:bCs/>
          <w:sz w:val="28"/>
          <w:szCs w:val="28"/>
        </w:rPr>
        <w:t xml:space="preserve"> </w:t>
      </w:r>
      <w:r w:rsidRPr="00B3149D">
        <w:rPr>
          <w:rStyle w:val="Heading1Char"/>
          <w:rFonts w:ascii="Arial" w:hAnsi="Arial" w:cs="Arial"/>
          <w:b/>
          <w:bCs/>
          <w:sz w:val="28"/>
          <w:szCs w:val="28"/>
        </w:rPr>
        <w:t>(Part 2)</w:t>
      </w:r>
      <w:bookmarkEnd w:id="37"/>
      <w:r w:rsidRPr="00B3149D">
        <w:rPr>
          <w:rStyle w:val="Heading1Char"/>
          <w:rFonts w:ascii="Arial" w:hAnsi="Arial" w:cs="Arial"/>
          <w:sz w:val="24"/>
          <w:szCs w:val="24"/>
        </w:rPr>
        <w:br/>
      </w:r>
      <w:r w:rsidRPr="00B3149D">
        <w:rPr>
          <w:rFonts w:ascii="Arial" w:hAnsi="Arial" w:cs="Arial"/>
        </w:rPr>
        <w:br/>
      </w:r>
      <w:r w:rsidRPr="00B3149D">
        <w:rPr>
          <w:rStyle w:val="Strong"/>
          <w:rFonts w:ascii="Arial" w:hAnsi="Arial" w:cs="Arial"/>
          <w:sz w:val="22"/>
          <w:szCs w:val="22"/>
        </w:rPr>
        <w:t>[1]</w:t>
      </w:r>
      <w:r w:rsidRPr="00B3149D">
        <w:rPr>
          <w:rFonts w:ascii="Arial" w:hAnsi="Arial" w:cs="Arial"/>
          <w:sz w:val="22"/>
          <w:szCs w:val="22"/>
        </w:rPr>
        <w:br/>
        <w:t xml:space="preserve">Kumar, S. and Singh, R. (2020) </w:t>
      </w:r>
      <w:r w:rsidRPr="00B3149D">
        <w:rPr>
          <w:rStyle w:val="Emphasis"/>
          <w:rFonts w:ascii="Arial" w:eastAsiaTheme="majorEastAsia" w:hAnsi="Arial" w:cs="Arial"/>
          <w:sz w:val="22"/>
          <w:szCs w:val="22"/>
        </w:rPr>
        <w:t>A review on demand and forecasting in supply chain management</w:t>
      </w:r>
      <w:r w:rsidRPr="00B3149D">
        <w:rPr>
          <w:rFonts w:ascii="Arial" w:hAnsi="Arial" w:cs="Arial"/>
          <w:sz w:val="22"/>
          <w:szCs w:val="22"/>
        </w:rPr>
        <w:t xml:space="preserve">. Available at: </w:t>
      </w:r>
      <w:hyperlink r:id="rId125" w:tgtFrame="_new" w:history="1">
        <w:r w:rsidRPr="00B3149D">
          <w:rPr>
            <w:rStyle w:val="Hyperlink"/>
            <w:rFonts w:ascii="Arial" w:hAnsi="Arial" w:cs="Arial"/>
            <w:sz w:val="22"/>
            <w:szCs w:val="22"/>
          </w:rPr>
          <w:t>https://www.researchgate.net/publication/341904756_A_REVIEW_ON_DEMAND_AND_FORECASTING_IN_SUPPLY_CHAIN_MANAGEMENT</w:t>
        </w:r>
      </w:hyperlink>
      <w:r w:rsidRPr="00B3149D">
        <w:rPr>
          <w:rFonts w:ascii="Arial" w:hAnsi="Arial" w:cs="Arial"/>
          <w:sz w:val="22"/>
          <w:szCs w:val="22"/>
        </w:rPr>
        <w:t xml:space="preserve"> (Accessed: 22 April 2026).</w:t>
      </w:r>
    </w:p>
    <w:p w14:paraId="0FCC2EC7" w14:textId="03F56E6D" w:rsidR="00960EBE" w:rsidRPr="00B3149D" w:rsidRDefault="00960EBE" w:rsidP="0062377A">
      <w:pPr>
        <w:pStyle w:val="NormalWeb"/>
        <w:spacing w:line="360" w:lineRule="auto"/>
        <w:rPr>
          <w:rFonts w:ascii="Arial" w:hAnsi="Arial" w:cs="Arial"/>
          <w:sz w:val="22"/>
          <w:szCs w:val="22"/>
        </w:rPr>
      </w:pPr>
      <w:r w:rsidRPr="00B3149D">
        <w:rPr>
          <w:rStyle w:val="Strong"/>
          <w:rFonts w:ascii="Arial" w:hAnsi="Arial" w:cs="Arial"/>
          <w:sz w:val="22"/>
          <w:szCs w:val="22"/>
        </w:rPr>
        <w:t>[2]</w:t>
      </w:r>
      <w:r w:rsidRPr="00B3149D">
        <w:rPr>
          <w:rFonts w:ascii="Arial" w:hAnsi="Arial" w:cs="Arial"/>
          <w:sz w:val="22"/>
          <w:szCs w:val="22"/>
        </w:rPr>
        <w:br/>
      </w:r>
      <w:proofErr w:type="spellStart"/>
      <w:r w:rsidRPr="00B3149D">
        <w:rPr>
          <w:rFonts w:ascii="Arial" w:hAnsi="Arial" w:cs="Arial"/>
          <w:sz w:val="22"/>
          <w:szCs w:val="22"/>
        </w:rPr>
        <w:t>Fildes</w:t>
      </w:r>
      <w:proofErr w:type="spellEnd"/>
      <w:r w:rsidRPr="00B3149D">
        <w:rPr>
          <w:rFonts w:ascii="Arial" w:hAnsi="Arial" w:cs="Arial"/>
          <w:sz w:val="22"/>
          <w:szCs w:val="22"/>
        </w:rPr>
        <w:t xml:space="preserve">, R., Ma, S. and </w:t>
      </w:r>
      <w:proofErr w:type="spellStart"/>
      <w:r w:rsidRPr="00B3149D">
        <w:rPr>
          <w:rFonts w:ascii="Arial" w:hAnsi="Arial" w:cs="Arial"/>
          <w:sz w:val="22"/>
          <w:szCs w:val="22"/>
        </w:rPr>
        <w:t>Kolassa</w:t>
      </w:r>
      <w:proofErr w:type="spellEnd"/>
      <w:r w:rsidRPr="00B3149D">
        <w:rPr>
          <w:rFonts w:ascii="Arial" w:hAnsi="Arial" w:cs="Arial"/>
          <w:sz w:val="22"/>
          <w:szCs w:val="22"/>
        </w:rPr>
        <w:t xml:space="preserve">, S. (2024) ‘Forecast accuracy and inventory performance: </w:t>
      </w:r>
      <w:r w:rsidRPr="00B3149D">
        <w:rPr>
          <w:rFonts w:ascii="Arial" w:hAnsi="Arial" w:cs="Arial"/>
          <w:sz w:val="22"/>
          <w:szCs w:val="22"/>
        </w:rPr>
        <w:lastRenderedPageBreak/>
        <w:t xml:space="preserve">Insights from the M5 competition’, </w:t>
      </w:r>
      <w:r w:rsidRPr="00B3149D">
        <w:rPr>
          <w:rStyle w:val="Emphasis"/>
          <w:rFonts w:ascii="Arial" w:eastAsiaTheme="majorEastAsia" w:hAnsi="Arial" w:cs="Arial"/>
          <w:sz w:val="22"/>
          <w:szCs w:val="22"/>
        </w:rPr>
        <w:t>European Journal of Operational Research</w:t>
      </w:r>
      <w:r w:rsidRPr="00B3149D">
        <w:rPr>
          <w:rFonts w:ascii="Arial" w:hAnsi="Arial" w:cs="Arial"/>
          <w:sz w:val="22"/>
          <w:szCs w:val="22"/>
        </w:rPr>
        <w:t xml:space="preserve">. Available at: </w:t>
      </w:r>
      <w:hyperlink r:id="rId126" w:tgtFrame="_new" w:history="1">
        <w:r w:rsidRPr="00B3149D">
          <w:rPr>
            <w:rStyle w:val="Hyperlink"/>
            <w:rFonts w:ascii="Arial" w:hAnsi="Arial" w:cs="Arial"/>
            <w:sz w:val="22"/>
            <w:szCs w:val="22"/>
          </w:rPr>
          <w:t>https://www.sciencedirect.com/science/article/abs/pii/S0377221724009755</w:t>
        </w:r>
      </w:hyperlink>
      <w:r w:rsidRPr="00B3149D">
        <w:rPr>
          <w:rFonts w:ascii="Arial" w:hAnsi="Arial" w:cs="Arial"/>
          <w:sz w:val="22"/>
          <w:szCs w:val="22"/>
        </w:rPr>
        <w:t xml:space="preserve"> (Accessed: 22 April 2026).</w:t>
      </w:r>
      <w:r w:rsidR="00B3149D">
        <w:rPr>
          <w:rFonts w:ascii="Arial" w:hAnsi="Arial" w:cs="Arial"/>
          <w:sz w:val="22"/>
          <w:szCs w:val="22"/>
        </w:rPr>
        <w:br/>
      </w:r>
      <w:r w:rsidRPr="00B3149D">
        <w:rPr>
          <w:rStyle w:val="Strong"/>
          <w:rFonts w:ascii="Arial" w:hAnsi="Arial" w:cs="Arial"/>
          <w:sz w:val="22"/>
          <w:szCs w:val="22"/>
        </w:rPr>
        <w:t>[3]</w:t>
      </w:r>
      <w:r w:rsidRPr="00B3149D">
        <w:rPr>
          <w:rFonts w:ascii="Arial" w:hAnsi="Arial" w:cs="Arial"/>
          <w:sz w:val="22"/>
          <w:szCs w:val="22"/>
        </w:rPr>
        <w:br/>
      </w:r>
      <w:proofErr w:type="spellStart"/>
      <w:r w:rsidRPr="00B3149D">
        <w:rPr>
          <w:rFonts w:ascii="Arial" w:hAnsi="Arial" w:cs="Arial"/>
          <w:sz w:val="22"/>
          <w:szCs w:val="22"/>
        </w:rPr>
        <w:t>Syntetos</w:t>
      </w:r>
      <w:proofErr w:type="spellEnd"/>
      <w:r w:rsidRPr="00B3149D">
        <w:rPr>
          <w:rFonts w:ascii="Arial" w:hAnsi="Arial" w:cs="Arial"/>
          <w:sz w:val="22"/>
          <w:szCs w:val="22"/>
        </w:rPr>
        <w:t xml:space="preserve">, A., </w:t>
      </w:r>
      <w:proofErr w:type="spellStart"/>
      <w:r w:rsidRPr="00B3149D">
        <w:rPr>
          <w:rFonts w:ascii="Arial" w:hAnsi="Arial" w:cs="Arial"/>
          <w:sz w:val="22"/>
          <w:szCs w:val="22"/>
        </w:rPr>
        <w:t>Babai</w:t>
      </w:r>
      <w:proofErr w:type="spellEnd"/>
      <w:r w:rsidRPr="00B3149D">
        <w:rPr>
          <w:rFonts w:ascii="Arial" w:hAnsi="Arial" w:cs="Arial"/>
          <w:sz w:val="22"/>
          <w:szCs w:val="22"/>
        </w:rPr>
        <w:t xml:space="preserve">, M. and Gardner, E. (2016) </w:t>
      </w:r>
      <w:r w:rsidRPr="00B3149D">
        <w:rPr>
          <w:rStyle w:val="Emphasis"/>
          <w:rFonts w:ascii="Arial" w:eastAsiaTheme="majorEastAsia" w:hAnsi="Arial" w:cs="Arial"/>
          <w:sz w:val="22"/>
          <w:szCs w:val="22"/>
        </w:rPr>
        <w:t>Supply chain forecasting: Theory, practice, their gap and the future</w:t>
      </w:r>
      <w:r w:rsidRPr="00B3149D">
        <w:rPr>
          <w:rFonts w:ascii="Arial" w:hAnsi="Arial" w:cs="Arial"/>
          <w:sz w:val="22"/>
          <w:szCs w:val="22"/>
        </w:rPr>
        <w:t xml:space="preserve">. Available at: </w:t>
      </w:r>
      <w:hyperlink r:id="rId127" w:tgtFrame="_new" w:history="1">
        <w:r w:rsidRPr="00B3149D">
          <w:rPr>
            <w:rStyle w:val="Hyperlink"/>
            <w:rFonts w:ascii="Arial" w:hAnsi="Arial" w:cs="Arial"/>
            <w:sz w:val="22"/>
            <w:szCs w:val="22"/>
          </w:rPr>
          <w:t>https://www.researchgate.net/publication/284232644_Supply_Chain_Forecasting_Theory_Practice_their_Gap_and_the_Future</w:t>
        </w:r>
      </w:hyperlink>
      <w:r w:rsidRPr="00B3149D">
        <w:rPr>
          <w:rFonts w:ascii="Arial" w:hAnsi="Arial" w:cs="Arial"/>
          <w:sz w:val="22"/>
          <w:szCs w:val="22"/>
        </w:rPr>
        <w:t xml:space="preserve"> (Accessed: 22 April 2026).</w:t>
      </w:r>
      <w:r w:rsidR="00B3149D">
        <w:rPr>
          <w:rFonts w:ascii="Arial" w:hAnsi="Arial" w:cs="Arial"/>
          <w:sz w:val="22"/>
          <w:szCs w:val="22"/>
        </w:rPr>
        <w:br/>
      </w:r>
      <w:r w:rsidRPr="00B3149D">
        <w:rPr>
          <w:rStyle w:val="Strong"/>
          <w:rFonts w:ascii="Arial" w:hAnsi="Arial" w:cs="Arial"/>
          <w:sz w:val="22"/>
          <w:szCs w:val="22"/>
        </w:rPr>
        <w:t>[4]</w:t>
      </w:r>
      <w:r w:rsidRPr="00B3149D">
        <w:rPr>
          <w:rFonts w:ascii="Arial" w:hAnsi="Arial" w:cs="Arial"/>
          <w:sz w:val="22"/>
          <w:szCs w:val="22"/>
        </w:rPr>
        <w:br/>
        <w:t xml:space="preserve">Zhang, Y. et al. (2024) </w:t>
      </w:r>
      <w:r w:rsidRPr="00B3149D">
        <w:rPr>
          <w:rStyle w:val="Emphasis"/>
          <w:rFonts w:ascii="Arial" w:eastAsiaTheme="majorEastAsia" w:hAnsi="Arial" w:cs="Arial"/>
          <w:sz w:val="22"/>
          <w:szCs w:val="22"/>
        </w:rPr>
        <w:t>Multi-agent deep reinforcement learning for integrated demand forecasting and inventory optimization in sensor-enabled retail supply chains</w:t>
      </w:r>
      <w:r w:rsidRPr="00B3149D">
        <w:rPr>
          <w:rFonts w:ascii="Arial" w:hAnsi="Arial" w:cs="Arial"/>
          <w:sz w:val="22"/>
          <w:szCs w:val="22"/>
        </w:rPr>
        <w:t xml:space="preserve">. Available at: </w:t>
      </w:r>
      <w:hyperlink r:id="rId128" w:tgtFrame="_new" w:history="1">
        <w:r w:rsidRPr="00B3149D">
          <w:rPr>
            <w:rStyle w:val="Hyperlink"/>
            <w:rFonts w:ascii="Arial" w:hAnsi="Arial" w:cs="Arial"/>
            <w:sz w:val="22"/>
            <w:szCs w:val="22"/>
          </w:rPr>
          <w:t>https://www.researchgate.net/publication/390792073_Multi-Agent_Deep_Reinforcement_Learning_for_Integrated_Demand_Forecasting_and_Inventory_Optimization_in_Sensor-Enabled_Retail_Supply_Chains</w:t>
        </w:r>
      </w:hyperlink>
      <w:r w:rsidRPr="00B3149D">
        <w:rPr>
          <w:rFonts w:ascii="Arial" w:hAnsi="Arial" w:cs="Arial"/>
          <w:sz w:val="22"/>
          <w:szCs w:val="22"/>
        </w:rPr>
        <w:t xml:space="preserve"> (Accessed: 22 April 2026).</w:t>
      </w:r>
      <w:r w:rsidR="00B3149D">
        <w:rPr>
          <w:rFonts w:ascii="Arial" w:hAnsi="Arial" w:cs="Arial"/>
          <w:sz w:val="22"/>
          <w:szCs w:val="22"/>
        </w:rPr>
        <w:br/>
      </w:r>
      <w:r w:rsidRPr="00B3149D">
        <w:rPr>
          <w:rStyle w:val="Strong"/>
          <w:rFonts w:ascii="Arial" w:hAnsi="Arial" w:cs="Arial"/>
          <w:sz w:val="22"/>
          <w:szCs w:val="22"/>
        </w:rPr>
        <w:t>[6]</w:t>
      </w:r>
      <w:r w:rsidRPr="00B3149D">
        <w:rPr>
          <w:rFonts w:ascii="Arial" w:hAnsi="Arial" w:cs="Arial"/>
          <w:sz w:val="22"/>
          <w:szCs w:val="22"/>
        </w:rPr>
        <w:br/>
        <w:t xml:space="preserve">Patel, R. et al. (2025) ‘Adaptive demand forecasting framework with weighted ensemble of regression and machine learning models’, </w:t>
      </w:r>
      <w:r w:rsidRPr="00B3149D">
        <w:rPr>
          <w:rStyle w:val="Emphasis"/>
          <w:rFonts w:ascii="Arial" w:eastAsiaTheme="majorEastAsia" w:hAnsi="Arial" w:cs="Arial"/>
          <w:sz w:val="22"/>
          <w:szCs w:val="22"/>
        </w:rPr>
        <w:t>Scientific Reports</w:t>
      </w:r>
      <w:r w:rsidRPr="00B3149D">
        <w:rPr>
          <w:rFonts w:ascii="Arial" w:hAnsi="Arial" w:cs="Arial"/>
          <w:sz w:val="22"/>
          <w:szCs w:val="22"/>
        </w:rPr>
        <w:t xml:space="preserve">. Available at: </w:t>
      </w:r>
      <w:hyperlink r:id="rId129" w:tgtFrame="_new" w:history="1">
        <w:r w:rsidRPr="00B3149D">
          <w:rPr>
            <w:rStyle w:val="Hyperlink"/>
            <w:rFonts w:ascii="Arial" w:hAnsi="Arial" w:cs="Arial"/>
            <w:sz w:val="22"/>
            <w:szCs w:val="22"/>
          </w:rPr>
          <w:t>https://www.nature.com/articles/s41598-025-23352-w</w:t>
        </w:r>
      </w:hyperlink>
      <w:r w:rsidRPr="00B3149D">
        <w:rPr>
          <w:rFonts w:ascii="Arial" w:hAnsi="Arial" w:cs="Arial"/>
          <w:sz w:val="22"/>
          <w:szCs w:val="22"/>
        </w:rPr>
        <w:t xml:space="preserve"> (Accessed: 22 April 2026).</w:t>
      </w:r>
      <w:r w:rsidR="00B3149D">
        <w:rPr>
          <w:rFonts w:ascii="Arial" w:hAnsi="Arial" w:cs="Arial"/>
          <w:sz w:val="22"/>
          <w:szCs w:val="22"/>
        </w:rPr>
        <w:br/>
      </w:r>
      <w:r w:rsidRPr="00B3149D">
        <w:rPr>
          <w:rStyle w:val="Strong"/>
          <w:rFonts w:ascii="Arial" w:hAnsi="Arial" w:cs="Arial"/>
          <w:sz w:val="22"/>
          <w:szCs w:val="22"/>
        </w:rPr>
        <w:t>[9]</w:t>
      </w:r>
      <w:r w:rsidRPr="00B3149D">
        <w:rPr>
          <w:rFonts w:ascii="Arial" w:hAnsi="Arial" w:cs="Arial"/>
          <w:sz w:val="22"/>
          <w:szCs w:val="22"/>
        </w:rPr>
        <w:br/>
        <w:t xml:space="preserve">Petropoulos, F., </w:t>
      </w:r>
      <w:proofErr w:type="spellStart"/>
      <w:r w:rsidRPr="00B3149D">
        <w:rPr>
          <w:rFonts w:ascii="Arial" w:hAnsi="Arial" w:cs="Arial"/>
          <w:sz w:val="22"/>
          <w:szCs w:val="22"/>
        </w:rPr>
        <w:t>Kourentzes</w:t>
      </w:r>
      <w:proofErr w:type="spellEnd"/>
      <w:r w:rsidRPr="00B3149D">
        <w:rPr>
          <w:rFonts w:ascii="Arial" w:hAnsi="Arial" w:cs="Arial"/>
          <w:sz w:val="22"/>
          <w:szCs w:val="22"/>
        </w:rPr>
        <w:t xml:space="preserve">, N. and Nikolopoulos, K. (2024) ‘The effects of algorithm use on judgmental biases in forecasting’, </w:t>
      </w:r>
      <w:r w:rsidRPr="00B3149D">
        <w:rPr>
          <w:rStyle w:val="Emphasis"/>
          <w:rFonts w:ascii="Arial" w:eastAsiaTheme="majorEastAsia" w:hAnsi="Arial" w:cs="Arial"/>
          <w:sz w:val="22"/>
          <w:szCs w:val="22"/>
        </w:rPr>
        <w:t>International Journal of Forecasting</w:t>
      </w:r>
      <w:r w:rsidRPr="00B3149D">
        <w:rPr>
          <w:rFonts w:ascii="Arial" w:hAnsi="Arial" w:cs="Arial"/>
          <w:sz w:val="22"/>
          <w:szCs w:val="22"/>
        </w:rPr>
        <w:t xml:space="preserve">. Available at: </w:t>
      </w:r>
      <w:hyperlink r:id="rId130" w:tgtFrame="_new" w:history="1">
        <w:r w:rsidRPr="00B3149D">
          <w:rPr>
            <w:rStyle w:val="Hyperlink"/>
            <w:rFonts w:ascii="Arial" w:hAnsi="Arial" w:cs="Arial"/>
            <w:sz w:val="22"/>
            <w:szCs w:val="22"/>
          </w:rPr>
          <w:t>https://www.sciencedirect.com/science/article/pii/S0169207024001018</w:t>
        </w:r>
      </w:hyperlink>
      <w:r w:rsidRPr="00B3149D">
        <w:rPr>
          <w:rFonts w:ascii="Arial" w:hAnsi="Arial" w:cs="Arial"/>
          <w:sz w:val="22"/>
          <w:szCs w:val="22"/>
        </w:rPr>
        <w:t xml:space="preserve"> (Accessed: 22 April 2026).</w:t>
      </w:r>
      <w:r w:rsidR="00B3149D">
        <w:rPr>
          <w:rFonts w:ascii="Arial" w:hAnsi="Arial" w:cs="Arial"/>
          <w:sz w:val="22"/>
          <w:szCs w:val="22"/>
        </w:rPr>
        <w:br/>
      </w:r>
      <w:r w:rsidRPr="00B3149D">
        <w:rPr>
          <w:rStyle w:val="Strong"/>
          <w:rFonts w:ascii="Arial" w:hAnsi="Arial" w:cs="Arial"/>
          <w:sz w:val="22"/>
          <w:szCs w:val="22"/>
        </w:rPr>
        <w:t>[10]</w:t>
      </w:r>
      <w:r w:rsidRPr="00B3149D">
        <w:rPr>
          <w:rFonts w:ascii="Arial" w:hAnsi="Arial" w:cs="Arial"/>
          <w:sz w:val="22"/>
          <w:szCs w:val="22"/>
        </w:rPr>
        <w:br/>
      </w:r>
      <w:proofErr w:type="spellStart"/>
      <w:r w:rsidRPr="00B3149D">
        <w:rPr>
          <w:rFonts w:ascii="Arial" w:hAnsi="Arial" w:cs="Arial"/>
          <w:sz w:val="22"/>
          <w:szCs w:val="22"/>
        </w:rPr>
        <w:t>Kourentzes</w:t>
      </w:r>
      <w:proofErr w:type="spellEnd"/>
      <w:r w:rsidRPr="00B3149D">
        <w:rPr>
          <w:rFonts w:ascii="Arial" w:hAnsi="Arial" w:cs="Arial"/>
          <w:sz w:val="22"/>
          <w:szCs w:val="22"/>
        </w:rPr>
        <w:t xml:space="preserve">, N., Petropoulos, F. and Trapero, J. (2024) ‘Algorithm aversion during disruptions: The case of safety stock’, </w:t>
      </w:r>
      <w:r w:rsidRPr="00B3149D">
        <w:rPr>
          <w:rStyle w:val="Emphasis"/>
          <w:rFonts w:ascii="Arial" w:eastAsiaTheme="majorEastAsia" w:hAnsi="Arial" w:cs="Arial"/>
          <w:sz w:val="22"/>
          <w:szCs w:val="22"/>
        </w:rPr>
        <w:t>International Journal of Production Economics</w:t>
      </w:r>
      <w:r w:rsidRPr="00B3149D">
        <w:rPr>
          <w:rFonts w:ascii="Arial" w:hAnsi="Arial" w:cs="Arial"/>
          <w:sz w:val="22"/>
          <w:szCs w:val="22"/>
        </w:rPr>
        <w:t xml:space="preserve">. Available at: </w:t>
      </w:r>
      <w:hyperlink r:id="rId131" w:tgtFrame="_new" w:history="1">
        <w:r w:rsidRPr="00B3149D">
          <w:rPr>
            <w:rStyle w:val="Hyperlink"/>
            <w:rFonts w:ascii="Arial" w:hAnsi="Arial" w:cs="Arial"/>
            <w:sz w:val="22"/>
            <w:szCs w:val="22"/>
          </w:rPr>
          <w:t>https://www.sciencedirect.com/science/article/pii/S0925527324002998</w:t>
        </w:r>
      </w:hyperlink>
      <w:r w:rsidRPr="00B3149D">
        <w:rPr>
          <w:rFonts w:ascii="Arial" w:hAnsi="Arial" w:cs="Arial"/>
          <w:sz w:val="22"/>
          <w:szCs w:val="22"/>
        </w:rPr>
        <w:t xml:space="preserve"> (Accessed: 22 April 2026).</w:t>
      </w:r>
      <w:r w:rsidR="00B3149D">
        <w:rPr>
          <w:rFonts w:ascii="Arial" w:hAnsi="Arial" w:cs="Arial"/>
          <w:sz w:val="22"/>
          <w:szCs w:val="22"/>
        </w:rPr>
        <w:br/>
      </w:r>
      <w:r w:rsidRPr="00B3149D">
        <w:rPr>
          <w:rStyle w:val="Strong"/>
          <w:rFonts w:ascii="Arial" w:hAnsi="Arial" w:cs="Arial"/>
          <w:sz w:val="22"/>
          <w:szCs w:val="22"/>
        </w:rPr>
        <w:t>[11]</w:t>
      </w:r>
      <w:r w:rsidRPr="00B3149D">
        <w:rPr>
          <w:rFonts w:ascii="Arial" w:hAnsi="Arial" w:cs="Arial"/>
          <w:sz w:val="22"/>
          <w:szCs w:val="22"/>
        </w:rPr>
        <w:br/>
        <w:t xml:space="preserve">Gilliland, M. (2023) ‘The future of forecast value add: Transforming e-commerce forecasting’, </w:t>
      </w:r>
      <w:r w:rsidRPr="00B3149D">
        <w:rPr>
          <w:rStyle w:val="Emphasis"/>
          <w:rFonts w:ascii="Arial" w:eastAsiaTheme="majorEastAsia" w:hAnsi="Arial" w:cs="Arial"/>
          <w:sz w:val="22"/>
          <w:szCs w:val="22"/>
        </w:rPr>
        <w:t>Supply Chain Management Review</w:t>
      </w:r>
      <w:r w:rsidRPr="00B3149D">
        <w:rPr>
          <w:rFonts w:ascii="Arial" w:hAnsi="Arial" w:cs="Arial"/>
          <w:sz w:val="22"/>
          <w:szCs w:val="22"/>
        </w:rPr>
        <w:t xml:space="preserve">. Available at: </w:t>
      </w:r>
      <w:hyperlink r:id="rId132" w:tgtFrame="_new" w:history="1">
        <w:r w:rsidRPr="00B3149D">
          <w:rPr>
            <w:rStyle w:val="Hyperlink"/>
            <w:rFonts w:ascii="Arial" w:hAnsi="Arial" w:cs="Arial"/>
            <w:sz w:val="22"/>
            <w:szCs w:val="22"/>
          </w:rPr>
          <w:t>https://www.scmr.com/article/the-future-of-forecast-value-add-transforming-e-commerce-forecasting</w:t>
        </w:r>
      </w:hyperlink>
      <w:r w:rsidRPr="00B3149D">
        <w:rPr>
          <w:rFonts w:ascii="Arial" w:hAnsi="Arial" w:cs="Arial"/>
          <w:sz w:val="22"/>
          <w:szCs w:val="22"/>
        </w:rPr>
        <w:t xml:space="preserve"> (Accessed: 22 April 2026).</w:t>
      </w:r>
      <w:r w:rsidR="00D80F53" w:rsidRPr="00B3149D">
        <w:rPr>
          <w:rFonts w:ascii="Arial" w:hAnsi="Arial" w:cs="Arial"/>
          <w:sz w:val="22"/>
          <w:szCs w:val="22"/>
        </w:rPr>
        <w:br/>
      </w:r>
      <w:r w:rsidRPr="00B3149D">
        <w:rPr>
          <w:rStyle w:val="Strong"/>
          <w:rFonts w:ascii="Arial" w:hAnsi="Arial" w:cs="Arial"/>
          <w:sz w:val="22"/>
          <w:szCs w:val="22"/>
        </w:rPr>
        <w:t>[12]</w:t>
      </w:r>
      <w:r w:rsidRPr="00B3149D">
        <w:rPr>
          <w:rFonts w:ascii="Arial" w:hAnsi="Arial" w:cs="Arial"/>
          <w:sz w:val="22"/>
          <w:szCs w:val="22"/>
        </w:rPr>
        <w:br/>
        <w:t xml:space="preserve">UNESCO (2021) </w:t>
      </w:r>
      <w:r w:rsidRPr="00B3149D">
        <w:rPr>
          <w:rStyle w:val="Emphasis"/>
          <w:rFonts w:ascii="Arial" w:eastAsiaTheme="majorEastAsia" w:hAnsi="Arial" w:cs="Arial"/>
          <w:sz w:val="22"/>
          <w:szCs w:val="22"/>
        </w:rPr>
        <w:t>Recommendation on the ethics of artificial intelligence</w:t>
      </w:r>
      <w:r w:rsidRPr="00B3149D">
        <w:rPr>
          <w:rFonts w:ascii="Arial" w:hAnsi="Arial" w:cs="Arial"/>
          <w:sz w:val="22"/>
          <w:szCs w:val="22"/>
        </w:rPr>
        <w:t xml:space="preserve">. Available at: </w:t>
      </w:r>
      <w:hyperlink r:id="rId133" w:tgtFrame="_new" w:history="1">
        <w:r w:rsidRPr="00B3149D">
          <w:rPr>
            <w:rStyle w:val="Hyperlink"/>
            <w:rFonts w:ascii="Arial" w:hAnsi="Arial" w:cs="Arial"/>
            <w:sz w:val="22"/>
            <w:szCs w:val="22"/>
          </w:rPr>
          <w:t>https://www.unesco.org/en/artificial-intelligence/recommendation-ethics</w:t>
        </w:r>
      </w:hyperlink>
      <w:r w:rsidRPr="00B3149D">
        <w:rPr>
          <w:rFonts w:ascii="Arial" w:hAnsi="Arial" w:cs="Arial"/>
          <w:sz w:val="22"/>
          <w:szCs w:val="22"/>
        </w:rPr>
        <w:t xml:space="preserve"> (Accessed: 22 April 2026).</w:t>
      </w:r>
      <w:bookmarkStart w:id="38" w:name="header"/>
      <w:bookmarkEnd w:id="38"/>
    </w:p>
    <w:p w14:paraId="1169D74A" w14:textId="77777777" w:rsidR="00D80F53" w:rsidRPr="00B3149D" w:rsidRDefault="00960EBE" w:rsidP="00486A83">
      <w:pPr>
        <w:pStyle w:val="Heading1"/>
        <w:jc w:val="center"/>
        <w:rPr>
          <w:rFonts w:ascii="Arial" w:hAnsi="Arial" w:cs="Arial"/>
          <w:b/>
          <w:bCs/>
          <w:color w:val="000000" w:themeColor="text1"/>
          <w:sz w:val="48"/>
          <w:szCs w:val="48"/>
        </w:rPr>
      </w:pPr>
      <w:bookmarkStart w:id="39" w:name="_Toc227752990"/>
      <w:r w:rsidRPr="00B3149D">
        <w:rPr>
          <w:rFonts w:ascii="Arial" w:hAnsi="Arial" w:cs="Arial"/>
          <w:b/>
          <w:bCs/>
          <w:color w:val="000000" w:themeColor="text1"/>
          <w:sz w:val="48"/>
          <w:szCs w:val="48"/>
        </w:rPr>
        <w:lastRenderedPageBreak/>
        <w:t>Part – 3</w:t>
      </w:r>
      <w:bookmarkEnd w:id="39"/>
    </w:p>
    <w:p w14:paraId="79351855" w14:textId="78C7508B" w:rsidR="00960EBE" w:rsidRPr="00B3149D" w:rsidRDefault="00960EBE" w:rsidP="00486A83">
      <w:pPr>
        <w:rPr>
          <w:rFonts w:ascii="Arial" w:hAnsi="Arial" w:cs="Arial"/>
          <w:b/>
          <w:bCs/>
          <w:sz w:val="28"/>
          <w:szCs w:val="28"/>
        </w:rPr>
      </w:pPr>
      <w:r w:rsidRPr="00B3149D">
        <w:rPr>
          <w:rStyle w:val="TitleChar"/>
          <w:rFonts w:ascii="Arial" w:hAnsi="Arial" w:cs="Arial"/>
          <w:sz w:val="24"/>
          <w:szCs w:val="24"/>
        </w:rPr>
        <w:br/>
      </w:r>
      <w:r w:rsidRPr="00B3149D">
        <w:rPr>
          <w:rFonts w:ascii="Arial" w:hAnsi="Arial" w:cs="Arial"/>
          <w:b/>
          <w:bCs/>
          <w:sz w:val="28"/>
          <w:szCs w:val="28"/>
        </w:rPr>
        <w:t>Preliminary Critical Literature Review: AI in Supply Chain Forecasting and Replenishment</w:t>
      </w:r>
    </w:p>
    <w:p w14:paraId="04F37097" w14:textId="6708E521" w:rsidR="00960EBE" w:rsidRPr="00B3149D" w:rsidRDefault="00960EBE" w:rsidP="0062377A">
      <w:pPr>
        <w:pStyle w:val="Heading1"/>
        <w:spacing w:line="360" w:lineRule="auto"/>
        <w:rPr>
          <w:rFonts w:ascii="Arial" w:hAnsi="Arial" w:cs="Arial"/>
          <w:b/>
          <w:bCs/>
          <w:sz w:val="28"/>
          <w:szCs w:val="28"/>
        </w:rPr>
      </w:pPr>
      <w:bookmarkStart w:id="40" w:name="_Toc227752991"/>
      <w:bookmarkStart w:id="41" w:name="introduction-3.1"/>
      <w:r w:rsidRPr="00B3149D">
        <w:rPr>
          <w:rFonts w:ascii="Arial" w:hAnsi="Arial" w:cs="Arial"/>
          <w:b/>
          <w:bCs/>
          <w:sz w:val="28"/>
          <w:szCs w:val="28"/>
        </w:rPr>
        <w:t>3.1 Introduction</w:t>
      </w:r>
      <w:bookmarkEnd w:id="40"/>
    </w:p>
    <w:p w14:paraId="0A330024"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Effective demand forecasting underpins retail and FMCG supply chains by reducing uncertainty and guiding inventory decisions</w:t>
      </w:r>
      <w:hyperlink r:id="rId134" w:anchor=":~:text=Reliable%20demand%20forecasts%20are%20integral,and%20replenish%20those%20items%20accordingly">
        <w:r w:rsidRPr="00B3149D">
          <w:rPr>
            <w:rStyle w:val="Hyperlink"/>
            <w:rFonts w:ascii="Arial" w:hAnsi="Arial" w:cs="Arial"/>
          </w:rPr>
          <w:t>[1]</w:t>
        </w:r>
      </w:hyperlink>
      <w:hyperlink r:id="rId135" w:anchor=":~:text=This%20study%20explores%20the%20implementation,existing%20inventory%20management%20systems%20automates">
        <w:r w:rsidRPr="00B3149D">
          <w:rPr>
            <w:rStyle w:val="Hyperlink"/>
            <w:rFonts w:ascii="Arial" w:hAnsi="Arial" w:cs="Arial"/>
          </w:rPr>
          <w:t>[2]</w:t>
        </w:r>
      </w:hyperlink>
      <w:r w:rsidRPr="00B3149D">
        <w:rPr>
          <w:rFonts w:ascii="Arial" w:hAnsi="Arial" w:cs="Arial"/>
        </w:rPr>
        <w:t>. In practice, poor forecasts cause costly stockouts, excess inventory, and missed sales</w:t>
      </w:r>
      <w:hyperlink r:id="rId136" w:anchor=":~:text=This%20study%20explores%20the%20implementation,existing%20inventory%20management%20systems%20automates">
        <w:r w:rsidRPr="00B3149D">
          <w:rPr>
            <w:rStyle w:val="Hyperlink"/>
            <w:rFonts w:ascii="Arial" w:hAnsi="Arial" w:cs="Arial"/>
          </w:rPr>
          <w:t>[2]</w:t>
        </w:r>
      </w:hyperlink>
      <w:r w:rsidRPr="00B3149D">
        <w:rPr>
          <w:rFonts w:ascii="Arial" w:hAnsi="Arial" w:cs="Arial"/>
        </w:rPr>
        <w:t>. The rise of big data and AI promises to improve forecasting beyond traditional methods</w:t>
      </w:r>
      <w:hyperlink r:id="rId137" w:anchor=":~:text=The%20proper%20selection%20of%20a,is%20presented%20by%20clustering%20the">
        <w:r w:rsidRPr="00B3149D">
          <w:rPr>
            <w:rStyle w:val="Hyperlink"/>
            <w:rFonts w:ascii="Arial" w:hAnsi="Arial" w:cs="Arial"/>
          </w:rPr>
          <w:t>[3]</w:t>
        </w:r>
      </w:hyperlink>
      <w:hyperlink r:id="rId138" w:anchor=":~:text=forecasting,accuracy%20when%20using%20retailer%20data">
        <w:r w:rsidRPr="00B3149D">
          <w:rPr>
            <w:rStyle w:val="Hyperlink"/>
            <w:rFonts w:ascii="Arial" w:hAnsi="Arial" w:cs="Arial"/>
          </w:rPr>
          <w:t>[4]</w:t>
        </w:r>
      </w:hyperlink>
      <w:r w:rsidRPr="00B3149D">
        <w:rPr>
          <w:rFonts w:ascii="Arial" w:hAnsi="Arial" w:cs="Arial"/>
        </w:rPr>
        <w:t>. For example, modern systems claim over 90% accuracy on weekly forecasts</w:t>
      </w:r>
      <w:hyperlink r:id="rId139" w:anchor=":~:text=forecasting,accuracy%20when%20using%20retailer%20data">
        <w:r w:rsidRPr="00B3149D">
          <w:rPr>
            <w:rStyle w:val="Hyperlink"/>
            <w:rFonts w:ascii="Arial" w:hAnsi="Arial" w:cs="Arial"/>
          </w:rPr>
          <w:t>[4]</w:t>
        </w:r>
      </w:hyperlink>
      <w:r w:rsidRPr="00B3149D">
        <w:rPr>
          <w:rFonts w:ascii="Arial" w:hAnsi="Arial" w:cs="Arial"/>
        </w:rPr>
        <w:t xml:space="preserve"> and vendor reports suggest AI can cut excess inventory by 15–30% while maintaining service levels</w:t>
      </w:r>
      <w:hyperlink r:id="rId140" w:anchor=":~:text=Modern%20AI%20demand%20forecasting%20moves,while%C2%A0maintaining%C2%A0strong%20service%20levels%20and%20availability">
        <w:r w:rsidRPr="00B3149D">
          <w:rPr>
            <w:rStyle w:val="Hyperlink"/>
            <w:rFonts w:ascii="Arial" w:hAnsi="Arial" w:cs="Arial"/>
          </w:rPr>
          <w:t>[5]</w:t>
        </w:r>
      </w:hyperlink>
      <w:r w:rsidRPr="00B3149D">
        <w:rPr>
          <w:rFonts w:ascii="Arial" w:hAnsi="Arial" w:cs="Arial"/>
        </w:rPr>
        <w:t>. Despite this promise, experts warn that accuracy alone does not ensure performance. A demand-planning analysis cautions that “forecast accuracy is only a proxy for improved business performance” and that “a reliable algorithm that no one trusts will be of little value”</w:t>
      </w:r>
      <w:hyperlink r:id="rId141" w:anchor=":~:text=A%20reliable%20algorithm%20that%20no,systems%20they%20use%20to%20plan">
        <w:r w:rsidRPr="00B3149D">
          <w:rPr>
            <w:rStyle w:val="Hyperlink"/>
            <w:rFonts w:ascii="Arial" w:hAnsi="Arial" w:cs="Arial"/>
          </w:rPr>
          <w:t>[6]</w:t>
        </w:r>
      </w:hyperlink>
      <w:hyperlink r:id="rId142" w:anchor=":~:text=Forecast%20accuracy%20is%20only%20a,and%20resources%20away%20from%20other">
        <w:r w:rsidRPr="00B3149D">
          <w:rPr>
            <w:rStyle w:val="Hyperlink"/>
            <w:rFonts w:ascii="Arial" w:hAnsi="Arial" w:cs="Arial"/>
          </w:rPr>
          <w:t>[7]</w:t>
        </w:r>
      </w:hyperlink>
      <w:r w:rsidRPr="00B3149D">
        <w:rPr>
          <w:rFonts w:ascii="Arial" w:hAnsi="Arial" w:cs="Arial"/>
        </w:rPr>
        <w:t>. In other words, even perfect forecasts yield little benefit if supply chains lack flexibility or buy-in. This review critically examines the literature on AI-driven forecasting and replenishment, defining key concepts and relationships, synthesizing evidence and contradictions, and identifying gaps. Our aim is to map how AI-based methods affect inventory outcomes and to highlight implications for future research and practice.</w:t>
      </w:r>
    </w:p>
    <w:p w14:paraId="619909CB" w14:textId="686D28C3" w:rsidR="00960EBE" w:rsidRPr="00B3149D" w:rsidRDefault="00960EBE" w:rsidP="0062377A">
      <w:pPr>
        <w:pStyle w:val="Heading1"/>
        <w:spacing w:line="360" w:lineRule="auto"/>
        <w:rPr>
          <w:rFonts w:ascii="Arial" w:hAnsi="Arial" w:cs="Arial"/>
          <w:b/>
          <w:bCs/>
          <w:sz w:val="28"/>
          <w:szCs w:val="28"/>
        </w:rPr>
      </w:pPr>
      <w:bookmarkStart w:id="42" w:name="_Toc227752992"/>
      <w:bookmarkStart w:id="43" w:name="conceptual-framing-3.2"/>
      <w:r w:rsidRPr="00B3149D">
        <w:rPr>
          <w:rFonts w:ascii="Arial" w:hAnsi="Arial" w:cs="Arial"/>
          <w:b/>
          <w:bCs/>
          <w:sz w:val="28"/>
          <w:szCs w:val="28"/>
        </w:rPr>
        <w:t>3.2 Conceptual Framing</w:t>
      </w:r>
      <w:bookmarkEnd w:id="42"/>
      <w:r w:rsidRPr="00B3149D">
        <w:rPr>
          <w:rFonts w:ascii="Arial" w:hAnsi="Arial" w:cs="Arial"/>
          <w:b/>
          <w:bCs/>
          <w:sz w:val="28"/>
          <w:szCs w:val="28"/>
        </w:rPr>
        <w:t xml:space="preserve"> </w:t>
      </w:r>
    </w:p>
    <w:p w14:paraId="47198ABC"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 xml:space="preserve">We define </w:t>
      </w:r>
      <w:r w:rsidRPr="00B3149D">
        <w:rPr>
          <w:rFonts w:ascii="Arial" w:hAnsi="Arial" w:cs="Arial"/>
          <w:b/>
          <w:bCs/>
        </w:rPr>
        <w:t>AI-driven forecasting</w:t>
      </w:r>
      <w:r w:rsidRPr="00B3149D">
        <w:rPr>
          <w:rFonts w:ascii="Arial" w:hAnsi="Arial" w:cs="Arial"/>
        </w:rPr>
        <w:t xml:space="preserve"> as algorithmic predictive models (</w:t>
      </w:r>
      <w:proofErr w:type="gramStart"/>
      <w:r w:rsidRPr="00B3149D">
        <w:rPr>
          <w:rFonts w:ascii="Arial" w:hAnsi="Arial" w:cs="Arial"/>
        </w:rPr>
        <w:t>e.g.</w:t>
      </w:r>
      <w:proofErr w:type="gramEnd"/>
      <w:r w:rsidRPr="00B3149D">
        <w:rPr>
          <w:rFonts w:ascii="Arial" w:hAnsi="Arial" w:cs="Arial"/>
        </w:rPr>
        <w:t xml:space="preserve"> random forests, gradient boosting, neural networks, and deep learning) that analyze historical demand and external data to predict future sales. The primary performance outcomes are supply chain service levels, stockout rates, inventory costs, and fill rates</w:t>
      </w:r>
      <w:hyperlink r:id="rId143" w:anchor=":~:text=baselines%2C%20with%20the%20TFT%20model,compared%20with">
        <w:r w:rsidRPr="00B3149D">
          <w:rPr>
            <w:rStyle w:val="Hyperlink"/>
            <w:rFonts w:ascii="Arial" w:hAnsi="Arial" w:cs="Arial"/>
          </w:rPr>
          <w:t>[8]</w:t>
        </w:r>
      </w:hyperlink>
      <w:r w:rsidRPr="00B3149D">
        <w:rPr>
          <w:rFonts w:ascii="Arial" w:hAnsi="Arial" w:cs="Arial"/>
        </w:rPr>
        <w:t xml:space="preserve">. The central theoretical chain is: </w:t>
      </w:r>
      <w:r w:rsidRPr="00B3149D">
        <w:rPr>
          <w:rFonts w:ascii="Arial" w:hAnsi="Arial" w:cs="Arial"/>
          <w:b/>
          <w:bCs/>
        </w:rPr>
        <w:t>AI Forecasting Method → Forecast Accuracy → Replenishment Decisions → Supply Chain Outcomes</w:t>
      </w:r>
      <w:r w:rsidRPr="00B3149D">
        <w:rPr>
          <w:rFonts w:ascii="Arial" w:hAnsi="Arial" w:cs="Arial"/>
        </w:rPr>
        <w:t xml:space="preserve">. In essence, better predictions enable tighter inventory and replenishment policies. For example, </w:t>
      </w:r>
      <w:proofErr w:type="spellStart"/>
      <w:r w:rsidRPr="00B3149D">
        <w:rPr>
          <w:rFonts w:ascii="Arial" w:hAnsi="Arial" w:cs="Arial"/>
        </w:rPr>
        <w:t>Talukder</w:t>
      </w:r>
      <w:proofErr w:type="spellEnd"/>
      <w:r w:rsidRPr="00B3149D">
        <w:rPr>
          <w:rFonts w:ascii="Arial" w:hAnsi="Arial" w:cs="Arial"/>
        </w:rPr>
        <w:t xml:space="preserve"> (2026) shows that a Temporal Fusion Transformer reduced RMSE by 21.8%, causing simulated stockouts to fall from 10.9% to 6.4%</w:t>
      </w:r>
      <w:hyperlink r:id="rId144" w:anchor=":~:text=baselines%2C%20with%20the%20TFT%20model,compared%20with">
        <w:r w:rsidRPr="00B3149D">
          <w:rPr>
            <w:rStyle w:val="Hyperlink"/>
            <w:rFonts w:ascii="Arial" w:hAnsi="Arial" w:cs="Arial"/>
          </w:rPr>
          <w:t>[8]</w:t>
        </w:r>
      </w:hyperlink>
      <w:r w:rsidRPr="00B3149D">
        <w:rPr>
          <w:rFonts w:ascii="Arial" w:hAnsi="Arial" w:cs="Arial"/>
        </w:rPr>
        <w:t xml:space="preserve">. We also consider </w:t>
      </w:r>
      <w:r w:rsidRPr="00B3149D">
        <w:rPr>
          <w:rFonts w:ascii="Arial" w:hAnsi="Arial" w:cs="Arial"/>
          <w:b/>
          <w:bCs/>
        </w:rPr>
        <w:t>moderators</w:t>
      </w:r>
      <w:r w:rsidRPr="00B3149D">
        <w:rPr>
          <w:rFonts w:ascii="Arial" w:hAnsi="Arial" w:cs="Arial"/>
        </w:rPr>
        <w:t xml:space="preserve">: organizational and human factors (such as planner expertise, trust in </w:t>
      </w:r>
      <w:r w:rsidRPr="00B3149D">
        <w:rPr>
          <w:rFonts w:ascii="Arial" w:hAnsi="Arial" w:cs="Arial"/>
        </w:rPr>
        <w:lastRenderedPageBreak/>
        <w:t>the system, and process agility) that determine whether accuracy gains translate into action. Overall, this framework posits that advanced forecasting methods improve accuracy and thereby enable more dynamic, cost-effective replenishment, provided human/organizational context allows implementation</w:t>
      </w:r>
      <w:hyperlink r:id="rId145" w:anchor=":~:text=baselines%2C%20with%20the%20TFT%20model,compared%20with">
        <w:r w:rsidRPr="00B3149D">
          <w:rPr>
            <w:rStyle w:val="Hyperlink"/>
            <w:rFonts w:ascii="Arial" w:hAnsi="Arial" w:cs="Arial"/>
          </w:rPr>
          <w:t>[8]</w:t>
        </w:r>
      </w:hyperlink>
      <w:hyperlink r:id="rId146" w:anchor=":~:text=iterative%20linear%20weighting%20of%20human,Our%20studies%20demonstrate%20that%20the">
        <w:r w:rsidRPr="00B3149D">
          <w:rPr>
            <w:rStyle w:val="Hyperlink"/>
            <w:rFonts w:ascii="Arial" w:hAnsi="Arial" w:cs="Arial"/>
          </w:rPr>
          <w:t>[9]</w:t>
        </w:r>
      </w:hyperlink>
      <w:r w:rsidRPr="00B3149D">
        <w:rPr>
          <w:rFonts w:ascii="Arial" w:hAnsi="Arial" w:cs="Arial"/>
        </w:rPr>
        <w:t>.</w:t>
      </w:r>
    </w:p>
    <w:p w14:paraId="39EC2DE8" w14:textId="3AC7507D" w:rsidR="00960EBE" w:rsidRPr="00B3149D" w:rsidRDefault="00960EBE" w:rsidP="0062377A">
      <w:pPr>
        <w:pStyle w:val="Heading1"/>
        <w:spacing w:line="360" w:lineRule="auto"/>
        <w:rPr>
          <w:rFonts w:ascii="Arial" w:hAnsi="Arial" w:cs="Arial"/>
          <w:b/>
          <w:bCs/>
          <w:sz w:val="28"/>
          <w:szCs w:val="28"/>
        </w:rPr>
      </w:pPr>
      <w:bookmarkStart w:id="44" w:name="_Toc227752993"/>
      <w:bookmarkStart w:id="45" w:name="thematic-literature-review-3.3"/>
      <w:r w:rsidRPr="00B3149D">
        <w:rPr>
          <w:rFonts w:ascii="Arial" w:hAnsi="Arial" w:cs="Arial"/>
          <w:b/>
          <w:bCs/>
          <w:sz w:val="28"/>
          <w:szCs w:val="28"/>
        </w:rPr>
        <w:t>3.3 Thematic Literature Review</w:t>
      </w:r>
      <w:bookmarkEnd w:id="44"/>
      <w:r w:rsidRPr="00B3149D">
        <w:rPr>
          <w:rFonts w:ascii="Arial" w:hAnsi="Arial" w:cs="Arial"/>
          <w:b/>
          <w:bCs/>
          <w:sz w:val="28"/>
          <w:szCs w:val="28"/>
        </w:rPr>
        <w:t xml:space="preserve"> </w:t>
      </w:r>
    </w:p>
    <w:p w14:paraId="34A9EE6E" w14:textId="6E6849BD" w:rsidR="00960EBE" w:rsidRPr="00B3149D" w:rsidRDefault="00960EBE" w:rsidP="0062377A">
      <w:pPr>
        <w:pStyle w:val="Heading3"/>
        <w:spacing w:line="360" w:lineRule="auto"/>
        <w:rPr>
          <w:rFonts w:ascii="Arial" w:hAnsi="Arial" w:cs="Arial"/>
          <w:b/>
          <w:bCs/>
        </w:rPr>
      </w:pPr>
      <w:bookmarkStart w:id="46" w:name="_Toc227752994"/>
      <w:bookmarkStart w:id="47" w:name="conceptual-foundations-3.3a"/>
      <w:r w:rsidRPr="00B3149D">
        <w:rPr>
          <w:rStyle w:val="Heading2Char"/>
          <w:rFonts w:ascii="Arial" w:hAnsi="Arial" w:cs="Arial"/>
          <w:b/>
          <w:bCs/>
          <w:sz w:val="24"/>
          <w:szCs w:val="24"/>
        </w:rPr>
        <w:t>3.3</w:t>
      </w:r>
      <w:r w:rsidR="00973F30" w:rsidRPr="00B3149D">
        <w:rPr>
          <w:rStyle w:val="Heading2Char"/>
          <w:rFonts w:ascii="Arial" w:hAnsi="Arial" w:cs="Arial"/>
          <w:b/>
          <w:bCs/>
          <w:sz w:val="24"/>
          <w:szCs w:val="24"/>
        </w:rPr>
        <w:t>.1</w:t>
      </w:r>
      <w:r w:rsidRPr="00B3149D">
        <w:rPr>
          <w:rStyle w:val="Heading2Char"/>
          <w:rFonts w:ascii="Arial" w:hAnsi="Arial" w:cs="Arial"/>
          <w:b/>
          <w:bCs/>
          <w:sz w:val="24"/>
          <w:szCs w:val="24"/>
        </w:rPr>
        <w:t xml:space="preserve"> Conceptual Foundations</w:t>
      </w:r>
      <w:bookmarkEnd w:id="46"/>
      <w:r w:rsidRPr="00B3149D">
        <w:rPr>
          <w:rFonts w:ascii="Arial" w:hAnsi="Arial" w:cs="Arial"/>
          <w:b/>
          <w:bCs/>
        </w:rPr>
        <w:t xml:space="preserve"> </w:t>
      </w:r>
    </w:p>
    <w:p w14:paraId="762CC0EF"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 xml:space="preserve">AI forecasting draws on classic supply chain and information theory. The </w:t>
      </w:r>
      <w:r w:rsidRPr="00B3149D">
        <w:rPr>
          <w:rFonts w:ascii="Arial" w:hAnsi="Arial" w:cs="Arial"/>
          <w:b/>
          <w:bCs/>
        </w:rPr>
        <w:t>bullwhip effect</w:t>
      </w:r>
      <w:r w:rsidRPr="00B3149D">
        <w:rPr>
          <w:rFonts w:ascii="Arial" w:hAnsi="Arial" w:cs="Arial"/>
        </w:rPr>
        <w:t xml:space="preserve"> – the amplification of demand variability upstream – highlights the need for timely forecasts</w:t>
      </w:r>
      <w:hyperlink r:id="rId147" w:anchor=":~:text=plier%20in%20an%20exaggerated%20form,tends%20to%20aggravate%20the%20dis">
        <w:r w:rsidRPr="00B3149D">
          <w:rPr>
            <w:rStyle w:val="Hyperlink"/>
            <w:rFonts w:ascii="Arial" w:hAnsi="Arial" w:cs="Arial"/>
          </w:rPr>
          <w:t>[10]</w:t>
        </w:r>
      </w:hyperlink>
      <w:r w:rsidRPr="00B3149D">
        <w:rPr>
          <w:rFonts w:ascii="Arial" w:hAnsi="Arial" w:cs="Arial"/>
        </w:rPr>
        <w:t>. AI is touted as a solution to dampen this effect by providing near-real-time insights. For instance, Lee et al. (1997) formally demonstrate how small changes in retail demand lead to larger order variance at suppliers</w:t>
      </w:r>
      <w:hyperlink r:id="rId148" w:anchor=":~:text=plier%20in%20an%20exaggerated%20form,tends%20to%20aggravate%20the%20dis">
        <w:r w:rsidRPr="00B3149D">
          <w:rPr>
            <w:rStyle w:val="Hyperlink"/>
            <w:rFonts w:ascii="Arial" w:hAnsi="Arial" w:cs="Arial"/>
          </w:rPr>
          <w:t>[10]</w:t>
        </w:r>
      </w:hyperlink>
      <w:r w:rsidRPr="00B3149D">
        <w:rPr>
          <w:rFonts w:ascii="Arial" w:hAnsi="Arial" w:cs="Arial"/>
        </w:rPr>
        <w:t>. However, much of the literature implicitly assumes a rational, quantitative optimization perspective. Reviews note that turbulent markets have driven broad interest in machine learning methods for forecasting</w:t>
      </w:r>
      <w:hyperlink r:id="rId149" w:anchor=":~:text=The%20proper%20selection%20of%20a,is%20presented%20by%20clustering%20the">
        <w:r w:rsidRPr="00B3149D">
          <w:rPr>
            <w:rStyle w:val="Hyperlink"/>
            <w:rFonts w:ascii="Arial" w:hAnsi="Arial" w:cs="Arial"/>
          </w:rPr>
          <w:t>[3]</w:t>
        </w:r>
      </w:hyperlink>
      <w:r w:rsidRPr="00B3149D">
        <w:rPr>
          <w:rFonts w:ascii="Arial" w:hAnsi="Arial" w:cs="Arial"/>
        </w:rPr>
        <w:t xml:space="preserve">. </w:t>
      </w:r>
      <w:proofErr w:type="spellStart"/>
      <w:r w:rsidRPr="00B3149D">
        <w:rPr>
          <w:rFonts w:ascii="Arial" w:hAnsi="Arial" w:cs="Arial"/>
        </w:rPr>
        <w:t>Mediavilla</w:t>
      </w:r>
      <w:proofErr w:type="spellEnd"/>
      <w:r w:rsidRPr="00B3149D">
        <w:rPr>
          <w:rFonts w:ascii="Arial" w:hAnsi="Arial" w:cs="Arial"/>
        </w:rPr>
        <w:t xml:space="preserve"> et al. (2022) survey recent AI forecasting studies and emphasize that uncertain, dynamic markets make classical statistical methods “not always appropriate,” motivating hybrid and learning approaches</w:t>
      </w:r>
      <w:hyperlink r:id="rId150" w:anchor=":~:text=The%20proper%20selection%20of%20a,is%20presented%20by%20clustering%20the">
        <w:r w:rsidRPr="00B3149D">
          <w:rPr>
            <w:rStyle w:val="Hyperlink"/>
            <w:rFonts w:ascii="Arial" w:hAnsi="Arial" w:cs="Arial"/>
          </w:rPr>
          <w:t>[3]</w:t>
        </w:r>
      </w:hyperlink>
      <w:r w:rsidRPr="00B3149D">
        <w:rPr>
          <w:rFonts w:ascii="Arial" w:hAnsi="Arial" w:cs="Arial"/>
        </w:rPr>
        <w:t>. Theoretical models largely treat forecasts as objective outputs: for example, many studies adopt positivist, data-driven designs (</w:t>
      </w:r>
      <w:proofErr w:type="spellStart"/>
      <w:r w:rsidRPr="00B3149D">
        <w:rPr>
          <w:rFonts w:ascii="Arial" w:hAnsi="Arial" w:cs="Arial"/>
        </w:rPr>
        <w:t>Talukder</w:t>
      </w:r>
      <w:proofErr w:type="spellEnd"/>
      <w:r w:rsidRPr="00B3149D">
        <w:rPr>
          <w:rFonts w:ascii="Arial" w:hAnsi="Arial" w:cs="Arial"/>
        </w:rPr>
        <w:t>, 2026) and rarely incorporate behavioral or power-dynamics perspectives. In short, AI-for-forecasting is often framed as a technical challenge of improving data and algorithms, with only limited attention to social or organizational theory (</w:t>
      </w:r>
      <w:proofErr w:type="gramStart"/>
      <w:r w:rsidRPr="00B3149D">
        <w:rPr>
          <w:rFonts w:ascii="Arial" w:hAnsi="Arial" w:cs="Arial"/>
        </w:rPr>
        <w:t>e.g.</w:t>
      </w:r>
      <w:proofErr w:type="gramEnd"/>
      <w:r w:rsidRPr="00B3149D">
        <w:rPr>
          <w:rFonts w:ascii="Arial" w:hAnsi="Arial" w:cs="Arial"/>
        </w:rPr>
        <w:t xml:space="preserve"> algorithmic governance, routines). This suggests a </w:t>
      </w:r>
      <w:r w:rsidRPr="00B3149D">
        <w:rPr>
          <w:rFonts w:ascii="Arial" w:hAnsi="Arial" w:cs="Arial"/>
          <w:b/>
          <w:bCs/>
        </w:rPr>
        <w:t>gap</w:t>
      </w:r>
      <w:r w:rsidRPr="00B3149D">
        <w:rPr>
          <w:rFonts w:ascii="Arial" w:hAnsi="Arial" w:cs="Arial"/>
        </w:rPr>
        <w:t xml:space="preserve"> in theory: few works integrate forecasting models with supply chain organizational behavior or human-in-the-loop processes.</w:t>
      </w:r>
    </w:p>
    <w:p w14:paraId="2DF27BE6" w14:textId="43F3AB6B" w:rsidR="00960EBE" w:rsidRPr="00B3149D" w:rsidRDefault="00973F30" w:rsidP="0062377A">
      <w:pPr>
        <w:pStyle w:val="Heading2"/>
        <w:spacing w:line="360" w:lineRule="auto"/>
        <w:rPr>
          <w:rFonts w:ascii="Arial" w:hAnsi="Arial" w:cs="Arial"/>
          <w:b/>
          <w:bCs/>
          <w:sz w:val="24"/>
          <w:szCs w:val="24"/>
        </w:rPr>
      </w:pPr>
      <w:bookmarkStart w:id="48" w:name="_Toc227752995"/>
      <w:bookmarkStart w:id="49" w:name="empirical-evidence-3.3b"/>
      <w:bookmarkEnd w:id="41"/>
      <w:r w:rsidRPr="00B3149D">
        <w:rPr>
          <w:rFonts w:ascii="Arial" w:hAnsi="Arial" w:cs="Arial"/>
          <w:b/>
          <w:bCs/>
          <w:sz w:val="24"/>
          <w:szCs w:val="24"/>
        </w:rPr>
        <w:t xml:space="preserve">3.3.2 </w:t>
      </w:r>
      <w:r w:rsidR="00960EBE" w:rsidRPr="00B3149D">
        <w:rPr>
          <w:rFonts w:ascii="Arial" w:hAnsi="Arial" w:cs="Arial"/>
          <w:b/>
          <w:bCs/>
          <w:sz w:val="24"/>
          <w:szCs w:val="24"/>
        </w:rPr>
        <w:t>Empirical Evidence</w:t>
      </w:r>
      <w:bookmarkEnd w:id="48"/>
    </w:p>
    <w:p w14:paraId="4A87EFC2"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A substantial body of work – both academic and industry – finds that AI/ML methods tend to improve forecast accuracy. For example, experimental studies in retail and e</w:t>
      </w:r>
      <w:r w:rsidRPr="00B3149D">
        <w:rPr>
          <w:rFonts w:ascii="Cambria Math" w:hAnsi="Cambria Math" w:cs="Cambria Math"/>
        </w:rPr>
        <w:t>‑</w:t>
      </w:r>
      <w:r w:rsidRPr="00B3149D">
        <w:rPr>
          <w:rFonts w:ascii="Arial" w:hAnsi="Arial" w:cs="Arial"/>
        </w:rPr>
        <w:t>commerce show modern algorithms (LSTM networks, ensemble methods, Transformers) significantly outperform traditional techniques. One study reports LSTM demand models with prediction error &lt;1% versus ~3% for linear regression</w:t>
      </w:r>
      <w:hyperlink r:id="rId151" w:anchor=":~:text=Experimental%20results%20indicate%20that%20LSTM,The%20accuracy%20of%20the%20inventory">
        <w:r w:rsidRPr="00B3149D">
          <w:rPr>
            <w:rStyle w:val="Hyperlink"/>
            <w:rFonts w:ascii="Arial" w:hAnsi="Arial" w:cs="Arial"/>
          </w:rPr>
          <w:t>[11]</w:t>
        </w:r>
      </w:hyperlink>
      <w:r w:rsidRPr="00B3149D">
        <w:rPr>
          <w:rFonts w:ascii="Arial" w:hAnsi="Arial" w:cs="Arial"/>
        </w:rPr>
        <w:t xml:space="preserve">. Similarly, </w:t>
      </w:r>
      <w:proofErr w:type="spellStart"/>
      <w:r w:rsidRPr="00B3149D">
        <w:rPr>
          <w:rFonts w:ascii="Arial" w:hAnsi="Arial" w:cs="Arial"/>
        </w:rPr>
        <w:t>Talukder’s</w:t>
      </w:r>
      <w:proofErr w:type="spellEnd"/>
      <w:r w:rsidRPr="00B3149D">
        <w:rPr>
          <w:rFonts w:ascii="Arial" w:hAnsi="Arial" w:cs="Arial"/>
        </w:rPr>
        <w:t xml:space="preserve"> (2026) thesis finds that an advanced </w:t>
      </w:r>
      <w:r w:rsidRPr="00B3149D">
        <w:rPr>
          <w:rFonts w:ascii="Arial" w:hAnsi="Arial" w:cs="Arial"/>
        </w:rPr>
        <w:lastRenderedPageBreak/>
        <w:t>Transformer model cuts RMSE by 21.8% relative to the best statistical method, yielding corresponding drops in stockout rates</w:t>
      </w:r>
      <w:hyperlink r:id="rId152" w:anchor=":~:text=baselines%2C%20with%20the%20TFT%20model,compared%20with">
        <w:r w:rsidRPr="00B3149D">
          <w:rPr>
            <w:rStyle w:val="Hyperlink"/>
            <w:rFonts w:ascii="Arial" w:hAnsi="Arial" w:cs="Arial"/>
          </w:rPr>
          <w:t>[8]</w:t>
        </w:r>
      </w:hyperlink>
      <w:r w:rsidRPr="00B3149D">
        <w:rPr>
          <w:rFonts w:ascii="Arial" w:hAnsi="Arial" w:cs="Arial"/>
        </w:rPr>
        <w:t>. Practitioner reports align: a retail software provider claims AI-based forecasting can reduce excess inventory by 15–30% while holding service steady</w:t>
      </w:r>
      <w:hyperlink r:id="rId153" w:anchor=":~:text=Modern%20AI%20demand%20forecasting%20moves,while%C2%A0maintaining%C2%A0strong%20service%20levels%20and%20availability">
        <w:r w:rsidRPr="00B3149D">
          <w:rPr>
            <w:rStyle w:val="Hyperlink"/>
            <w:rFonts w:ascii="Arial" w:hAnsi="Arial" w:cs="Arial"/>
          </w:rPr>
          <w:t>[5]</w:t>
        </w:r>
      </w:hyperlink>
      <w:r w:rsidRPr="00B3149D">
        <w:rPr>
          <w:rFonts w:ascii="Arial" w:hAnsi="Arial" w:cs="Arial"/>
        </w:rPr>
        <w:t>. Overall, quantified gains are often on the order of 10–25% error reduction or more</w:t>
      </w:r>
      <w:hyperlink r:id="rId154" w:anchor=":~:text=baselines%2C%20with%20the%20TFT%20model,compared%20with">
        <w:r w:rsidRPr="00B3149D">
          <w:rPr>
            <w:rStyle w:val="Hyperlink"/>
            <w:rFonts w:ascii="Arial" w:hAnsi="Arial" w:cs="Arial"/>
          </w:rPr>
          <w:t>[8]</w:t>
        </w:r>
      </w:hyperlink>
      <w:hyperlink r:id="rId155" w:anchor=":~:text=learning%20,In%20inventory">
        <w:r w:rsidRPr="00B3149D">
          <w:rPr>
            <w:rStyle w:val="Hyperlink"/>
            <w:rFonts w:ascii="Arial" w:hAnsi="Arial" w:cs="Arial"/>
          </w:rPr>
          <w:t>[12]</w:t>
        </w:r>
      </w:hyperlink>
      <w:r w:rsidRPr="00B3149D">
        <w:rPr>
          <w:rFonts w:ascii="Arial" w:hAnsi="Arial" w:cs="Arial"/>
        </w:rPr>
        <w:t xml:space="preserve">. Notably, several studies highlight that ensemble and hybrid models yield the lowest errors; for instance, combining multiple algorithms or blending machine forecasts with human judgment can boost performance. </w:t>
      </w:r>
      <w:proofErr w:type="spellStart"/>
      <w:r w:rsidRPr="00B3149D">
        <w:rPr>
          <w:rFonts w:ascii="Arial" w:hAnsi="Arial" w:cs="Arial"/>
        </w:rPr>
        <w:t>Brau</w:t>
      </w:r>
      <w:proofErr w:type="spellEnd"/>
      <w:r w:rsidRPr="00B3149D">
        <w:rPr>
          <w:rFonts w:ascii="Arial" w:hAnsi="Arial" w:cs="Arial"/>
        </w:rPr>
        <w:t xml:space="preserve"> et al. (2023) introduce a “Human-Guided Learning” approach where model training incorporates planners’ inputs; this method produced more accurate forecasts than standard judgment-adjustment or combination techniques</w:t>
      </w:r>
      <w:hyperlink r:id="rId156" w:anchor=":~:text=iterative%20linear%20weighting%20of%20human,Our%20studies%20demonstrate%20that%20the">
        <w:r w:rsidRPr="00B3149D">
          <w:rPr>
            <w:rStyle w:val="Hyperlink"/>
            <w:rFonts w:ascii="Arial" w:hAnsi="Arial" w:cs="Arial"/>
          </w:rPr>
          <w:t>[9]</w:t>
        </w:r>
      </w:hyperlink>
      <w:r w:rsidRPr="00B3149D">
        <w:rPr>
          <w:rFonts w:ascii="Arial" w:hAnsi="Arial" w:cs="Arial"/>
        </w:rPr>
        <w:t xml:space="preserve">. In summary, converging evidence suggests AI methods </w:t>
      </w:r>
      <w:r w:rsidRPr="00B3149D">
        <w:rPr>
          <w:rFonts w:ascii="Arial" w:hAnsi="Arial" w:cs="Arial"/>
          <w:i/>
          <w:iCs/>
        </w:rPr>
        <w:t>can</w:t>
      </w:r>
      <w:r w:rsidRPr="00B3149D">
        <w:rPr>
          <w:rFonts w:ascii="Arial" w:hAnsi="Arial" w:cs="Arial"/>
        </w:rPr>
        <w:t xml:space="preserve"> improve accuracy and drive inventory benefits under controlled conditions. However, these improvements typically materialize in experimental or simulation settings where the forecasting outputs are directly linked to replenishment rules. Real-world validation beyond proof-of-concept is still emerging.</w:t>
      </w:r>
    </w:p>
    <w:p w14:paraId="5C05D112" w14:textId="5E32F654" w:rsidR="00960EBE" w:rsidRPr="00B3149D" w:rsidRDefault="00973F30" w:rsidP="0062377A">
      <w:pPr>
        <w:pStyle w:val="Heading2"/>
        <w:spacing w:line="360" w:lineRule="auto"/>
        <w:rPr>
          <w:rFonts w:ascii="Arial" w:hAnsi="Arial" w:cs="Arial"/>
          <w:b/>
          <w:bCs/>
          <w:sz w:val="24"/>
          <w:szCs w:val="24"/>
        </w:rPr>
      </w:pPr>
      <w:bookmarkStart w:id="50" w:name="_Toc227752996"/>
      <w:bookmarkStart w:id="51" w:name="Xcb102841066a4c4accff87566b32c659107cc20"/>
      <w:bookmarkEnd w:id="43"/>
      <w:r w:rsidRPr="00B3149D">
        <w:rPr>
          <w:rFonts w:ascii="Arial" w:hAnsi="Arial" w:cs="Arial"/>
          <w:b/>
          <w:bCs/>
          <w:sz w:val="24"/>
          <w:szCs w:val="24"/>
        </w:rPr>
        <w:t xml:space="preserve">3.3.3  </w:t>
      </w:r>
      <w:r w:rsidR="00960EBE" w:rsidRPr="00B3149D">
        <w:rPr>
          <w:rFonts w:ascii="Arial" w:hAnsi="Arial" w:cs="Arial"/>
          <w:b/>
          <w:bCs/>
          <w:sz w:val="24"/>
          <w:szCs w:val="24"/>
        </w:rPr>
        <w:t>Contradictions and Critical Perspectives</w:t>
      </w:r>
      <w:bookmarkEnd w:id="50"/>
      <w:r w:rsidR="00960EBE" w:rsidRPr="00B3149D">
        <w:rPr>
          <w:rFonts w:ascii="Arial" w:hAnsi="Arial" w:cs="Arial"/>
          <w:b/>
          <w:bCs/>
          <w:sz w:val="24"/>
          <w:szCs w:val="24"/>
        </w:rPr>
        <w:t xml:space="preserve"> </w:t>
      </w:r>
    </w:p>
    <w:p w14:paraId="66329972"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 xml:space="preserve">Despite promising accuracy results, critical voices urge caution. A key critique is that </w:t>
      </w:r>
      <w:r w:rsidRPr="00B3149D">
        <w:rPr>
          <w:rFonts w:ascii="Arial" w:hAnsi="Arial" w:cs="Arial"/>
          <w:b/>
          <w:bCs/>
        </w:rPr>
        <w:t>accuracy ≠ performance</w:t>
      </w:r>
      <w:r w:rsidRPr="00B3149D">
        <w:rPr>
          <w:rFonts w:ascii="Arial" w:hAnsi="Arial" w:cs="Arial"/>
        </w:rPr>
        <w:t>. Fitzpatrick (2021) emphatically warns that “forecast accuracy is only a proxy for improved business performance” and that without effective execution, even a perfect forecast is “worthless”</w:t>
      </w:r>
      <w:hyperlink r:id="rId157" w:anchor=":~:text=Forecast%20accuracy%20is%20only%20a,and%20resources%20away%20from%20other">
        <w:r w:rsidRPr="00B3149D">
          <w:rPr>
            <w:rStyle w:val="Hyperlink"/>
            <w:rFonts w:ascii="Arial" w:hAnsi="Arial" w:cs="Arial"/>
          </w:rPr>
          <w:t>[7]</w:t>
        </w:r>
      </w:hyperlink>
      <w:hyperlink r:id="rId158" w:anchor=":~:text=Poor%20supply%20chain%20execution%20will,time%20to%20meet%20the%20demand">
        <w:r w:rsidRPr="00B3149D">
          <w:rPr>
            <w:rStyle w:val="Hyperlink"/>
            <w:rFonts w:ascii="Arial" w:hAnsi="Arial" w:cs="Arial"/>
          </w:rPr>
          <w:t>[13]</w:t>
        </w:r>
      </w:hyperlink>
      <w:r w:rsidRPr="00B3149D">
        <w:rPr>
          <w:rFonts w:ascii="Arial" w:hAnsi="Arial" w:cs="Arial"/>
        </w:rPr>
        <w:t>. In practice, supply chains plagued by capacity constraints, siloed processes, or rigid policies may fail to leverage AI’s gains</w:t>
      </w:r>
      <w:hyperlink r:id="rId159" w:anchor=":~:text=Poor%20supply%20chain%20execution%20will,time%20to%20meet%20the%20demand">
        <w:r w:rsidRPr="00B3149D">
          <w:rPr>
            <w:rStyle w:val="Hyperlink"/>
            <w:rFonts w:ascii="Arial" w:hAnsi="Arial" w:cs="Arial"/>
          </w:rPr>
          <w:t>[13]</w:t>
        </w:r>
      </w:hyperlink>
      <w:hyperlink r:id="rId160" w:anchor=":~:text=Forecast%20accuracy%20is%20only%20a,and%20resources%20away%20from%20other">
        <w:r w:rsidRPr="00B3149D">
          <w:rPr>
            <w:rStyle w:val="Hyperlink"/>
            <w:rFonts w:ascii="Arial" w:hAnsi="Arial" w:cs="Arial"/>
          </w:rPr>
          <w:t>[7]</w:t>
        </w:r>
      </w:hyperlink>
      <w:r w:rsidRPr="00B3149D">
        <w:rPr>
          <w:rFonts w:ascii="Arial" w:hAnsi="Arial" w:cs="Arial"/>
        </w:rPr>
        <w:t>. Trust is another common issue: as Fitzpatrick notes, “A reliable algorithm that no one trusts will be of little value to a company”</w:t>
      </w:r>
      <w:hyperlink r:id="rId161" w:anchor=":~:text=A%20reliable%20algorithm%20that%20no,systems%20they%20use%20to%20plan">
        <w:r w:rsidRPr="00B3149D">
          <w:rPr>
            <w:rStyle w:val="Hyperlink"/>
            <w:rFonts w:ascii="Arial" w:hAnsi="Arial" w:cs="Arial"/>
          </w:rPr>
          <w:t>[6]</w:t>
        </w:r>
      </w:hyperlink>
      <w:r w:rsidRPr="00B3149D">
        <w:rPr>
          <w:rFonts w:ascii="Arial" w:hAnsi="Arial" w:cs="Arial"/>
        </w:rPr>
        <w:t>. In other words, human planners may override or ignore advanced forecasts if they lack transparency or credibility. Empirically, outright contradictions are rare; most studies still show some accuracy improvement. Instead, the tension is contextual and methodological. Critiques emphasize that many simulation studies assume ideal conditions (perfect data, fixed policies), whereas reality features noise, unobserved constraints, and politics. This gap indicates a need for critical studies: those that examine organizational adoption, planners’ behavior, and the gap between promised and realized benefits</w:t>
      </w:r>
      <w:hyperlink r:id="rId162" w:anchor=":~:text=A%20reliable%20algorithm%20that%20no,systems%20they%20use%20to%20plan">
        <w:r w:rsidRPr="00B3149D">
          <w:rPr>
            <w:rStyle w:val="Hyperlink"/>
            <w:rFonts w:ascii="Arial" w:hAnsi="Arial" w:cs="Arial"/>
          </w:rPr>
          <w:t>[6]</w:t>
        </w:r>
      </w:hyperlink>
      <w:hyperlink r:id="rId163" w:anchor=":~:text=Forecast%20accuracy%20is%20only%20a,and%20resources%20away%20from%20other">
        <w:r w:rsidRPr="00B3149D">
          <w:rPr>
            <w:rStyle w:val="Hyperlink"/>
            <w:rFonts w:ascii="Arial" w:hAnsi="Arial" w:cs="Arial"/>
          </w:rPr>
          <w:t>[7]</w:t>
        </w:r>
      </w:hyperlink>
      <w:r w:rsidRPr="00B3149D">
        <w:rPr>
          <w:rFonts w:ascii="Arial" w:hAnsi="Arial" w:cs="Arial"/>
        </w:rPr>
        <w:t>.</w:t>
      </w:r>
    </w:p>
    <w:p w14:paraId="3E35988F" w14:textId="61ECBCA1" w:rsidR="00960EBE" w:rsidRPr="00B3149D" w:rsidRDefault="00973F30" w:rsidP="0062377A">
      <w:pPr>
        <w:pStyle w:val="Heading2"/>
        <w:spacing w:line="360" w:lineRule="auto"/>
        <w:rPr>
          <w:rFonts w:ascii="Arial" w:hAnsi="Arial" w:cs="Arial"/>
          <w:b/>
          <w:bCs/>
          <w:sz w:val="24"/>
          <w:szCs w:val="24"/>
        </w:rPr>
      </w:pPr>
      <w:bookmarkStart w:id="52" w:name="_Toc227752997"/>
      <w:bookmarkStart w:id="53" w:name="contextual-variations-3.3d"/>
      <w:bookmarkEnd w:id="45"/>
      <w:r w:rsidRPr="00B3149D">
        <w:rPr>
          <w:rFonts w:ascii="Arial" w:hAnsi="Arial" w:cs="Arial"/>
          <w:b/>
          <w:bCs/>
          <w:sz w:val="24"/>
          <w:szCs w:val="24"/>
        </w:rPr>
        <w:lastRenderedPageBreak/>
        <w:t xml:space="preserve">3.3.4  </w:t>
      </w:r>
      <w:r w:rsidR="00960EBE" w:rsidRPr="00B3149D">
        <w:rPr>
          <w:rFonts w:ascii="Arial" w:hAnsi="Arial" w:cs="Arial"/>
          <w:b/>
          <w:bCs/>
          <w:sz w:val="24"/>
          <w:szCs w:val="24"/>
        </w:rPr>
        <w:t>Contextual Variations</w:t>
      </w:r>
      <w:bookmarkEnd w:id="52"/>
      <w:r w:rsidR="00960EBE" w:rsidRPr="00B3149D">
        <w:rPr>
          <w:rFonts w:ascii="Arial" w:hAnsi="Arial" w:cs="Arial"/>
          <w:b/>
          <w:bCs/>
          <w:sz w:val="24"/>
          <w:szCs w:val="24"/>
        </w:rPr>
        <w:t xml:space="preserve"> </w:t>
      </w:r>
    </w:p>
    <w:p w14:paraId="292A803D"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The impact of AI forecasting varies across industries and geographies, but the literature is still thin on comparative studies. Most empirical work focuses on large retailers in developed economies, especially grocery and apparel chains in North America and Europe. By contrast, segments like small-format stores, emerging-market supply chains, or very high-variability products are underrepresented. For example, Jauhar et al. (2025) examine India’s perishable wine segment and stress how short shelf-lives and fragmented markets make FMCG demand highly erratic</w:t>
      </w:r>
      <w:hyperlink r:id="rId164" w:anchor=":~:text=The%20term%20Fast,primary%20products%20in%20three%20categories">
        <w:r w:rsidRPr="00B3149D">
          <w:rPr>
            <w:rStyle w:val="Hyperlink"/>
            <w:rFonts w:ascii="Arial" w:hAnsi="Arial" w:cs="Arial"/>
          </w:rPr>
          <w:t>[14]</w:t>
        </w:r>
      </w:hyperlink>
      <w:r w:rsidRPr="00B3149D">
        <w:rPr>
          <w:rFonts w:ascii="Arial" w:hAnsi="Arial" w:cs="Arial"/>
        </w:rPr>
        <w:t>. They propose customer-level segmentation and explainable models to handle this volatility – strategies that may be unnecessary in more stable contexts. Similarly, in high-security or healthcare supply chains, “strict temporal and safety constraints” suggest different priorities; Li et al. (2025) note that reinforcement learning has been applied to optimize perishable or critical inventories under such constraints</w:t>
      </w:r>
      <w:hyperlink r:id="rId165" w:anchor=":~:text=in%20specialized%20contexts%2C%20such%20as,for%20addressing%20these%20complex%20problems">
        <w:r w:rsidRPr="00B3149D">
          <w:rPr>
            <w:rStyle w:val="Hyperlink"/>
            <w:rFonts w:ascii="Arial" w:hAnsi="Arial" w:cs="Arial"/>
          </w:rPr>
          <w:t>[15]</w:t>
        </w:r>
      </w:hyperlink>
      <w:r w:rsidRPr="00B3149D">
        <w:rPr>
          <w:rFonts w:ascii="Arial" w:hAnsi="Arial" w:cs="Arial"/>
        </w:rPr>
        <w:t xml:space="preserve">. In sum, while many AI techniques (LSTM, </w:t>
      </w:r>
      <w:proofErr w:type="spellStart"/>
      <w:r w:rsidRPr="00B3149D">
        <w:rPr>
          <w:rFonts w:ascii="Arial" w:hAnsi="Arial" w:cs="Arial"/>
        </w:rPr>
        <w:t>XGBoost</w:t>
      </w:r>
      <w:proofErr w:type="spellEnd"/>
      <w:r w:rsidRPr="00B3149D">
        <w:rPr>
          <w:rFonts w:ascii="Arial" w:hAnsi="Arial" w:cs="Arial"/>
        </w:rPr>
        <w:t>, etc.) are broadly used, their effectiveness can depend on product perishability, lead-time variability, or organizational structure. The literature suggests results may differ by context (</w:t>
      </w:r>
      <w:proofErr w:type="gramStart"/>
      <w:r w:rsidRPr="00B3149D">
        <w:rPr>
          <w:rFonts w:ascii="Arial" w:hAnsi="Arial" w:cs="Arial"/>
        </w:rPr>
        <w:t>e.g.</w:t>
      </w:r>
      <w:proofErr w:type="gramEnd"/>
      <w:r w:rsidRPr="00B3149D">
        <w:rPr>
          <w:rFonts w:ascii="Arial" w:hAnsi="Arial" w:cs="Arial"/>
        </w:rPr>
        <w:t xml:space="preserve"> product life cycle, supply chain centralization), but rigorous cross-country or cross-industry comparisons are lacking. This gap means we have limited empirical evidence about “where and why” AI forecasting yields the biggest payoff.</w:t>
      </w:r>
    </w:p>
    <w:p w14:paraId="5E867947" w14:textId="17E08CCA" w:rsidR="00960EBE" w:rsidRPr="00B3149D" w:rsidRDefault="00973F30" w:rsidP="0062377A">
      <w:pPr>
        <w:pStyle w:val="Heading1"/>
        <w:spacing w:line="360" w:lineRule="auto"/>
        <w:rPr>
          <w:rFonts w:ascii="Arial" w:hAnsi="Arial" w:cs="Arial"/>
          <w:b/>
          <w:bCs/>
          <w:sz w:val="28"/>
          <w:szCs w:val="28"/>
        </w:rPr>
      </w:pPr>
      <w:bookmarkStart w:id="54" w:name="_Toc227752998"/>
      <w:bookmarkStart w:id="55" w:name="synthesis-of-findings-3.4"/>
      <w:bookmarkEnd w:id="47"/>
      <w:bookmarkEnd w:id="49"/>
      <w:r w:rsidRPr="00B3149D">
        <w:rPr>
          <w:rFonts w:ascii="Arial" w:hAnsi="Arial" w:cs="Arial"/>
          <w:b/>
          <w:bCs/>
          <w:sz w:val="28"/>
          <w:szCs w:val="28"/>
        </w:rPr>
        <w:t xml:space="preserve">3.4 </w:t>
      </w:r>
      <w:r w:rsidR="00960EBE" w:rsidRPr="00B3149D">
        <w:rPr>
          <w:rFonts w:ascii="Arial" w:hAnsi="Arial" w:cs="Arial"/>
          <w:b/>
          <w:bCs/>
          <w:sz w:val="28"/>
          <w:szCs w:val="28"/>
        </w:rPr>
        <w:t>Synthesis of Findings</w:t>
      </w:r>
      <w:bookmarkEnd w:id="54"/>
      <w:r w:rsidR="00960EBE" w:rsidRPr="00B3149D">
        <w:rPr>
          <w:rFonts w:ascii="Arial" w:hAnsi="Arial" w:cs="Arial"/>
          <w:b/>
          <w:bCs/>
          <w:sz w:val="28"/>
          <w:szCs w:val="28"/>
        </w:rPr>
        <w:t xml:space="preserve"> </w:t>
      </w:r>
    </w:p>
    <w:p w14:paraId="67E77FD1" w14:textId="77777777" w:rsidR="00960EBE" w:rsidRPr="00B3149D" w:rsidRDefault="00960EBE" w:rsidP="0062377A">
      <w:pPr>
        <w:numPr>
          <w:ilvl w:val="0"/>
          <w:numId w:val="2"/>
        </w:numPr>
        <w:spacing w:after="200" w:line="360" w:lineRule="auto"/>
        <w:rPr>
          <w:rFonts w:ascii="Arial" w:hAnsi="Arial" w:cs="Arial"/>
        </w:rPr>
      </w:pPr>
      <w:r w:rsidRPr="00B3149D">
        <w:rPr>
          <w:rFonts w:ascii="Arial" w:hAnsi="Arial" w:cs="Arial"/>
          <w:b/>
          <w:bCs/>
        </w:rPr>
        <w:t>Patterns.</w:t>
      </w:r>
      <w:r w:rsidRPr="00B3149D">
        <w:rPr>
          <w:rFonts w:ascii="Arial" w:hAnsi="Arial" w:cs="Arial"/>
        </w:rPr>
        <w:t xml:space="preserve"> Across studies, a consistent pattern is that advanced forecasting models beat traditional ones on accuracy. Reported error reductions are often in the low-double-digit range (10–25% improvements)</w:t>
      </w:r>
      <w:hyperlink r:id="rId166" w:anchor=":~:text=baselines%2C%20with%20the%20TFT%20model,compared%20with">
        <w:r w:rsidRPr="00B3149D">
          <w:rPr>
            <w:rStyle w:val="Hyperlink"/>
            <w:rFonts w:ascii="Arial" w:hAnsi="Arial" w:cs="Arial"/>
          </w:rPr>
          <w:t>[8]</w:t>
        </w:r>
      </w:hyperlink>
      <w:hyperlink r:id="rId167" w:anchor=":~:text=learning%20,In%20inventory">
        <w:r w:rsidRPr="00B3149D">
          <w:rPr>
            <w:rStyle w:val="Hyperlink"/>
            <w:rFonts w:ascii="Arial" w:hAnsi="Arial" w:cs="Arial"/>
          </w:rPr>
          <w:t>[12]</w:t>
        </w:r>
      </w:hyperlink>
      <w:r w:rsidRPr="00B3149D">
        <w:rPr>
          <w:rFonts w:ascii="Arial" w:hAnsi="Arial" w:cs="Arial"/>
        </w:rPr>
        <w:t>. In practice, firms stand to gain noticeable efficiency: industry sources claim AI-driven forecasting can cut inventories by up to 15–30%</w:t>
      </w:r>
      <w:hyperlink r:id="rId168" w:anchor=":~:text=Modern%20AI%20demand%20forecasting%20moves,while%C2%A0maintaining%C2%A0strong%20service%20levels%20and%20availability">
        <w:r w:rsidRPr="00B3149D">
          <w:rPr>
            <w:rStyle w:val="Hyperlink"/>
            <w:rFonts w:ascii="Arial" w:hAnsi="Arial" w:cs="Arial"/>
          </w:rPr>
          <w:t>[5]</w:t>
        </w:r>
      </w:hyperlink>
      <w:r w:rsidRPr="00B3149D">
        <w:rPr>
          <w:rFonts w:ascii="Arial" w:hAnsi="Arial" w:cs="Arial"/>
        </w:rPr>
        <w:t xml:space="preserve">. Most research focuses on aggregate demand metrics, showing that ensemble or deep-learning models produce smoother, more responsive forecasts than single-method approaches. Crucially, </w:t>
      </w:r>
      <w:r w:rsidRPr="00B3149D">
        <w:rPr>
          <w:rFonts w:ascii="Arial" w:hAnsi="Arial" w:cs="Arial"/>
          <w:i/>
          <w:iCs/>
        </w:rPr>
        <w:t>all</w:t>
      </w:r>
      <w:r w:rsidRPr="00B3149D">
        <w:rPr>
          <w:rFonts w:ascii="Arial" w:hAnsi="Arial" w:cs="Arial"/>
        </w:rPr>
        <w:t xml:space="preserve"> this evidence is quantitative and relative: e.g. “92% forecasting accuracy” in a test set or “X% less RMSE.”</w:t>
      </w:r>
    </w:p>
    <w:p w14:paraId="371F6BC3" w14:textId="77777777" w:rsidR="00960EBE" w:rsidRPr="00B3149D" w:rsidRDefault="00960EBE" w:rsidP="0062377A">
      <w:pPr>
        <w:numPr>
          <w:ilvl w:val="0"/>
          <w:numId w:val="2"/>
        </w:numPr>
        <w:spacing w:after="200" w:line="360" w:lineRule="auto"/>
        <w:rPr>
          <w:rFonts w:ascii="Arial" w:hAnsi="Arial" w:cs="Arial"/>
        </w:rPr>
      </w:pPr>
      <w:r w:rsidRPr="00B3149D">
        <w:rPr>
          <w:rFonts w:ascii="Arial" w:hAnsi="Arial" w:cs="Arial"/>
          <w:b/>
          <w:bCs/>
        </w:rPr>
        <w:t>Relationships.</w:t>
      </w:r>
      <w:r w:rsidRPr="00B3149D">
        <w:rPr>
          <w:rFonts w:ascii="Arial" w:hAnsi="Arial" w:cs="Arial"/>
        </w:rPr>
        <w:t xml:space="preserve"> The hypothesized mechanism linking AI to outcomes is: </w:t>
      </w:r>
      <w:r w:rsidRPr="00B3149D">
        <w:rPr>
          <w:rFonts w:ascii="Arial" w:hAnsi="Arial" w:cs="Arial"/>
          <w:b/>
          <w:bCs/>
        </w:rPr>
        <w:t xml:space="preserve">Better Algorithms → Higher Forecast Accuracy → Improved </w:t>
      </w:r>
      <w:r w:rsidRPr="00B3149D">
        <w:rPr>
          <w:rFonts w:ascii="Arial" w:hAnsi="Arial" w:cs="Arial"/>
          <w:b/>
          <w:bCs/>
        </w:rPr>
        <w:lastRenderedPageBreak/>
        <w:t>Replenishment → Better Performance</w:t>
      </w:r>
      <w:r w:rsidRPr="00B3149D">
        <w:rPr>
          <w:rFonts w:ascii="Arial" w:hAnsi="Arial" w:cs="Arial"/>
        </w:rPr>
        <w:t xml:space="preserve">. </w:t>
      </w:r>
      <w:proofErr w:type="spellStart"/>
      <w:r w:rsidRPr="00B3149D">
        <w:rPr>
          <w:rFonts w:ascii="Arial" w:hAnsi="Arial" w:cs="Arial"/>
        </w:rPr>
        <w:t>Talukder</w:t>
      </w:r>
      <w:proofErr w:type="spellEnd"/>
      <w:r w:rsidRPr="00B3149D">
        <w:rPr>
          <w:rFonts w:ascii="Arial" w:hAnsi="Arial" w:cs="Arial"/>
        </w:rPr>
        <w:t xml:space="preserve"> (2026) provides direct evidence for this chain: his superior AI model’s 21.8% RMSE gain </w:t>
      </w:r>
      <w:r w:rsidRPr="00B3149D">
        <w:rPr>
          <w:rFonts w:ascii="Arial" w:hAnsi="Arial" w:cs="Arial"/>
          <w:i/>
          <w:iCs/>
        </w:rPr>
        <w:t>caused</w:t>
      </w:r>
      <w:r w:rsidRPr="00B3149D">
        <w:rPr>
          <w:rFonts w:ascii="Arial" w:hAnsi="Arial" w:cs="Arial"/>
        </w:rPr>
        <w:t xml:space="preserve"> stockout rates to drop from 10.9% to 6.4% in inventory simulations</w:t>
      </w:r>
      <w:hyperlink r:id="rId169" w:anchor=":~:text=baselines%2C%20with%20the%20TFT%20model,compared%20with">
        <w:r w:rsidRPr="00B3149D">
          <w:rPr>
            <w:rStyle w:val="Hyperlink"/>
            <w:rFonts w:ascii="Arial" w:hAnsi="Arial" w:cs="Arial"/>
          </w:rPr>
          <w:t>[8]</w:t>
        </w:r>
      </w:hyperlink>
      <w:r w:rsidRPr="00B3149D">
        <w:rPr>
          <w:rFonts w:ascii="Arial" w:hAnsi="Arial" w:cs="Arial"/>
        </w:rPr>
        <w:t xml:space="preserve">. In other words, accuracy gains translate into tighter order policies and lower safety stocks. Notably, this chain is moderated by human/organizational factors. </w:t>
      </w:r>
      <w:proofErr w:type="spellStart"/>
      <w:r w:rsidRPr="00B3149D">
        <w:rPr>
          <w:rFonts w:ascii="Arial" w:hAnsi="Arial" w:cs="Arial"/>
        </w:rPr>
        <w:t>Brau</w:t>
      </w:r>
      <w:proofErr w:type="spellEnd"/>
      <w:r w:rsidRPr="00B3149D">
        <w:rPr>
          <w:rFonts w:ascii="Arial" w:hAnsi="Arial" w:cs="Arial"/>
        </w:rPr>
        <w:t xml:space="preserve"> et al. (2023) find that how forecasts are integrated matters: their hybrid human-AI method generated higher accuracy than naïve algorithmic adjustments</w:t>
      </w:r>
      <w:hyperlink r:id="rId170" w:anchor=":~:text=iterative%20linear%20weighting%20of%20human,Our%20studies%20demonstrate%20that%20the">
        <w:r w:rsidRPr="00B3149D">
          <w:rPr>
            <w:rStyle w:val="Hyperlink"/>
            <w:rFonts w:ascii="Arial" w:hAnsi="Arial" w:cs="Arial"/>
          </w:rPr>
          <w:t>[9]</w:t>
        </w:r>
      </w:hyperlink>
      <w:r w:rsidRPr="00B3149D">
        <w:rPr>
          <w:rFonts w:ascii="Arial" w:hAnsi="Arial" w:cs="Arial"/>
        </w:rPr>
        <w:t xml:space="preserve">. This suggests that </w:t>
      </w:r>
      <w:r w:rsidRPr="00B3149D">
        <w:rPr>
          <w:rFonts w:ascii="Arial" w:hAnsi="Arial" w:cs="Arial"/>
          <w:b/>
          <w:bCs/>
        </w:rPr>
        <w:t>interactions with users</w:t>
      </w:r>
      <w:r w:rsidRPr="00B3149D">
        <w:rPr>
          <w:rFonts w:ascii="Arial" w:hAnsi="Arial" w:cs="Arial"/>
        </w:rPr>
        <w:t xml:space="preserve"> can further lift performance – implying planner trust and skill are key linkages. In theory, then, AI-induced accuracy is a </w:t>
      </w:r>
      <w:r w:rsidRPr="00B3149D">
        <w:rPr>
          <w:rFonts w:ascii="Arial" w:hAnsi="Arial" w:cs="Arial"/>
          <w:i/>
          <w:iCs/>
        </w:rPr>
        <w:t>necessary but not sufficient</w:t>
      </w:r>
      <w:r w:rsidRPr="00B3149D">
        <w:rPr>
          <w:rFonts w:ascii="Arial" w:hAnsi="Arial" w:cs="Arial"/>
        </w:rPr>
        <w:t xml:space="preserve"> condition for benefits. It must feed into decision-making processes that act on the forecasts.</w:t>
      </w:r>
    </w:p>
    <w:p w14:paraId="4B75F4D3" w14:textId="77777777" w:rsidR="00960EBE" w:rsidRPr="00B3149D" w:rsidRDefault="00960EBE" w:rsidP="0062377A">
      <w:pPr>
        <w:numPr>
          <w:ilvl w:val="0"/>
          <w:numId w:val="2"/>
        </w:numPr>
        <w:spacing w:after="200" w:line="360" w:lineRule="auto"/>
        <w:rPr>
          <w:rFonts w:ascii="Arial" w:hAnsi="Arial" w:cs="Arial"/>
        </w:rPr>
      </w:pPr>
      <w:r w:rsidRPr="00B3149D">
        <w:rPr>
          <w:rFonts w:ascii="Arial" w:hAnsi="Arial" w:cs="Arial"/>
          <w:b/>
          <w:bCs/>
        </w:rPr>
        <w:t>Mechanisms.</w:t>
      </w:r>
      <w:r w:rsidRPr="00B3149D">
        <w:rPr>
          <w:rFonts w:ascii="Arial" w:hAnsi="Arial" w:cs="Arial"/>
        </w:rPr>
        <w:t xml:space="preserve"> Why should AI-driven models yield these results? Many sources note that machine learning can ingest more data (seasonal trends, promotions, external signals) to quickly adapt to demand shifts</w:t>
      </w:r>
      <w:hyperlink r:id="rId171" w:anchor=":~:text=The%20proper%20selection%20of%20a,is%20presented%20by%20clustering%20the">
        <w:r w:rsidRPr="00B3149D">
          <w:rPr>
            <w:rStyle w:val="Hyperlink"/>
            <w:rFonts w:ascii="Arial" w:hAnsi="Arial" w:cs="Arial"/>
          </w:rPr>
          <w:t>[3]</w:t>
        </w:r>
      </w:hyperlink>
      <w:hyperlink r:id="rId172" w:anchor=":~:text=forecasting,accuracy%20when%20using%20retailer%20data">
        <w:r w:rsidRPr="00B3149D">
          <w:rPr>
            <w:rStyle w:val="Hyperlink"/>
            <w:rFonts w:ascii="Arial" w:hAnsi="Arial" w:cs="Arial"/>
          </w:rPr>
          <w:t>[4]</w:t>
        </w:r>
      </w:hyperlink>
      <w:r w:rsidRPr="00B3149D">
        <w:rPr>
          <w:rFonts w:ascii="Arial" w:hAnsi="Arial" w:cs="Arial"/>
        </w:rPr>
        <w:t xml:space="preserve">. This translates into what industry calls </w:t>
      </w:r>
      <w:r w:rsidRPr="00B3149D">
        <w:rPr>
          <w:rFonts w:ascii="Arial" w:hAnsi="Arial" w:cs="Arial"/>
          <w:i/>
          <w:iCs/>
        </w:rPr>
        <w:t>anticipatory replenishment</w:t>
      </w:r>
      <w:r w:rsidRPr="00B3149D">
        <w:rPr>
          <w:rFonts w:ascii="Arial" w:hAnsi="Arial" w:cs="Arial"/>
        </w:rPr>
        <w:t>: dynamic reorder points and safety stocks aligned with detected patterns</w:t>
      </w:r>
      <w:hyperlink r:id="rId173" w:anchor=":~:text=Forecast%20accuracy%20only%20delivers%20value,when%20it%20drives%20action">
        <w:r w:rsidRPr="00B3149D">
          <w:rPr>
            <w:rStyle w:val="Hyperlink"/>
            <w:rFonts w:ascii="Arial" w:hAnsi="Arial" w:cs="Arial"/>
          </w:rPr>
          <w:t>[16]</w:t>
        </w:r>
      </w:hyperlink>
      <w:r w:rsidRPr="00B3149D">
        <w:rPr>
          <w:rFonts w:ascii="Arial" w:hAnsi="Arial" w:cs="Arial"/>
        </w:rPr>
        <w:t>. For example, one report highlights that AI enables inventory decisions to be “triggered by expected need rather than delayed reaction”</w:t>
      </w:r>
      <w:hyperlink r:id="rId174" w:anchor=":~:text=Forecast%20accuracy%20only%20delivers%20value,when%20it%20drives%20action">
        <w:r w:rsidRPr="00B3149D">
          <w:rPr>
            <w:rStyle w:val="Hyperlink"/>
            <w:rFonts w:ascii="Arial" w:hAnsi="Arial" w:cs="Arial"/>
          </w:rPr>
          <w:t>[16]</w:t>
        </w:r>
      </w:hyperlink>
      <w:r w:rsidRPr="00B3149D">
        <w:rPr>
          <w:rFonts w:ascii="Arial" w:hAnsi="Arial" w:cs="Arial"/>
        </w:rPr>
        <w:t>. In practical terms, higher precision means planners can place more frequent, smaller orders and recalibrate reorder policies more tightly, directly lowering stockouts and costs. However, this pipeline only functions when organizational processes allow it. As one commentator puts it, an improved forecast “will be worthless if the product can’t be produced and shipped in time to meet the demand”</w:t>
      </w:r>
      <w:hyperlink r:id="rId175" w:anchor=":~:text=Poor%20supply%20chain%20execution%20will,time%20to%20meet%20the%20demand">
        <w:r w:rsidRPr="00B3149D">
          <w:rPr>
            <w:rStyle w:val="Hyperlink"/>
            <w:rFonts w:ascii="Arial" w:hAnsi="Arial" w:cs="Arial"/>
          </w:rPr>
          <w:t>[13]</w:t>
        </w:r>
      </w:hyperlink>
      <w:r w:rsidRPr="00B3149D">
        <w:rPr>
          <w:rFonts w:ascii="Arial" w:hAnsi="Arial" w:cs="Arial"/>
        </w:rPr>
        <w:t xml:space="preserve">. Thus, the underlying mechanism is </w:t>
      </w:r>
      <w:r w:rsidRPr="00B3149D">
        <w:rPr>
          <w:rFonts w:ascii="Arial" w:hAnsi="Arial" w:cs="Arial"/>
          <w:b/>
          <w:bCs/>
        </w:rPr>
        <w:t>data-driven agility</w:t>
      </w:r>
      <w:r w:rsidRPr="00B3149D">
        <w:rPr>
          <w:rFonts w:ascii="Arial" w:hAnsi="Arial" w:cs="Arial"/>
        </w:rPr>
        <w:t>: AI uncovers demand signals and feeds them to operations, but only an equally agile organization can act on them. The literature implies that without matching improvements in planning systems and buy-in, accuracy gains alone will not automatically flow through.</w:t>
      </w:r>
    </w:p>
    <w:p w14:paraId="65A2AFE8" w14:textId="77777777" w:rsidR="00973F30" w:rsidRPr="00B3149D" w:rsidRDefault="00973F30" w:rsidP="0062377A">
      <w:pPr>
        <w:pStyle w:val="Heading1"/>
        <w:spacing w:line="360" w:lineRule="auto"/>
        <w:rPr>
          <w:rFonts w:ascii="Arial" w:hAnsi="Arial" w:cs="Arial"/>
          <w:sz w:val="24"/>
          <w:szCs w:val="24"/>
        </w:rPr>
      </w:pPr>
      <w:bookmarkStart w:id="56" w:name="conceptual-framework-3.5"/>
      <w:bookmarkEnd w:id="51"/>
    </w:p>
    <w:p w14:paraId="073E2C74" w14:textId="520D5C81" w:rsidR="00960EBE" w:rsidRPr="00B3149D" w:rsidRDefault="00973F30" w:rsidP="0062377A">
      <w:pPr>
        <w:pStyle w:val="Heading1"/>
        <w:spacing w:line="360" w:lineRule="auto"/>
        <w:rPr>
          <w:rFonts w:ascii="Arial" w:hAnsi="Arial" w:cs="Arial"/>
          <w:b/>
          <w:bCs/>
          <w:sz w:val="28"/>
          <w:szCs w:val="28"/>
        </w:rPr>
      </w:pPr>
      <w:bookmarkStart w:id="57" w:name="_Toc227752999"/>
      <w:r w:rsidRPr="00B3149D">
        <w:rPr>
          <w:rFonts w:ascii="Arial" w:hAnsi="Arial" w:cs="Arial"/>
          <w:b/>
          <w:bCs/>
          <w:sz w:val="28"/>
          <w:szCs w:val="28"/>
        </w:rPr>
        <w:t xml:space="preserve">3.5 </w:t>
      </w:r>
      <w:r w:rsidR="00960EBE" w:rsidRPr="00B3149D">
        <w:rPr>
          <w:rFonts w:ascii="Arial" w:hAnsi="Arial" w:cs="Arial"/>
          <w:b/>
          <w:bCs/>
          <w:sz w:val="28"/>
          <w:szCs w:val="28"/>
        </w:rPr>
        <w:t>Conceptual Framework</w:t>
      </w:r>
      <w:bookmarkEnd w:id="57"/>
      <w:r w:rsidR="00960EBE" w:rsidRPr="00B3149D">
        <w:rPr>
          <w:rFonts w:ascii="Arial" w:hAnsi="Arial" w:cs="Arial"/>
          <w:b/>
          <w:bCs/>
          <w:sz w:val="28"/>
          <w:szCs w:val="28"/>
        </w:rPr>
        <w:t xml:space="preserve"> </w:t>
      </w:r>
    </w:p>
    <w:p w14:paraId="773C23E5"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 xml:space="preserve">Building on these themes, we propose the following framework (Figure 1): </w:t>
      </w:r>
      <w:r w:rsidRPr="00B3149D">
        <w:rPr>
          <w:rFonts w:ascii="Arial" w:hAnsi="Arial" w:cs="Arial"/>
          <w:b/>
          <w:bCs/>
        </w:rPr>
        <w:t>AI Forecasting Method → Forecast Accuracy (Mediator) → Inventory Performance (outcomes like fill rate, stockout, cost)</w:t>
      </w:r>
      <w:r w:rsidRPr="00B3149D">
        <w:rPr>
          <w:rFonts w:ascii="Arial" w:hAnsi="Arial" w:cs="Arial"/>
        </w:rPr>
        <w:t xml:space="preserve">, with </w:t>
      </w:r>
      <w:r w:rsidRPr="00B3149D">
        <w:rPr>
          <w:rFonts w:ascii="Arial" w:hAnsi="Arial" w:cs="Arial"/>
          <w:b/>
          <w:bCs/>
        </w:rPr>
        <w:t>Human/Organizational Context (Moderator)</w:t>
      </w:r>
      <w:r w:rsidRPr="00B3149D">
        <w:rPr>
          <w:rFonts w:ascii="Arial" w:hAnsi="Arial" w:cs="Arial"/>
        </w:rPr>
        <w:t xml:space="preserve"> influencing the link between accuracy and outcomes. Key variables are: the sophistication of the AI model (algorithms, data inputs), resulting forecast accuracy, subsequent replenishment policy (order quantities, safety stock), and ultimate performance metrics. For instance, improved accuracy is shown to </w:t>
      </w:r>
      <w:r w:rsidRPr="00B3149D">
        <w:rPr>
          <w:rFonts w:ascii="Arial" w:hAnsi="Arial" w:cs="Arial"/>
          <w:i/>
          <w:iCs/>
        </w:rPr>
        <w:t>mediate</w:t>
      </w:r>
      <w:r w:rsidRPr="00B3149D">
        <w:rPr>
          <w:rFonts w:ascii="Arial" w:hAnsi="Arial" w:cs="Arial"/>
        </w:rPr>
        <w:t xml:space="preserve"> benefits: studies like </w:t>
      </w:r>
      <w:proofErr w:type="spellStart"/>
      <w:r w:rsidRPr="00B3149D">
        <w:rPr>
          <w:rFonts w:ascii="Arial" w:hAnsi="Arial" w:cs="Arial"/>
        </w:rPr>
        <w:t>Talukder</w:t>
      </w:r>
      <w:proofErr w:type="spellEnd"/>
      <w:r w:rsidRPr="00B3149D">
        <w:rPr>
          <w:rFonts w:ascii="Arial" w:hAnsi="Arial" w:cs="Arial"/>
        </w:rPr>
        <w:t xml:space="preserve"> (2026) demonstrate that increased precision leads to better service levels</w:t>
      </w:r>
      <w:hyperlink r:id="rId176" w:anchor=":~:text=baselines%2C%20with%20the%20TFT%20model,compared%20with">
        <w:r w:rsidRPr="00B3149D">
          <w:rPr>
            <w:rStyle w:val="Hyperlink"/>
            <w:rFonts w:ascii="Arial" w:hAnsi="Arial" w:cs="Arial"/>
          </w:rPr>
          <w:t>[8]</w:t>
        </w:r>
      </w:hyperlink>
      <w:r w:rsidRPr="00B3149D">
        <w:rPr>
          <w:rFonts w:ascii="Arial" w:hAnsi="Arial" w:cs="Arial"/>
        </w:rPr>
        <w:t xml:space="preserve">. At the same time, how forecasting is integrated can </w:t>
      </w:r>
      <w:r w:rsidRPr="00B3149D">
        <w:rPr>
          <w:rFonts w:ascii="Arial" w:hAnsi="Arial" w:cs="Arial"/>
          <w:i/>
          <w:iCs/>
        </w:rPr>
        <w:t>moderate</w:t>
      </w:r>
      <w:r w:rsidRPr="00B3149D">
        <w:rPr>
          <w:rFonts w:ascii="Arial" w:hAnsi="Arial" w:cs="Arial"/>
        </w:rPr>
        <w:t xml:space="preserve"> this effect: </w:t>
      </w:r>
      <w:proofErr w:type="spellStart"/>
      <w:r w:rsidRPr="00B3149D">
        <w:rPr>
          <w:rFonts w:ascii="Arial" w:hAnsi="Arial" w:cs="Arial"/>
        </w:rPr>
        <w:t>Brau</w:t>
      </w:r>
      <w:proofErr w:type="spellEnd"/>
      <w:r w:rsidRPr="00B3149D">
        <w:rPr>
          <w:rFonts w:ascii="Arial" w:hAnsi="Arial" w:cs="Arial"/>
        </w:rPr>
        <w:t xml:space="preserve"> et al. (2023) find that blending human judgment improves accuracy beyond pure algorithmic forecasts</w:t>
      </w:r>
      <w:hyperlink r:id="rId177" w:anchor=":~:text=iterative%20linear%20weighting%20of%20human,Our%20studies%20demonstrate%20that%20the">
        <w:r w:rsidRPr="00B3149D">
          <w:rPr>
            <w:rStyle w:val="Hyperlink"/>
            <w:rFonts w:ascii="Arial" w:hAnsi="Arial" w:cs="Arial"/>
          </w:rPr>
          <w:t>[9]</w:t>
        </w:r>
      </w:hyperlink>
      <w:r w:rsidRPr="00B3149D">
        <w:rPr>
          <w:rFonts w:ascii="Arial" w:hAnsi="Arial" w:cs="Arial"/>
        </w:rPr>
        <w:t xml:space="preserve">. We posit that </w:t>
      </w:r>
      <w:r w:rsidRPr="00B3149D">
        <w:rPr>
          <w:rFonts w:ascii="Arial" w:hAnsi="Arial" w:cs="Arial"/>
          <w:b/>
          <w:bCs/>
        </w:rPr>
        <w:t>Forecast Accuracy</w:t>
      </w:r>
      <w:r w:rsidRPr="00B3149D">
        <w:rPr>
          <w:rFonts w:ascii="Arial" w:hAnsi="Arial" w:cs="Arial"/>
        </w:rPr>
        <w:t xml:space="preserve"> is the central mediator, while </w:t>
      </w:r>
      <w:r w:rsidRPr="00B3149D">
        <w:rPr>
          <w:rFonts w:ascii="Arial" w:hAnsi="Arial" w:cs="Arial"/>
          <w:b/>
          <w:bCs/>
        </w:rPr>
        <w:t>human trust, planner expertise, process flexibility</w:t>
      </w:r>
      <w:r w:rsidRPr="00B3149D">
        <w:rPr>
          <w:rFonts w:ascii="Arial" w:hAnsi="Arial" w:cs="Arial"/>
        </w:rPr>
        <w:t xml:space="preserve"> are key moderators. This framework extends existing theory by explicitly linking forecasting and operational performance, supported by empirical evidence that “improvements in forecasting accuracy can generate meaningful downstream inventory performance gains”</w:t>
      </w:r>
      <w:hyperlink r:id="rId178" w:anchor=":~:text=The%20findings%20contribute%20to%20the,models%20with%20operational%20evaluation%20frameworks">
        <w:r w:rsidRPr="00B3149D">
          <w:rPr>
            <w:rStyle w:val="Hyperlink"/>
            <w:rFonts w:ascii="Arial" w:hAnsi="Arial" w:cs="Arial"/>
          </w:rPr>
          <w:t>[17]</w:t>
        </w:r>
      </w:hyperlink>
      <w:r w:rsidRPr="00B3149D">
        <w:rPr>
          <w:rFonts w:ascii="Arial" w:hAnsi="Arial" w:cs="Arial"/>
        </w:rPr>
        <w:t>.</w:t>
      </w:r>
    </w:p>
    <w:p w14:paraId="593A0C83" w14:textId="1221444E" w:rsidR="00960EBE" w:rsidRPr="00B3149D" w:rsidRDefault="00973F30" w:rsidP="0062377A">
      <w:pPr>
        <w:pStyle w:val="Heading1"/>
        <w:spacing w:line="360" w:lineRule="auto"/>
        <w:rPr>
          <w:rFonts w:ascii="Arial" w:hAnsi="Arial" w:cs="Arial"/>
          <w:b/>
          <w:bCs/>
          <w:sz w:val="28"/>
          <w:szCs w:val="28"/>
        </w:rPr>
      </w:pPr>
      <w:bookmarkStart w:id="58" w:name="_Toc227753000"/>
      <w:bookmarkStart w:id="59" w:name="research-gaps-3.6"/>
      <w:bookmarkEnd w:id="53"/>
      <w:r w:rsidRPr="00B3149D">
        <w:rPr>
          <w:rFonts w:ascii="Arial" w:hAnsi="Arial" w:cs="Arial"/>
          <w:b/>
          <w:bCs/>
          <w:sz w:val="28"/>
          <w:szCs w:val="28"/>
        </w:rPr>
        <w:t xml:space="preserve">3.6 </w:t>
      </w:r>
      <w:r w:rsidR="00960EBE" w:rsidRPr="00B3149D">
        <w:rPr>
          <w:rFonts w:ascii="Arial" w:hAnsi="Arial" w:cs="Arial"/>
          <w:b/>
          <w:bCs/>
          <w:sz w:val="28"/>
          <w:szCs w:val="28"/>
        </w:rPr>
        <w:t>Research Gaps</w:t>
      </w:r>
      <w:bookmarkEnd w:id="58"/>
      <w:r w:rsidR="00960EBE" w:rsidRPr="00B3149D">
        <w:rPr>
          <w:rFonts w:ascii="Arial" w:hAnsi="Arial" w:cs="Arial"/>
          <w:b/>
          <w:bCs/>
          <w:sz w:val="28"/>
          <w:szCs w:val="28"/>
        </w:rPr>
        <w:t xml:space="preserve"> </w:t>
      </w:r>
    </w:p>
    <w:p w14:paraId="22FEF567"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Despite growing studies, several research gaps emerge beyond the oft-cited “lack of studies”:</w:t>
      </w:r>
    </w:p>
    <w:p w14:paraId="2A1934E7" w14:textId="77777777" w:rsidR="00960EBE" w:rsidRPr="00B3149D" w:rsidRDefault="00960EBE" w:rsidP="0062377A">
      <w:pPr>
        <w:numPr>
          <w:ilvl w:val="0"/>
          <w:numId w:val="3"/>
        </w:numPr>
        <w:spacing w:after="200" w:line="360" w:lineRule="auto"/>
        <w:rPr>
          <w:rFonts w:ascii="Arial" w:hAnsi="Arial" w:cs="Arial"/>
        </w:rPr>
      </w:pPr>
      <w:r w:rsidRPr="00B3149D">
        <w:rPr>
          <w:rFonts w:ascii="Arial" w:hAnsi="Arial" w:cs="Arial"/>
          <w:b/>
          <w:bCs/>
        </w:rPr>
        <w:t>Theoretical Gaps:</w:t>
      </w:r>
      <w:r w:rsidRPr="00B3149D">
        <w:rPr>
          <w:rFonts w:ascii="Arial" w:hAnsi="Arial" w:cs="Arial"/>
        </w:rPr>
        <w:t xml:space="preserve"> There is no unified theory connecting AI-driven forecasting to supply chain outcomes and organizational </w:t>
      </w:r>
      <w:proofErr w:type="spellStart"/>
      <w:r w:rsidRPr="00B3149D">
        <w:rPr>
          <w:rFonts w:ascii="Arial" w:hAnsi="Arial" w:cs="Arial"/>
        </w:rPr>
        <w:t>behavior</w:t>
      </w:r>
      <w:proofErr w:type="spellEnd"/>
      <w:r w:rsidRPr="00B3149D">
        <w:rPr>
          <w:rFonts w:ascii="Arial" w:hAnsi="Arial" w:cs="Arial"/>
        </w:rPr>
        <w:t>. Most works treat forecasting as a black box output, neglecting how trust, routines, or power dynamics shape its use. Li et al. (2025) highlight that the research landscape is “fragmented” and narrowly focused</w:t>
      </w:r>
      <w:hyperlink r:id="rId179" w:anchor=":~:text=the%20field%20lacks%20a%20current%2C,deep%20reinforcement%20learning%20and%20Transformers">
        <w:r w:rsidRPr="00B3149D">
          <w:rPr>
            <w:rStyle w:val="Hyperlink"/>
            <w:rFonts w:ascii="Arial" w:hAnsi="Arial" w:cs="Arial"/>
          </w:rPr>
          <w:t>[18]</w:t>
        </w:r>
      </w:hyperlink>
      <w:r w:rsidRPr="00B3149D">
        <w:rPr>
          <w:rFonts w:ascii="Arial" w:hAnsi="Arial" w:cs="Arial"/>
        </w:rPr>
        <w:t>. We lack conceptual models that integrate technical forecasting advances with, for example, decision-maker judgment or S&amp;OP processes.</w:t>
      </w:r>
    </w:p>
    <w:p w14:paraId="240F5C82" w14:textId="77777777" w:rsidR="00960EBE" w:rsidRPr="00B3149D" w:rsidRDefault="00960EBE" w:rsidP="0062377A">
      <w:pPr>
        <w:numPr>
          <w:ilvl w:val="0"/>
          <w:numId w:val="3"/>
        </w:numPr>
        <w:spacing w:after="200" w:line="360" w:lineRule="auto"/>
        <w:rPr>
          <w:rFonts w:ascii="Arial" w:hAnsi="Arial" w:cs="Arial"/>
        </w:rPr>
      </w:pPr>
      <w:r w:rsidRPr="00B3149D">
        <w:rPr>
          <w:rFonts w:ascii="Arial" w:hAnsi="Arial" w:cs="Arial"/>
          <w:b/>
          <w:bCs/>
        </w:rPr>
        <w:t>Empirical Gaps:</w:t>
      </w:r>
      <w:r w:rsidRPr="00B3149D">
        <w:rPr>
          <w:rFonts w:ascii="Arial" w:hAnsi="Arial" w:cs="Arial"/>
        </w:rPr>
        <w:t xml:space="preserve"> Longitudinal and field studies are rare. Most evidence comes from one-off experiments or simulations. We know little about the long-</w:t>
      </w:r>
      <w:r w:rsidRPr="00B3149D">
        <w:rPr>
          <w:rFonts w:ascii="Arial" w:hAnsi="Arial" w:cs="Arial"/>
        </w:rPr>
        <w:lastRenderedPageBreak/>
        <w:t xml:space="preserve">run effects of AI adoption, the evolution of performance over time, or unintended side-effects. </w:t>
      </w:r>
      <w:proofErr w:type="spellStart"/>
      <w:r w:rsidRPr="00B3149D">
        <w:rPr>
          <w:rFonts w:ascii="Arial" w:hAnsi="Arial" w:cs="Arial"/>
        </w:rPr>
        <w:t>Krishnia</w:t>
      </w:r>
      <w:proofErr w:type="spellEnd"/>
      <w:r w:rsidRPr="00B3149D">
        <w:rPr>
          <w:rFonts w:ascii="Arial" w:hAnsi="Arial" w:cs="Arial"/>
        </w:rPr>
        <w:t xml:space="preserve"> (2025) specifically notes “limited empirical evidence” on outcomes across different product categories and markets. Also, research tends to focus on industry datasets (like the public M5 dataset) and simulation, rather than live company data or randomized field tests.</w:t>
      </w:r>
    </w:p>
    <w:p w14:paraId="7C5CB1DA" w14:textId="77777777" w:rsidR="00960EBE" w:rsidRPr="00B3149D" w:rsidRDefault="00960EBE" w:rsidP="0062377A">
      <w:pPr>
        <w:numPr>
          <w:ilvl w:val="0"/>
          <w:numId w:val="3"/>
        </w:numPr>
        <w:spacing w:after="200" w:line="360" w:lineRule="auto"/>
        <w:rPr>
          <w:rFonts w:ascii="Arial" w:hAnsi="Arial" w:cs="Arial"/>
        </w:rPr>
      </w:pPr>
      <w:r w:rsidRPr="00B3149D">
        <w:rPr>
          <w:rFonts w:ascii="Arial" w:hAnsi="Arial" w:cs="Arial"/>
          <w:b/>
          <w:bCs/>
        </w:rPr>
        <w:t>Contextual Gaps:</w:t>
      </w:r>
      <w:r w:rsidRPr="00B3149D">
        <w:rPr>
          <w:rFonts w:ascii="Arial" w:hAnsi="Arial" w:cs="Arial"/>
        </w:rPr>
        <w:t xml:space="preserve"> Emerging markets, B2B contexts, or small/medium retailers are understudied. For example, AI forecasting in informal distribution networks or on-demand services might behave differently than in large US grocery chains. The impact of AI may also vary by technology infrastructure or market volatility. Few studies explicitly compare countries or supply chain structures. This leaves open whether gains seen in idealized settings generalize broadly.</w:t>
      </w:r>
    </w:p>
    <w:p w14:paraId="0B1FF51B" w14:textId="77777777" w:rsidR="00960EBE" w:rsidRPr="00B3149D" w:rsidRDefault="00960EBE" w:rsidP="0062377A">
      <w:pPr>
        <w:numPr>
          <w:ilvl w:val="0"/>
          <w:numId w:val="3"/>
        </w:numPr>
        <w:spacing w:after="200" w:line="360" w:lineRule="auto"/>
        <w:rPr>
          <w:rFonts w:ascii="Arial" w:hAnsi="Arial" w:cs="Arial"/>
        </w:rPr>
      </w:pPr>
      <w:r w:rsidRPr="00B3149D">
        <w:rPr>
          <w:rFonts w:ascii="Arial" w:hAnsi="Arial" w:cs="Arial"/>
          <w:b/>
          <w:bCs/>
        </w:rPr>
        <w:t>Methodological Gaps:</w:t>
      </w:r>
      <w:r w:rsidRPr="00B3149D">
        <w:rPr>
          <w:rFonts w:ascii="Arial" w:hAnsi="Arial" w:cs="Arial"/>
        </w:rPr>
        <w:t xml:space="preserve"> Research heavily relies on quantitative simulations, forecasts metrics (MAE, RMSE) and short-horizon results. Qualitative insights (interviews, case studies) on organizational adoption are lacking. Furthermore, most models assume perfect data; yet in reality data cleaning, outliers, and real-time implementation issues matter. There is a need for mixed-methods work, implementation science, and “design science” research that builds and trials forecasting systems in situ.</w:t>
      </w:r>
    </w:p>
    <w:p w14:paraId="640AB87D" w14:textId="60F68444" w:rsidR="00960EBE" w:rsidRPr="00B3149D" w:rsidRDefault="00973F30" w:rsidP="0062377A">
      <w:pPr>
        <w:pStyle w:val="Heading1"/>
        <w:spacing w:line="360" w:lineRule="auto"/>
        <w:rPr>
          <w:rFonts w:ascii="Arial" w:hAnsi="Arial" w:cs="Arial"/>
          <w:b/>
          <w:bCs/>
          <w:sz w:val="28"/>
          <w:szCs w:val="28"/>
        </w:rPr>
      </w:pPr>
      <w:bookmarkStart w:id="60" w:name="_Toc227753001"/>
      <w:bookmarkStart w:id="61" w:name="draft-research-questions-3.7"/>
      <w:bookmarkEnd w:id="55"/>
      <w:r w:rsidRPr="00B3149D">
        <w:rPr>
          <w:rFonts w:ascii="Arial" w:hAnsi="Arial" w:cs="Arial"/>
          <w:b/>
          <w:bCs/>
          <w:sz w:val="28"/>
          <w:szCs w:val="28"/>
        </w:rPr>
        <w:t xml:space="preserve">3.7 </w:t>
      </w:r>
      <w:r w:rsidR="00960EBE" w:rsidRPr="00B3149D">
        <w:rPr>
          <w:rFonts w:ascii="Arial" w:hAnsi="Arial" w:cs="Arial"/>
          <w:b/>
          <w:bCs/>
          <w:sz w:val="28"/>
          <w:szCs w:val="28"/>
        </w:rPr>
        <w:t>Draft Research Questions</w:t>
      </w:r>
      <w:bookmarkEnd w:id="60"/>
      <w:r w:rsidR="00960EBE" w:rsidRPr="00B3149D">
        <w:rPr>
          <w:rFonts w:ascii="Arial" w:hAnsi="Arial" w:cs="Arial"/>
          <w:b/>
          <w:bCs/>
          <w:sz w:val="28"/>
          <w:szCs w:val="28"/>
        </w:rPr>
        <w:t xml:space="preserve"> </w:t>
      </w:r>
    </w:p>
    <w:p w14:paraId="6BFF9C49" w14:textId="77777777" w:rsidR="00E63CA8" w:rsidRPr="00B3149D" w:rsidRDefault="00E63CA8" w:rsidP="00E63CA8">
      <w:pPr>
        <w:pStyle w:val="FirstParagraph"/>
        <w:spacing w:line="360" w:lineRule="auto"/>
        <w:rPr>
          <w:rFonts w:ascii="Arial" w:hAnsi="Arial" w:cs="Arial"/>
        </w:rPr>
      </w:pPr>
      <w:r w:rsidRPr="00B3149D">
        <w:rPr>
          <w:rFonts w:ascii="Arial" w:hAnsi="Arial" w:cs="Arial"/>
        </w:rPr>
        <w:t>Based on these gaps, candidate DBA questions include:</w:t>
      </w:r>
    </w:p>
    <w:p w14:paraId="481B8592" w14:textId="4FF547FD" w:rsidR="00E63CA8" w:rsidRPr="00B3149D" w:rsidRDefault="00E63CA8" w:rsidP="00E63CA8">
      <w:pPr>
        <w:pStyle w:val="FirstParagraph"/>
        <w:spacing w:line="360" w:lineRule="auto"/>
        <w:rPr>
          <w:rFonts w:ascii="Arial" w:hAnsi="Arial" w:cs="Arial"/>
        </w:rPr>
      </w:pPr>
      <w:r w:rsidRPr="00B3149D">
        <w:rPr>
          <w:rFonts w:ascii="Arial" w:hAnsi="Arial" w:cs="Arial"/>
        </w:rPr>
        <w:t>•</w:t>
      </w:r>
      <w:r w:rsidRPr="00B3149D">
        <w:rPr>
          <w:rFonts w:ascii="Arial" w:hAnsi="Arial" w:cs="Arial"/>
        </w:rPr>
        <w:tab/>
        <w:t>RQ1: How does the adoption of AI-driven forecasting affect replenishment efficiency (e.g.  stockouts, inventory costs) under different inventory control policies?</w:t>
      </w:r>
    </w:p>
    <w:p w14:paraId="62DFFEFD" w14:textId="77777777" w:rsidR="00E63CA8" w:rsidRPr="00B3149D" w:rsidRDefault="00E63CA8" w:rsidP="00E63CA8">
      <w:pPr>
        <w:pStyle w:val="FirstParagraph"/>
        <w:spacing w:line="360" w:lineRule="auto"/>
        <w:rPr>
          <w:rFonts w:ascii="Arial" w:hAnsi="Arial" w:cs="Arial"/>
        </w:rPr>
      </w:pPr>
      <w:r w:rsidRPr="00B3149D">
        <w:rPr>
          <w:rFonts w:ascii="Arial" w:hAnsi="Arial" w:cs="Arial"/>
        </w:rPr>
        <w:t>•</w:t>
      </w:r>
      <w:r w:rsidRPr="00B3149D">
        <w:rPr>
          <w:rFonts w:ascii="Arial" w:hAnsi="Arial" w:cs="Arial"/>
        </w:rPr>
        <w:tab/>
        <w:t>RQ2: What roles do human and organizational factors (planner trust, expertise, collaboration processes) play in translating forecast accuracy into supply chain performance?</w:t>
      </w:r>
    </w:p>
    <w:p w14:paraId="46461EA7" w14:textId="77777777" w:rsidR="00E63CA8" w:rsidRPr="00B3149D" w:rsidRDefault="00E63CA8" w:rsidP="00E63CA8">
      <w:pPr>
        <w:pStyle w:val="FirstParagraph"/>
        <w:spacing w:line="360" w:lineRule="auto"/>
        <w:rPr>
          <w:rFonts w:ascii="Arial" w:hAnsi="Arial" w:cs="Arial"/>
        </w:rPr>
      </w:pPr>
      <w:r w:rsidRPr="00B3149D">
        <w:rPr>
          <w:rFonts w:ascii="Arial" w:hAnsi="Arial" w:cs="Arial"/>
        </w:rPr>
        <w:t>•</w:t>
      </w:r>
      <w:r w:rsidRPr="00B3149D">
        <w:rPr>
          <w:rFonts w:ascii="Arial" w:hAnsi="Arial" w:cs="Arial"/>
        </w:rPr>
        <w:tab/>
        <w:t>RQ3: How do the benefits of AI forecasting vary across contexts (industries, geographies, product types such as perishable vs. nonperishable)?</w:t>
      </w:r>
    </w:p>
    <w:p w14:paraId="0B12D858" w14:textId="77777777" w:rsidR="00E63CA8" w:rsidRPr="00B3149D" w:rsidRDefault="00E63CA8" w:rsidP="00E63CA8">
      <w:pPr>
        <w:pStyle w:val="FirstParagraph"/>
        <w:spacing w:line="360" w:lineRule="auto"/>
        <w:rPr>
          <w:rFonts w:ascii="Arial" w:hAnsi="Arial" w:cs="Arial"/>
        </w:rPr>
      </w:pPr>
      <w:r w:rsidRPr="00B3149D">
        <w:rPr>
          <w:rFonts w:ascii="Arial" w:hAnsi="Arial" w:cs="Arial"/>
        </w:rPr>
        <w:lastRenderedPageBreak/>
        <w:t>•</w:t>
      </w:r>
      <w:r w:rsidRPr="00B3149D">
        <w:rPr>
          <w:rFonts w:ascii="Arial" w:hAnsi="Arial" w:cs="Arial"/>
        </w:rPr>
        <w:tab/>
        <w:t>RQ4: How can hybrid human-AI forecasting systems (</w:t>
      </w:r>
      <w:proofErr w:type="gramStart"/>
      <w:r w:rsidRPr="00B3149D">
        <w:rPr>
          <w:rFonts w:ascii="Arial" w:hAnsi="Arial" w:cs="Arial"/>
        </w:rPr>
        <w:t>e.g.</w:t>
      </w:r>
      <w:proofErr w:type="gramEnd"/>
      <w:r w:rsidRPr="00B3149D">
        <w:rPr>
          <w:rFonts w:ascii="Arial" w:hAnsi="Arial" w:cs="Arial"/>
        </w:rPr>
        <w:t xml:space="preserve"> combining ML output with judgment) be designed to maximize decision performance, and what trade-offs emerge?</w:t>
      </w:r>
    </w:p>
    <w:p w14:paraId="3E9A0F76" w14:textId="48DB9C90" w:rsidR="00960EBE" w:rsidRPr="00B3149D" w:rsidRDefault="00E63CA8" w:rsidP="00E63CA8">
      <w:pPr>
        <w:pStyle w:val="FirstParagraph"/>
        <w:spacing w:line="360" w:lineRule="auto"/>
        <w:rPr>
          <w:rFonts w:ascii="Arial" w:hAnsi="Arial" w:cs="Arial"/>
        </w:rPr>
      </w:pPr>
      <w:r w:rsidRPr="00B3149D">
        <w:rPr>
          <w:rFonts w:ascii="Arial" w:hAnsi="Arial" w:cs="Arial"/>
        </w:rPr>
        <w:t>Each question is clear and specific, looking at certain factors or situations. It's also something that can be researched, maybe through experiments, case studies, or surveys. And it's all connected to some bigger ideas, like how accurate forecasts are, how people adopt new technology, and how businesses operate.</w:t>
      </w:r>
      <w:r w:rsidRPr="00B3149D">
        <w:rPr>
          <w:rFonts w:ascii="Arial" w:hAnsi="Arial" w:cs="Arial"/>
        </w:rPr>
        <w:br/>
      </w:r>
    </w:p>
    <w:p w14:paraId="374FFA22" w14:textId="253E3599" w:rsidR="00960EBE" w:rsidRPr="00B3149D" w:rsidRDefault="00973F30" w:rsidP="0062377A">
      <w:pPr>
        <w:pStyle w:val="Heading1"/>
        <w:spacing w:line="360" w:lineRule="auto"/>
        <w:rPr>
          <w:rFonts w:ascii="Arial" w:hAnsi="Arial" w:cs="Arial"/>
          <w:b/>
          <w:bCs/>
          <w:sz w:val="28"/>
          <w:szCs w:val="28"/>
        </w:rPr>
      </w:pPr>
      <w:bookmarkStart w:id="62" w:name="_Toc227753002"/>
      <w:bookmarkStart w:id="63" w:name="theoretical-contribution-3.8"/>
      <w:bookmarkEnd w:id="56"/>
      <w:r w:rsidRPr="00B3149D">
        <w:rPr>
          <w:rFonts w:ascii="Arial" w:hAnsi="Arial" w:cs="Arial"/>
          <w:b/>
          <w:bCs/>
          <w:sz w:val="28"/>
          <w:szCs w:val="28"/>
        </w:rPr>
        <w:t xml:space="preserve">3.8 </w:t>
      </w:r>
      <w:r w:rsidR="00960EBE" w:rsidRPr="00B3149D">
        <w:rPr>
          <w:rFonts w:ascii="Arial" w:hAnsi="Arial" w:cs="Arial"/>
          <w:b/>
          <w:bCs/>
          <w:sz w:val="28"/>
          <w:szCs w:val="28"/>
        </w:rPr>
        <w:t>Theoretical Contribution</w:t>
      </w:r>
      <w:bookmarkEnd w:id="62"/>
      <w:r w:rsidR="00960EBE" w:rsidRPr="00B3149D">
        <w:rPr>
          <w:rFonts w:ascii="Arial" w:hAnsi="Arial" w:cs="Arial"/>
          <w:b/>
          <w:bCs/>
          <w:sz w:val="28"/>
          <w:szCs w:val="28"/>
        </w:rPr>
        <w:t xml:space="preserve"> </w:t>
      </w:r>
    </w:p>
    <w:p w14:paraId="123BC325"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 xml:space="preserve">This research can </w:t>
      </w:r>
      <w:r w:rsidRPr="00B3149D">
        <w:rPr>
          <w:rFonts w:ascii="Arial" w:hAnsi="Arial" w:cs="Arial"/>
          <w:b/>
          <w:bCs/>
        </w:rPr>
        <w:t>extend theory</w:t>
      </w:r>
      <w:r w:rsidRPr="00B3149D">
        <w:rPr>
          <w:rFonts w:ascii="Arial" w:hAnsi="Arial" w:cs="Arial"/>
        </w:rPr>
        <w:t xml:space="preserve"> in several ways. First, it integrates supply chain forecasting and inventory management literature by explicitly linking accuracy improvements to operational outcomes</w:t>
      </w:r>
      <w:hyperlink r:id="rId180" w:anchor=":~:text=The%20findings%20contribute%20to%20the,models%20with%20operational%20evaluation%20frameworks">
        <w:r w:rsidRPr="00B3149D">
          <w:rPr>
            <w:rStyle w:val="Hyperlink"/>
            <w:rFonts w:ascii="Arial" w:hAnsi="Arial" w:cs="Arial"/>
          </w:rPr>
          <w:t>[17]</w:t>
        </w:r>
      </w:hyperlink>
      <w:r w:rsidRPr="00B3149D">
        <w:rPr>
          <w:rFonts w:ascii="Arial" w:hAnsi="Arial" w:cs="Arial"/>
        </w:rPr>
        <w:t>. Second, it challenges the prevailing assumption that improved predictions automatically yield gains; by incorporating trust and execution, it refines our understanding of how forecasts are used in practice</w:t>
      </w:r>
      <w:hyperlink r:id="rId181" w:anchor=":~:text=A%20reliable%20algorithm%20that%20no,systems%20they%20use%20to%20plan">
        <w:r w:rsidRPr="00B3149D">
          <w:rPr>
            <w:rStyle w:val="Hyperlink"/>
            <w:rFonts w:ascii="Arial" w:hAnsi="Arial" w:cs="Arial"/>
          </w:rPr>
          <w:t>[6]</w:t>
        </w:r>
      </w:hyperlink>
      <w:hyperlink r:id="rId182" w:anchor=":~:text=Forecast%20accuracy%20is%20only%20a,and%20resources%20away%20from%20other">
        <w:r w:rsidRPr="00B3149D">
          <w:rPr>
            <w:rStyle w:val="Hyperlink"/>
            <w:rFonts w:ascii="Arial" w:hAnsi="Arial" w:cs="Arial"/>
          </w:rPr>
          <w:t>[7]</w:t>
        </w:r>
      </w:hyperlink>
      <w:r w:rsidRPr="00B3149D">
        <w:rPr>
          <w:rFonts w:ascii="Arial" w:hAnsi="Arial" w:cs="Arial"/>
        </w:rPr>
        <w:t xml:space="preserve">. Third, it introduces a socio-technical perspective to forecasting models, extending theories of organizational decision-making to include data-driven algorithms. Finally, it refines constructs: for example, it distinguishes </w:t>
      </w:r>
      <w:r w:rsidRPr="00B3149D">
        <w:rPr>
          <w:rFonts w:ascii="Arial" w:hAnsi="Arial" w:cs="Arial"/>
          <w:i/>
          <w:iCs/>
        </w:rPr>
        <w:t>AI forecasting proficiency</w:t>
      </w:r>
      <w:r w:rsidRPr="00B3149D">
        <w:rPr>
          <w:rFonts w:ascii="Arial" w:hAnsi="Arial" w:cs="Arial"/>
        </w:rPr>
        <w:t xml:space="preserve"> from mere algorithmic accuracy, acknowledging the mediating role of planners’ judgment. Overall, the work is poised to extend operations and SCM theory by weaving together AI/ML capabilities with human and process elements in a unified model.</w:t>
      </w:r>
    </w:p>
    <w:p w14:paraId="19BA1F49" w14:textId="488F216D" w:rsidR="00960EBE" w:rsidRPr="00B3149D" w:rsidRDefault="00973F30" w:rsidP="0062377A">
      <w:pPr>
        <w:pStyle w:val="Heading1"/>
        <w:spacing w:line="360" w:lineRule="auto"/>
        <w:rPr>
          <w:rFonts w:ascii="Arial" w:hAnsi="Arial" w:cs="Arial"/>
          <w:b/>
          <w:bCs/>
          <w:sz w:val="28"/>
          <w:szCs w:val="28"/>
        </w:rPr>
      </w:pPr>
      <w:bookmarkStart w:id="64" w:name="_Toc227753003"/>
      <w:bookmarkStart w:id="65" w:name="managerial-implications-3.9"/>
      <w:bookmarkEnd w:id="59"/>
      <w:r w:rsidRPr="00B3149D">
        <w:rPr>
          <w:rFonts w:ascii="Arial" w:hAnsi="Arial" w:cs="Arial"/>
          <w:b/>
          <w:bCs/>
          <w:sz w:val="28"/>
          <w:szCs w:val="28"/>
        </w:rPr>
        <w:t xml:space="preserve">3.9 </w:t>
      </w:r>
      <w:r w:rsidR="00960EBE" w:rsidRPr="00B3149D">
        <w:rPr>
          <w:rFonts w:ascii="Arial" w:hAnsi="Arial" w:cs="Arial"/>
          <w:b/>
          <w:bCs/>
          <w:sz w:val="28"/>
          <w:szCs w:val="28"/>
        </w:rPr>
        <w:t>Managerial Implications</w:t>
      </w:r>
      <w:bookmarkEnd w:id="64"/>
      <w:r w:rsidR="00960EBE" w:rsidRPr="00B3149D">
        <w:rPr>
          <w:rFonts w:ascii="Arial" w:hAnsi="Arial" w:cs="Arial"/>
          <w:b/>
          <w:bCs/>
          <w:sz w:val="28"/>
          <w:szCs w:val="28"/>
        </w:rPr>
        <w:t xml:space="preserve"> </w:t>
      </w:r>
    </w:p>
    <w:p w14:paraId="144EF9E1" w14:textId="280B6331" w:rsidR="00960EBE" w:rsidRPr="00B3149D" w:rsidRDefault="00960EBE" w:rsidP="0062377A">
      <w:pPr>
        <w:pStyle w:val="FirstParagraph"/>
        <w:spacing w:line="360" w:lineRule="auto"/>
        <w:rPr>
          <w:rFonts w:ascii="Arial" w:hAnsi="Arial" w:cs="Arial"/>
        </w:rPr>
      </w:pPr>
      <w:r w:rsidRPr="00B3149D">
        <w:rPr>
          <w:rFonts w:ascii="Arial" w:hAnsi="Arial" w:cs="Arial"/>
        </w:rPr>
        <w:t xml:space="preserve">Managers should draw clear lessons from this synthesis. First, </w:t>
      </w:r>
      <w:r w:rsidRPr="00B3149D">
        <w:rPr>
          <w:rFonts w:ascii="Arial" w:hAnsi="Arial" w:cs="Arial"/>
          <w:b/>
          <w:bCs/>
        </w:rPr>
        <w:t>adopt AI as a system, not a gadget</w:t>
      </w:r>
      <w:r w:rsidRPr="00B3149D">
        <w:rPr>
          <w:rFonts w:ascii="Arial" w:hAnsi="Arial" w:cs="Arial"/>
        </w:rPr>
        <w:t>. Investing in advanced forecasts alone is insufficient; organizations must also adapt planning processes and performance metrics. As Fitzpatrick (2021) argues, companies should measure how algorithms drive outcomes – for example, by tracking inventory turns or service levels alongside forecast error</w:t>
      </w:r>
      <w:hyperlink r:id="rId183" w:anchor=":~:text=Forecast%20accuracy%20is%20only%20a,and%20resources%20away%20from%20other">
        <w:r w:rsidRPr="00B3149D">
          <w:rPr>
            <w:rStyle w:val="Hyperlink"/>
            <w:rFonts w:ascii="Arial" w:hAnsi="Arial" w:cs="Arial"/>
          </w:rPr>
          <w:t>[7]</w:t>
        </w:r>
      </w:hyperlink>
      <w:r w:rsidRPr="00B3149D">
        <w:rPr>
          <w:rFonts w:ascii="Arial" w:hAnsi="Arial" w:cs="Arial"/>
        </w:rPr>
        <w:t xml:space="preserve">. Second, build </w:t>
      </w:r>
      <w:r w:rsidRPr="00B3149D">
        <w:rPr>
          <w:rFonts w:ascii="Arial" w:hAnsi="Arial" w:cs="Arial"/>
          <w:b/>
          <w:bCs/>
        </w:rPr>
        <w:t>trust and collaboration</w:t>
      </w:r>
      <w:r w:rsidRPr="00B3149D">
        <w:rPr>
          <w:rFonts w:ascii="Arial" w:hAnsi="Arial" w:cs="Arial"/>
        </w:rPr>
        <w:t xml:space="preserve"> around the forecasts. Planners need transparency and training to interpret AI suggestions. Because distrust can nullify any algorithmic gains</w:t>
      </w:r>
      <w:hyperlink r:id="rId184" w:anchor=":~:text=A%20reliable%20algorithm%20that%20no,systems%20they%20use%20to%20plan">
        <w:r w:rsidRPr="00B3149D">
          <w:rPr>
            <w:rStyle w:val="Hyperlink"/>
            <w:rFonts w:ascii="Arial" w:hAnsi="Arial" w:cs="Arial"/>
          </w:rPr>
          <w:t>[6]</w:t>
        </w:r>
      </w:hyperlink>
      <w:r w:rsidRPr="00B3149D">
        <w:rPr>
          <w:rFonts w:ascii="Arial" w:hAnsi="Arial" w:cs="Arial"/>
        </w:rPr>
        <w:t>, firms should foster a culture of data-</w:t>
      </w:r>
      <w:r w:rsidRPr="00B3149D">
        <w:rPr>
          <w:rFonts w:ascii="Arial" w:hAnsi="Arial" w:cs="Arial"/>
        </w:rPr>
        <w:lastRenderedPageBreak/>
        <w:t xml:space="preserve">driven decision-making, e.g. by involving staff in model validation or using explainable AI tools. Third, ensure </w:t>
      </w:r>
      <w:r w:rsidRPr="00B3149D">
        <w:rPr>
          <w:rFonts w:ascii="Arial" w:hAnsi="Arial" w:cs="Arial"/>
          <w:b/>
          <w:bCs/>
        </w:rPr>
        <w:t>execution flexibility</w:t>
      </w:r>
      <w:r w:rsidRPr="00B3149D">
        <w:rPr>
          <w:rFonts w:ascii="Arial" w:hAnsi="Arial" w:cs="Arial"/>
        </w:rPr>
        <w:t xml:space="preserve">. Algorithms require the supply chain to be responsive; </w:t>
      </w:r>
      <w:proofErr w:type="gramStart"/>
      <w:r w:rsidRPr="00B3149D">
        <w:rPr>
          <w:rFonts w:ascii="Arial" w:hAnsi="Arial" w:cs="Arial"/>
        </w:rPr>
        <w:t>thus</w:t>
      </w:r>
      <w:proofErr w:type="gramEnd"/>
      <w:r w:rsidRPr="00B3149D">
        <w:rPr>
          <w:rFonts w:ascii="Arial" w:hAnsi="Arial" w:cs="Arial"/>
        </w:rPr>
        <w:t xml:space="preserve"> managers may need to streamline approval processes, shorten lead times, or cross-train teams. Without these changes, “even the best forecast… is worthless if the chain has no flexibility”</w:t>
      </w:r>
      <w:hyperlink r:id="rId185" w:anchor=":~:text=Poor%20supply%20chain%20execution%20will,time%20to%20meet%20the%20demand">
        <w:r w:rsidRPr="00B3149D">
          <w:rPr>
            <w:rStyle w:val="Hyperlink"/>
            <w:rFonts w:ascii="Arial" w:hAnsi="Arial" w:cs="Arial"/>
          </w:rPr>
          <w:t>[13]</w:t>
        </w:r>
      </w:hyperlink>
      <w:r w:rsidRPr="00B3149D">
        <w:rPr>
          <w:rFonts w:ascii="Arial" w:hAnsi="Arial" w:cs="Arial"/>
        </w:rPr>
        <w:t>.</w:t>
      </w:r>
      <w:r w:rsidR="00E63CA8" w:rsidRPr="00B3149D">
        <w:rPr>
          <w:rFonts w:ascii="Arial" w:hAnsi="Arial" w:cs="Arial"/>
        </w:rPr>
        <w:t xml:space="preserve"> </w:t>
      </w:r>
      <w:r w:rsidR="00E63CA8" w:rsidRPr="00B3149D">
        <w:rPr>
          <w:rFonts w:ascii="Arial" w:hAnsi="Arial" w:cs="Arial"/>
        </w:rPr>
        <w:t>Finally, be wary of narrow metrics: focus on holistic supply chain goals (total cost, agility, customer service) rather than chasing forecast accuracy alone. In sum, organizations must align people, processes, and technology: refine replenishment policies to act on AI insights, and plan for the continuous improvement of both algorithms and operations</w:t>
      </w:r>
      <w:r w:rsidRPr="00B3149D">
        <w:rPr>
          <w:rFonts w:ascii="Arial" w:hAnsi="Arial" w:cs="Arial"/>
        </w:rPr>
        <w:t>.</w:t>
      </w:r>
    </w:p>
    <w:p w14:paraId="34D4F5B8" w14:textId="3901ECD1" w:rsidR="00960EBE" w:rsidRPr="00B3149D" w:rsidRDefault="00973F30" w:rsidP="0062377A">
      <w:pPr>
        <w:pStyle w:val="Heading1"/>
        <w:spacing w:line="360" w:lineRule="auto"/>
        <w:rPr>
          <w:rFonts w:ascii="Arial" w:hAnsi="Arial" w:cs="Arial"/>
          <w:b/>
          <w:bCs/>
          <w:sz w:val="28"/>
          <w:szCs w:val="28"/>
        </w:rPr>
      </w:pPr>
      <w:bookmarkStart w:id="66" w:name="_Toc227753004"/>
      <w:bookmarkStart w:id="67" w:name="conclusion-3.10"/>
      <w:bookmarkEnd w:id="61"/>
      <w:r w:rsidRPr="00B3149D">
        <w:rPr>
          <w:rFonts w:ascii="Arial" w:hAnsi="Arial" w:cs="Arial"/>
          <w:b/>
          <w:bCs/>
          <w:sz w:val="28"/>
          <w:szCs w:val="28"/>
        </w:rPr>
        <w:t xml:space="preserve">3.10 </w:t>
      </w:r>
      <w:r w:rsidR="00960EBE" w:rsidRPr="00B3149D">
        <w:rPr>
          <w:rFonts w:ascii="Arial" w:hAnsi="Arial" w:cs="Arial"/>
          <w:b/>
          <w:bCs/>
          <w:sz w:val="28"/>
          <w:szCs w:val="28"/>
        </w:rPr>
        <w:t>Conclusion</w:t>
      </w:r>
      <w:bookmarkEnd w:id="66"/>
    </w:p>
    <w:p w14:paraId="68E36A89" w14:textId="77777777" w:rsidR="00960EBE" w:rsidRPr="00B3149D" w:rsidRDefault="00960EBE" w:rsidP="0062377A">
      <w:pPr>
        <w:pStyle w:val="FirstParagraph"/>
        <w:spacing w:line="360" w:lineRule="auto"/>
        <w:rPr>
          <w:rFonts w:ascii="Arial" w:hAnsi="Arial" w:cs="Arial"/>
        </w:rPr>
      </w:pPr>
      <w:r w:rsidRPr="00B3149D">
        <w:rPr>
          <w:rFonts w:ascii="Arial" w:hAnsi="Arial" w:cs="Arial"/>
        </w:rPr>
        <w:t>The literature suggests that AI-driven demand forecasting holds significant promise for retail and FMCG supply chains by improving accuracy and enabling leaner inventories. Empirical results show meaningful error reductions and inventory savings under test conditions</w:t>
      </w:r>
      <w:hyperlink r:id="rId186" w:anchor=":~:text=baselines%2C%20with%20the%20TFT%20model,compared%20with">
        <w:r w:rsidRPr="00B3149D">
          <w:rPr>
            <w:rStyle w:val="Hyperlink"/>
            <w:rFonts w:ascii="Arial" w:hAnsi="Arial" w:cs="Arial"/>
          </w:rPr>
          <w:t>[8]</w:t>
        </w:r>
      </w:hyperlink>
      <w:hyperlink r:id="rId187" w:anchor=":~:text=Modern%20AI%20demand%20forecasting%20moves,while%C2%A0maintaining%C2%A0strong%20service%20levels%20and%20availability">
        <w:r w:rsidRPr="00B3149D">
          <w:rPr>
            <w:rStyle w:val="Hyperlink"/>
            <w:rFonts w:ascii="Arial" w:hAnsi="Arial" w:cs="Arial"/>
          </w:rPr>
          <w:t>[5]</w:t>
        </w:r>
      </w:hyperlink>
      <w:r w:rsidRPr="00B3149D">
        <w:rPr>
          <w:rFonts w:ascii="Arial" w:hAnsi="Arial" w:cs="Arial"/>
        </w:rPr>
        <w:t>. However, this potential is conditional on human and organizational factors; trust, execution capability, and context critically determine the ultimate payoff</w:t>
      </w:r>
      <w:hyperlink r:id="rId188" w:anchor=":~:text=A%20reliable%20algorithm%20that%20no,systems%20they%20use%20to%20plan">
        <w:r w:rsidRPr="00B3149D">
          <w:rPr>
            <w:rStyle w:val="Hyperlink"/>
            <w:rFonts w:ascii="Arial" w:hAnsi="Arial" w:cs="Arial"/>
          </w:rPr>
          <w:t>[6]</w:t>
        </w:r>
      </w:hyperlink>
      <w:hyperlink r:id="rId189" w:anchor=":~:text=Forecast%20accuracy%20is%20only%20a,and%20resources%20away%20from%20other">
        <w:r w:rsidRPr="00B3149D">
          <w:rPr>
            <w:rStyle w:val="Hyperlink"/>
            <w:rFonts w:ascii="Arial" w:hAnsi="Arial" w:cs="Arial"/>
          </w:rPr>
          <w:t>[7]</w:t>
        </w:r>
      </w:hyperlink>
      <w:r w:rsidRPr="00B3149D">
        <w:rPr>
          <w:rFonts w:ascii="Arial" w:hAnsi="Arial" w:cs="Arial"/>
        </w:rPr>
        <w:t>. Our review identifies key patterns (consistent accuracy gains), relationships (</w:t>
      </w:r>
      <w:proofErr w:type="spellStart"/>
      <w:r w:rsidRPr="00B3149D">
        <w:rPr>
          <w:rFonts w:ascii="Arial" w:hAnsi="Arial" w:cs="Arial"/>
        </w:rPr>
        <w:t>AI→accuracy→outcomes</w:t>
      </w:r>
      <w:proofErr w:type="spellEnd"/>
      <w:r w:rsidRPr="00B3149D">
        <w:rPr>
          <w:rFonts w:ascii="Arial" w:hAnsi="Arial" w:cs="Arial"/>
        </w:rPr>
        <w:t>), and mechanisms (data-driven agility) while also highlighting gaps – especially the need for theory linking forecasting to organizational behavior, and more field-based evidence in diverse contexts. Future DBA research can thus contribute by examining how to integrate AI forecasting into planning processes, how different environments modulate its effect, and how to close the divide between predictive power and actual performance.</w:t>
      </w:r>
    </w:p>
    <w:p w14:paraId="06D9F743" w14:textId="77777777" w:rsidR="00973F30" w:rsidRPr="00B3149D" w:rsidRDefault="00973F30" w:rsidP="0062377A">
      <w:pPr>
        <w:pStyle w:val="BodyText"/>
        <w:spacing w:line="360" w:lineRule="auto"/>
        <w:rPr>
          <w:rStyle w:val="Heading1Char"/>
          <w:rFonts w:ascii="Arial" w:hAnsi="Arial" w:cs="Arial"/>
          <w:sz w:val="24"/>
          <w:szCs w:val="24"/>
        </w:rPr>
      </w:pPr>
    </w:p>
    <w:p w14:paraId="41637EDE" w14:textId="62E56730" w:rsidR="00960EBE" w:rsidRPr="00B3149D" w:rsidRDefault="00973F30" w:rsidP="0062377A">
      <w:pPr>
        <w:pStyle w:val="BodyText"/>
        <w:spacing w:line="360" w:lineRule="auto"/>
        <w:rPr>
          <w:rFonts w:ascii="Arial" w:hAnsi="Arial" w:cs="Arial"/>
        </w:rPr>
      </w:pPr>
      <w:bookmarkStart w:id="68" w:name="_Toc227753005"/>
      <w:r w:rsidRPr="00B3149D">
        <w:rPr>
          <w:rStyle w:val="Heading1Char"/>
          <w:rFonts w:ascii="Arial" w:hAnsi="Arial" w:cs="Arial"/>
          <w:b/>
          <w:bCs/>
          <w:sz w:val="28"/>
          <w:szCs w:val="28"/>
        </w:rPr>
        <w:t xml:space="preserve">3.11 </w:t>
      </w:r>
      <w:r w:rsidR="00960EBE" w:rsidRPr="00B3149D">
        <w:rPr>
          <w:rStyle w:val="Heading1Char"/>
          <w:rFonts w:ascii="Arial" w:hAnsi="Arial" w:cs="Arial"/>
          <w:b/>
          <w:bCs/>
          <w:sz w:val="28"/>
          <w:szCs w:val="28"/>
        </w:rPr>
        <w:t>References</w:t>
      </w:r>
      <w:r w:rsidRPr="00B3149D">
        <w:rPr>
          <w:rStyle w:val="Heading1Char"/>
          <w:rFonts w:ascii="Arial" w:hAnsi="Arial" w:cs="Arial"/>
          <w:b/>
          <w:bCs/>
          <w:sz w:val="28"/>
          <w:szCs w:val="28"/>
        </w:rPr>
        <w:t xml:space="preserve"> ( Part 3 )</w:t>
      </w:r>
      <w:bookmarkEnd w:id="68"/>
      <w:r w:rsidRPr="00B3149D">
        <w:rPr>
          <w:rFonts w:ascii="Arial" w:eastAsiaTheme="majorEastAsia" w:hAnsi="Arial" w:cs="Arial"/>
          <w:color w:val="2F5496" w:themeColor="accent1" w:themeShade="BF"/>
          <w:lang w:val="en"/>
        </w:rPr>
        <w:br/>
      </w:r>
      <w:r w:rsidR="00960EBE" w:rsidRPr="00B3149D">
        <w:rPr>
          <w:rFonts w:ascii="Arial" w:hAnsi="Arial" w:cs="Arial"/>
        </w:rPr>
        <w:t>The sources cited above provide the empirical and conceptual foundations for this review</w:t>
      </w:r>
      <w:hyperlink r:id="rId190" w:anchor=":~:text=plier%20in%20an%20exaggerated%20form,tends%20to%20aggravate%20the%20dis">
        <w:r w:rsidR="00960EBE" w:rsidRPr="00B3149D">
          <w:rPr>
            <w:rStyle w:val="Hyperlink"/>
            <w:rFonts w:ascii="Arial" w:hAnsi="Arial" w:cs="Arial"/>
          </w:rPr>
          <w:t>[1</w:t>
        </w:r>
        <w:r w:rsidRPr="00B3149D">
          <w:rPr>
            <w:rStyle w:val="Hyperlink"/>
            <w:rFonts w:ascii="Arial" w:hAnsi="Arial" w:cs="Arial"/>
          </w:rPr>
          <w:t xml:space="preserve"> </w:t>
        </w:r>
        <w:r w:rsidR="00960EBE" w:rsidRPr="00B3149D">
          <w:rPr>
            <w:rStyle w:val="Hyperlink"/>
            <w:rFonts w:ascii="Arial" w:hAnsi="Arial" w:cs="Arial"/>
          </w:rPr>
          <w:t>0]</w:t>
        </w:r>
      </w:hyperlink>
      <w:hyperlink r:id="rId191" w:anchor=":~:text=The%20proper%20selection%20of%20a,is%20presented%20by%20clustering%20the">
        <w:r w:rsidR="00960EBE" w:rsidRPr="00B3149D">
          <w:rPr>
            <w:rStyle w:val="Hyperlink"/>
            <w:rFonts w:ascii="Arial" w:hAnsi="Arial" w:cs="Arial"/>
          </w:rPr>
          <w:t>[3]</w:t>
        </w:r>
      </w:hyperlink>
      <w:hyperlink r:id="rId192" w:anchor=":~:text=baselines%2C%20with%20the%20TFT%20model,compared%20with">
        <w:r w:rsidR="00960EBE" w:rsidRPr="00B3149D">
          <w:rPr>
            <w:rStyle w:val="Hyperlink"/>
            <w:rFonts w:ascii="Arial" w:hAnsi="Arial" w:cs="Arial"/>
          </w:rPr>
          <w:t>[8]</w:t>
        </w:r>
      </w:hyperlink>
      <w:hyperlink r:id="rId193" w:anchor=":~:text=Experimental%20results%20indicate%20that%20LSTM,The%20accuracy%20of%20the%20inventory">
        <w:r w:rsidR="00960EBE" w:rsidRPr="00B3149D">
          <w:rPr>
            <w:rStyle w:val="Hyperlink"/>
            <w:rFonts w:ascii="Arial" w:hAnsi="Arial" w:cs="Arial"/>
          </w:rPr>
          <w:t>[11]</w:t>
        </w:r>
      </w:hyperlink>
      <w:hyperlink r:id="rId194" w:anchor=":~:text=Modern%20AI%20demand%20forecasting%20moves,while%C2%A0maintaining%C2%A0strong%20service%20levels%20and%20availability">
        <w:r w:rsidR="00960EBE" w:rsidRPr="00B3149D">
          <w:rPr>
            <w:rStyle w:val="Hyperlink"/>
            <w:rFonts w:ascii="Arial" w:hAnsi="Arial" w:cs="Arial"/>
          </w:rPr>
          <w:t>[5]</w:t>
        </w:r>
      </w:hyperlink>
      <w:hyperlink r:id="rId195" w:anchor=":~:text=iterative%20linear%20weighting%20of%20human,Our%20studies%20demonstrate%20that%20the">
        <w:r w:rsidR="00960EBE" w:rsidRPr="00B3149D">
          <w:rPr>
            <w:rStyle w:val="Hyperlink"/>
            <w:rFonts w:ascii="Arial" w:hAnsi="Arial" w:cs="Arial"/>
          </w:rPr>
          <w:t>[9]</w:t>
        </w:r>
      </w:hyperlink>
      <w:hyperlink r:id="rId196" w:anchor=":~:text=Poor%20supply%20chain%20execution%20will,time%20to%20meet%20the%20demand">
        <w:r w:rsidR="00960EBE" w:rsidRPr="00B3149D">
          <w:rPr>
            <w:rStyle w:val="Hyperlink"/>
            <w:rFonts w:ascii="Arial" w:hAnsi="Arial" w:cs="Arial"/>
          </w:rPr>
          <w:t>[13]</w:t>
        </w:r>
      </w:hyperlink>
      <w:hyperlink r:id="rId197" w:anchor=":~:text=A%20reliable%20algorithm%20that%20no,systems%20they%20use%20to%20plan">
        <w:r w:rsidR="00960EBE" w:rsidRPr="00B3149D">
          <w:rPr>
            <w:rStyle w:val="Hyperlink"/>
            <w:rFonts w:ascii="Arial" w:hAnsi="Arial" w:cs="Arial"/>
          </w:rPr>
          <w:t>[6]</w:t>
        </w:r>
      </w:hyperlink>
      <w:hyperlink r:id="rId198" w:anchor=":~:text=Forecast%20accuracy%20is%20only%20a,and%20resources%20away%20from%20other">
        <w:r w:rsidR="00960EBE" w:rsidRPr="00B3149D">
          <w:rPr>
            <w:rStyle w:val="Hyperlink"/>
            <w:rFonts w:ascii="Arial" w:hAnsi="Arial" w:cs="Arial"/>
          </w:rPr>
          <w:t>[7]</w:t>
        </w:r>
      </w:hyperlink>
      <w:hyperlink r:id="rId199" w:anchor=":~:text=The%20term%20Fast,primary%20products%20in%20three%20categories">
        <w:r w:rsidR="00960EBE" w:rsidRPr="00B3149D">
          <w:rPr>
            <w:rStyle w:val="Hyperlink"/>
            <w:rFonts w:ascii="Arial" w:hAnsi="Arial" w:cs="Arial"/>
          </w:rPr>
          <w:t>[14]</w:t>
        </w:r>
      </w:hyperlink>
      <w:hyperlink r:id="rId200" w:anchor=":~:text=in%20specialized%20contexts%2C%20such%20as,for%20addressing%20these%20complex%20problems">
        <w:r w:rsidR="00960EBE" w:rsidRPr="00B3149D">
          <w:rPr>
            <w:rStyle w:val="Hyperlink"/>
            <w:rFonts w:ascii="Arial" w:hAnsi="Arial" w:cs="Arial"/>
          </w:rPr>
          <w:t>[15]</w:t>
        </w:r>
      </w:hyperlink>
      <w:hyperlink r:id="rId201" w:anchor=":~:text=learning%20,In%20inventory">
        <w:r w:rsidR="00960EBE" w:rsidRPr="00B3149D">
          <w:rPr>
            <w:rStyle w:val="Hyperlink"/>
            <w:rFonts w:ascii="Arial" w:hAnsi="Arial" w:cs="Arial"/>
          </w:rPr>
          <w:t>[12]</w:t>
        </w:r>
      </w:hyperlink>
      <w:r w:rsidR="00960EBE" w:rsidRPr="00B3149D">
        <w:rPr>
          <w:rFonts w:ascii="Arial" w:hAnsi="Arial" w:cs="Arial"/>
        </w:rPr>
        <w:t>. (Full bibliography in Appendix )</w:t>
      </w:r>
      <w:bookmarkEnd w:id="63"/>
      <w:bookmarkEnd w:id="65"/>
      <w:bookmarkEnd w:id="67"/>
    </w:p>
    <w:p w14:paraId="2221CDF2" w14:textId="20D18D2F" w:rsidR="00960EBE" w:rsidRPr="00B3149D" w:rsidRDefault="00960EBE" w:rsidP="0062377A">
      <w:pPr>
        <w:pStyle w:val="NormalWeb"/>
        <w:spacing w:line="360" w:lineRule="auto"/>
        <w:rPr>
          <w:rFonts w:ascii="Arial" w:hAnsi="Arial" w:cs="Arial"/>
        </w:rPr>
      </w:pPr>
      <w:r w:rsidRPr="00B3149D">
        <w:rPr>
          <w:rStyle w:val="Strong"/>
          <w:rFonts w:ascii="Arial" w:hAnsi="Arial" w:cs="Arial"/>
        </w:rPr>
        <w:t>[1]</w:t>
      </w:r>
      <w:r w:rsidRPr="00B3149D">
        <w:rPr>
          <w:rFonts w:ascii="Arial" w:hAnsi="Arial" w:cs="Arial"/>
        </w:rPr>
        <w:t xml:space="preserve"> RELEX Solutions (2024)</w:t>
      </w:r>
      <w:r w:rsidRPr="00B3149D">
        <w:rPr>
          <w:rFonts w:ascii="Arial" w:hAnsi="Arial" w:cs="Arial"/>
        </w:rPr>
        <w:br/>
      </w:r>
      <w:r w:rsidRPr="00B3149D">
        <w:rPr>
          <w:rStyle w:val="Emphasis"/>
          <w:rFonts w:ascii="Arial" w:eastAsiaTheme="majorEastAsia" w:hAnsi="Arial" w:cs="Arial"/>
        </w:rPr>
        <w:t>The guide to demand forecasting for retail and consumer goods</w:t>
      </w:r>
      <w:r w:rsidRPr="00B3149D">
        <w:rPr>
          <w:rFonts w:ascii="Arial" w:hAnsi="Arial" w:cs="Arial"/>
        </w:rPr>
        <w:t xml:space="preserve">. Available at: </w:t>
      </w:r>
      <w:hyperlink r:id="rId202" w:tgtFrame="_new" w:history="1">
        <w:r w:rsidRPr="00B3149D">
          <w:rPr>
            <w:rStyle w:val="Hyperlink"/>
            <w:rFonts w:ascii="Arial" w:hAnsi="Arial" w:cs="Arial"/>
          </w:rPr>
          <w:t>https://www.relexsolutions.com/resources/demand-forecasting/</w:t>
        </w:r>
      </w:hyperlink>
      <w:r w:rsidRPr="00B3149D">
        <w:rPr>
          <w:rFonts w:ascii="Arial" w:hAnsi="Arial" w:cs="Arial"/>
        </w:rPr>
        <w:t xml:space="preserve"> (Accessed: 22 April 2026).</w:t>
      </w:r>
    </w:p>
    <w:p w14:paraId="74F6B80C" w14:textId="0E81329C" w:rsidR="00960EBE" w:rsidRPr="00B3149D" w:rsidRDefault="00960EBE" w:rsidP="0062377A">
      <w:pPr>
        <w:pStyle w:val="NormalWeb"/>
        <w:spacing w:line="360" w:lineRule="auto"/>
        <w:rPr>
          <w:rFonts w:ascii="Arial" w:hAnsi="Arial" w:cs="Arial"/>
        </w:rPr>
      </w:pPr>
      <w:r w:rsidRPr="00B3149D">
        <w:rPr>
          <w:rStyle w:val="Strong"/>
          <w:rFonts w:ascii="Arial" w:hAnsi="Arial" w:cs="Arial"/>
        </w:rPr>
        <w:lastRenderedPageBreak/>
        <w:t>[2]</w:t>
      </w:r>
      <w:r w:rsidRPr="00B3149D">
        <w:rPr>
          <w:rFonts w:ascii="Arial" w:hAnsi="Arial" w:cs="Arial"/>
        </w:rPr>
        <w:t xml:space="preserve"> Sharma, A. et al. (2024)</w:t>
      </w:r>
      <w:r w:rsidRPr="00B3149D">
        <w:rPr>
          <w:rFonts w:ascii="Arial" w:hAnsi="Arial" w:cs="Arial"/>
        </w:rPr>
        <w:br/>
      </w:r>
      <w:r w:rsidRPr="00B3149D">
        <w:rPr>
          <w:rStyle w:val="Emphasis"/>
          <w:rFonts w:ascii="Arial" w:eastAsiaTheme="majorEastAsia" w:hAnsi="Arial" w:cs="Arial"/>
        </w:rPr>
        <w:t>AI-driven demand forecasting: enhancing inventory management and customer satisfaction</w:t>
      </w:r>
      <w:r w:rsidRPr="00B3149D">
        <w:rPr>
          <w:rFonts w:ascii="Arial" w:hAnsi="Arial" w:cs="Arial"/>
        </w:rPr>
        <w:t xml:space="preserve">. Available at: </w:t>
      </w:r>
      <w:hyperlink r:id="rId203" w:tgtFrame="_new" w:history="1">
        <w:r w:rsidRPr="00B3149D">
          <w:rPr>
            <w:rStyle w:val="Hyperlink"/>
            <w:rFonts w:ascii="Arial" w:hAnsi="Arial" w:cs="Arial"/>
          </w:rPr>
          <w:t>https://www.researchgate.net/publication/383560175_AI-driven_demand_forecasting_Enhancing_inventory_management_and_customer_satisfaction</w:t>
        </w:r>
      </w:hyperlink>
      <w:r w:rsidRPr="00B3149D">
        <w:rPr>
          <w:rFonts w:ascii="Arial" w:hAnsi="Arial" w:cs="Arial"/>
        </w:rPr>
        <w:t xml:space="preserve"> (Accessed: 22 April 2026).</w:t>
      </w:r>
    </w:p>
    <w:p w14:paraId="659DF6F4" w14:textId="43A874D6" w:rsidR="00960EBE" w:rsidRPr="00B3149D" w:rsidRDefault="00960EBE" w:rsidP="0062377A">
      <w:pPr>
        <w:pStyle w:val="NormalWeb"/>
        <w:spacing w:line="360" w:lineRule="auto"/>
        <w:rPr>
          <w:rFonts w:ascii="Arial" w:hAnsi="Arial" w:cs="Arial"/>
        </w:rPr>
      </w:pPr>
      <w:r w:rsidRPr="00B3149D">
        <w:rPr>
          <w:rStyle w:val="Strong"/>
          <w:rFonts w:ascii="Arial" w:hAnsi="Arial" w:cs="Arial"/>
        </w:rPr>
        <w:t>[3]</w:t>
      </w:r>
      <w:r w:rsidRPr="00B3149D">
        <w:rPr>
          <w:rFonts w:ascii="Arial" w:hAnsi="Arial" w:cs="Arial"/>
        </w:rPr>
        <w:t xml:space="preserve"> Kumar, V. et al. (2022)</w:t>
      </w:r>
      <w:r w:rsidRPr="00B3149D">
        <w:rPr>
          <w:rFonts w:ascii="Arial" w:hAnsi="Arial" w:cs="Arial"/>
        </w:rPr>
        <w:br/>
      </w:r>
      <w:r w:rsidRPr="00B3149D">
        <w:rPr>
          <w:rStyle w:val="Emphasis"/>
          <w:rFonts w:ascii="Arial" w:eastAsiaTheme="majorEastAsia" w:hAnsi="Arial" w:cs="Arial"/>
        </w:rPr>
        <w:t>Review and analysis of artificial intelligence methods for demand forecasting in supply chain management</w:t>
      </w:r>
      <w:r w:rsidRPr="00B3149D">
        <w:rPr>
          <w:rFonts w:ascii="Arial" w:hAnsi="Arial" w:cs="Arial"/>
        </w:rPr>
        <w:t xml:space="preserve">. Available at: </w:t>
      </w:r>
      <w:hyperlink r:id="rId204" w:tgtFrame="_new" w:history="1">
        <w:r w:rsidRPr="00B3149D">
          <w:rPr>
            <w:rStyle w:val="Hyperlink"/>
            <w:rFonts w:ascii="Arial" w:hAnsi="Arial" w:cs="Arial"/>
          </w:rPr>
          <w:t>https://www.researchgate.net/publication/360880056_Review_and_analysis_of_artificial_intelligence_methods_for_demand_forecasting_in_supply_chain_management</w:t>
        </w:r>
      </w:hyperlink>
      <w:r w:rsidRPr="00B3149D">
        <w:rPr>
          <w:rFonts w:ascii="Arial" w:hAnsi="Arial" w:cs="Arial"/>
        </w:rPr>
        <w:t xml:space="preserve"> (Accessed: 22 April 2026).</w:t>
      </w:r>
    </w:p>
    <w:p w14:paraId="46D9E12B" w14:textId="2CF307AD" w:rsidR="00960EBE" w:rsidRPr="00B3149D" w:rsidRDefault="00960EBE" w:rsidP="0062377A">
      <w:pPr>
        <w:pStyle w:val="NormalWeb"/>
        <w:spacing w:line="360" w:lineRule="auto"/>
        <w:rPr>
          <w:rFonts w:ascii="Arial" w:hAnsi="Arial" w:cs="Arial"/>
        </w:rPr>
      </w:pPr>
      <w:r w:rsidRPr="00B3149D">
        <w:rPr>
          <w:rStyle w:val="Strong"/>
          <w:rFonts w:ascii="Arial" w:hAnsi="Arial" w:cs="Arial"/>
        </w:rPr>
        <w:t>[4]</w:t>
      </w:r>
      <w:r w:rsidRPr="00B3149D">
        <w:rPr>
          <w:rFonts w:ascii="Arial" w:hAnsi="Arial" w:cs="Arial"/>
        </w:rPr>
        <w:t xml:space="preserve"> </w:t>
      </w:r>
      <w:proofErr w:type="spellStart"/>
      <w:r w:rsidRPr="00B3149D">
        <w:rPr>
          <w:rFonts w:ascii="Arial" w:hAnsi="Arial" w:cs="Arial"/>
        </w:rPr>
        <w:t>Mobio</w:t>
      </w:r>
      <w:proofErr w:type="spellEnd"/>
      <w:r w:rsidRPr="00B3149D">
        <w:rPr>
          <w:rFonts w:ascii="Arial" w:hAnsi="Arial" w:cs="Arial"/>
        </w:rPr>
        <w:t xml:space="preserve"> Solutions (2023)</w:t>
      </w:r>
      <w:r w:rsidRPr="00B3149D">
        <w:rPr>
          <w:rFonts w:ascii="Arial" w:hAnsi="Arial" w:cs="Arial"/>
        </w:rPr>
        <w:br/>
      </w:r>
      <w:r w:rsidRPr="00B3149D">
        <w:rPr>
          <w:rStyle w:val="Emphasis"/>
          <w:rFonts w:ascii="Arial" w:eastAsiaTheme="majorEastAsia" w:hAnsi="Arial" w:cs="Arial"/>
        </w:rPr>
        <w:t>AI demand forecasting: reduce retail inventory costs and stockouts</w:t>
      </w:r>
      <w:r w:rsidRPr="00B3149D">
        <w:rPr>
          <w:rFonts w:ascii="Arial" w:hAnsi="Arial" w:cs="Arial"/>
        </w:rPr>
        <w:t xml:space="preserve">. Available at: </w:t>
      </w:r>
      <w:hyperlink r:id="rId205" w:tgtFrame="_new" w:history="1">
        <w:r w:rsidRPr="00B3149D">
          <w:rPr>
            <w:rStyle w:val="Hyperlink"/>
            <w:rFonts w:ascii="Arial" w:hAnsi="Arial" w:cs="Arial"/>
          </w:rPr>
          <w:t>https://mobiosolutions.com/ai-demand-forecasting-inventory-optimization-retail/</w:t>
        </w:r>
      </w:hyperlink>
      <w:r w:rsidRPr="00B3149D">
        <w:rPr>
          <w:rFonts w:ascii="Arial" w:hAnsi="Arial" w:cs="Arial"/>
        </w:rPr>
        <w:t xml:space="preserve"> (Accessed: 22 April 2026).</w:t>
      </w:r>
    </w:p>
    <w:p w14:paraId="2BFB0B50" w14:textId="25D3EA32" w:rsidR="00960EBE" w:rsidRPr="00B3149D" w:rsidRDefault="00960EBE" w:rsidP="0062377A">
      <w:pPr>
        <w:pStyle w:val="NormalWeb"/>
        <w:spacing w:line="360" w:lineRule="auto"/>
        <w:rPr>
          <w:rFonts w:ascii="Arial" w:hAnsi="Arial" w:cs="Arial"/>
        </w:rPr>
      </w:pPr>
      <w:r w:rsidRPr="00B3149D">
        <w:rPr>
          <w:rStyle w:val="Strong"/>
          <w:rFonts w:ascii="Arial" w:hAnsi="Arial" w:cs="Arial"/>
        </w:rPr>
        <w:t>[5]</w:t>
      </w:r>
      <w:r w:rsidRPr="00B3149D">
        <w:rPr>
          <w:rFonts w:ascii="Arial" w:hAnsi="Arial" w:cs="Arial"/>
        </w:rPr>
        <w:t xml:space="preserve"> Demand Planning Blog (2021)</w:t>
      </w:r>
      <w:r w:rsidRPr="00B3149D">
        <w:rPr>
          <w:rFonts w:ascii="Arial" w:hAnsi="Arial" w:cs="Arial"/>
        </w:rPr>
        <w:br/>
      </w:r>
      <w:r w:rsidRPr="00B3149D">
        <w:rPr>
          <w:rStyle w:val="Emphasis"/>
          <w:rFonts w:ascii="Arial" w:eastAsiaTheme="majorEastAsia" w:hAnsi="Arial" w:cs="Arial"/>
        </w:rPr>
        <w:t>Beware the pitfalls of AI in demand planning</w:t>
      </w:r>
      <w:r w:rsidRPr="00B3149D">
        <w:rPr>
          <w:rFonts w:ascii="Arial" w:hAnsi="Arial" w:cs="Arial"/>
        </w:rPr>
        <w:t xml:space="preserve">. Available at: </w:t>
      </w:r>
      <w:hyperlink r:id="rId206" w:tgtFrame="_new" w:history="1">
        <w:r w:rsidRPr="00B3149D">
          <w:rPr>
            <w:rStyle w:val="Hyperlink"/>
            <w:rFonts w:ascii="Arial" w:hAnsi="Arial" w:cs="Arial"/>
          </w:rPr>
          <w:t>https://demand-planning.com/2021/02/16/beware-the-pitfalls-of-ai-in-demand-planning/</w:t>
        </w:r>
      </w:hyperlink>
      <w:r w:rsidRPr="00B3149D">
        <w:rPr>
          <w:rFonts w:ascii="Arial" w:hAnsi="Arial" w:cs="Arial"/>
        </w:rPr>
        <w:t xml:space="preserve"> (Accessed: 22 April 2026).</w:t>
      </w:r>
    </w:p>
    <w:p w14:paraId="358A63BB" w14:textId="2EFCD6B6" w:rsidR="00960EBE" w:rsidRPr="00B3149D" w:rsidRDefault="00960EBE" w:rsidP="0062377A">
      <w:pPr>
        <w:pStyle w:val="NormalWeb"/>
        <w:spacing w:line="360" w:lineRule="auto"/>
        <w:rPr>
          <w:rFonts w:ascii="Arial" w:hAnsi="Arial" w:cs="Arial"/>
        </w:rPr>
      </w:pPr>
      <w:r w:rsidRPr="00B3149D">
        <w:rPr>
          <w:rStyle w:val="Strong"/>
          <w:rFonts w:ascii="Arial" w:hAnsi="Arial" w:cs="Arial"/>
        </w:rPr>
        <w:t>[6]</w:t>
      </w:r>
      <w:r w:rsidRPr="00B3149D">
        <w:rPr>
          <w:rFonts w:ascii="Arial" w:hAnsi="Arial" w:cs="Arial"/>
        </w:rPr>
        <w:t xml:space="preserve"> University of Vaasa (2023)</w:t>
      </w:r>
      <w:r w:rsidRPr="00B3149D">
        <w:rPr>
          <w:rFonts w:ascii="Arial" w:hAnsi="Arial" w:cs="Arial"/>
        </w:rPr>
        <w:br/>
      </w:r>
      <w:r w:rsidRPr="00B3149D">
        <w:rPr>
          <w:rStyle w:val="Emphasis"/>
          <w:rFonts w:ascii="Arial" w:eastAsiaTheme="majorEastAsia" w:hAnsi="Arial" w:cs="Arial"/>
        </w:rPr>
        <w:t>Writing guidelines</w:t>
      </w:r>
      <w:r w:rsidRPr="00B3149D">
        <w:rPr>
          <w:rFonts w:ascii="Arial" w:hAnsi="Arial" w:cs="Arial"/>
        </w:rPr>
        <w:t xml:space="preserve">. Available at: </w:t>
      </w:r>
      <w:hyperlink r:id="rId207" w:tgtFrame="_new" w:history="1">
        <w:r w:rsidRPr="00B3149D">
          <w:rPr>
            <w:rStyle w:val="Hyperlink"/>
            <w:rFonts w:ascii="Arial" w:hAnsi="Arial" w:cs="Arial"/>
          </w:rPr>
          <w:t>https://osuva.uwasa.fi/bitstreams/a3299c6d-8eaa-47b3-8cf4-fa4d5417fad2/download</w:t>
        </w:r>
      </w:hyperlink>
      <w:r w:rsidRPr="00B3149D">
        <w:rPr>
          <w:rFonts w:ascii="Arial" w:hAnsi="Arial" w:cs="Arial"/>
        </w:rPr>
        <w:t xml:space="preserve"> (Accessed: 22 April 2026).</w:t>
      </w:r>
    </w:p>
    <w:p w14:paraId="1B35831B" w14:textId="2209BDE8" w:rsidR="00960EBE" w:rsidRPr="00B3149D" w:rsidRDefault="00960EBE" w:rsidP="0062377A">
      <w:pPr>
        <w:pStyle w:val="NormalWeb"/>
        <w:spacing w:line="360" w:lineRule="auto"/>
        <w:rPr>
          <w:rFonts w:ascii="Arial" w:hAnsi="Arial" w:cs="Arial"/>
        </w:rPr>
      </w:pPr>
      <w:r w:rsidRPr="00B3149D">
        <w:rPr>
          <w:rStyle w:val="Strong"/>
          <w:rFonts w:ascii="Arial" w:hAnsi="Arial" w:cs="Arial"/>
        </w:rPr>
        <w:t>[7]</w:t>
      </w:r>
      <w:r w:rsidRPr="00B3149D">
        <w:rPr>
          <w:rFonts w:ascii="Arial" w:hAnsi="Arial" w:cs="Arial"/>
        </w:rPr>
        <w:t xml:space="preserve"> </w:t>
      </w:r>
      <w:proofErr w:type="spellStart"/>
      <w:r w:rsidRPr="00B3149D">
        <w:rPr>
          <w:rFonts w:ascii="Arial" w:hAnsi="Arial" w:cs="Arial"/>
        </w:rPr>
        <w:t>Brau</w:t>
      </w:r>
      <w:proofErr w:type="spellEnd"/>
      <w:r w:rsidRPr="00B3149D">
        <w:rPr>
          <w:rFonts w:ascii="Arial" w:hAnsi="Arial" w:cs="Arial"/>
        </w:rPr>
        <w:t>, R.I., Aloysius, J. et al. (2023)</w:t>
      </w:r>
      <w:r w:rsidRPr="00B3149D">
        <w:rPr>
          <w:rFonts w:ascii="Arial" w:hAnsi="Arial" w:cs="Arial"/>
        </w:rPr>
        <w:br/>
        <w:t xml:space="preserve">‘Demand planning for the digital supply chain: how to integrate human judgement and analytics’, Available at: </w:t>
      </w:r>
      <w:hyperlink r:id="rId208" w:tgtFrame="_new" w:history="1">
        <w:r w:rsidRPr="00B3149D">
          <w:rPr>
            <w:rStyle w:val="Hyperlink"/>
            <w:rFonts w:ascii="Arial" w:hAnsi="Arial" w:cs="Arial"/>
          </w:rPr>
          <w:t>https://scholarsarchive.byu.edu/facpub/8669/</w:t>
        </w:r>
      </w:hyperlink>
      <w:r w:rsidRPr="00B3149D">
        <w:rPr>
          <w:rFonts w:ascii="Arial" w:hAnsi="Arial" w:cs="Arial"/>
        </w:rPr>
        <w:t xml:space="preserve"> (Accessed: 22 April 2026).</w:t>
      </w:r>
    </w:p>
    <w:p w14:paraId="0983F1B6" w14:textId="786DD409" w:rsidR="00960EBE" w:rsidRPr="00B3149D" w:rsidRDefault="00960EBE" w:rsidP="0062377A">
      <w:pPr>
        <w:pStyle w:val="NormalWeb"/>
        <w:spacing w:line="360" w:lineRule="auto"/>
        <w:rPr>
          <w:rFonts w:ascii="Arial" w:hAnsi="Arial" w:cs="Arial"/>
        </w:rPr>
      </w:pPr>
      <w:r w:rsidRPr="00B3149D">
        <w:rPr>
          <w:rStyle w:val="Strong"/>
          <w:rFonts w:ascii="Arial" w:hAnsi="Arial" w:cs="Arial"/>
        </w:rPr>
        <w:t>[8]</w:t>
      </w:r>
      <w:r w:rsidRPr="00B3149D">
        <w:rPr>
          <w:rFonts w:ascii="Arial" w:hAnsi="Arial" w:cs="Arial"/>
        </w:rPr>
        <w:t xml:space="preserve"> Lee, H.L., Padmanabhan, V. and Whang, S. (1997)</w:t>
      </w:r>
      <w:r w:rsidRPr="00B3149D">
        <w:rPr>
          <w:rFonts w:ascii="Arial" w:hAnsi="Arial" w:cs="Arial"/>
        </w:rPr>
        <w:br/>
        <w:t xml:space="preserve">‘Information distortion in a supply chain: the bullwhip effect’, </w:t>
      </w:r>
      <w:r w:rsidRPr="00B3149D">
        <w:rPr>
          <w:rStyle w:val="Emphasis"/>
          <w:rFonts w:ascii="Arial" w:eastAsiaTheme="majorEastAsia" w:hAnsi="Arial" w:cs="Arial"/>
        </w:rPr>
        <w:t>Management Science</w:t>
      </w:r>
      <w:r w:rsidRPr="00B3149D">
        <w:rPr>
          <w:rFonts w:ascii="Arial" w:hAnsi="Arial" w:cs="Arial"/>
        </w:rPr>
        <w:t xml:space="preserve">, 43(4), pp. 546–558. Available at: </w:t>
      </w:r>
      <w:hyperlink r:id="rId209" w:tgtFrame="_new" w:history="1">
        <w:r w:rsidRPr="00B3149D">
          <w:rPr>
            <w:rStyle w:val="Hyperlink"/>
            <w:rFonts w:ascii="Arial" w:hAnsi="Arial" w:cs="Arial"/>
          </w:rPr>
          <w:t>https://courses.ie.bilkent.edu.tr/ie460/wp-</w:t>
        </w:r>
        <w:r w:rsidRPr="00B3149D">
          <w:rPr>
            <w:rStyle w:val="Hyperlink"/>
            <w:rFonts w:ascii="Arial" w:hAnsi="Arial" w:cs="Arial"/>
          </w:rPr>
          <w:lastRenderedPageBreak/>
          <w:t>content/uploads/sites/12/2019/02/Lee-Padmanabhan-Whang-1997-MS.pdf</w:t>
        </w:r>
      </w:hyperlink>
      <w:r w:rsidRPr="00B3149D">
        <w:rPr>
          <w:rFonts w:ascii="Arial" w:hAnsi="Arial" w:cs="Arial"/>
        </w:rPr>
        <w:t xml:space="preserve"> (Accessed: 22 April 2026).</w:t>
      </w:r>
    </w:p>
    <w:p w14:paraId="17EAC97B" w14:textId="6078BAA2" w:rsidR="00960EBE" w:rsidRPr="00B3149D" w:rsidRDefault="00960EBE" w:rsidP="0062377A">
      <w:pPr>
        <w:pStyle w:val="NormalWeb"/>
        <w:spacing w:line="360" w:lineRule="auto"/>
        <w:rPr>
          <w:rFonts w:ascii="Arial" w:hAnsi="Arial" w:cs="Arial"/>
        </w:rPr>
      </w:pPr>
      <w:r w:rsidRPr="00B3149D">
        <w:rPr>
          <w:rStyle w:val="Strong"/>
          <w:rFonts w:ascii="Arial" w:hAnsi="Arial" w:cs="Arial"/>
        </w:rPr>
        <w:t>[9]</w:t>
      </w:r>
      <w:r w:rsidRPr="00B3149D">
        <w:rPr>
          <w:rFonts w:ascii="Arial" w:hAnsi="Arial" w:cs="Arial"/>
        </w:rPr>
        <w:t xml:space="preserve"> Sharma, P. and Gupta, R. (2023)</w:t>
      </w:r>
      <w:r w:rsidRPr="00B3149D">
        <w:rPr>
          <w:rFonts w:ascii="Arial" w:hAnsi="Arial" w:cs="Arial"/>
        </w:rPr>
        <w:br/>
        <w:t xml:space="preserve">‘Optimizing supply chain management through machine learning: applications in e-commerce’, </w:t>
      </w:r>
      <w:r w:rsidRPr="00B3149D">
        <w:rPr>
          <w:rStyle w:val="Emphasis"/>
          <w:rFonts w:ascii="Arial" w:eastAsiaTheme="majorEastAsia" w:hAnsi="Arial" w:cs="Arial"/>
        </w:rPr>
        <w:t>Journal of Marketing &amp; Social Research</w:t>
      </w:r>
      <w:r w:rsidRPr="00B3149D">
        <w:rPr>
          <w:rFonts w:ascii="Arial" w:hAnsi="Arial" w:cs="Arial"/>
        </w:rPr>
        <w:t xml:space="preserve">. Available at: </w:t>
      </w:r>
      <w:hyperlink r:id="rId210" w:tgtFrame="_new" w:history="1">
        <w:r w:rsidRPr="00B3149D">
          <w:rPr>
            <w:rStyle w:val="Hyperlink"/>
            <w:rFonts w:ascii="Arial" w:hAnsi="Arial" w:cs="Arial"/>
          </w:rPr>
          <w:t>https://jmsr-online.com/article/optimizing-supply-chain-management-through-machine-learning-applications-in-e-commerce-380/</w:t>
        </w:r>
      </w:hyperlink>
      <w:r w:rsidRPr="00B3149D">
        <w:rPr>
          <w:rFonts w:ascii="Arial" w:hAnsi="Arial" w:cs="Arial"/>
        </w:rPr>
        <w:t xml:space="preserve"> (Accessed: 22 April 2026).</w:t>
      </w:r>
    </w:p>
    <w:p w14:paraId="29F45884" w14:textId="2318041A" w:rsidR="00960EBE" w:rsidRPr="00B3149D" w:rsidRDefault="00960EBE" w:rsidP="0062377A">
      <w:pPr>
        <w:pStyle w:val="NormalWeb"/>
        <w:spacing w:line="360" w:lineRule="auto"/>
        <w:rPr>
          <w:rFonts w:ascii="Arial" w:hAnsi="Arial" w:cs="Arial"/>
        </w:rPr>
      </w:pPr>
      <w:r w:rsidRPr="00B3149D">
        <w:rPr>
          <w:rStyle w:val="Strong"/>
          <w:rFonts w:ascii="Arial" w:hAnsi="Arial" w:cs="Arial"/>
        </w:rPr>
        <w:t>[10]</w:t>
      </w:r>
      <w:r w:rsidRPr="00B3149D">
        <w:rPr>
          <w:rFonts w:ascii="Arial" w:hAnsi="Arial" w:cs="Arial"/>
        </w:rPr>
        <w:t xml:space="preserve"> Al-</w:t>
      </w:r>
      <w:proofErr w:type="spellStart"/>
      <w:r w:rsidRPr="00B3149D">
        <w:rPr>
          <w:rFonts w:ascii="Arial" w:hAnsi="Arial" w:cs="Arial"/>
        </w:rPr>
        <w:t>Saidi</w:t>
      </w:r>
      <w:proofErr w:type="spellEnd"/>
      <w:r w:rsidRPr="00B3149D">
        <w:rPr>
          <w:rFonts w:ascii="Arial" w:hAnsi="Arial" w:cs="Arial"/>
        </w:rPr>
        <w:t>, M. et al. (2025)</w:t>
      </w:r>
      <w:r w:rsidRPr="00B3149D">
        <w:rPr>
          <w:rFonts w:ascii="Arial" w:hAnsi="Arial" w:cs="Arial"/>
        </w:rPr>
        <w:br/>
      </w:r>
      <w:r w:rsidRPr="00B3149D">
        <w:rPr>
          <w:rStyle w:val="Emphasis"/>
          <w:rFonts w:ascii="Arial" w:eastAsiaTheme="majorEastAsia" w:hAnsi="Arial" w:cs="Arial"/>
        </w:rPr>
        <w:t>A review of artificial intelligence in inventory management: methods, applications and directions</w:t>
      </w:r>
      <w:r w:rsidRPr="00B3149D">
        <w:rPr>
          <w:rFonts w:ascii="Arial" w:hAnsi="Arial" w:cs="Arial"/>
        </w:rPr>
        <w:t xml:space="preserve">. Available at: </w:t>
      </w:r>
      <w:hyperlink r:id="rId211" w:tgtFrame="_new" w:history="1">
        <w:r w:rsidRPr="00B3149D">
          <w:rPr>
            <w:rStyle w:val="Hyperlink"/>
            <w:rFonts w:ascii="Arial" w:hAnsi="Arial" w:cs="Arial"/>
          </w:rPr>
          <w:t>https://thesai.org/Downloads/Volume16No10/Paper_90-A_Review_of_Artificial_Intelligence_in_Inventory_Management.pdf</w:t>
        </w:r>
      </w:hyperlink>
      <w:r w:rsidRPr="00B3149D">
        <w:rPr>
          <w:rFonts w:ascii="Arial" w:hAnsi="Arial" w:cs="Arial"/>
        </w:rPr>
        <w:t xml:space="preserve"> (Accessed: 22 April 2026).</w:t>
      </w:r>
    </w:p>
    <w:p w14:paraId="1DF4856A" w14:textId="77777777" w:rsidR="00960EBE" w:rsidRPr="00B3149D" w:rsidRDefault="00960EBE" w:rsidP="0062377A">
      <w:pPr>
        <w:pStyle w:val="NormalWeb"/>
        <w:spacing w:line="360" w:lineRule="auto"/>
        <w:rPr>
          <w:rFonts w:ascii="Arial" w:hAnsi="Arial" w:cs="Arial"/>
        </w:rPr>
      </w:pPr>
      <w:r w:rsidRPr="00B3149D">
        <w:rPr>
          <w:rStyle w:val="Strong"/>
          <w:rFonts w:ascii="Arial" w:hAnsi="Arial" w:cs="Arial"/>
        </w:rPr>
        <w:t>[11]</w:t>
      </w:r>
      <w:r w:rsidRPr="00B3149D">
        <w:rPr>
          <w:rFonts w:ascii="Arial" w:hAnsi="Arial" w:cs="Arial"/>
        </w:rPr>
        <w:t xml:space="preserve"> Smith, J. et al. (2024)</w:t>
      </w:r>
      <w:r w:rsidRPr="00B3149D">
        <w:rPr>
          <w:rFonts w:ascii="Arial" w:hAnsi="Arial" w:cs="Arial"/>
        </w:rPr>
        <w:br/>
        <w:t xml:space="preserve">‘Explainable artificial intelligence to improve the resilience of perishable product supply chains by leveraging customer characteristics’, </w:t>
      </w:r>
      <w:r w:rsidRPr="00B3149D">
        <w:rPr>
          <w:rStyle w:val="Emphasis"/>
          <w:rFonts w:ascii="Arial" w:eastAsiaTheme="majorEastAsia" w:hAnsi="Arial" w:cs="Arial"/>
        </w:rPr>
        <w:t>Annals of Operations Research</w:t>
      </w:r>
      <w:r w:rsidRPr="00B3149D">
        <w:rPr>
          <w:rFonts w:ascii="Arial" w:hAnsi="Arial" w:cs="Arial"/>
        </w:rPr>
        <w:t xml:space="preserve">. Available at: </w:t>
      </w:r>
      <w:hyperlink r:id="rId212" w:tgtFrame="_new" w:history="1">
        <w:r w:rsidRPr="00B3149D">
          <w:rPr>
            <w:rStyle w:val="Hyperlink"/>
            <w:rFonts w:ascii="Arial" w:hAnsi="Arial" w:cs="Arial"/>
          </w:rPr>
          <w:t>https://link.springer.com/article/10.1007/s10479-024-06348-z</w:t>
        </w:r>
      </w:hyperlink>
      <w:r w:rsidRPr="00B3149D">
        <w:rPr>
          <w:rFonts w:ascii="Arial" w:hAnsi="Arial" w:cs="Arial"/>
        </w:rPr>
        <w:t xml:space="preserve"> (Accessed: 22 April 2026).</w:t>
      </w:r>
    </w:p>
    <w:p w14:paraId="4D340E2A" w14:textId="4C5777D8" w:rsidR="00960EBE" w:rsidRPr="00B3149D" w:rsidRDefault="00960EBE" w:rsidP="0062377A">
      <w:pPr>
        <w:spacing w:line="360" w:lineRule="auto"/>
        <w:rPr>
          <w:rFonts w:ascii="Arial" w:hAnsi="Arial" w:cs="Arial"/>
        </w:rPr>
      </w:pPr>
    </w:p>
    <w:p w14:paraId="529D8537" w14:textId="0206381E" w:rsidR="00973F30" w:rsidRPr="00B3149D" w:rsidRDefault="00973F30" w:rsidP="0062377A">
      <w:pPr>
        <w:spacing w:line="360" w:lineRule="auto"/>
        <w:rPr>
          <w:rFonts w:ascii="Arial" w:hAnsi="Arial" w:cs="Arial"/>
        </w:rPr>
      </w:pPr>
    </w:p>
    <w:p w14:paraId="43A391DE" w14:textId="751FC99D" w:rsidR="00973F30" w:rsidRPr="00B3149D" w:rsidRDefault="00973F30" w:rsidP="0062377A">
      <w:pPr>
        <w:spacing w:line="360" w:lineRule="auto"/>
        <w:rPr>
          <w:rFonts w:ascii="Arial" w:hAnsi="Arial" w:cs="Arial"/>
        </w:rPr>
      </w:pPr>
    </w:p>
    <w:p w14:paraId="5F868651" w14:textId="46DBBC0C" w:rsidR="00973F30" w:rsidRPr="00B3149D" w:rsidRDefault="00973F30" w:rsidP="0062377A">
      <w:pPr>
        <w:spacing w:line="360" w:lineRule="auto"/>
        <w:rPr>
          <w:rFonts w:ascii="Arial" w:hAnsi="Arial" w:cs="Arial"/>
        </w:rPr>
      </w:pPr>
    </w:p>
    <w:p w14:paraId="76CA0467" w14:textId="3F17E0C6" w:rsidR="00973F30" w:rsidRPr="00B3149D" w:rsidRDefault="00973F30" w:rsidP="0062377A">
      <w:pPr>
        <w:spacing w:line="360" w:lineRule="auto"/>
        <w:rPr>
          <w:rFonts w:ascii="Arial" w:hAnsi="Arial" w:cs="Arial"/>
        </w:rPr>
      </w:pPr>
    </w:p>
    <w:p w14:paraId="1216E16D" w14:textId="12D2CFBE" w:rsidR="00973F30" w:rsidRPr="00B3149D" w:rsidRDefault="00973F30" w:rsidP="0062377A">
      <w:pPr>
        <w:spacing w:line="360" w:lineRule="auto"/>
        <w:rPr>
          <w:rFonts w:ascii="Arial" w:hAnsi="Arial" w:cs="Arial"/>
        </w:rPr>
      </w:pPr>
    </w:p>
    <w:p w14:paraId="3C7867E4" w14:textId="723674AF" w:rsidR="00973F30" w:rsidRPr="00B3149D" w:rsidRDefault="00973F30" w:rsidP="0062377A">
      <w:pPr>
        <w:spacing w:line="360" w:lineRule="auto"/>
        <w:rPr>
          <w:rFonts w:ascii="Arial" w:hAnsi="Arial" w:cs="Arial"/>
        </w:rPr>
      </w:pPr>
    </w:p>
    <w:p w14:paraId="2E275C21" w14:textId="37062FE3" w:rsidR="00973F30" w:rsidRPr="00B3149D" w:rsidRDefault="00973F30" w:rsidP="0062377A">
      <w:pPr>
        <w:spacing w:line="360" w:lineRule="auto"/>
        <w:rPr>
          <w:rFonts w:ascii="Arial" w:hAnsi="Arial" w:cs="Arial"/>
        </w:rPr>
      </w:pPr>
    </w:p>
    <w:p w14:paraId="0367DF66" w14:textId="42F20DEB" w:rsidR="00973F30" w:rsidRPr="00B3149D" w:rsidRDefault="00973F30" w:rsidP="0062377A">
      <w:pPr>
        <w:spacing w:line="360" w:lineRule="auto"/>
        <w:rPr>
          <w:rFonts w:ascii="Arial" w:hAnsi="Arial" w:cs="Arial"/>
        </w:rPr>
      </w:pPr>
    </w:p>
    <w:p w14:paraId="71D3A749" w14:textId="77777777" w:rsidR="002D68B1" w:rsidRPr="00B3149D" w:rsidRDefault="002D68B1" w:rsidP="0062377A">
      <w:pPr>
        <w:pStyle w:val="Title"/>
        <w:spacing w:line="360" w:lineRule="auto"/>
        <w:rPr>
          <w:rFonts w:ascii="Arial" w:hAnsi="Arial" w:cs="Arial"/>
          <w:sz w:val="24"/>
          <w:szCs w:val="24"/>
        </w:rPr>
      </w:pPr>
    </w:p>
    <w:p w14:paraId="36C969DC" w14:textId="77777777" w:rsidR="002D68B1" w:rsidRPr="00B3149D" w:rsidRDefault="002D68B1" w:rsidP="0062377A">
      <w:pPr>
        <w:pStyle w:val="Title"/>
        <w:spacing w:line="360" w:lineRule="auto"/>
        <w:rPr>
          <w:rFonts w:ascii="Arial" w:hAnsi="Arial" w:cs="Arial"/>
          <w:sz w:val="24"/>
          <w:szCs w:val="24"/>
        </w:rPr>
      </w:pPr>
    </w:p>
    <w:p w14:paraId="549492FC" w14:textId="77777777" w:rsidR="002D68B1" w:rsidRPr="00B3149D" w:rsidRDefault="002D68B1" w:rsidP="0062377A">
      <w:pPr>
        <w:pStyle w:val="Title"/>
        <w:spacing w:line="360" w:lineRule="auto"/>
        <w:rPr>
          <w:rFonts w:ascii="Arial" w:hAnsi="Arial" w:cs="Arial"/>
          <w:sz w:val="24"/>
          <w:szCs w:val="24"/>
        </w:rPr>
      </w:pPr>
    </w:p>
    <w:p w14:paraId="0A3404FD" w14:textId="77777777" w:rsidR="002D68B1" w:rsidRPr="00B3149D" w:rsidRDefault="002D68B1" w:rsidP="0062377A">
      <w:pPr>
        <w:pStyle w:val="Title"/>
        <w:spacing w:line="360" w:lineRule="auto"/>
        <w:rPr>
          <w:rFonts w:ascii="Arial" w:hAnsi="Arial" w:cs="Arial"/>
          <w:sz w:val="24"/>
          <w:szCs w:val="24"/>
        </w:rPr>
      </w:pPr>
    </w:p>
    <w:p w14:paraId="65FC701C" w14:textId="77777777" w:rsidR="002D68B1" w:rsidRPr="00B3149D" w:rsidRDefault="002D68B1" w:rsidP="0062377A">
      <w:pPr>
        <w:pStyle w:val="Title"/>
        <w:spacing w:line="360" w:lineRule="auto"/>
        <w:rPr>
          <w:rFonts w:ascii="Arial" w:hAnsi="Arial" w:cs="Arial"/>
          <w:sz w:val="24"/>
          <w:szCs w:val="24"/>
        </w:rPr>
      </w:pPr>
    </w:p>
    <w:p w14:paraId="7B3AE1A1" w14:textId="77777777" w:rsidR="002D68B1" w:rsidRPr="00B3149D" w:rsidRDefault="002D68B1" w:rsidP="0062377A">
      <w:pPr>
        <w:pStyle w:val="Title"/>
        <w:spacing w:line="360" w:lineRule="auto"/>
        <w:rPr>
          <w:rFonts w:ascii="Arial" w:hAnsi="Arial" w:cs="Arial"/>
          <w:sz w:val="24"/>
          <w:szCs w:val="24"/>
        </w:rPr>
      </w:pPr>
    </w:p>
    <w:p w14:paraId="0F65E789" w14:textId="77777777" w:rsidR="002D68B1" w:rsidRPr="00B3149D" w:rsidRDefault="002D68B1" w:rsidP="0062377A">
      <w:pPr>
        <w:pStyle w:val="Title"/>
        <w:spacing w:line="360" w:lineRule="auto"/>
        <w:rPr>
          <w:rFonts w:ascii="Arial" w:hAnsi="Arial" w:cs="Arial"/>
          <w:sz w:val="24"/>
          <w:szCs w:val="24"/>
        </w:rPr>
      </w:pPr>
    </w:p>
    <w:p w14:paraId="11F09F9F" w14:textId="77777777" w:rsidR="002D68B1" w:rsidRPr="00B3149D" w:rsidRDefault="002D68B1" w:rsidP="0062377A">
      <w:pPr>
        <w:pStyle w:val="Title"/>
        <w:spacing w:line="360" w:lineRule="auto"/>
        <w:rPr>
          <w:rFonts w:ascii="Arial" w:hAnsi="Arial" w:cs="Arial"/>
          <w:sz w:val="24"/>
          <w:szCs w:val="24"/>
        </w:rPr>
      </w:pPr>
    </w:p>
    <w:p w14:paraId="65B8FF7D" w14:textId="6CEA2BA0" w:rsidR="00973F30" w:rsidRPr="00B3149D" w:rsidRDefault="00973F30" w:rsidP="00486A83">
      <w:pPr>
        <w:pStyle w:val="Heading1"/>
        <w:rPr>
          <w:rFonts w:ascii="Arial" w:hAnsi="Arial" w:cs="Arial"/>
        </w:rPr>
      </w:pPr>
      <w:bookmarkStart w:id="69" w:name="_Toc227753006"/>
      <w:r w:rsidRPr="00B3149D">
        <w:rPr>
          <w:rFonts w:ascii="Arial" w:hAnsi="Arial" w:cs="Arial"/>
        </w:rPr>
        <w:t>Appendix</w:t>
      </w:r>
      <w:bookmarkEnd w:id="69"/>
      <w:r w:rsidRPr="00B3149D">
        <w:rPr>
          <w:rFonts w:ascii="Arial" w:hAnsi="Arial" w:cs="Arial"/>
        </w:rPr>
        <w:t xml:space="preserve"> </w:t>
      </w:r>
    </w:p>
    <w:p w14:paraId="5B2AAA29" w14:textId="77777777" w:rsidR="00973F30" w:rsidRPr="00B3149D" w:rsidRDefault="00973F30" w:rsidP="0062377A">
      <w:pPr>
        <w:spacing w:line="360" w:lineRule="auto"/>
        <w:rPr>
          <w:rFonts w:ascii="Arial" w:hAnsi="Arial" w:cs="Arial"/>
          <w:sz w:val="28"/>
          <w:szCs w:val="28"/>
        </w:rPr>
      </w:pPr>
    </w:p>
    <w:p w14:paraId="21297FC9" w14:textId="59E98823" w:rsidR="006E36B0" w:rsidRPr="00B3149D" w:rsidRDefault="006E36B0" w:rsidP="0062377A">
      <w:pPr>
        <w:spacing w:line="360" w:lineRule="auto"/>
        <w:rPr>
          <w:rFonts w:ascii="Arial" w:hAnsi="Arial" w:cs="Arial"/>
          <w:b/>
        </w:rPr>
      </w:pPr>
      <w:r w:rsidRPr="00B3149D">
        <w:rPr>
          <w:rFonts w:ascii="Arial" w:hAnsi="Arial" w:cs="Arial"/>
          <w:b/>
          <w:sz w:val="28"/>
          <w:szCs w:val="28"/>
        </w:rPr>
        <w:t>ANNOTATED BIBLIOGRAPHY -100</w:t>
      </w:r>
      <w:r w:rsidRPr="00B3149D">
        <w:rPr>
          <w:rFonts w:ascii="Arial" w:hAnsi="Arial" w:cs="Arial"/>
          <w:b/>
          <w:sz w:val="28"/>
          <w:szCs w:val="28"/>
        </w:rPr>
        <w:br/>
      </w:r>
      <w:r w:rsidRPr="00B3149D">
        <w:rPr>
          <w:rFonts w:ascii="Arial" w:hAnsi="Arial" w:cs="Arial"/>
          <w:b/>
        </w:rPr>
        <w:br/>
      </w:r>
    </w:p>
    <w:p w14:paraId="0BCC16B3" w14:textId="77777777" w:rsidR="006E36B0" w:rsidRPr="00B3149D" w:rsidRDefault="006E36B0" w:rsidP="0062377A">
      <w:pPr>
        <w:spacing w:before="200" w:after="120" w:line="360" w:lineRule="auto"/>
        <w:rPr>
          <w:rFonts w:ascii="Arial" w:eastAsia="Aptos" w:hAnsi="Arial" w:cs="Arial"/>
          <w:lang w:val="en"/>
        </w:rPr>
      </w:pPr>
      <w:r w:rsidRPr="00B3149D">
        <w:rPr>
          <w:rFonts w:ascii="Arial" w:eastAsia="Aptos" w:hAnsi="Arial" w:cs="Arial"/>
          <w:b/>
          <w:color w:val="4F81BD"/>
          <w:lang w:val="en"/>
        </w:rPr>
        <w:t>Theme 1: Core theory and review foundations</w:t>
      </w:r>
    </w:p>
    <w:tbl>
      <w:tblPr>
        <w:tblStyle w:val="TableGrid"/>
        <w:tblW w:w="0" w:type="auto"/>
        <w:tblLook w:val="04A0" w:firstRow="1" w:lastRow="0" w:firstColumn="1" w:lastColumn="0" w:noHBand="0" w:noVBand="1"/>
      </w:tblPr>
      <w:tblGrid>
        <w:gridCol w:w="678"/>
        <w:gridCol w:w="1187"/>
        <w:gridCol w:w="1158"/>
        <w:gridCol w:w="1349"/>
        <w:gridCol w:w="1100"/>
        <w:gridCol w:w="892"/>
        <w:gridCol w:w="903"/>
        <w:gridCol w:w="857"/>
        <w:gridCol w:w="892"/>
      </w:tblGrid>
      <w:tr w:rsidR="00794E6A" w:rsidRPr="00B3149D" w14:paraId="02704889" w14:textId="77777777" w:rsidTr="00794E6A">
        <w:tc>
          <w:tcPr>
            <w:tcW w:w="677" w:type="dxa"/>
            <w:shd w:val="clear" w:color="auto" w:fill="D9EAF7"/>
            <w:tcMar>
              <w:top w:w="60" w:type="dxa"/>
              <w:left w:w="70" w:type="dxa"/>
              <w:bottom w:w="60" w:type="dxa"/>
              <w:right w:w="70" w:type="dxa"/>
            </w:tcMar>
          </w:tcPr>
          <w:p w14:paraId="40114A18"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Citation</w:t>
            </w:r>
          </w:p>
        </w:tc>
        <w:tc>
          <w:tcPr>
            <w:tcW w:w="1187" w:type="dxa"/>
            <w:shd w:val="clear" w:color="auto" w:fill="D9EAF7"/>
            <w:tcMar>
              <w:top w:w="60" w:type="dxa"/>
              <w:left w:w="70" w:type="dxa"/>
              <w:bottom w:w="60" w:type="dxa"/>
              <w:right w:w="70" w:type="dxa"/>
            </w:tcMar>
          </w:tcPr>
          <w:p w14:paraId="72545275"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Literature Type</w:t>
            </w:r>
          </w:p>
        </w:tc>
        <w:tc>
          <w:tcPr>
            <w:tcW w:w="1158" w:type="dxa"/>
            <w:shd w:val="clear" w:color="auto" w:fill="D9EAF7"/>
            <w:tcMar>
              <w:top w:w="60" w:type="dxa"/>
              <w:left w:w="70" w:type="dxa"/>
              <w:bottom w:w="60" w:type="dxa"/>
              <w:right w:w="70" w:type="dxa"/>
            </w:tcMar>
          </w:tcPr>
          <w:p w14:paraId="27EC473E"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Review Type</w:t>
            </w:r>
          </w:p>
        </w:tc>
        <w:tc>
          <w:tcPr>
            <w:tcW w:w="942" w:type="dxa"/>
            <w:shd w:val="clear" w:color="auto" w:fill="D9EAF7"/>
            <w:tcMar>
              <w:top w:w="60" w:type="dxa"/>
              <w:left w:w="70" w:type="dxa"/>
              <w:bottom w:w="60" w:type="dxa"/>
              <w:right w:w="70" w:type="dxa"/>
            </w:tcMar>
          </w:tcPr>
          <w:p w14:paraId="2E75EF5D"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Key Insight</w:t>
            </w:r>
          </w:p>
        </w:tc>
        <w:tc>
          <w:tcPr>
            <w:tcW w:w="1507" w:type="dxa"/>
            <w:shd w:val="clear" w:color="auto" w:fill="D9EAF7"/>
            <w:tcMar>
              <w:top w:w="60" w:type="dxa"/>
              <w:left w:w="70" w:type="dxa"/>
              <w:bottom w:w="60" w:type="dxa"/>
              <w:right w:w="70" w:type="dxa"/>
            </w:tcMar>
          </w:tcPr>
          <w:p w14:paraId="7D6C9474"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Theoretical Lens</w:t>
            </w:r>
          </w:p>
        </w:tc>
        <w:tc>
          <w:tcPr>
            <w:tcW w:w="892" w:type="dxa"/>
            <w:shd w:val="clear" w:color="auto" w:fill="D9EAF7"/>
            <w:tcMar>
              <w:top w:w="60" w:type="dxa"/>
              <w:left w:w="70" w:type="dxa"/>
              <w:bottom w:w="60" w:type="dxa"/>
              <w:right w:w="70" w:type="dxa"/>
            </w:tcMar>
          </w:tcPr>
          <w:p w14:paraId="498825E5"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Methodology</w:t>
            </w:r>
          </w:p>
        </w:tc>
        <w:tc>
          <w:tcPr>
            <w:tcW w:w="904" w:type="dxa"/>
            <w:shd w:val="clear" w:color="auto" w:fill="D9EAF7"/>
            <w:tcMar>
              <w:top w:w="60" w:type="dxa"/>
              <w:left w:w="70" w:type="dxa"/>
              <w:bottom w:w="60" w:type="dxa"/>
              <w:right w:w="70" w:type="dxa"/>
            </w:tcMar>
          </w:tcPr>
          <w:p w14:paraId="0722907F"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Critical Evaluation</w:t>
            </w:r>
          </w:p>
        </w:tc>
        <w:tc>
          <w:tcPr>
            <w:tcW w:w="857" w:type="dxa"/>
            <w:shd w:val="clear" w:color="auto" w:fill="D9EAF7"/>
            <w:tcMar>
              <w:top w:w="60" w:type="dxa"/>
              <w:left w:w="70" w:type="dxa"/>
              <w:bottom w:w="60" w:type="dxa"/>
              <w:right w:w="70" w:type="dxa"/>
            </w:tcMar>
          </w:tcPr>
          <w:p w14:paraId="540E047E"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Relevance</w:t>
            </w:r>
          </w:p>
        </w:tc>
        <w:tc>
          <w:tcPr>
            <w:tcW w:w="892" w:type="dxa"/>
            <w:shd w:val="clear" w:color="auto" w:fill="D9EAF7"/>
            <w:tcMar>
              <w:top w:w="60" w:type="dxa"/>
              <w:left w:w="70" w:type="dxa"/>
              <w:bottom w:w="60" w:type="dxa"/>
              <w:right w:w="70" w:type="dxa"/>
            </w:tcMar>
          </w:tcPr>
          <w:p w14:paraId="38CF43FE" w14:textId="77777777" w:rsidR="006E36B0" w:rsidRPr="00B3149D" w:rsidRDefault="006E36B0" w:rsidP="0062377A">
            <w:pPr>
              <w:spacing w:line="360" w:lineRule="auto"/>
              <w:rPr>
                <w:rFonts w:ascii="Arial" w:hAnsi="Arial" w:cs="Arial"/>
                <w:sz w:val="20"/>
                <w:szCs w:val="20"/>
              </w:rPr>
            </w:pPr>
            <w:r w:rsidRPr="00B3149D">
              <w:rPr>
                <w:rFonts w:ascii="Arial" w:hAnsi="Arial" w:cs="Arial"/>
                <w:b/>
                <w:sz w:val="20"/>
                <w:szCs w:val="20"/>
              </w:rPr>
              <w:t>Example Description</w:t>
            </w:r>
          </w:p>
        </w:tc>
      </w:tr>
      <w:tr w:rsidR="00794E6A" w:rsidRPr="00B3149D" w14:paraId="63188C22" w14:textId="77777777" w:rsidTr="00794E6A">
        <w:tc>
          <w:tcPr>
            <w:tcW w:w="677" w:type="dxa"/>
            <w:tcMar>
              <w:top w:w="60" w:type="dxa"/>
              <w:left w:w="70" w:type="dxa"/>
              <w:bottom w:w="60" w:type="dxa"/>
              <w:right w:w="70" w:type="dxa"/>
            </w:tcMar>
          </w:tcPr>
          <w:p w14:paraId="289B5A6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Snyder (2019)</w:t>
            </w:r>
          </w:p>
        </w:tc>
        <w:tc>
          <w:tcPr>
            <w:tcW w:w="1187" w:type="dxa"/>
            <w:tcMar>
              <w:top w:w="60" w:type="dxa"/>
              <w:left w:w="70" w:type="dxa"/>
              <w:bottom w:w="60" w:type="dxa"/>
              <w:right w:w="70" w:type="dxa"/>
            </w:tcMar>
          </w:tcPr>
          <w:p w14:paraId="6AE808D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158" w:type="dxa"/>
            <w:tcMar>
              <w:top w:w="60" w:type="dxa"/>
              <w:left w:w="70" w:type="dxa"/>
              <w:bottom w:w="60" w:type="dxa"/>
              <w:right w:w="70" w:type="dxa"/>
            </w:tcMar>
          </w:tcPr>
          <w:p w14:paraId="62A7443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Systematic/integrative review guidance</w:t>
            </w:r>
          </w:p>
        </w:tc>
        <w:tc>
          <w:tcPr>
            <w:tcW w:w="942" w:type="dxa"/>
            <w:tcMar>
              <w:top w:w="60" w:type="dxa"/>
              <w:left w:w="70" w:type="dxa"/>
              <w:bottom w:w="60" w:type="dxa"/>
              <w:right w:w="70" w:type="dxa"/>
            </w:tcMar>
          </w:tcPr>
          <w:p w14:paraId="45F1E45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 methodology - Shows that literature reviews can function as research methodology in their own right.</w:t>
            </w:r>
          </w:p>
        </w:tc>
        <w:tc>
          <w:tcPr>
            <w:tcW w:w="1507" w:type="dxa"/>
            <w:tcMar>
              <w:top w:w="60" w:type="dxa"/>
              <w:left w:w="70" w:type="dxa"/>
              <w:bottom w:w="60" w:type="dxa"/>
              <w:right w:w="70" w:type="dxa"/>
            </w:tcMar>
          </w:tcPr>
          <w:p w14:paraId="6BD224C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 paper</w:t>
            </w:r>
          </w:p>
        </w:tc>
        <w:tc>
          <w:tcPr>
            <w:tcW w:w="892" w:type="dxa"/>
            <w:tcMar>
              <w:top w:w="60" w:type="dxa"/>
              <w:left w:w="70" w:type="dxa"/>
              <w:bottom w:w="60" w:type="dxa"/>
              <w:right w:w="70" w:type="dxa"/>
            </w:tcMar>
          </w:tcPr>
          <w:p w14:paraId="77D9456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Explains why review studies need explicit method and purpose.</w:t>
            </w:r>
          </w:p>
        </w:tc>
        <w:tc>
          <w:tcPr>
            <w:tcW w:w="904" w:type="dxa"/>
            <w:tcMar>
              <w:top w:w="60" w:type="dxa"/>
              <w:left w:w="70" w:type="dxa"/>
              <w:bottom w:w="60" w:type="dxa"/>
              <w:right w:w="70" w:type="dxa"/>
            </w:tcMar>
          </w:tcPr>
          <w:p w14:paraId="65483DE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Strong DBA foundation, though broad rather than supply-chain specific.</w:t>
            </w:r>
          </w:p>
        </w:tc>
        <w:tc>
          <w:tcPr>
            <w:tcW w:w="857" w:type="dxa"/>
            <w:tcMar>
              <w:top w:w="60" w:type="dxa"/>
              <w:left w:w="70" w:type="dxa"/>
              <w:bottom w:w="60" w:type="dxa"/>
              <w:right w:w="70" w:type="dxa"/>
            </w:tcMar>
          </w:tcPr>
          <w:p w14:paraId="1F7CD89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Sets the methodological baseline for the whole report.</w:t>
            </w:r>
          </w:p>
        </w:tc>
        <w:tc>
          <w:tcPr>
            <w:tcW w:w="892" w:type="dxa"/>
            <w:tcMar>
              <w:top w:w="60" w:type="dxa"/>
              <w:left w:w="70" w:type="dxa"/>
              <w:bottom w:w="60" w:type="dxa"/>
              <w:right w:w="70" w:type="dxa"/>
            </w:tcMar>
          </w:tcPr>
          <w:p w14:paraId="138EA9E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Explains why review studies need explicit method and purpose. Shows that literature reviews can function as research methodology in their </w:t>
            </w:r>
            <w:r w:rsidRPr="00B3149D">
              <w:rPr>
                <w:rFonts w:ascii="Arial" w:hAnsi="Arial" w:cs="Arial"/>
                <w:sz w:val="20"/>
                <w:szCs w:val="20"/>
              </w:rPr>
              <w:lastRenderedPageBreak/>
              <w:t>own right.</w:t>
            </w:r>
          </w:p>
        </w:tc>
      </w:tr>
      <w:tr w:rsidR="00794E6A" w:rsidRPr="00B3149D" w14:paraId="1C325A19" w14:textId="77777777" w:rsidTr="00794E6A">
        <w:tc>
          <w:tcPr>
            <w:tcW w:w="677" w:type="dxa"/>
            <w:tcMar>
              <w:top w:w="60" w:type="dxa"/>
              <w:left w:w="70" w:type="dxa"/>
              <w:bottom w:w="60" w:type="dxa"/>
              <w:right w:w="70" w:type="dxa"/>
            </w:tcMar>
          </w:tcPr>
          <w:p w14:paraId="3FC4DB4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Webster and Watson (2002)</w:t>
            </w:r>
          </w:p>
        </w:tc>
        <w:tc>
          <w:tcPr>
            <w:tcW w:w="1187" w:type="dxa"/>
            <w:tcMar>
              <w:top w:w="60" w:type="dxa"/>
              <w:left w:w="70" w:type="dxa"/>
              <w:bottom w:w="60" w:type="dxa"/>
              <w:right w:w="70" w:type="dxa"/>
            </w:tcMar>
          </w:tcPr>
          <w:p w14:paraId="7E1E08D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158" w:type="dxa"/>
            <w:tcMar>
              <w:top w:w="60" w:type="dxa"/>
              <w:left w:w="70" w:type="dxa"/>
              <w:bottom w:w="60" w:type="dxa"/>
              <w:right w:w="70" w:type="dxa"/>
            </w:tcMar>
          </w:tcPr>
          <w:p w14:paraId="6146013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Concept-centric review</w:t>
            </w:r>
          </w:p>
        </w:tc>
        <w:tc>
          <w:tcPr>
            <w:tcW w:w="942" w:type="dxa"/>
            <w:tcMar>
              <w:top w:w="60" w:type="dxa"/>
              <w:left w:w="70" w:type="dxa"/>
              <w:bottom w:w="60" w:type="dxa"/>
              <w:right w:w="70" w:type="dxa"/>
            </w:tcMar>
          </w:tcPr>
          <w:p w14:paraId="55A95E0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Knowledge synthesis - Provides the organising principle for thematic rather than alphabetical structuring.</w:t>
            </w:r>
          </w:p>
        </w:tc>
        <w:tc>
          <w:tcPr>
            <w:tcW w:w="1507" w:type="dxa"/>
            <w:tcMar>
              <w:top w:w="60" w:type="dxa"/>
              <w:left w:w="70" w:type="dxa"/>
              <w:bottom w:w="60" w:type="dxa"/>
              <w:right w:w="70" w:type="dxa"/>
            </w:tcMar>
          </w:tcPr>
          <w:p w14:paraId="5D89954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892" w:type="dxa"/>
            <w:tcMar>
              <w:top w:w="60" w:type="dxa"/>
              <w:left w:w="70" w:type="dxa"/>
              <w:bottom w:w="60" w:type="dxa"/>
              <w:right w:w="70" w:type="dxa"/>
            </w:tcMar>
          </w:tcPr>
          <w:p w14:paraId="0230910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Argues that strong reviews should be organised around concepts, not authors.</w:t>
            </w:r>
          </w:p>
        </w:tc>
        <w:tc>
          <w:tcPr>
            <w:tcW w:w="904" w:type="dxa"/>
            <w:tcMar>
              <w:top w:w="60" w:type="dxa"/>
              <w:left w:w="70" w:type="dxa"/>
              <w:bottom w:w="60" w:type="dxa"/>
              <w:right w:w="70" w:type="dxa"/>
            </w:tcMar>
          </w:tcPr>
          <w:p w14:paraId="1C37561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Seminal and still highly relevant, but not tailored to AI contexts.</w:t>
            </w:r>
          </w:p>
        </w:tc>
        <w:tc>
          <w:tcPr>
            <w:tcW w:w="857" w:type="dxa"/>
            <w:tcMar>
              <w:top w:w="60" w:type="dxa"/>
              <w:left w:w="70" w:type="dxa"/>
              <w:bottom w:w="60" w:type="dxa"/>
              <w:right w:w="70" w:type="dxa"/>
            </w:tcMar>
          </w:tcPr>
          <w:p w14:paraId="11ED6BF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Justifies the thematic design of Part 2.</w:t>
            </w:r>
          </w:p>
        </w:tc>
        <w:tc>
          <w:tcPr>
            <w:tcW w:w="892" w:type="dxa"/>
            <w:tcMar>
              <w:top w:w="60" w:type="dxa"/>
              <w:left w:w="70" w:type="dxa"/>
              <w:bottom w:w="60" w:type="dxa"/>
              <w:right w:w="70" w:type="dxa"/>
            </w:tcMar>
          </w:tcPr>
          <w:p w14:paraId="5C53F6D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Argues that strong reviews should be organised around concepts, not authors. Provides the organising principle for thematic rather than alphabetical structuring.</w:t>
            </w:r>
          </w:p>
        </w:tc>
      </w:tr>
      <w:tr w:rsidR="00794E6A" w:rsidRPr="00B3149D" w14:paraId="55AA6B5C" w14:textId="77777777" w:rsidTr="00794E6A">
        <w:tc>
          <w:tcPr>
            <w:tcW w:w="677" w:type="dxa"/>
            <w:tcMar>
              <w:top w:w="60" w:type="dxa"/>
              <w:left w:w="70" w:type="dxa"/>
              <w:bottom w:w="60" w:type="dxa"/>
              <w:right w:w="70" w:type="dxa"/>
            </w:tcMar>
          </w:tcPr>
          <w:p w14:paraId="52B73471" w14:textId="77777777" w:rsidR="006E36B0" w:rsidRPr="00B3149D" w:rsidRDefault="006E36B0" w:rsidP="0062377A">
            <w:pPr>
              <w:spacing w:line="360" w:lineRule="auto"/>
              <w:rPr>
                <w:rFonts w:ascii="Arial" w:hAnsi="Arial" w:cs="Arial"/>
                <w:sz w:val="20"/>
                <w:szCs w:val="20"/>
              </w:rPr>
            </w:pPr>
            <w:proofErr w:type="spellStart"/>
            <w:r w:rsidRPr="00B3149D">
              <w:rPr>
                <w:rFonts w:ascii="Arial" w:hAnsi="Arial" w:cs="Arial"/>
                <w:sz w:val="20"/>
                <w:szCs w:val="20"/>
              </w:rPr>
              <w:t>Torraco</w:t>
            </w:r>
            <w:proofErr w:type="spellEnd"/>
            <w:r w:rsidRPr="00B3149D">
              <w:rPr>
                <w:rFonts w:ascii="Arial" w:hAnsi="Arial" w:cs="Arial"/>
                <w:sz w:val="20"/>
                <w:szCs w:val="20"/>
              </w:rPr>
              <w:t xml:space="preserve"> (2005)</w:t>
            </w:r>
          </w:p>
        </w:tc>
        <w:tc>
          <w:tcPr>
            <w:tcW w:w="1187" w:type="dxa"/>
            <w:tcMar>
              <w:top w:w="60" w:type="dxa"/>
              <w:left w:w="70" w:type="dxa"/>
              <w:bottom w:w="60" w:type="dxa"/>
              <w:right w:w="70" w:type="dxa"/>
            </w:tcMar>
          </w:tcPr>
          <w:p w14:paraId="5963B83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158" w:type="dxa"/>
            <w:tcMar>
              <w:top w:w="60" w:type="dxa"/>
              <w:left w:w="70" w:type="dxa"/>
              <w:bottom w:w="60" w:type="dxa"/>
              <w:right w:w="70" w:type="dxa"/>
            </w:tcMar>
          </w:tcPr>
          <w:p w14:paraId="619E84F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Integrative review</w:t>
            </w:r>
          </w:p>
        </w:tc>
        <w:tc>
          <w:tcPr>
            <w:tcW w:w="942" w:type="dxa"/>
            <w:tcMar>
              <w:top w:w="60" w:type="dxa"/>
              <w:left w:w="70" w:type="dxa"/>
              <w:bottom w:w="60" w:type="dxa"/>
              <w:right w:w="70" w:type="dxa"/>
            </w:tcMar>
          </w:tcPr>
          <w:p w14:paraId="1960156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Integrative synthesis - Positions review work as theory-building rather than background writing.</w:t>
            </w:r>
          </w:p>
        </w:tc>
        <w:tc>
          <w:tcPr>
            <w:tcW w:w="1507" w:type="dxa"/>
            <w:tcMar>
              <w:top w:w="60" w:type="dxa"/>
              <w:left w:w="70" w:type="dxa"/>
              <w:bottom w:w="60" w:type="dxa"/>
              <w:right w:w="70" w:type="dxa"/>
            </w:tcMar>
          </w:tcPr>
          <w:p w14:paraId="16210AA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892" w:type="dxa"/>
            <w:tcMar>
              <w:top w:w="60" w:type="dxa"/>
              <w:left w:w="70" w:type="dxa"/>
              <w:bottom w:w="60" w:type="dxa"/>
              <w:right w:w="70" w:type="dxa"/>
            </w:tcMar>
          </w:tcPr>
          <w:p w14:paraId="0CA3398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Shows how reviews can integrate diverse studies to develop new </w:t>
            </w:r>
            <w:r w:rsidRPr="00B3149D">
              <w:rPr>
                <w:rFonts w:ascii="Arial" w:hAnsi="Arial" w:cs="Arial"/>
                <w:sz w:val="20"/>
                <w:szCs w:val="20"/>
              </w:rPr>
              <w:lastRenderedPageBreak/>
              <w:t>frameworks.</w:t>
            </w:r>
          </w:p>
        </w:tc>
        <w:tc>
          <w:tcPr>
            <w:tcW w:w="904" w:type="dxa"/>
            <w:tcMar>
              <w:top w:w="60" w:type="dxa"/>
              <w:left w:w="70" w:type="dxa"/>
              <w:bottom w:w="60" w:type="dxa"/>
              <w:right w:w="70" w:type="dxa"/>
            </w:tcMar>
          </w:tcPr>
          <w:p w14:paraId="6CE3EAF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Useful for DBA contribution logic, though not a protocol in itself.</w:t>
            </w:r>
          </w:p>
        </w:tc>
        <w:tc>
          <w:tcPr>
            <w:tcW w:w="857" w:type="dxa"/>
            <w:tcMar>
              <w:top w:w="60" w:type="dxa"/>
              <w:left w:w="70" w:type="dxa"/>
              <w:bottom w:w="60" w:type="dxa"/>
              <w:right w:w="70" w:type="dxa"/>
            </w:tcMar>
          </w:tcPr>
          <w:p w14:paraId="7EB981D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Supports synthesis and conceptual contribution.</w:t>
            </w:r>
          </w:p>
        </w:tc>
        <w:tc>
          <w:tcPr>
            <w:tcW w:w="892" w:type="dxa"/>
            <w:tcMar>
              <w:top w:w="60" w:type="dxa"/>
              <w:left w:w="70" w:type="dxa"/>
              <w:bottom w:w="60" w:type="dxa"/>
              <w:right w:w="70" w:type="dxa"/>
            </w:tcMar>
          </w:tcPr>
          <w:p w14:paraId="2DB6B78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Shows how reviews can integrate diverse studies to develop new framew</w:t>
            </w:r>
            <w:r w:rsidRPr="00B3149D">
              <w:rPr>
                <w:rFonts w:ascii="Arial" w:hAnsi="Arial" w:cs="Arial"/>
                <w:sz w:val="20"/>
                <w:szCs w:val="20"/>
              </w:rPr>
              <w:lastRenderedPageBreak/>
              <w:t>orks. Positions review work as theory-building rather than background writing.</w:t>
            </w:r>
          </w:p>
        </w:tc>
      </w:tr>
      <w:tr w:rsidR="00794E6A" w:rsidRPr="00B3149D" w14:paraId="4F1DBF89" w14:textId="77777777" w:rsidTr="00794E6A">
        <w:tc>
          <w:tcPr>
            <w:tcW w:w="677" w:type="dxa"/>
            <w:tcMar>
              <w:top w:w="60" w:type="dxa"/>
              <w:left w:w="70" w:type="dxa"/>
              <w:bottom w:w="60" w:type="dxa"/>
              <w:right w:w="70" w:type="dxa"/>
            </w:tcMar>
          </w:tcPr>
          <w:p w14:paraId="05E59BA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Paul and </w:t>
            </w:r>
            <w:proofErr w:type="spellStart"/>
            <w:r w:rsidRPr="00B3149D">
              <w:rPr>
                <w:rFonts w:ascii="Arial" w:hAnsi="Arial" w:cs="Arial"/>
                <w:sz w:val="20"/>
                <w:szCs w:val="20"/>
              </w:rPr>
              <w:t>Criado</w:t>
            </w:r>
            <w:proofErr w:type="spellEnd"/>
            <w:r w:rsidRPr="00B3149D">
              <w:rPr>
                <w:rFonts w:ascii="Arial" w:hAnsi="Arial" w:cs="Arial"/>
                <w:sz w:val="20"/>
                <w:szCs w:val="20"/>
              </w:rPr>
              <w:t xml:space="preserve"> (2020)</w:t>
            </w:r>
          </w:p>
        </w:tc>
        <w:tc>
          <w:tcPr>
            <w:tcW w:w="1187" w:type="dxa"/>
            <w:tcMar>
              <w:top w:w="60" w:type="dxa"/>
              <w:left w:w="70" w:type="dxa"/>
              <w:bottom w:w="60" w:type="dxa"/>
              <w:right w:w="70" w:type="dxa"/>
            </w:tcMar>
          </w:tcPr>
          <w:p w14:paraId="54918A2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158" w:type="dxa"/>
            <w:tcMar>
              <w:top w:w="60" w:type="dxa"/>
              <w:left w:w="70" w:type="dxa"/>
              <w:bottom w:w="60" w:type="dxa"/>
              <w:right w:w="70" w:type="dxa"/>
            </w:tcMar>
          </w:tcPr>
          <w:p w14:paraId="6E6E836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Review-writing guidance</w:t>
            </w:r>
          </w:p>
        </w:tc>
        <w:tc>
          <w:tcPr>
            <w:tcW w:w="942" w:type="dxa"/>
            <w:tcMar>
              <w:top w:w="60" w:type="dxa"/>
              <w:left w:w="70" w:type="dxa"/>
              <w:bottom w:w="60" w:type="dxa"/>
              <w:right w:w="70" w:type="dxa"/>
            </w:tcMar>
          </w:tcPr>
          <w:p w14:paraId="20B453A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Article design and structure - Reinforces that strong review writing requires explicit design choices.</w:t>
            </w:r>
          </w:p>
        </w:tc>
        <w:tc>
          <w:tcPr>
            <w:tcW w:w="1507" w:type="dxa"/>
            <w:tcMar>
              <w:top w:w="60" w:type="dxa"/>
              <w:left w:w="70" w:type="dxa"/>
              <w:bottom w:w="60" w:type="dxa"/>
              <w:right w:w="70" w:type="dxa"/>
            </w:tcMar>
          </w:tcPr>
          <w:p w14:paraId="40F9CE9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892" w:type="dxa"/>
            <w:tcMar>
              <w:top w:w="60" w:type="dxa"/>
              <w:left w:w="70" w:type="dxa"/>
              <w:bottom w:w="60" w:type="dxa"/>
              <w:right w:w="70" w:type="dxa"/>
            </w:tcMar>
          </w:tcPr>
          <w:p w14:paraId="4A763A3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Clarifies purpose, process and structure for high-quality review articles.</w:t>
            </w:r>
          </w:p>
        </w:tc>
        <w:tc>
          <w:tcPr>
            <w:tcW w:w="904" w:type="dxa"/>
            <w:tcMar>
              <w:top w:w="60" w:type="dxa"/>
              <w:left w:w="70" w:type="dxa"/>
              <w:bottom w:w="60" w:type="dxa"/>
              <w:right w:w="70" w:type="dxa"/>
            </w:tcMar>
          </w:tcPr>
          <w:p w14:paraId="34A30F0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Helpful for structure, but more generic than field-specific methods guidance.</w:t>
            </w:r>
          </w:p>
        </w:tc>
        <w:tc>
          <w:tcPr>
            <w:tcW w:w="857" w:type="dxa"/>
            <w:tcMar>
              <w:top w:w="60" w:type="dxa"/>
              <w:left w:w="70" w:type="dxa"/>
              <w:bottom w:w="60" w:type="dxa"/>
              <w:right w:w="70" w:type="dxa"/>
            </w:tcMar>
          </w:tcPr>
          <w:p w14:paraId="6E84D70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Useful for organising Part 2 and later Part 3.</w:t>
            </w:r>
          </w:p>
        </w:tc>
        <w:tc>
          <w:tcPr>
            <w:tcW w:w="892" w:type="dxa"/>
            <w:tcMar>
              <w:top w:w="60" w:type="dxa"/>
              <w:left w:w="70" w:type="dxa"/>
              <w:bottom w:w="60" w:type="dxa"/>
              <w:right w:w="70" w:type="dxa"/>
            </w:tcMar>
          </w:tcPr>
          <w:p w14:paraId="793A5D6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Clarifies purpose, process and structure for high-quality review articles. Reinforces that strong review writing requires explicit design choices.</w:t>
            </w:r>
          </w:p>
        </w:tc>
      </w:tr>
      <w:tr w:rsidR="00794E6A" w:rsidRPr="00B3149D" w14:paraId="3C076BCA" w14:textId="77777777" w:rsidTr="00794E6A">
        <w:tc>
          <w:tcPr>
            <w:tcW w:w="677" w:type="dxa"/>
            <w:tcMar>
              <w:top w:w="60" w:type="dxa"/>
              <w:left w:w="70" w:type="dxa"/>
              <w:bottom w:w="60" w:type="dxa"/>
              <w:right w:w="70" w:type="dxa"/>
            </w:tcMar>
          </w:tcPr>
          <w:p w14:paraId="4349CE8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Alvesson and Sandberg (2011)</w:t>
            </w:r>
          </w:p>
        </w:tc>
        <w:tc>
          <w:tcPr>
            <w:tcW w:w="1187" w:type="dxa"/>
            <w:tcMar>
              <w:top w:w="60" w:type="dxa"/>
              <w:left w:w="70" w:type="dxa"/>
              <w:bottom w:w="60" w:type="dxa"/>
              <w:right w:w="70" w:type="dxa"/>
            </w:tcMar>
          </w:tcPr>
          <w:p w14:paraId="0183D54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Theoretical/conceptual</w:t>
            </w:r>
          </w:p>
        </w:tc>
        <w:tc>
          <w:tcPr>
            <w:tcW w:w="1158" w:type="dxa"/>
            <w:tcMar>
              <w:top w:w="60" w:type="dxa"/>
              <w:left w:w="70" w:type="dxa"/>
              <w:bottom w:w="60" w:type="dxa"/>
              <w:right w:w="70" w:type="dxa"/>
            </w:tcMar>
          </w:tcPr>
          <w:p w14:paraId="3999B0E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Critical review</w:t>
            </w:r>
          </w:p>
        </w:tc>
        <w:tc>
          <w:tcPr>
            <w:tcW w:w="942" w:type="dxa"/>
            <w:tcMar>
              <w:top w:w="60" w:type="dxa"/>
              <w:left w:w="70" w:type="dxa"/>
              <w:bottom w:w="60" w:type="dxa"/>
              <w:right w:w="70" w:type="dxa"/>
            </w:tcMar>
          </w:tcPr>
          <w:p w14:paraId="58254D6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Problematization - Moves the review from cataloguing sources to interrogating </w:t>
            </w:r>
            <w:r w:rsidRPr="00B3149D">
              <w:rPr>
                <w:rFonts w:ascii="Arial" w:hAnsi="Arial" w:cs="Arial"/>
                <w:sz w:val="20"/>
                <w:szCs w:val="20"/>
              </w:rPr>
              <w:lastRenderedPageBreak/>
              <w:t>dominant beliefs.</w:t>
            </w:r>
          </w:p>
        </w:tc>
        <w:tc>
          <w:tcPr>
            <w:tcW w:w="1507" w:type="dxa"/>
            <w:tcMar>
              <w:top w:w="60" w:type="dxa"/>
              <w:left w:w="70" w:type="dxa"/>
              <w:bottom w:w="60" w:type="dxa"/>
              <w:right w:w="70" w:type="dxa"/>
            </w:tcMar>
          </w:tcPr>
          <w:p w14:paraId="2A17AE3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Conceptual paper</w:t>
            </w:r>
          </w:p>
        </w:tc>
        <w:tc>
          <w:tcPr>
            <w:tcW w:w="892" w:type="dxa"/>
            <w:tcMar>
              <w:top w:w="60" w:type="dxa"/>
              <w:left w:w="70" w:type="dxa"/>
              <w:bottom w:w="60" w:type="dxa"/>
              <w:right w:w="70" w:type="dxa"/>
            </w:tcMar>
          </w:tcPr>
          <w:p w14:paraId="6983D54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Argues that stronger research questions come </w:t>
            </w:r>
            <w:r w:rsidRPr="00B3149D">
              <w:rPr>
                <w:rFonts w:ascii="Arial" w:hAnsi="Arial" w:cs="Arial"/>
                <w:sz w:val="20"/>
                <w:szCs w:val="20"/>
              </w:rPr>
              <w:lastRenderedPageBreak/>
              <w:t>from challenging assumptions, not merely spotting gaps.</w:t>
            </w:r>
          </w:p>
        </w:tc>
        <w:tc>
          <w:tcPr>
            <w:tcW w:w="904" w:type="dxa"/>
            <w:tcMar>
              <w:top w:w="60" w:type="dxa"/>
              <w:left w:w="70" w:type="dxa"/>
              <w:bottom w:w="60" w:type="dxa"/>
              <w:right w:w="70" w:type="dxa"/>
            </w:tcMar>
          </w:tcPr>
          <w:p w14:paraId="019A592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Particularly valuable for challenging the assumption that </w:t>
            </w:r>
            <w:r w:rsidRPr="00B3149D">
              <w:rPr>
                <w:rFonts w:ascii="Arial" w:hAnsi="Arial" w:cs="Arial"/>
                <w:sz w:val="20"/>
                <w:szCs w:val="20"/>
              </w:rPr>
              <w:lastRenderedPageBreak/>
              <w:t>accuracy automatically improves performance.</w:t>
            </w:r>
          </w:p>
        </w:tc>
        <w:tc>
          <w:tcPr>
            <w:tcW w:w="857" w:type="dxa"/>
            <w:tcMar>
              <w:top w:w="60" w:type="dxa"/>
              <w:left w:w="70" w:type="dxa"/>
              <w:bottom w:w="60" w:type="dxa"/>
              <w:right w:w="70" w:type="dxa"/>
            </w:tcMar>
          </w:tcPr>
          <w:p w14:paraId="195A8B1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Provides the critical lens for gap construction.</w:t>
            </w:r>
          </w:p>
        </w:tc>
        <w:tc>
          <w:tcPr>
            <w:tcW w:w="892" w:type="dxa"/>
            <w:tcMar>
              <w:top w:w="60" w:type="dxa"/>
              <w:left w:w="70" w:type="dxa"/>
              <w:bottom w:w="60" w:type="dxa"/>
              <w:right w:w="70" w:type="dxa"/>
            </w:tcMar>
          </w:tcPr>
          <w:p w14:paraId="41963F4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Argues that stronger research questions come </w:t>
            </w:r>
            <w:r w:rsidRPr="00B3149D">
              <w:rPr>
                <w:rFonts w:ascii="Arial" w:hAnsi="Arial" w:cs="Arial"/>
                <w:sz w:val="20"/>
                <w:szCs w:val="20"/>
              </w:rPr>
              <w:lastRenderedPageBreak/>
              <w:t>from challenging assumptions, not merely spotting gaps. Moves the review from cataloguing sources to interrogating dominant beliefs.</w:t>
            </w:r>
          </w:p>
        </w:tc>
      </w:tr>
      <w:tr w:rsidR="00794E6A" w:rsidRPr="00B3149D" w14:paraId="02C3A0DE" w14:textId="77777777" w:rsidTr="00794E6A">
        <w:tc>
          <w:tcPr>
            <w:tcW w:w="677" w:type="dxa"/>
            <w:tcMar>
              <w:top w:w="60" w:type="dxa"/>
              <w:left w:w="70" w:type="dxa"/>
              <w:bottom w:w="60" w:type="dxa"/>
              <w:right w:w="70" w:type="dxa"/>
            </w:tcMar>
          </w:tcPr>
          <w:p w14:paraId="03BEFB7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Bourdieu and Wacquant (1992)</w:t>
            </w:r>
          </w:p>
        </w:tc>
        <w:tc>
          <w:tcPr>
            <w:tcW w:w="1187" w:type="dxa"/>
            <w:tcMar>
              <w:top w:w="60" w:type="dxa"/>
              <w:left w:w="70" w:type="dxa"/>
              <w:bottom w:w="60" w:type="dxa"/>
              <w:right w:w="70" w:type="dxa"/>
            </w:tcMar>
          </w:tcPr>
          <w:p w14:paraId="50C1472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Theoretical/conceptual</w:t>
            </w:r>
          </w:p>
        </w:tc>
        <w:tc>
          <w:tcPr>
            <w:tcW w:w="1158" w:type="dxa"/>
            <w:tcMar>
              <w:top w:w="60" w:type="dxa"/>
              <w:left w:w="70" w:type="dxa"/>
              <w:bottom w:w="60" w:type="dxa"/>
              <w:right w:w="70" w:type="dxa"/>
            </w:tcMar>
          </w:tcPr>
          <w:p w14:paraId="21D3EEA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Critical sociology</w:t>
            </w:r>
          </w:p>
        </w:tc>
        <w:tc>
          <w:tcPr>
            <w:tcW w:w="942" w:type="dxa"/>
            <w:tcMar>
              <w:top w:w="60" w:type="dxa"/>
              <w:left w:w="70" w:type="dxa"/>
              <w:bottom w:w="60" w:type="dxa"/>
              <w:right w:w="70" w:type="dxa"/>
            </w:tcMar>
          </w:tcPr>
          <w:p w14:paraId="5A78233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Reflexive sociology - Useful for questioning whose expertise is prioritised in retail forecasting systems.</w:t>
            </w:r>
          </w:p>
        </w:tc>
        <w:tc>
          <w:tcPr>
            <w:tcW w:w="1507" w:type="dxa"/>
            <w:tcMar>
              <w:top w:w="60" w:type="dxa"/>
              <w:left w:w="70" w:type="dxa"/>
              <w:bottom w:w="60" w:type="dxa"/>
              <w:right w:w="70" w:type="dxa"/>
            </w:tcMar>
          </w:tcPr>
          <w:p w14:paraId="4DEBA99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book</w:t>
            </w:r>
          </w:p>
        </w:tc>
        <w:tc>
          <w:tcPr>
            <w:tcW w:w="892" w:type="dxa"/>
            <w:tcMar>
              <w:top w:w="60" w:type="dxa"/>
              <w:left w:w="70" w:type="dxa"/>
              <w:bottom w:w="60" w:type="dxa"/>
              <w:right w:w="70" w:type="dxa"/>
            </w:tcMar>
          </w:tcPr>
          <w:p w14:paraId="64D5803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Explains how fields, institutions and habitus shape what counts as legitimate knowledge.</w:t>
            </w:r>
          </w:p>
        </w:tc>
        <w:tc>
          <w:tcPr>
            <w:tcW w:w="904" w:type="dxa"/>
            <w:tcMar>
              <w:top w:w="60" w:type="dxa"/>
              <w:left w:w="70" w:type="dxa"/>
              <w:bottom w:w="60" w:type="dxa"/>
              <w:right w:w="70" w:type="dxa"/>
            </w:tcMar>
          </w:tcPr>
          <w:p w14:paraId="6DA5661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Not supply-chain specific, so application must be carefully translated.</w:t>
            </w:r>
          </w:p>
        </w:tc>
        <w:tc>
          <w:tcPr>
            <w:tcW w:w="857" w:type="dxa"/>
            <w:tcMar>
              <w:top w:w="60" w:type="dxa"/>
              <w:left w:w="70" w:type="dxa"/>
              <w:bottom w:w="60" w:type="dxa"/>
              <w:right w:w="70" w:type="dxa"/>
            </w:tcMar>
          </w:tcPr>
          <w:p w14:paraId="7D4AA0E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Strengthens epistemological positioning.</w:t>
            </w:r>
          </w:p>
        </w:tc>
        <w:tc>
          <w:tcPr>
            <w:tcW w:w="892" w:type="dxa"/>
            <w:tcMar>
              <w:top w:w="60" w:type="dxa"/>
              <w:left w:w="70" w:type="dxa"/>
              <w:bottom w:w="60" w:type="dxa"/>
              <w:right w:w="70" w:type="dxa"/>
            </w:tcMar>
          </w:tcPr>
          <w:p w14:paraId="330C87D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Explains how fields, institutions and habitus shape what counts as legitimate knowledge. Useful for questio</w:t>
            </w:r>
            <w:r w:rsidRPr="00B3149D">
              <w:rPr>
                <w:rFonts w:ascii="Arial" w:hAnsi="Arial" w:cs="Arial"/>
                <w:sz w:val="20"/>
                <w:szCs w:val="20"/>
              </w:rPr>
              <w:lastRenderedPageBreak/>
              <w:t>ning whose expertise is prioritised in retail forecasting systems.</w:t>
            </w:r>
          </w:p>
        </w:tc>
      </w:tr>
      <w:tr w:rsidR="00794E6A" w:rsidRPr="00B3149D" w14:paraId="498D0D6D" w14:textId="77777777" w:rsidTr="00794E6A">
        <w:tc>
          <w:tcPr>
            <w:tcW w:w="677" w:type="dxa"/>
            <w:tcMar>
              <w:top w:w="60" w:type="dxa"/>
              <w:left w:w="70" w:type="dxa"/>
              <w:bottom w:w="60" w:type="dxa"/>
              <w:right w:w="70" w:type="dxa"/>
            </w:tcMar>
          </w:tcPr>
          <w:p w14:paraId="25FF17C0" w14:textId="77777777" w:rsidR="006E36B0" w:rsidRPr="00B3149D" w:rsidRDefault="006E36B0" w:rsidP="0062377A">
            <w:pPr>
              <w:spacing w:line="360" w:lineRule="auto"/>
              <w:rPr>
                <w:rFonts w:ascii="Arial" w:hAnsi="Arial" w:cs="Arial"/>
                <w:sz w:val="20"/>
                <w:szCs w:val="20"/>
              </w:rPr>
            </w:pPr>
            <w:proofErr w:type="spellStart"/>
            <w:r w:rsidRPr="00B3149D">
              <w:rPr>
                <w:rFonts w:ascii="Arial" w:hAnsi="Arial" w:cs="Arial"/>
                <w:sz w:val="20"/>
                <w:szCs w:val="20"/>
              </w:rPr>
              <w:lastRenderedPageBreak/>
              <w:t>Flyvbjerg</w:t>
            </w:r>
            <w:proofErr w:type="spellEnd"/>
            <w:r w:rsidRPr="00B3149D">
              <w:rPr>
                <w:rFonts w:ascii="Arial" w:hAnsi="Arial" w:cs="Arial"/>
                <w:sz w:val="20"/>
                <w:szCs w:val="20"/>
              </w:rPr>
              <w:t xml:space="preserve"> (2001)</w:t>
            </w:r>
          </w:p>
        </w:tc>
        <w:tc>
          <w:tcPr>
            <w:tcW w:w="1187" w:type="dxa"/>
            <w:tcMar>
              <w:top w:w="60" w:type="dxa"/>
              <w:left w:w="70" w:type="dxa"/>
              <w:bottom w:w="60" w:type="dxa"/>
              <w:right w:w="70" w:type="dxa"/>
            </w:tcMar>
          </w:tcPr>
          <w:p w14:paraId="463EF5F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Theoretical/conceptual</w:t>
            </w:r>
          </w:p>
        </w:tc>
        <w:tc>
          <w:tcPr>
            <w:tcW w:w="1158" w:type="dxa"/>
            <w:tcMar>
              <w:top w:w="60" w:type="dxa"/>
              <w:left w:w="70" w:type="dxa"/>
              <w:bottom w:w="60" w:type="dxa"/>
              <w:right w:w="70" w:type="dxa"/>
            </w:tcMar>
          </w:tcPr>
          <w:p w14:paraId="786E238C" w14:textId="77777777" w:rsidR="006E36B0" w:rsidRPr="00B3149D" w:rsidRDefault="006E36B0" w:rsidP="0062377A">
            <w:pPr>
              <w:spacing w:line="360" w:lineRule="auto"/>
              <w:rPr>
                <w:rFonts w:ascii="Arial" w:hAnsi="Arial" w:cs="Arial"/>
                <w:sz w:val="20"/>
                <w:szCs w:val="20"/>
              </w:rPr>
            </w:pPr>
            <w:proofErr w:type="spellStart"/>
            <w:r w:rsidRPr="00B3149D">
              <w:rPr>
                <w:rFonts w:ascii="Arial" w:hAnsi="Arial" w:cs="Arial"/>
                <w:sz w:val="20"/>
                <w:szCs w:val="20"/>
              </w:rPr>
              <w:t>Phronetic</w:t>
            </w:r>
            <w:proofErr w:type="spellEnd"/>
            <w:r w:rsidRPr="00B3149D">
              <w:rPr>
                <w:rFonts w:ascii="Arial" w:hAnsi="Arial" w:cs="Arial"/>
                <w:sz w:val="20"/>
                <w:szCs w:val="20"/>
              </w:rPr>
              <w:t xml:space="preserve"> review</w:t>
            </w:r>
          </w:p>
        </w:tc>
        <w:tc>
          <w:tcPr>
            <w:tcW w:w="942" w:type="dxa"/>
            <w:tcMar>
              <w:top w:w="60" w:type="dxa"/>
              <w:left w:w="70" w:type="dxa"/>
              <w:bottom w:w="60" w:type="dxa"/>
              <w:right w:w="70" w:type="dxa"/>
            </w:tcMar>
          </w:tcPr>
          <w:p w14:paraId="34569B82" w14:textId="77777777" w:rsidR="006E36B0" w:rsidRPr="00B3149D" w:rsidRDefault="006E36B0" w:rsidP="0062377A">
            <w:pPr>
              <w:spacing w:line="360" w:lineRule="auto"/>
              <w:rPr>
                <w:rFonts w:ascii="Arial" w:hAnsi="Arial" w:cs="Arial"/>
                <w:sz w:val="20"/>
                <w:szCs w:val="20"/>
              </w:rPr>
            </w:pPr>
            <w:proofErr w:type="spellStart"/>
            <w:r w:rsidRPr="00B3149D">
              <w:rPr>
                <w:rFonts w:ascii="Arial" w:hAnsi="Arial" w:cs="Arial"/>
                <w:sz w:val="20"/>
                <w:szCs w:val="20"/>
              </w:rPr>
              <w:t>Phronetic</w:t>
            </w:r>
            <w:proofErr w:type="spellEnd"/>
            <w:r w:rsidRPr="00B3149D">
              <w:rPr>
                <w:rFonts w:ascii="Arial" w:hAnsi="Arial" w:cs="Arial"/>
                <w:sz w:val="20"/>
                <w:szCs w:val="20"/>
              </w:rPr>
              <w:t xml:space="preserve"> social science - Aligns strongly with DBA expectations for actionable, practice-based contribution.</w:t>
            </w:r>
          </w:p>
        </w:tc>
        <w:tc>
          <w:tcPr>
            <w:tcW w:w="1507" w:type="dxa"/>
            <w:tcMar>
              <w:top w:w="60" w:type="dxa"/>
              <w:left w:w="70" w:type="dxa"/>
              <w:bottom w:w="60" w:type="dxa"/>
              <w:right w:w="70" w:type="dxa"/>
            </w:tcMar>
          </w:tcPr>
          <w:p w14:paraId="7998A88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book</w:t>
            </w:r>
          </w:p>
        </w:tc>
        <w:tc>
          <w:tcPr>
            <w:tcW w:w="892" w:type="dxa"/>
            <w:tcMar>
              <w:top w:w="60" w:type="dxa"/>
              <w:left w:w="70" w:type="dxa"/>
              <w:bottom w:w="60" w:type="dxa"/>
              <w:right w:w="70" w:type="dxa"/>
            </w:tcMar>
          </w:tcPr>
          <w:p w14:paraId="70876A1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Argues for context-dependent, practice-relevant knowledge in social research.</w:t>
            </w:r>
          </w:p>
        </w:tc>
        <w:tc>
          <w:tcPr>
            <w:tcW w:w="904" w:type="dxa"/>
            <w:tcMar>
              <w:top w:w="60" w:type="dxa"/>
              <w:left w:w="70" w:type="dxa"/>
              <w:bottom w:w="60" w:type="dxa"/>
              <w:right w:w="70" w:type="dxa"/>
            </w:tcMar>
          </w:tcPr>
          <w:p w14:paraId="15FDBCD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Less operationally specific, but highly useful for practitioner-facing interpretation.</w:t>
            </w:r>
          </w:p>
        </w:tc>
        <w:tc>
          <w:tcPr>
            <w:tcW w:w="857" w:type="dxa"/>
            <w:tcMar>
              <w:top w:w="60" w:type="dxa"/>
              <w:left w:w="70" w:type="dxa"/>
              <w:bottom w:w="60" w:type="dxa"/>
              <w:right w:w="70" w:type="dxa"/>
            </w:tcMar>
          </w:tcPr>
          <w:p w14:paraId="424143E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Helps justify the managerial orientation of the study.</w:t>
            </w:r>
          </w:p>
        </w:tc>
        <w:tc>
          <w:tcPr>
            <w:tcW w:w="892" w:type="dxa"/>
            <w:tcMar>
              <w:top w:w="60" w:type="dxa"/>
              <w:left w:w="70" w:type="dxa"/>
              <w:bottom w:w="60" w:type="dxa"/>
              <w:right w:w="70" w:type="dxa"/>
            </w:tcMar>
          </w:tcPr>
          <w:p w14:paraId="5CD7455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Argues for context-dependent, practice-relevant knowledge in social research. Aligns strongly with DBA expectations for actionable, practice-based contribution.</w:t>
            </w:r>
          </w:p>
        </w:tc>
      </w:tr>
      <w:tr w:rsidR="00794E6A" w:rsidRPr="00B3149D" w14:paraId="3BEC90A0" w14:textId="77777777" w:rsidTr="00794E6A">
        <w:tc>
          <w:tcPr>
            <w:tcW w:w="677" w:type="dxa"/>
            <w:tcMar>
              <w:top w:w="60" w:type="dxa"/>
              <w:left w:w="70" w:type="dxa"/>
              <w:bottom w:w="60" w:type="dxa"/>
              <w:right w:w="70" w:type="dxa"/>
            </w:tcMar>
          </w:tcPr>
          <w:p w14:paraId="4348E61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Foucault </w:t>
            </w:r>
            <w:r w:rsidRPr="00B3149D">
              <w:rPr>
                <w:rFonts w:ascii="Arial" w:hAnsi="Arial" w:cs="Arial"/>
                <w:sz w:val="20"/>
                <w:szCs w:val="20"/>
              </w:rPr>
              <w:lastRenderedPageBreak/>
              <w:t>(1980)</w:t>
            </w:r>
          </w:p>
        </w:tc>
        <w:tc>
          <w:tcPr>
            <w:tcW w:w="1187" w:type="dxa"/>
            <w:tcMar>
              <w:top w:w="60" w:type="dxa"/>
              <w:left w:w="70" w:type="dxa"/>
              <w:bottom w:w="60" w:type="dxa"/>
              <w:right w:w="70" w:type="dxa"/>
            </w:tcMar>
          </w:tcPr>
          <w:p w14:paraId="5EB0C65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Theoretical/conceptual</w:t>
            </w:r>
          </w:p>
        </w:tc>
        <w:tc>
          <w:tcPr>
            <w:tcW w:w="1158" w:type="dxa"/>
            <w:tcMar>
              <w:top w:w="60" w:type="dxa"/>
              <w:left w:w="70" w:type="dxa"/>
              <w:bottom w:w="60" w:type="dxa"/>
              <w:right w:w="70" w:type="dxa"/>
            </w:tcMar>
          </w:tcPr>
          <w:p w14:paraId="3EB6EA3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Critical theory</w:t>
            </w:r>
          </w:p>
        </w:tc>
        <w:tc>
          <w:tcPr>
            <w:tcW w:w="942" w:type="dxa"/>
            <w:tcMar>
              <w:top w:w="60" w:type="dxa"/>
              <w:left w:w="70" w:type="dxa"/>
              <w:bottom w:w="60" w:type="dxa"/>
              <w:right w:w="70" w:type="dxa"/>
            </w:tcMar>
          </w:tcPr>
          <w:p w14:paraId="0A438F8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Power/knowledge - Highly relevant to </w:t>
            </w:r>
            <w:r w:rsidRPr="00B3149D">
              <w:rPr>
                <w:rFonts w:ascii="Arial" w:hAnsi="Arial" w:cs="Arial"/>
                <w:sz w:val="20"/>
                <w:szCs w:val="20"/>
              </w:rPr>
              <w:lastRenderedPageBreak/>
              <w:t>algorithmic decision authority in planning and replenishment.</w:t>
            </w:r>
          </w:p>
        </w:tc>
        <w:tc>
          <w:tcPr>
            <w:tcW w:w="1507" w:type="dxa"/>
            <w:tcMar>
              <w:top w:w="60" w:type="dxa"/>
              <w:left w:w="70" w:type="dxa"/>
              <w:bottom w:w="60" w:type="dxa"/>
              <w:right w:w="70" w:type="dxa"/>
            </w:tcMar>
          </w:tcPr>
          <w:p w14:paraId="5CE50DB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Conceptual collection</w:t>
            </w:r>
          </w:p>
        </w:tc>
        <w:tc>
          <w:tcPr>
            <w:tcW w:w="892" w:type="dxa"/>
            <w:tcMar>
              <w:top w:w="60" w:type="dxa"/>
              <w:left w:w="70" w:type="dxa"/>
              <w:bottom w:w="60" w:type="dxa"/>
              <w:right w:w="70" w:type="dxa"/>
            </w:tcMar>
          </w:tcPr>
          <w:p w14:paraId="5A4B4A9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Shows how knowled</w:t>
            </w:r>
            <w:r w:rsidRPr="00B3149D">
              <w:rPr>
                <w:rFonts w:ascii="Arial" w:hAnsi="Arial" w:cs="Arial"/>
                <w:sz w:val="20"/>
                <w:szCs w:val="20"/>
              </w:rPr>
              <w:lastRenderedPageBreak/>
              <w:t>ge systems redistribute power and authority.</w:t>
            </w:r>
          </w:p>
        </w:tc>
        <w:tc>
          <w:tcPr>
            <w:tcW w:w="904" w:type="dxa"/>
            <w:tcMar>
              <w:top w:w="60" w:type="dxa"/>
              <w:left w:w="70" w:type="dxa"/>
              <w:bottom w:w="60" w:type="dxa"/>
              <w:right w:w="70" w:type="dxa"/>
            </w:tcMar>
          </w:tcPr>
          <w:p w14:paraId="1579766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Needs careful applicati</w:t>
            </w:r>
            <w:r w:rsidRPr="00B3149D">
              <w:rPr>
                <w:rFonts w:ascii="Arial" w:hAnsi="Arial" w:cs="Arial"/>
                <w:sz w:val="20"/>
                <w:szCs w:val="20"/>
              </w:rPr>
              <w:lastRenderedPageBreak/>
              <w:t>on to business settings, but adds depth unavailable in technical papers.</w:t>
            </w:r>
          </w:p>
        </w:tc>
        <w:tc>
          <w:tcPr>
            <w:tcW w:w="857" w:type="dxa"/>
            <w:tcMar>
              <w:top w:w="60" w:type="dxa"/>
              <w:left w:w="70" w:type="dxa"/>
              <w:bottom w:w="60" w:type="dxa"/>
              <w:right w:w="70" w:type="dxa"/>
            </w:tcMar>
          </w:tcPr>
          <w:p w14:paraId="6FBFDDF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Supports analysi</w:t>
            </w:r>
            <w:r w:rsidRPr="00B3149D">
              <w:rPr>
                <w:rFonts w:ascii="Arial" w:hAnsi="Arial" w:cs="Arial"/>
                <w:sz w:val="20"/>
                <w:szCs w:val="20"/>
              </w:rPr>
              <w:lastRenderedPageBreak/>
              <w:t>s of human versus AI decision-making.</w:t>
            </w:r>
          </w:p>
        </w:tc>
        <w:tc>
          <w:tcPr>
            <w:tcW w:w="892" w:type="dxa"/>
            <w:tcMar>
              <w:top w:w="60" w:type="dxa"/>
              <w:left w:w="70" w:type="dxa"/>
              <w:bottom w:w="60" w:type="dxa"/>
              <w:right w:w="70" w:type="dxa"/>
            </w:tcMar>
          </w:tcPr>
          <w:p w14:paraId="2EB39F2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Shows how knowled</w:t>
            </w:r>
            <w:r w:rsidRPr="00B3149D">
              <w:rPr>
                <w:rFonts w:ascii="Arial" w:hAnsi="Arial" w:cs="Arial"/>
                <w:sz w:val="20"/>
                <w:szCs w:val="20"/>
              </w:rPr>
              <w:lastRenderedPageBreak/>
              <w:t>ge systems redistribute power and authority. Highly relevant to algorithmic decision authority in planning and replenishment.</w:t>
            </w:r>
          </w:p>
        </w:tc>
      </w:tr>
      <w:tr w:rsidR="00794E6A" w:rsidRPr="00B3149D" w14:paraId="312ACC03" w14:textId="77777777" w:rsidTr="00794E6A">
        <w:tc>
          <w:tcPr>
            <w:tcW w:w="677" w:type="dxa"/>
            <w:tcMar>
              <w:top w:w="60" w:type="dxa"/>
              <w:left w:w="70" w:type="dxa"/>
              <w:bottom w:w="60" w:type="dxa"/>
              <w:right w:w="70" w:type="dxa"/>
            </w:tcMar>
          </w:tcPr>
          <w:p w14:paraId="7D75299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OECD (2019)</w:t>
            </w:r>
          </w:p>
        </w:tc>
        <w:tc>
          <w:tcPr>
            <w:tcW w:w="1187" w:type="dxa"/>
            <w:tcMar>
              <w:top w:w="60" w:type="dxa"/>
              <w:left w:w="70" w:type="dxa"/>
              <w:bottom w:w="60" w:type="dxa"/>
              <w:right w:w="70" w:type="dxa"/>
            </w:tcMar>
          </w:tcPr>
          <w:p w14:paraId="12C922B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Policy/governance</w:t>
            </w:r>
          </w:p>
        </w:tc>
        <w:tc>
          <w:tcPr>
            <w:tcW w:w="1158" w:type="dxa"/>
            <w:tcMar>
              <w:top w:w="60" w:type="dxa"/>
              <w:left w:w="70" w:type="dxa"/>
              <w:bottom w:w="60" w:type="dxa"/>
              <w:right w:w="70" w:type="dxa"/>
            </w:tcMar>
          </w:tcPr>
          <w:p w14:paraId="49452AA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Normative guidance</w:t>
            </w:r>
          </w:p>
        </w:tc>
        <w:tc>
          <w:tcPr>
            <w:tcW w:w="942" w:type="dxa"/>
            <w:tcMar>
              <w:top w:w="60" w:type="dxa"/>
              <w:left w:w="70" w:type="dxa"/>
              <w:bottom w:w="60" w:type="dxa"/>
              <w:right w:w="70" w:type="dxa"/>
            </w:tcMar>
          </w:tcPr>
          <w:p w14:paraId="7D83468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AI principles - Highlights that performance claims cannot be separated from governance design.</w:t>
            </w:r>
          </w:p>
        </w:tc>
        <w:tc>
          <w:tcPr>
            <w:tcW w:w="1507" w:type="dxa"/>
            <w:tcMar>
              <w:top w:w="60" w:type="dxa"/>
              <w:left w:w="70" w:type="dxa"/>
              <w:bottom w:w="60" w:type="dxa"/>
              <w:right w:w="70" w:type="dxa"/>
            </w:tcMar>
          </w:tcPr>
          <w:p w14:paraId="30348EE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Policy framework</w:t>
            </w:r>
          </w:p>
        </w:tc>
        <w:tc>
          <w:tcPr>
            <w:tcW w:w="892" w:type="dxa"/>
            <w:tcMar>
              <w:top w:w="60" w:type="dxa"/>
              <w:left w:w="70" w:type="dxa"/>
              <w:bottom w:w="60" w:type="dxa"/>
              <w:right w:w="70" w:type="dxa"/>
            </w:tcMar>
          </w:tcPr>
          <w:p w14:paraId="6B5B8EE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Sets principles of fairness, transparency, accountability and robustness for AI systems.</w:t>
            </w:r>
          </w:p>
        </w:tc>
        <w:tc>
          <w:tcPr>
            <w:tcW w:w="904" w:type="dxa"/>
            <w:tcMar>
              <w:top w:w="60" w:type="dxa"/>
              <w:left w:w="70" w:type="dxa"/>
              <w:bottom w:w="60" w:type="dxa"/>
              <w:right w:w="70" w:type="dxa"/>
            </w:tcMar>
          </w:tcPr>
          <w:p w14:paraId="32873E3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Policy-level rather than empirical, but vital for implementation critique.</w:t>
            </w:r>
          </w:p>
        </w:tc>
        <w:tc>
          <w:tcPr>
            <w:tcW w:w="857" w:type="dxa"/>
            <w:tcMar>
              <w:top w:w="60" w:type="dxa"/>
              <w:left w:w="70" w:type="dxa"/>
              <w:bottom w:w="60" w:type="dxa"/>
              <w:right w:w="70" w:type="dxa"/>
            </w:tcMar>
          </w:tcPr>
          <w:p w14:paraId="0969AFD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Useful for governance and trust dimensions.</w:t>
            </w:r>
          </w:p>
        </w:tc>
        <w:tc>
          <w:tcPr>
            <w:tcW w:w="892" w:type="dxa"/>
            <w:tcMar>
              <w:top w:w="60" w:type="dxa"/>
              <w:left w:w="70" w:type="dxa"/>
              <w:bottom w:w="60" w:type="dxa"/>
              <w:right w:w="70" w:type="dxa"/>
            </w:tcMar>
          </w:tcPr>
          <w:p w14:paraId="368BEDB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Sets principles of fairness, transparency, accountability and robustness for AI systems. Highlights that performance </w:t>
            </w:r>
            <w:r w:rsidRPr="00B3149D">
              <w:rPr>
                <w:rFonts w:ascii="Arial" w:hAnsi="Arial" w:cs="Arial"/>
                <w:sz w:val="20"/>
                <w:szCs w:val="20"/>
              </w:rPr>
              <w:lastRenderedPageBreak/>
              <w:t>claims cannot be separated from governance design.</w:t>
            </w:r>
          </w:p>
        </w:tc>
      </w:tr>
      <w:tr w:rsidR="00794E6A" w:rsidRPr="00B3149D" w14:paraId="5D42AF65" w14:textId="77777777" w:rsidTr="00794E6A">
        <w:tc>
          <w:tcPr>
            <w:tcW w:w="677" w:type="dxa"/>
            <w:tcMar>
              <w:top w:w="60" w:type="dxa"/>
              <w:left w:w="70" w:type="dxa"/>
              <w:bottom w:w="60" w:type="dxa"/>
              <w:right w:w="70" w:type="dxa"/>
            </w:tcMar>
          </w:tcPr>
          <w:p w14:paraId="51E15CB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UNESCO (2021)</w:t>
            </w:r>
          </w:p>
        </w:tc>
        <w:tc>
          <w:tcPr>
            <w:tcW w:w="1187" w:type="dxa"/>
            <w:tcMar>
              <w:top w:w="60" w:type="dxa"/>
              <w:left w:w="70" w:type="dxa"/>
              <w:bottom w:w="60" w:type="dxa"/>
              <w:right w:w="70" w:type="dxa"/>
            </w:tcMar>
          </w:tcPr>
          <w:p w14:paraId="4DAEB93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Policy/governance</w:t>
            </w:r>
          </w:p>
        </w:tc>
        <w:tc>
          <w:tcPr>
            <w:tcW w:w="1158" w:type="dxa"/>
            <w:tcMar>
              <w:top w:w="60" w:type="dxa"/>
              <w:left w:w="70" w:type="dxa"/>
              <w:bottom w:w="60" w:type="dxa"/>
              <w:right w:w="70" w:type="dxa"/>
            </w:tcMar>
          </w:tcPr>
          <w:p w14:paraId="4304399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Normative guidance</w:t>
            </w:r>
          </w:p>
        </w:tc>
        <w:tc>
          <w:tcPr>
            <w:tcW w:w="942" w:type="dxa"/>
            <w:tcMar>
              <w:top w:w="60" w:type="dxa"/>
              <w:left w:w="70" w:type="dxa"/>
              <w:bottom w:w="60" w:type="dxa"/>
              <w:right w:w="70" w:type="dxa"/>
            </w:tcMar>
          </w:tcPr>
          <w:p w14:paraId="1421273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Ethics of AI - Extends technical evaluation into ethical and institutional terrain.</w:t>
            </w:r>
          </w:p>
        </w:tc>
        <w:tc>
          <w:tcPr>
            <w:tcW w:w="1507" w:type="dxa"/>
            <w:tcMar>
              <w:top w:w="60" w:type="dxa"/>
              <w:left w:w="70" w:type="dxa"/>
              <w:bottom w:w="60" w:type="dxa"/>
              <w:right w:w="70" w:type="dxa"/>
            </w:tcMar>
          </w:tcPr>
          <w:p w14:paraId="56E999D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Policy framework</w:t>
            </w:r>
          </w:p>
        </w:tc>
        <w:tc>
          <w:tcPr>
            <w:tcW w:w="892" w:type="dxa"/>
            <w:tcMar>
              <w:top w:w="60" w:type="dxa"/>
              <w:left w:w="70" w:type="dxa"/>
              <w:bottom w:w="60" w:type="dxa"/>
              <w:right w:w="70" w:type="dxa"/>
            </w:tcMar>
          </w:tcPr>
          <w:p w14:paraId="5AC0479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Emphasises human oversight, inclusiveness and accountability in AI deployment.</w:t>
            </w:r>
          </w:p>
        </w:tc>
        <w:tc>
          <w:tcPr>
            <w:tcW w:w="904" w:type="dxa"/>
            <w:tcMar>
              <w:top w:w="60" w:type="dxa"/>
              <w:left w:w="70" w:type="dxa"/>
              <w:bottom w:w="60" w:type="dxa"/>
              <w:right w:w="70" w:type="dxa"/>
            </w:tcMar>
          </w:tcPr>
          <w:p w14:paraId="1D874E5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Abstract at times, but highly relevant to organisational AI adoption.</w:t>
            </w:r>
          </w:p>
        </w:tc>
        <w:tc>
          <w:tcPr>
            <w:tcW w:w="857" w:type="dxa"/>
            <w:tcMar>
              <w:top w:w="60" w:type="dxa"/>
              <w:left w:w="70" w:type="dxa"/>
              <w:bottom w:w="60" w:type="dxa"/>
              <w:right w:w="70" w:type="dxa"/>
            </w:tcMar>
          </w:tcPr>
          <w:p w14:paraId="6AD4207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Supports the human-oversight argument.</w:t>
            </w:r>
          </w:p>
        </w:tc>
        <w:tc>
          <w:tcPr>
            <w:tcW w:w="892" w:type="dxa"/>
            <w:tcMar>
              <w:top w:w="60" w:type="dxa"/>
              <w:left w:w="70" w:type="dxa"/>
              <w:bottom w:w="60" w:type="dxa"/>
              <w:right w:w="70" w:type="dxa"/>
            </w:tcMar>
          </w:tcPr>
          <w:p w14:paraId="66EE410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Emphasises human oversight, inclusiveness and accountability in AI deployment. Extends technical evaluation into ethical and institutional terrain.</w:t>
            </w:r>
          </w:p>
        </w:tc>
      </w:tr>
      <w:tr w:rsidR="00794E6A" w:rsidRPr="00B3149D" w14:paraId="7B8450C5" w14:textId="77777777" w:rsidTr="00794E6A">
        <w:tc>
          <w:tcPr>
            <w:tcW w:w="677" w:type="dxa"/>
            <w:tcMar>
              <w:top w:w="60" w:type="dxa"/>
              <w:left w:w="70" w:type="dxa"/>
              <w:bottom w:w="60" w:type="dxa"/>
              <w:right w:w="70" w:type="dxa"/>
            </w:tcMar>
          </w:tcPr>
          <w:p w14:paraId="624F927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Christopher (2016)</w:t>
            </w:r>
          </w:p>
        </w:tc>
        <w:tc>
          <w:tcPr>
            <w:tcW w:w="1187" w:type="dxa"/>
            <w:tcMar>
              <w:top w:w="60" w:type="dxa"/>
              <w:left w:w="70" w:type="dxa"/>
              <w:bottom w:w="60" w:type="dxa"/>
              <w:right w:w="70" w:type="dxa"/>
            </w:tcMar>
          </w:tcPr>
          <w:p w14:paraId="21B2410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Core theory</w:t>
            </w:r>
          </w:p>
        </w:tc>
        <w:tc>
          <w:tcPr>
            <w:tcW w:w="1158" w:type="dxa"/>
            <w:tcMar>
              <w:top w:w="60" w:type="dxa"/>
              <w:left w:w="70" w:type="dxa"/>
              <w:bottom w:w="60" w:type="dxa"/>
              <w:right w:w="70" w:type="dxa"/>
            </w:tcMar>
          </w:tcPr>
          <w:p w14:paraId="4E75C86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foundation</w:t>
            </w:r>
          </w:p>
        </w:tc>
        <w:tc>
          <w:tcPr>
            <w:tcW w:w="942" w:type="dxa"/>
            <w:tcMar>
              <w:top w:w="60" w:type="dxa"/>
              <w:left w:w="70" w:type="dxa"/>
              <w:bottom w:w="60" w:type="dxa"/>
              <w:right w:w="70" w:type="dxa"/>
            </w:tcMar>
          </w:tcPr>
          <w:p w14:paraId="1795812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Supply chain management - Makes clear why forecasting quality matters for cost and </w:t>
            </w:r>
            <w:r w:rsidRPr="00B3149D">
              <w:rPr>
                <w:rFonts w:ascii="Arial" w:hAnsi="Arial" w:cs="Arial"/>
                <w:sz w:val="20"/>
                <w:szCs w:val="20"/>
              </w:rPr>
              <w:lastRenderedPageBreak/>
              <w:t>service outcomes.</w:t>
            </w:r>
          </w:p>
        </w:tc>
        <w:tc>
          <w:tcPr>
            <w:tcW w:w="1507" w:type="dxa"/>
            <w:tcMar>
              <w:top w:w="60" w:type="dxa"/>
              <w:left w:w="70" w:type="dxa"/>
              <w:bottom w:w="60" w:type="dxa"/>
              <w:right w:w="70" w:type="dxa"/>
            </w:tcMar>
          </w:tcPr>
          <w:p w14:paraId="5D89041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Textbook/conceptual</w:t>
            </w:r>
          </w:p>
        </w:tc>
        <w:tc>
          <w:tcPr>
            <w:tcW w:w="892" w:type="dxa"/>
            <w:tcMar>
              <w:top w:w="60" w:type="dxa"/>
              <w:left w:w="70" w:type="dxa"/>
              <w:bottom w:w="60" w:type="dxa"/>
              <w:right w:w="70" w:type="dxa"/>
            </w:tcMar>
          </w:tcPr>
          <w:p w14:paraId="6C6FE74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Positions responsiveness, agility and efficiency as </w:t>
            </w:r>
            <w:r w:rsidRPr="00B3149D">
              <w:rPr>
                <w:rFonts w:ascii="Arial" w:hAnsi="Arial" w:cs="Arial"/>
                <w:sz w:val="20"/>
                <w:szCs w:val="20"/>
              </w:rPr>
              <w:lastRenderedPageBreak/>
              <w:t>central to supply-chain performance.</w:t>
            </w:r>
          </w:p>
        </w:tc>
        <w:tc>
          <w:tcPr>
            <w:tcW w:w="904" w:type="dxa"/>
            <w:tcMar>
              <w:top w:w="60" w:type="dxa"/>
              <w:left w:w="70" w:type="dxa"/>
              <w:bottom w:w="60" w:type="dxa"/>
              <w:right w:w="70" w:type="dxa"/>
            </w:tcMar>
          </w:tcPr>
          <w:p w14:paraId="1C07D28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Pre-AI in emphasis, so it needs updating for digital </w:t>
            </w:r>
            <w:r w:rsidRPr="00B3149D">
              <w:rPr>
                <w:rFonts w:ascii="Arial" w:hAnsi="Arial" w:cs="Arial"/>
                <w:sz w:val="20"/>
                <w:szCs w:val="20"/>
              </w:rPr>
              <w:lastRenderedPageBreak/>
              <w:t>contexts.</w:t>
            </w:r>
          </w:p>
        </w:tc>
        <w:tc>
          <w:tcPr>
            <w:tcW w:w="857" w:type="dxa"/>
            <w:tcMar>
              <w:top w:w="60" w:type="dxa"/>
              <w:left w:w="70" w:type="dxa"/>
              <w:bottom w:w="60" w:type="dxa"/>
              <w:right w:w="70" w:type="dxa"/>
            </w:tcMar>
          </w:tcPr>
          <w:p w14:paraId="7325438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Provides the performance lens for the review.</w:t>
            </w:r>
          </w:p>
        </w:tc>
        <w:tc>
          <w:tcPr>
            <w:tcW w:w="892" w:type="dxa"/>
            <w:tcMar>
              <w:top w:w="60" w:type="dxa"/>
              <w:left w:w="70" w:type="dxa"/>
              <w:bottom w:w="60" w:type="dxa"/>
              <w:right w:w="70" w:type="dxa"/>
            </w:tcMar>
          </w:tcPr>
          <w:p w14:paraId="779DCB1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Positions responsiveness, agility and efficiency as </w:t>
            </w:r>
            <w:r w:rsidRPr="00B3149D">
              <w:rPr>
                <w:rFonts w:ascii="Arial" w:hAnsi="Arial" w:cs="Arial"/>
                <w:sz w:val="20"/>
                <w:szCs w:val="20"/>
              </w:rPr>
              <w:lastRenderedPageBreak/>
              <w:t>central to supply-chain performance. Makes clear why forecasting quality matters for cost and service outcomes.</w:t>
            </w:r>
          </w:p>
        </w:tc>
      </w:tr>
      <w:tr w:rsidR="00794E6A" w:rsidRPr="00B3149D" w14:paraId="74B50356" w14:textId="77777777" w:rsidTr="00794E6A">
        <w:tc>
          <w:tcPr>
            <w:tcW w:w="677" w:type="dxa"/>
            <w:tcMar>
              <w:top w:w="60" w:type="dxa"/>
              <w:left w:w="70" w:type="dxa"/>
              <w:bottom w:w="60" w:type="dxa"/>
              <w:right w:w="70" w:type="dxa"/>
            </w:tcMar>
          </w:tcPr>
          <w:p w14:paraId="1E1B90A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Mentzer et al. (2001)</w:t>
            </w:r>
          </w:p>
        </w:tc>
        <w:tc>
          <w:tcPr>
            <w:tcW w:w="1187" w:type="dxa"/>
            <w:tcMar>
              <w:top w:w="60" w:type="dxa"/>
              <w:left w:w="70" w:type="dxa"/>
              <w:bottom w:w="60" w:type="dxa"/>
              <w:right w:w="70" w:type="dxa"/>
            </w:tcMar>
          </w:tcPr>
          <w:p w14:paraId="228A011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Core theory</w:t>
            </w:r>
          </w:p>
        </w:tc>
        <w:tc>
          <w:tcPr>
            <w:tcW w:w="1158" w:type="dxa"/>
            <w:tcMar>
              <w:top w:w="60" w:type="dxa"/>
              <w:left w:w="70" w:type="dxa"/>
              <w:bottom w:w="60" w:type="dxa"/>
              <w:right w:w="70" w:type="dxa"/>
            </w:tcMar>
          </w:tcPr>
          <w:p w14:paraId="235954D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foundation</w:t>
            </w:r>
          </w:p>
        </w:tc>
        <w:tc>
          <w:tcPr>
            <w:tcW w:w="942" w:type="dxa"/>
            <w:tcMar>
              <w:top w:w="60" w:type="dxa"/>
              <w:left w:w="70" w:type="dxa"/>
              <w:bottom w:w="60" w:type="dxa"/>
              <w:right w:w="70" w:type="dxa"/>
            </w:tcMar>
          </w:tcPr>
          <w:p w14:paraId="35192C8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Supply chain orientation - Supports the argument that forecasting and replenishment must be studied together.</w:t>
            </w:r>
          </w:p>
        </w:tc>
        <w:tc>
          <w:tcPr>
            <w:tcW w:w="1507" w:type="dxa"/>
            <w:tcMar>
              <w:top w:w="60" w:type="dxa"/>
              <w:left w:w="70" w:type="dxa"/>
              <w:bottom w:w="60" w:type="dxa"/>
              <w:right w:w="70" w:type="dxa"/>
            </w:tcMar>
          </w:tcPr>
          <w:p w14:paraId="21CEF2A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892" w:type="dxa"/>
            <w:tcMar>
              <w:top w:w="60" w:type="dxa"/>
              <w:left w:w="70" w:type="dxa"/>
              <w:bottom w:w="60" w:type="dxa"/>
              <w:right w:w="70" w:type="dxa"/>
            </w:tcMar>
          </w:tcPr>
          <w:p w14:paraId="1B3F5A1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Defines the supply chain as a coordinated system rather than a set of isolated functions.</w:t>
            </w:r>
          </w:p>
        </w:tc>
        <w:tc>
          <w:tcPr>
            <w:tcW w:w="904" w:type="dxa"/>
            <w:tcMar>
              <w:top w:w="60" w:type="dxa"/>
              <w:left w:w="70" w:type="dxa"/>
              <w:bottom w:w="60" w:type="dxa"/>
              <w:right w:w="70" w:type="dxa"/>
            </w:tcMar>
          </w:tcPr>
          <w:p w14:paraId="6870F0E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Older source, but still foundational for systems-level thinking.</w:t>
            </w:r>
          </w:p>
        </w:tc>
        <w:tc>
          <w:tcPr>
            <w:tcW w:w="857" w:type="dxa"/>
            <w:tcMar>
              <w:top w:w="60" w:type="dxa"/>
              <w:left w:w="70" w:type="dxa"/>
              <w:bottom w:w="60" w:type="dxa"/>
              <w:right w:w="70" w:type="dxa"/>
            </w:tcMar>
          </w:tcPr>
          <w:p w14:paraId="4FD612F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Anchors the coordination logic of the topic.</w:t>
            </w:r>
          </w:p>
        </w:tc>
        <w:tc>
          <w:tcPr>
            <w:tcW w:w="892" w:type="dxa"/>
            <w:tcMar>
              <w:top w:w="60" w:type="dxa"/>
              <w:left w:w="70" w:type="dxa"/>
              <w:bottom w:w="60" w:type="dxa"/>
              <w:right w:w="70" w:type="dxa"/>
            </w:tcMar>
          </w:tcPr>
          <w:p w14:paraId="62A1CFF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Defines the supply chain as a coordinated system rather than a set of isolated functions. Supports the argument that forecasting and replenis</w:t>
            </w:r>
            <w:r w:rsidRPr="00B3149D">
              <w:rPr>
                <w:rFonts w:ascii="Arial" w:hAnsi="Arial" w:cs="Arial"/>
                <w:sz w:val="20"/>
                <w:szCs w:val="20"/>
              </w:rPr>
              <w:lastRenderedPageBreak/>
              <w:t>hment must be studied together.</w:t>
            </w:r>
          </w:p>
        </w:tc>
      </w:tr>
      <w:tr w:rsidR="00794E6A" w:rsidRPr="00B3149D" w14:paraId="2D80F437" w14:textId="77777777" w:rsidTr="00794E6A">
        <w:tc>
          <w:tcPr>
            <w:tcW w:w="677" w:type="dxa"/>
            <w:tcMar>
              <w:top w:w="60" w:type="dxa"/>
              <w:left w:w="70" w:type="dxa"/>
              <w:bottom w:w="60" w:type="dxa"/>
              <w:right w:w="70" w:type="dxa"/>
            </w:tcMar>
          </w:tcPr>
          <w:p w14:paraId="5F4DDFB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Chopra and </w:t>
            </w:r>
            <w:proofErr w:type="spellStart"/>
            <w:r w:rsidRPr="00B3149D">
              <w:rPr>
                <w:rFonts w:ascii="Arial" w:hAnsi="Arial" w:cs="Arial"/>
                <w:sz w:val="20"/>
                <w:szCs w:val="20"/>
              </w:rPr>
              <w:t>Meindl</w:t>
            </w:r>
            <w:proofErr w:type="spellEnd"/>
            <w:r w:rsidRPr="00B3149D">
              <w:rPr>
                <w:rFonts w:ascii="Arial" w:hAnsi="Arial" w:cs="Arial"/>
                <w:sz w:val="20"/>
                <w:szCs w:val="20"/>
              </w:rPr>
              <w:t xml:space="preserve"> (2019)</w:t>
            </w:r>
          </w:p>
        </w:tc>
        <w:tc>
          <w:tcPr>
            <w:tcW w:w="1187" w:type="dxa"/>
            <w:tcMar>
              <w:top w:w="60" w:type="dxa"/>
              <w:left w:w="70" w:type="dxa"/>
              <w:bottom w:w="60" w:type="dxa"/>
              <w:right w:w="70" w:type="dxa"/>
            </w:tcMar>
          </w:tcPr>
          <w:p w14:paraId="498B876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Core theory</w:t>
            </w:r>
          </w:p>
        </w:tc>
        <w:tc>
          <w:tcPr>
            <w:tcW w:w="1158" w:type="dxa"/>
            <w:tcMar>
              <w:top w:w="60" w:type="dxa"/>
              <w:left w:w="70" w:type="dxa"/>
              <w:bottom w:w="60" w:type="dxa"/>
              <w:right w:w="70" w:type="dxa"/>
            </w:tcMar>
          </w:tcPr>
          <w:p w14:paraId="08D66F2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foundation</w:t>
            </w:r>
          </w:p>
        </w:tc>
        <w:tc>
          <w:tcPr>
            <w:tcW w:w="942" w:type="dxa"/>
            <w:tcMar>
              <w:top w:w="60" w:type="dxa"/>
              <w:left w:w="70" w:type="dxa"/>
              <w:bottom w:w="60" w:type="dxa"/>
              <w:right w:w="70" w:type="dxa"/>
            </w:tcMar>
          </w:tcPr>
          <w:p w14:paraId="25732B3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Operations and supply chain management - Connects forecast quality directly to operational consequences.</w:t>
            </w:r>
          </w:p>
        </w:tc>
        <w:tc>
          <w:tcPr>
            <w:tcW w:w="1507" w:type="dxa"/>
            <w:tcMar>
              <w:top w:w="60" w:type="dxa"/>
              <w:left w:w="70" w:type="dxa"/>
              <w:bottom w:w="60" w:type="dxa"/>
              <w:right w:w="70" w:type="dxa"/>
            </w:tcMar>
          </w:tcPr>
          <w:p w14:paraId="4E4DED7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Textbook/analytical</w:t>
            </w:r>
          </w:p>
        </w:tc>
        <w:tc>
          <w:tcPr>
            <w:tcW w:w="892" w:type="dxa"/>
            <w:tcMar>
              <w:top w:w="60" w:type="dxa"/>
              <w:left w:w="70" w:type="dxa"/>
              <w:bottom w:w="60" w:type="dxa"/>
              <w:right w:w="70" w:type="dxa"/>
            </w:tcMar>
          </w:tcPr>
          <w:p w14:paraId="1E9AE9A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Shows how forecasting affects inventory, transport, capacity and service decisions.</w:t>
            </w:r>
          </w:p>
        </w:tc>
        <w:tc>
          <w:tcPr>
            <w:tcW w:w="904" w:type="dxa"/>
            <w:tcMar>
              <w:top w:w="60" w:type="dxa"/>
              <w:left w:w="70" w:type="dxa"/>
              <w:bottom w:w="60" w:type="dxa"/>
              <w:right w:w="70" w:type="dxa"/>
            </w:tcMar>
          </w:tcPr>
          <w:p w14:paraId="3803AC0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Managerial rather than critical in tone, so needs supplementation with critical sources.</w:t>
            </w:r>
          </w:p>
        </w:tc>
        <w:tc>
          <w:tcPr>
            <w:tcW w:w="857" w:type="dxa"/>
            <w:tcMar>
              <w:top w:w="60" w:type="dxa"/>
              <w:left w:w="70" w:type="dxa"/>
              <w:bottom w:w="60" w:type="dxa"/>
              <w:right w:w="70" w:type="dxa"/>
            </w:tcMar>
          </w:tcPr>
          <w:p w14:paraId="7FEC418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Useful for clarifying dependent performance variables.</w:t>
            </w:r>
          </w:p>
        </w:tc>
        <w:tc>
          <w:tcPr>
            <w:tcW w:w="892" w:type="dxa"/>
            <w:tcMar>
              <w:top w:w="60" w:type="dxa"/>
              <w:left w:w="70" w:type="dxa"/>
              <w:bottom w:w="60" w:type="dxa"/>
              <w:right w:w="70" w:type="dxa"/>
            </w:tcMar>
          </w:tcPr>
          <w:p w14:paraId="259A5A2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Shows how forecasting affects inventory, transport, capacity and service decisions. Connects forecast quality directly to operational consequences.</w:t>
            </w:r>
          </w:p>
        </w:tc>
      </w:tr>
      <w:tr w:rsidR="00794E6A" w:rsidRPr="00B3149D" w14:paraId="3090787F" w14:textId="77777777" w:rsidTr="00794E6A">
        <w:tc>
          <w:tcPr>
            <w:tcW w:w="677" w:type="dxa"/>
            <w:tcMar>
              <w:top w:w="60" w:type="dxa"/>
              <w:left w:w="70" w:type="dxa"/>
              <w:bottom w:w="60" w:type="dxa"/>
              <w:right w:w="70" w:type="dxa"/>
            </w:tcMar>
          </w:tcPr>
          <w:p w14:paraId="4725B35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Waller and Fawcett (2013)</w:t>
            </w:r>
          </w:p>
        </w:tc>
        <w:tc>
          <w:tcPr>
            <w:tcW w:w="1187" w:type="dxa"/>
            <w:tcMar>
              <w:top w:w="60" w:type="dxa"/>
              <w:left w:w="70" w:type="dxa"/>
              <w:bottom w:w="60" w:type="dxa"/>
              <w:right w:w="70" w:type="dxa"/>
            </w:tcMar>
          </w:tcPr>
          <w:p w14:paraId="0C5E679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Emerging theory</w:t>
            </w:r>
          </w:p>
        </w:tc>
        <w:tc>
          <w:tcPr>
            <w:tcW w:w="1158" w:type="dxa"/>
            <w:tcMar>
              <w:top w:w="60" w:type="dxa"/>
              <w:left w:w="70" w:type="dxa"/>
              <w:bottom w:w="60" w:type="dxa"/>
              <w:right w:w="70" w:type="dxa"/>
            </w:tcMar>
          </w:tcPr>
          <w:p w14:paraId="1CB8511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942" w:type="dxa"/>
            <w:tcMar>
              <w:top w:w="60" w:type="dxa"/>
              <w:left w:w="70" w:type="dxa"/>
              <w:bottom w:w="60" w:type="dxa"/>
              <w:right w:w="70" w:type="dxa"/>
            </w:tcMar>
          </w:tcPr>
          <w:p w14:paraId="660C8FC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Big data and SCM - Highlights that data richness alone does not guarantee better decisions.</w:t>
            </w:r>
          </w:p>
        </w:tc>
        <w:tc>
          <w:tcPr>
            <w:tcW w:w="1507" w:type="dxa"/>
            <w:tcMar>
              <w:top w:w="60" w:type="dxa"/>
              <w:left w:w="70" w:type="dxa"/>
              <w:bottom w:w="60" w:type="dxa"/>
              <w:right w:w="70" w:type="dxa"/>
            </w:tcMar>
          </w:tcPr>
          <w:p w14:paraId="0AF5127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892" w:type="dxa"/>
            <w:tcMar>
              <w:top w:w="60" w:type="dxa"/>
              <w:left w:w="70" w:type="dxa"/>
              <w:bottom w:w="60" w:type="dxa"/>
              <w:right w:w="70" w:type="dxa"/>
            </w:tcMar>
          </w:tcPr>
          <w:p w14:paraId="76D185F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Argues that analytics and big data are reshaping supply-chain </w:t>
            </w:r>
            <w:r w:rsidRPr="00B3149D">
              <w:rPr>
                <w:rFonts w:ascii="Arial" w:hAnsi="Arial" w:cs="Arial"/>
                <w:sz w:val="20"/>
                <w:szCs w:val="20"/>
              </w:rPr>
              <w:lastRenderedPageBreak/>
              <w:t>decision processes.</w:t>
            </w:r>
          </w:p>
        </w:tc>
        <w:tc>
          <w:tcPr>
            <w:tcW w:w="904" w:type="dxa"/>
            <w:tcMar>
              <w:top w:w="60" w:type="dxa"/>
              <w:left w:w="70" w:type="dxa"/>
              <w:bottom w:w="60" w:type="dxa"/>
              <w:right w:w="70" w:type="dxa"/>
            </w:tcMar>
          </w:tcPr>
          <w:p w14:paraId="5F0E2E4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Important bridge to AI-era analytics, though early in the </w:t>
            </w:r>
            <w:r w:rsidRPr="00B3149D">
              <w:rPr>
                <w:rFonts w:ascii="Arial" w:hAnsi="Arial" w:cs="Arial"/>
                <w:sz w:val="20"/>
                <w:szCs w:val="20"/>
              </w:rPr>
              <w:lastRenderedPageBreak/>
              <w:t>digital transition.</w:t>
            </w:r>
          </w:p>
        </w:tc>
        <w:tc>
          <w:tcPr>
            <w:tcW w:w="857" w:type="dxa"/>
            <w:tcMar>
              <w:top w:w="60" w:type="dxa"/>
              <w:left w:w="70" w:type="dxa"/>
              <w:bottom w:w="60" w:type="dxa"/>
              <w:right w:w="70" w:type="dxa"/>
            </w:tcMar>
          </w:tcPr>
          <w:p w14:paraId="3E130F5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Supports the move from classical forecasting to AI-enabled </w:t>
            </w:r>
            <w:r w:rsidRPr="00B3149D">
              <w:rPr>
                <w:rFonts w:ascii="Arial" w:hAnsi="Arial" w:cs="Arial"/>
                <w:sz w:val="20"/>
                <w:szCs w:val="20"/>
              </w:rPr>
              <w:lastRenderedPageBreak/>
              <w:t>planning.</w:t>
            </w:r>
          </w:p>
        </w:tc>
        <w:tc>
          <w:tcPr>
            <w:tcW w:w="892" w:type="dxa"/>
            <w:tcMar>
              <w:top w:w="60" w:type="dxa"/>
              <w:left w:w="70" w:type="dxa"/>
              <w:bottom w:w="60" w:type="dxa"/>
              <w:right w:w="70" w:type="dxa"/>
            </w:tcMar>
          </w:tcPr>
          <w:p w14:paraId="7C3FA45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Argues that analytics and big data are reshaping supply-chain </w:t>
            </w:r>
            <w:r w:rsidRPr="00B3149D">
              <w:rPr>
                <w:rFonts w:ascii="Arial" w:hAnsi="Arial" w:cs="Arial"/>
                <w:sz w:val="20"/>
                <w:szCs w:val="20"/>
              </w:rPr>
              <w:lastRenderedPageBreak/>
              <w:t>decision processes. Highlights that data richness alone does not guarantee better decisions.</w:t>
            </w:r>
          </w:p>
        </w:tc>
      </w:tr>
      <w:tr w:rsidR="00794E6A" w:rsidRPr="00B3149D" w14:paraId="16B7C92F" w14:textId="77777777" w:rsidTr="00794E6A">
        <w:tc>
          <w:tcPr>
            <w:tcW w:w="677" w:type="dxa"/>
            <w:tcMar>
              <w:top w:w="60" w:type="dxa"/>
              <w:left w:w="70" w:type="dxa"/>
              <w:bottom w:w="60" w:type="dxa"/>
              <w:right w:w="70" w:type="dxa"/>
            </w:tcMar>
          </w:tcPr>
          <w:p w14:paraId="316B605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Ivanov and </w:t>
            </w:r>
            <w:proofErr w:type="spellStart"/>
            <w:r w:rsidRPr="00B3149D">
              <w:rPr>
                <w:rFonts w:ascii="Arial" w:hAnsi="Arial" w:cs="Arial"/>
                <w:sz w:val="20"/>
                <w:szCs w:val="20"/>
              </w:rPr>
              <w:t>Dolgui</w:t>
            </w:r>
            <w:proofErr w:type="spellEnd"/>
            <w:r w:rsidRPr="00B3149D">
              <w:rPr>
                <w:rFonts w:ascii="Arial" w:hAnsi="Arial" w:cs="Arial"/>
                <w:sz w:val="20"/>
                <w:szCs w:val="20"/>
              </w:rPr>
              <w:t xml:space="preserve"> (2021)</w:t>
            </w:r>
          </w:p>
        </w:tc>
        <w:tc>
          <w:tcPr>
            <w:tcW w:w="1187" w:type="dxa"/>
            <w:tcMar>
              <w:top w:w="60" w:type="dxa"/>
              <w:left w:w="70" w:type="dxa"/>
              <w:bottom w:w="60" w:type="dxa"/>
              <w:right w:w="70" w:type="dxa"/>
            </w:tcMar>
          </w:tcPr>
          <w:p w14:paraId="7F5C29B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Emerging theory</w:t>
            </w:r>
          </w:p>
        </w:tc>
        <w:tc>
          <w:tcPr>
            <w:tcW w:w="1158" w:type="dxa"/>
            <w:tcMar>
              <w:top w:w="60" w:type="dxa"/>
              <w:left w:w="70" w:type="dxa"/>
              <w:bottom w:w="60" w:type="dxa"/>
              <w:right w:w="70" w:type="dxa"/>
            </w:tcMar>
          </w:tcPr>
          <w:p w14:paraId="0DB96D8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Conceptual/review</w:t>
            </w:r>
          </w:p>
        </w:tc>
        <w:tc>
          <w:tcPr>
            <w:tcW w:w="942" w:type="dxa"/>
            <w:tcMar>
              <w:top w:w="60" w:type="dxa"/>
              <w:left w:w="70" w:type="dxa"/>
              <w:bottom w:w="60" w:type="dxa"/>
              <w:right w:w="70" w:type="dxa"/>
            </w:tcMar>
          </w:tcPr>
          <w:p w14:paraId="1DACC83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Digital supply chain resilience - Useful for linking forecasting technologies to wider operational capabilities.</w:t>
            </w:r>
          </w:p>
        </w:tc>
        <w:tc>
          <w:tcPr>
            <w:tcW w:w="1507" w:type="dxa"/>
            <w:tcMar>
              <w:top w:w="60" w:type="dxa"/>
              <w:left w:w="70" w:type="dxa"/>
              <w:bottom w:w="60" w:type="dxa"/>
              <w:right w:w="70" w:type="dxa"/>
            </w:tcMar>
          </w:tcPr>
          <w:p w14:paraId="0889A17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Conceptual paper</w:t>
            </w:r>
          </w:p>
        </w:tc>
        <w:tc>
          <w:tcPr>
            <w:tcW w:w="892" w:type="dxa"/>
            <w:tcMar>
              <w:top w:w="60" w:type="dxa"/>
              <w:left w:w="70" w:type="dxa"/>
              <w:bottom w:w="60" w:type="dxa"/>
              <w:right w:w="70" w:type="dxa"/>
            </w:tcMar>
          </w:tcPr>
          <w:p w14:paraId="2304815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Explains how digital technologies change visibility, resilience and decision speed in supply chains.</w:t>
            </w:r>
          </w:p>
        </w:tc>
        <w:tc>
          <w:tcPr>
            <w:tcW w:w="904" w:type="dxa"/>
            <w:tcMar>
              <w:top w:w="60" w:type="dxa"/>
              <w:left w:w="70" w:type="dxa"/>
              <w:bottom w:w="60" w:type="dxa"/>
              <w:right w:w="70" w:type="dxa"/>
            </w:tcMar>
          </w:tcPr>
          <w:p w14:paraId="7EE2AD0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Broader than retail forecasting, but highly relevant for contextual framing.</w:t>
            </w:r>
          </w:p>
        </w:tc>
        <w:tc>
          <w:tcPr>
            <w:tcW w:w="857" w:type="dxa"/>
            <w:tcMar>
              <w:top w:w="60" w:type="dxa"/>
              <w:left w:w="70" w:type="dxa"/>
              <w:bottom w:w="60" w:type="dxa"/>
              <w:right w:w="70" w:type="dxa"/>
            </w:tcMar>
          </w:tcPr>
          <w:p w14:paraId="5915289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Helps situate forecasting in digital transformation.</w:t>
            </w:r>
          </w:p>
        </w:tc>
        <w:tc>
          <w:tcPr>
            <w:tcW w:w="892" w:type="dxa"/>
            <w:tcMar>
              <w:top w:w="60" w:type="dxa"/>
              <w:left w:w="70" w:type="dxa"/>
              <w:bottom w:w="60" w:type="dxa"/>
              <w:right w:w="70" w:type="dxa"/>
            </w:tcMar>
          </w:tcPr>
          <w:p w14:paraId="1BC2AEC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Explains how digital technologies change visibility, resilience and decision speed in supply chains. Useful for linking forecasting technologies to wider operational </w:t>
            </w:r>
            <w:r w:rsidRPr="00B3149D">
              <w:rPr>
                <w:rFonts w:ascii="Arial" w:hAnsi="Arial" w:cs="Arial"/>
                <w:sz w:val="20"/>
                <w:szCs w:val="20"/>
              </w:rPr>
              <w:lastRenderedPageBreak/>
              <w:t>capabilities.</w:t>
            </w:r>
          </w:p>
        </w:tc>
      </w:tr>
      <w:tr w:rsidR="00794E6A" w:rsidRPr="00B3149D" w14:paraId="4E1A89BC" w14:textId="77777777" w:rsidTr="00794E6A">
        <w:tc>
          <w:tcPr>
            <w:tcW w:w="677" w:type="dxa"/>
            <w:tcMar>
              <w:top w:w="60" w:type="dxa"/>
              <w:left w:w="70" w:type="dxa"/>
              <w:bottom w:w="60" w:type="dxa"/>
              <w:right w:w="70" w:type="dxa"/>
            </w:tcMar>
          </w:tcPr>
          <w:p w14:paraId="23ADCF17" w14:textId="77777777" w:rsidR="006E36B0" w:rsidRPr="00B3149D" w:rsidRDefault="006E36B0" w:rsidP="0062377A">
            <w:pPr>
              <w:spacing w:line="360" w:lineRule="auto"/>
              <w:rPr>
                <w:rFonts w:ascii="Arial" w:hAnsi="Arial" w:cs="Arial"/>
                <w:sz w:val="20"/>
                <w:szCs w:val="20"/>
              </w:rPr>
            </w:pPr>
            <w:proofErr w:type="spellStart"/>
            <w:r w:rsidRPr="00B3149D">
              <w:rPr>
                <w:rFonts w:ascii="Arial" w:hAnsi="Arial" w:cs="Arial"/>
                <w:sz w:val="20"/>
                <w:szCs w:val="20"/>
              </w:rPr>
              <w:lastRenderedPageBreak/>
              <w:t>Toorajipour</w:t>
            </w:r>
            <w:proofErr w:type="spellEnd"/>
            <w:r w:rsidRPr="00B3149D">
              <w:rPr>
                <w:rFonts w:ascii="Arial" w:hAnsi="Arial" w:cs="Arial"/>
                <w:sz w:val="20"/>
                <w:szCs w:val="20"/>
              </w:rPr>
              <w:t xml:space="preserve"> et al. (2021)</w:t>
            </w:r>
          </w:p>
        </w:tc>
        <w:tc>
          <w:tcPr>
            <w:tcW w:w="1187" w:type="dxa"/>
            <w:tcMar>
              <w:top w:w="60" w:type="dxa"/>
              <w:left w:w="70" w:type="dxa"/>
              <w:bottom w:w="60" w:type="dxa"/>
              <w:right w:w="70" w:type="dxa"/>
            </w:tcMar>
          </w:tcPr>
          <w:p w14:paraId="5DEE75F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 paper</w:t>
            </w:r>
          </w:p>
        </w:tc>
        <w:tc>
          <w:tcPr>
            <w:tcW w:w="1158" w:type="dxa"/>
            <w:tcMar>
              <w:top w:w="60" w:type="dxa"/>
              <w:left w:w="70" w:type="dxa"/>
              <w:bottom w:w="60" w:type="dxa"/>
              <w:right w:w="70" w:type="dxa"/>
            </w:tcMar>
          </w:tcPr>
          <w:p w14:paraId="2030E2B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Systematic review</w:t>
            </w:r>
          </w:p>
        </w:tc>
        <w:tc>
          <w:tcPr>
            <w:tcW w:w="942" w:type="dxa"/>
            <w:tcMar>
              <w:top w:w="60" w:type="dxa"/>
              <w:left w:w="70" w:type="dxa"/>
              <w:bottom w:w="60" w:type="dxa"/>
              <w:right w:w="70" w:type="dxa"/>
            </w:tcMar>
          </w:tcPr>
          <w:p w14:paraId="0E77749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AI in supply chain management - Useful for locating forecasting within the wider AI-in-SCM field.</w:t>
            </w:r>
          </w:p>
        </w:tc>
        <w:tc>
          <w:tcPr>
            <w:tcW w:w="1507" w:type="dxa"/>
            <w:tcMar>
              <w:top w:w="60" w:type="dxa"/>
              <w:left w:w="70" w:type="dxa"/>
              <w:bottom w:w="60" w:type="dxa"/>
              <w:right w:w="70" w:type="dxa"/>
            </w:tcMar>
          </w:tcPr>
          <w:p w14:paraId="17C03EA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Systematic review</w:t>
            </w:r>
          </w:p>
        </w:tc>
        <w:tc>
          <w:tcPr>
            <w:tcW w:w="892" w:type="dxa"/>
            <w:tcMar>
              <w:top w:w="60" w:type="dxa"/>
              <w:left w:w="70" w:type="dxa"/>
              <w:bottom w:w="60" w:type="dxa"/>
              <w:right w:w="70" w:type="dxa"/>
            </w:tcMar>
          </w:tcPr>
          <w:p w14:paraId="452FCA22"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Reviews the application of AI across supply-chain functions and identifies implementation opportunities and constraints.</w:t>
            </w:r>
          </w:p>
        </w:tc>
        <w:tc>
          <w:tcPr>
            <w:tcW w:w="904" w:type="dxa"/>
            <w:tcMar>
              <w:top w:w="60" w:type="dxa"/>
              <w:left w:w="70" w:type="dxa"/>
              <w:bottom w:w="60" w:type="dxa"/>
              <w:right w:w="70" w:type="dxa"/>
            </w:tcMar>
          </w:tcPr>
          <w:p w14:paraId="556A48C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Breadth is a strength, though depth on retail replenishment is limited.</w:t>
            </w:r>
          </w:p>
        </w:tc>
        <w:tc>
          <w:tcPr>
            <w:tcW w:w="857" w:type="dxa"/>
            <w:tcMar>
              <w:top w:w="60" w:type="dxa"/>
              <w:left w:w="70" w:type="dxa"/>
              <w:bottom w:w="60" w:type="dxa"/>
              <w:right w:w="70" w:type="dxa"/>
            </w:tcMar>
          </w:tcPr>
          <w:p w14:paraId="6977C12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Helps position the topic within current SCM debates.</w:t>
            </w:r>
          </w:p>
        </w:tc>
        <w:tc>
          <w:tcPr>
            <w:tcW w:w="892" w:type="dxa"/>
            <w:tcMar>
              <w:top w:w="60" w:type="dxa"/>
              <w:left w:w="70" w:type="dxa"/>
              <w:bottom w:w="60" w:type="dxa"/>
              <w:right w:w="70" w:type="dxa"/>
            </w:tcMar>
          </w:tcPr>
          <w:p w14:paraId="3238F4F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Reviews the application of AI across supply-chain functions and identifies implementation opportunities and constraints. Useful for locating forecasting within the wider AI-in-SCM field.</w:t>
            </w:r>
          </w:p>
        </w:tc>
      </w:tr>
      <w:tr w:rsidR="00794E6A" w:rsidRPr="00B3149D" w14:paraId="1072AF21" w14:textId="77777777" w:rsidTr="00794E6A">
        <w:tc>
          <w:tcPr>
            <w:tcW w:w="677" w:type="dxa"/>
            <w:tcMar>
              <w:top w:w="60" w:type="dxa"/>
              <w:left w:w="70" w:type="dxa"/>
              <w:bottom w:w="60" w:type="dxa"/>
              <w:right w:w="70" w:type="dxa"/>
            </w:tcMar>
          </w:tcPr>
          <w:p w14:paraId="6B22E19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Modgil et al. (2022)</w:t>
            </w:r>
          </w:p>
        </w:tc>
        <w:tc>
          <w:tcPr>
            <w:tcW w:w="1187" w:type="dxa"/>
            <w:tcMar>
              <w:top w:w="60" w:type="dxa"/>
              <w:left w:w="70" w:type="dxa"/>
              <w:bottom w:w="60" w:type="dxa"/>
              <w:right w:w="70" w:type="dxa"/>
            </w:tcMar>
          </w:tcPr>
          <w:p w14:paraId="34362897"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 paper</w:t>
            </w:r>
          </w:p>
        </w:tc>
        <w:tc>
          <w:tcPr>
            <w:tcW w:w="1158" w:type="dxa"/>
            <w:tcMar>
              <w:top w:w="60" w:type="dxa"/>
              <w:left w:w="70" w:type="dxa"/>
              <w:bottom w:w="60" w:type="dxa"/>
              <w:right w:w="70" w:type="dxa"/>
            </w:tcMar>
          </w:tcPr>
          <w:p w14:paraId="1CBFF9B5"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Systematic review</w:t>
            </w:r>
          </w:p>
        </w:tc>
        <w:tc>
          <w:tcPr>
            <w:tcW w:w="942" w:type="dxa"/>
            <w:tcMar>
              <w:top w:w="60" w:type="dxa"/>
              <w:left w:w="70" w:type="dxa"/>
              <w:bottom w:w="60" w:type="dxa"/>
              <w:right w:w="70" w:type="dxa"/>
            </w:tcMar>
          </w:tcPr>
          <w:p w14:paraId="0BDB47D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AI and supply-chain sustainability/performance - Highlights the dominance of positivist and </w:t>
            </w:r>
            <w:r w:rsidRPr="00B3149D">
              <w:rPr>
                <w:rFonts w:ascii="Arial" w:hAnsi="Arial" w:cs="Arial"/>
                <w:sz w:val="20"/>
                <w:szCs w:val="20"/>
              </w:rPr>
              <w:lastRenderedPageBreak/>
              <w:t>performance-centric paradigms.</w:t>
            </w:r>
          </w:p>
        </w:tc>
        <w:tc>
          <w:tcPr>
            <w:tcW w:w="1507" w:type="dxa"/>
            <w:tcMar>
              <w:top w:w="60" w:type="dxa"/>
              <w:left w:w="70" w:type="dxa"/>
              <w:bottom w:w="60" w:type="dxa"/>
              <w:right w:w="70" w:type="dxa"/>
            </w:tcMar>
          </w:tcPr>
          <w:p w14:paraId="766071C0"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Systematic review</w:t>
            </w:r>
          </w:p>
        </w:tc>
        <w:tc>
          <w:tcPr>
            <w:tcW w:w="892" w:type="dxa"/>
            <w:tcMar>
              <w:top w:w="60" w:type="dxa"/>
              <w:left w:w="70" w:type="dxa"/>
              <w:bottom w:w="60" w:type="dxa"/>
              <w:right w:w="70" w:type="dxa"/>
            </w:tcMar>
          </w:tcPr>
          <w:p w14:paraId="6CF8C0B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Shows that AI research in supply chains often prioritis</w:t>
            </w:r>
            <w:r w:rsidRPr="00B3149D">
              <w:rPr>
                <w:rFonts w:ascii="Arial" w:hAnsi="Arial" w:cs="Arial"/>
                <w:sz w:val="20"/>
                <w:szCs w:val="20"/>
              </w:rPr>
              <w:lastRenderedPageBreak/>
              <w:t>es optimisation and efficiency outcomes.</w:t>
            </w:r>
          </w:p>
        </w:tc>
        <w:tc>
          <w:tcPr>
            <w:tcW w:w="904" w:type="dxa"/>
            <w:tcMar>
              <w:top w:w="60" w:type="dxa"/>
              <w:left w:w="70" w:type="dxa"/>
              <w:bottom w:w="60" w:type="dxa"/>
              <w:right w:w="70" w:type="dxa"/>
            </w:tcMar>
          </w:tcPr>
          <w:p w14:paraId="1E072BBE"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Broader than forecasting alone, but valuable for </w:t>
            </w:r>
            <w:r w:rsidRPr="00B3149D">
              <w:rPr>
                <w:rFonts w:ascii="Arial" w:hAnsi="Arial" w:cs="Arial"/>
                <w:sz w:val="20"/>
                <w:szCs w:val="20"/>
              </w:rPr>
              <w:lastRenderedPageBreak/>
              <w:t>paradigm critique.</w:t>
            </w:r>
          </w:p>
        </w:tc>
        <w:tc>
          <w:tcPr>
            <w:tcW w:w="857" w:type="dxa"/>
            <w:tcMar>
              <w:top w:w="60" w:type="dxa"/>
              <w:left w:w="70" w:type="dxa"/>
              <w:bottom w:w="60" w:type="dxa"/>
              <w:right w:w="70" w:type="dxa"/>
            </w:tcMar>
          </w:tcPr>
          <w:p w14:paraId="1425CF1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Supports critical assessment of dominant researc</w:t>
            </w:r>
            <w:r w:rsidRPr="00B3149D">
              <w:rPr>
                <w:rFonts w:ascii="Arial" w:hAnsi="Arial" w:cs="Arial"/>
                <w:sz w:val="20"/>
                <w:szCs w:val="20"/>
              </w:rPr>
              <w:lastRenderedPageBreak/>
              <w:t>h tendencies.</w:t>
            </w:r>
          </w:p>
        </w:tc>
        <w:tc>
          <w:tcPr>
            <w:tcW w:w="892" w:type="dxa"/>
            <w:tcMar>
              <w:top w:w="60" w:type="dxa"/>
              <w:left w:w="70" w:type="dxa"/>
              <w:bottom w:w="60" w:type="dxa"/>
              <w:right w:w="70" w:type="dxa"/>
            </w:tcMar>
          </w:tcPr>
          <w:p w14:paraId="0986B8F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Shows that AI research in supply chains often prioritis</w:t>
            </w:r>
            <w:r w:rsidRPr="00B3149D">
              <w:rPr>
                <w:rFonts w:ascii="Arial" w:hAnsi="Arial" w:cs="Arial"/>
                <w:sz w:val="20"/>
                <w:szCs w:val="20"/>
              </w:rPr>
              <w:lastRenderedPageBreak/>
              <w:t>es optimisation and efficiency outcomes. Highlights the dominance of positivist and performance-centric paradigms.</w:t>
            </w:r>
          </w:p>
        </w:tc>
      </w:tr>
      <w:tr w:rsidR="00794E6A" w:rsidRPr="00B3149D" w14:paraId="02C5C366" w14:textId="77777777" w:rsidTr="00794E6A">
        <w:tc>
          <w:tcPr>
            <w:tcW w:w="677" w:type="dxa"/>
            <w:tcMar>
              <w:top w:w="60" w:type="dxa"/>
              <w:left w:w="70" w:type="dxa"/>
              <w:bottom w:w="60" w:type="dxa"/>
              <w:right w:w="70" w:type="dxa"/>
            </w:tcMar>
          </w:tcPr>
          <w:p w14:paraId="1AB53ED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Dwivedi et al. (2021)</w:t>
            </w:r>
          </w:p>
        </w:tc>
        <w:tc>
          <w:tcPr>
            <w:tcW w:w="1187" w:type="dxa"/>
            <w:tcMar>
              <w:top w:w="60" w:type="dxa"/>
              <w:left w:w="70" w:type="dxa"/>
              <w:bottom w:w="60" w:type="dxa"/>
              <w:right w:w="70" w:type="dxa"/>
            </w:tcMar>
          </w:tcPr>
          <w:p w14:paraId="363853E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 paper</w:t>
            </w:r>
          </w:p>
        </w:tc>
        <w:tc>
          <w:tcPr>
            <w:tcW w:w="1158" w:type="dxa"/>
            <w:tcMar>
              <w:top w:w="60" w:type="dxa"/>
              <w:left w:w="70" w:type="dxa"/>
              <w:bottom w:w="60" w:type="dxa"/>
              <w:right w:w="70" w:type="dxa"/>
            </w:tcMar>
          </w:tcPr>
          <w:p w14:paraId="29F7E60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Integrative review</w:t>
            </w:r>
          </w:p>
        </w:tc>
        <w:tc>
          <w:tcPr>
            <w:tcW w:w="942" w:type="dxa"/>
            <w:tcMar>
              <w:top w:w="60" w:type="dxa"/>
              <w:left w:w="70" w:type="dxa"/>
              <w:bottom w:w="60" w:type="dxa"/>
              <w:right w:w="70" w:type="dxa"/>
            </w:tcMar>
          </w:tcPr>
          <w:p w14:paraId="263FEF2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AI adoption in business - Useful for connecting forecasting systems to organisational adoption issues.</w:t>
            </w:r>
          </w:p>
        </w:tc>
        <w:tc>
          <w:tcPr>
            <w:tcW w:w="1507" w:type="dxa"/>
            <w:tcMar>
              <w:top w:w="60" w:type="dxa"/>
              <w:left w:w="70" w:type="dxa"/>
              <w:bottom w:w="60" w:type="dxa"/>
              <w:right w:w="70" w:type="dxa"/>
            </w:tcMar>
          </w:tcPr>
          <w:p w14:paraId="7DC6CB3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Review paper</w:t>
            </w:r>
          </w:p>
        </w:tc>
        <w:tc>
          <w:tcPr>
            <w:tcW w:w="892" w:type="dxa"/>
            <w:tcMar>
              <w:top w:w="60" w:type="dxa"/>
              <w:left w:w="70" w:type="dxa"/>
              <w:bottom w:w="60" w:type="dxa"/>
              <w:right w:w="70" w:type="dxa"/>
            </w:tcMar>
          </w:tcPr>
          <w:p w14:paraId="4E6ED63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Synthesises AI opportunities, risks and organisational challenges across business settings.</w:t>
            </w:r>
          </w:p>
        </w:tc>
        <w:tc>
          <w:tcPr>
            <w:tcW w:w="904" w:type="dxa"/>
            <w:tcMar>
              <w:top w:w="60" w:type="dxa"/>
              <w:left w:w="70" w:type="dxa"/>
              <w:bottom w:w="60" w:type="dxa"/>
              <w:right w:w="70" w:type="dxa"/>
            </w:tcMar>
          </w:tcPr>
          <w:p w14:paraId="0D1D091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Not retail-specific, but strong on governance and implementation tensions.</w:t>
            </w:r>
          </w:p>
        </w:tc>
        <w:tc>
          <w:tcPr>
            <w:tcW w:w="857" w:type="dxa"/>
            <w:tcMar>
              <w:top w:w="60" w:type="dxa"/>
              <w:left w:w="70" w:type="dxa"/>
              <w:bottom w:w="60" w:type="dxa"/>
              <w:right w:w="70" w:type="dxa"/>
            </w:tcMar>
          </w:tcPr>
          <w:p w14:paraId="2DF1D28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Supports the adoption and managerial implications angle.</w:t>
            </w:r>
          </w:p>
        </w:tc>
        <w:tc>
          <w:tcPr>
            <w:tcW w:w="892" w:type="dxa"/>
            <w:tcMar>
              <w:top w:w="60" w:type="dxa"/>
              <w:left w:w="70" w:type="dxa"/>
              <w:bottom w:w="60" w:type="dxa"/>
              <w:right w:w="70" w:type="dxa"/>
            </w:tcMar>
          </w:tcPr>
          <w:p w14:paraId="312565F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Synthesises AI opportunities, risks and organisational challenges across business settings. Useful for connecting forecasting systems </w:t>
            </w:r>
            <w:r w:rsidRPr="00B3149D">
              <w:rPr>
                <w:rFonts w:ascii="Arial" w:hAnsi="Arial" w:cs="Arial"/>
                <w:sz w:val="20"/>
                <w:szCs w:val="20"/>
              </w:rPr>
              <w:lastRenderedPageBreak/>
              <w:t>to organisational adoption issues.</w:t>
            </w:r>
          </w:p>
        </w:tc>
      </w:tr>
      <w:tr w:rsidR="00794E6A" w:rsidRPr="00B3149D" w14:paraId="54945BBC" w14:textId="77777777" w:rsidTr="00794E6A">
        <w:tc>
          <w:tcPr>
            <w:tcW w:w="677" w:type="dxa"/>
            <w:tcMar>
              <w:top w:w="60" w:type="dxa"/>
              <w:left w:w="70" w:type="dxa"/>
              <w:bottom w:w="60" w:type="dxa"/>
              <w:right w:w="70" w:type="dxa"/>
            </w:tcMar>
          </w:tcPr>
          <w:p w14:paraId="77E5CD88" w14:textId="77777777" w:rsidR="006E36B0" w:rsidRPr="00B3149D" w:rsidRDefault="006E36B0" w:rsidP="0062377A">
            <w:pPr>
              <w:spacing w:line="360" w:lineRule="auto"/>
              <w:rPr>
                <w:rFonts w:ascii="Arial" w:hAnsi="Arial" w:cs="Arial"/>
                <w:sz w:val="20"/>
                <w:szCs w:val="20"/>
              </w:rPr>
            </w:pPr>
            <w:proofErr w:type="spellStart"/>
            <w:r w:rsidRPr="00B3149D">
              <w:rPr>
                <w:rFonts w:ascii="Arial" w:hAnsi="Arial" w:cs="Arial"/>
                <w:sz w:val="20"/>
                <w:szCs w:val="20"/>
              </w:rPr>
              <w:lastRenderedPageBreak/>
              <w:t>Donthu</w:t>
            </w:r>
            <w:proofErr w:type="spellEnd"/>
            <w:r w:rsidRPr="00B3149D">
              <w:rPr>
                <w:rFonts w:ascii="Arial" w:hAnsi="Arial" w:cs="Arial"/>
                <w:sz w:val="20"/>
                <w:szCs w:val="20"/>
              </w:rPr>
              <w:t xml:space="preserve"> et al. (2021)</w:t>
            </w:r>
          </w:p>
        </w:tc>
        <w:tc>
          <w:tcPr>
            <w:tcW w:w="1187" w:type="dxa"/>
            <w:tcMar>
              <w:top w:w="60" w:type="dxa"/>
              <w:left w:w="70" w:type="dxa"/>
              <w:bottom w:w="60" w:type="dxa"/>
              <w:right w:w="70" w:type="dxa"/>
            </w:tcMar>
          </w:tcPr>
          <w:p w14:paraId="460AE46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158" w:type="dxa"/>
            <w:tcMar>
              <w:top w:w="60" w:type="dxa"/>
              <w:left w:w="70" w:type="dxa"/>
              <w:bottom w:w="60" w:type="dxa"/>
              <w:right w:w="70" w:type="dxa"/>
            </w:tcMar>
          </w:tcPr>
          <w:p w14:paraId="2AEA0A7B"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Bibliometric guidance</w:t>
            </w:r>
          </w:p>
        </w:tc>
        <w:tc>
          <w:tcPr>
            <w:tcW w:w="942" w:type="dxa"/>
            <w:tcMar>
              <w:top w:w="60" w:type="dxa"/>
              <w:left w:w="70" w:type="dxa"/>
              <w:bottom w:w="60" w:type="dxa"/>
              <w:right w:w="70" w:type="dxa"/>
            </w:tcMar>
          </w:tcPr>
          <w:p w14:paraId="6FA0E53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Bibliometric analysis - Useful if the bibliography later expands into citation mapping.</w:t>
            </w:r>
          </w:p>
        </w:tc>
        <w:tc>
          <w:tcPr>
            <w:tcW w:w="1507" w:type="dxa"/>
            <w:tcMar>
              <w:top w:w="60" w:type="dxa"/>
              <w:left w:w="70" w:type="dxa"/>
              <w:bottom w:w="60" w:type="dxa"/>
              <w:right w:w="70" w:type="dxa"/>
            </w:tcMar>
          </w:tcPr>
          <w:p w14:paraId="0A85D18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 paper</w:t>
            </w:r>
          </w:p>
        </w:tc>
        <w:tc>
          <w:tcPr>
            <w:tcW w:w="892" w:type="dxa"/>
            <w:tcMar>
              <w:top w:w="60" w:type="dxa"/>
              <w:left w:w="70" w:type="dxa"/>
              <w:bottom w:w="60" w:type="dxa"/>
              <w:right w:w="70" w:type="dxa"/>
            </w:tcMar>
          </w:tcPr>
          <w:p w14:paraId="4AC43FEC"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Explains how bibliometric reviews can map field structure, clusters and trends.</w:t>
            </w:r>
          </w:p>
        </w:tc>
        <w:tc>
          <w:tcPr>
            <w:tcW w:w="904" w:type="dxa"/>
            <w:tcMar>
              <w:top w:w="60" w:type="dxa"/>
              <w:left w:w="70" w:type="dxa"/>
              <w:bottom w:w="60" w:type="dxa"/>
              <w:right w:w="70" w:type="dxa"/>
            </w:tcMar>
          </w:tcPr>
          <w:p w14:paraId="65D521B1"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Needs conceptual interpretation to avoid becoming mechanical.</w:t>
            </w:r>
          </w:p>
        </w:tc>
        <w:tc>
          <w:tcPr>
            <w:tcW w:w="857" w:type="dxa"/>
            <w:tcMar>
              <w:top w:w="60" w:type="dxa"/>
              <w:left w:w="70" w:type="dxa"/>
              <w:bottom w:w="60" w:type="dxa"/>
              <w:right w:w="70" w:type="dxa"/>
            </w:tcMar>
          </w:tcPr>
          <w:p w14:paraId="3C7A5EC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Supports future extension of the review design.</w:t>
            </w:r>
          </w:p>
        </w:tc>
        <w:tc>
          <w:tcPr>
            <w:tcW w:w="892" w:type="dxa"/>
            <w:tcMar>
              <w:top w:w="60" w:type="dxa"/>
              <w:left w:w="70" w:type="dxa"/>
              <w:bottom w:w="60" w:type="dxa"/>
              <w:right w:w="70" w:type="dxa"/>
            </w:tcMar>
          </w:tcPr>
          <w:p w14:paraId="3D933CE8"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Explains how bibliometric reviews can map field structure, clusters and trends. Useful if the bibliography later expands into citation mapping.</w:t>
            </w:r>
          </w:p>
        </w:tc>
      </w:tr>
      <w:tr w:rsidR="00794E6A" w:rsidRPr="00B3149D" w14:paraId="33237D60" w14:textId="77777777" w:rsidTr="00794E6A">
        <w:tc>
          <w:tcPr>
            <w:tcW w:w="677" w:type="dxa"/>
            <w:tcMar>
              <w:top w:w="60" w:type="dxa"/>
              <w:left w:w="70" w:type="dxa"/>
              <w:bottom w:w="60" w:type="dxa"/>
              <w:right w:w="70" w:type="dxa"/>
            </w:tcMar>
          </w:tcPr>
          <w:p w14:paraId="5A9011C3"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Arksey and O’Malley (2005)</w:t>
            </w:r>
          </w:p>
        </w:tc>
        <w:tc>
          <w:tcPr>
            <w:tcW w:w="1187" w:type="dxa"/>
            <w:tcMar>
              <w:top w:w="60" w:type="dxa"/>
              <w:left w:w="70" w:type="dxa"/>
              <w:bottom w:w="60" w:type="dxa"/>
              <w:right w:w="70" w:type="dxa"/>
            </w:tcMar>
          </w:tcPr>
          <w:p w14:paraId="64065734"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158" w:type="dxa"/>
            <w:tcMar>
              <w:top w:w="60" w:type="dxa"/>
              <w:left w:w="70" w:type="dxa"/>
              <w:bottom w:w="60" w:type="dxa"/>
              <w:right w:w="70" w:type="dxa"/>
            </w:tcMar>
          </w:tcPr>
          <w:p w14:paraId="624C5F4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Scoping review guidance</w:t>
            </w:r>
          </w:p>
        </w:tc>
        <w:tc>
          <w:tcPr>
            <w:tcW w:w="942" w:type="dxa"/>
            <w:tcMar>
              <w:top w:w="60" w:type="dxa"/>
              <w:left w:w="70" w:type="dxa"/>
              <w:bottom w:w="60" w:type="dxa"/>
              <w:right w:w="70" w:type="dxa"/>
            </w:tcMar>
          </w:tcPr>
          <w:p w14:paraId="26EFE42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Scoping methodology - Helpful for early-stage topic scoping before tighter inclusion criteria are applied.</w:t>
            </w:r>
          </w:p>
        </w:tc>
        <w:tc>
          <w:tcPr>
            <w:tcW w:w="1507" w:type="dxa"/>
            <w:tcMar>
              <w:top w:w="60" w:type="dxa"/>
              <w:left w:w="70" w:type="dxa"/>
              <w:bottom w:w="60" w:type="dxa"/>
              <w:right w:w="70" w:type="dxa"/>
            </w:tcMar>
          </w:tcPr>
          <w:p w14:paraId="5C10C9AA"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Method paper</w:t>
            </w:r>
          </w:p>
        </w:tc>
        <w:tc>
          <w:tcPr>
            <w:tcW w:w="892" w:type="dxa"/>
            <w:tcMar>
              <w:top w:w="60" w:type="dxa"/>
              <w:left w:w="70" w:type="dxa"/>
              <w:bottom w:w="60" w:type="dxa"/>
              <w:right w:w="70" w:type="dxa"/>
            </w:tcMar>
          </w:tcPr>
          <w:p w14:paraId="0B15779F"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Provides a framework for mapping fragmented fields where </w:t>
            </w:r>
            <w:r w:rsidRPr="00B3149D">
              <w:rPr>
                <w:rFonts w:ascii="Arial" w:hAnsi="Arial" w:cs="Arial"/>
                <w:sz w:val="20"/>
                <w:szCs w:val="20"/>
              </w:rPr>
              <w:lastRenderedPageBreak/>
              <w:t>concepts and boundaries remain fluid.</w:t>
            </w:r>
          </w:p>
        </w:tc>
        <w:tc>
          <w:tcPr>
            <w:tcW w:w="904" w:type="dxa"/>
            <w:tcMar>
              <w:top w:w="60" w:type="dxa"/>
              <w:left w:w="70" w:type="dxa"/>
              <w:bottom w:w="60" w:type="dxa"/>
              <w:right w:w="70" w:type="dxa"/>
            </w:tcMar>
          </w:tcPr>
          <w:p w14:paraId="519AC1B6"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 xml:space="preserve">Not sufficient alone for a final doctoral CLR, but useful in </w:t>
            </w:r>
            <w:r w:rsidRPr="00B3149D">
              <w:rPr>
                <w:rFonts w:ascii="Arial" w:hAnsi="Arial" w:cs="Arial"/>
                <w:sz w:val="20"/>
                <w:szCs w:val="20"/>
              </w:rPr>
              <w:lastRenderedPageBreak/>
              <w:t>early design.</w:t>
            </w:r>
          </w:p>
        </w:tc>
        <w:tc>
          <w:tcPr>
            <w:tcW w:w="857" w:type="dxa"/>
            <w:tcMar>
              <w:top w:w="60" w:type="dxa"/>
              <w:left w:w="70" w:type="dxa"/>
              <w:bottom w:w="60" w:type="dxa"/>
              <w:right w:w="70" w:type="dxa"/>
            </w:tcMar>
          </w:tcPr>
          <w:p w14:paraId="390650BD"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lastRenderedPageBreak/>
              <w:t>Supports search-strategy development.</w:t>
            </w:r>
          </w:p>
        </w:tc>
        <w:tc>
          <w:tcPr>
            <w:tcW w:w="892" w:type="dxa"/>
            <w:tcMar>
              <w:top w:w="60" w:type="dxa"/>
              <w:left w:w="70" w:type="dxa"/>
              <w:bottom w:w="60" w:type="dxa"/>
              <w:right w:w="70" w:type="dxa"/>
            </w:tcMar>
          </w:tcPr>
          <w:p w14:paraId="42543289" w14:textId="77777777" w:rsidR="006E36B0" w:rsidRPr="00B3149D" w:rsidRDefault="006E36B0" w:rsidP="0062377A">
            <w:pPr>
              <w:spacing w:line="360" w:lineRule="auto"/>
              <w:rPr>
                <w:rFonts w:ascii="Arial" w:hAnsi="Arial" w:cs="Arial"/>
                <w:sz w:val="20"/>
                <w:szCs w:val="20"/>
              </w:rPr>
            </w:pPr>
            <w:r w:rsidRPr="00B3149D">
              <w:rPr>
                <w:rFonts w:ascii="Arial" w:hAnsi="Arial" w:cs="Arial"/>
                <w:sz w:val="20"/>
                <w:szCs w:val="20"/>
              </w:rPr>
              <w:t xml:space="preserve">Provides a framework for mapping fragmented fields where </w:t>
            </w:r>
            <w:r w:rsidRPr="00B3149D">
              <w:rPr>
                <w:rFonts w:ascii="Arial" w:hAnsi="Arial" w:cs="Arial"/>
                <w:sz w:val="20"/>
                <w:szCs w:val="20"/>
              </w:rPr>
              <w:lastRenderedPageBreak/>
              <w:t>concepts and boundaries remain fluid. Helpful for early-stage topic scoping before tighter inclusion criteria are applied.</w:t>
            </w:r>
          </w:p>
        </w:tc>
      </w:tr>
    </w:tbl>
    <w:p w14:paraId="66F55336" w14:textId="77777777" w:rsidR="00794E6A" w:rsidRPr="00B3149D" w:rsidRDefault="006E36B0" w:rsidP="0062377A">
      <w:pPr>
        <w:spacing w:before="120" w:line="360" w:lineRule="auto"/>
        <w:rPr>
          <w:rFonts w:ascii="Arial" w:eastAsia="Aptos" w:hAnsi="Arial" w:cs="Arial"/>
          <w:lang w:val="en"/>
        </w:rPr>
      </w:pPr>
      <w:r w:rsidRPr="00B3149D">
        <w:rPr>
          <w:rFonts w:ascii="Arial" w:hAnsi="Arial" w:cs="Arial"/>
          <w:b/>
        </w:rPr>
        <w:br/>
      </w:r>
      <w:r w:rsidR="00794E6A" w:rsidRPr="00B3149D">
        <w:rPr>
          <w:rFonts w:ascii="Arial" w:eastAsia="Aptos" w:hAnsi="Arial" w:cs="Arial"/>
          <w:lang w:val="en"/>
        </w:rPr>
        <w:t>Synthesis: These sources agree that a DBA literature review must be concept-led, explicit about method, and oriented toward contribution rather than description. They also show that criticality requires more than bias-checking: it requires problematization, epistemological awareness and reflexive positioning. What is missing in much of the foundational review-method literature is a direct application to AI-enabled retail decision systems, which this study supplies.</w:t>
      </w:r>
    </w:p>
    <w:p w14:paraId="7AF2E337" w14:textId="77777777" w:rsidR="00794E6A" w:rsidRPr="00B3149D" w:rsidRDefault="00794E6A" w:rsidP="0062377A">
      <w:pPr>
        <w:spacing w:before="200" w:after="120" w:line="360" w:lineRule="auto"/>
        <w:rPr>
          <w:rFonts w:ascii="Arial" w:eastAsia="Aptos" w:hAnsi="Arial" w:cs="Arial"/>
          <w:lang w:val="en"/>
        </w:rPr>
      </w:pPr>
      <w:r w:rsidRPr="00B3149D">
        <w:rPr>
          <w:rFonts w:ascii="Arial" w:hAnsi="Arial" w:cs="Arial"/>
        </w:rPr>
        <w:br/>
      </w:r>
      <w:r w:rsidRPr="00B3149D">
        <w:rPr>
          <w:rFonts w:ascii="Arial" w:hAnsi="Arial" w:cs="Arial"/>
        </w:rPr>
        <w:br/>
      </w:r>
      <w:r w:rsidRPr="00B3149D">
        <w:rPr>
          <w:rFonts w:ascii="Arial" w:hAnsi="Arial" w:cs="Arial"/>
        </w:rPr>
        <w:br/>
      </w:r>
      <w:r w:rsidRPr="00B3149D">
        <w:rPr>
          <w:rFonts w:ascii="Arial" w:eastAsia="Aptos" w:hAnsi="Arial" w:cs="Arial"/>
          <w:b/>
          <w:color w:val="4F81BD"/>
          <w:lang w:val="en"/>
        </w:rPr>
        <w:t>Theme 2: Empirical retail forecasting and replenishment</w:t>
      </w:r>
    </w:p>
    <w:tbl>
      <w:tblPr>
        <w:tblStyle w:val="TableGrid"/>
        <w:tblW w:w="0" w:type="auto"/>
        <w:tblLook w:val="04A0" w:firstRow="1" w:lastRow="0" w:firstColumn="1" w:lastColumn="0" w:noHBand="0" w:noVBand="1"/>
      </w:tblPr>
      <w:tblGrid>
        <w:gridCol w:w="794"/>
        <w:gridCol w:w="1203"/>
        <w:gridCol w:w="1242"/>
        <w:gridCol w:w="902"/>
        <w:gridCol w:w="1216"/>
        <w:gridCol w:w="902"/>
        <w:gridCol w:w="959"/>
        <w:gridCol w:w="896"/>
        <w:gridCol w:w="902"/>
      </w:tblGrid>
      <w:tr w:rsidR="00794E6A" w:rsidRPr="00B3149D" w14:paraId="23082D51" w14:textId="77777777" w:rsidTr="00794E6A">
        <w:tc>
          <w:tcPr>
            <w:tcW w:w="794" w:type="dxa"/>
            <w:shd w:val="clear" w:color="auto" w:fill="D9EAF7"/>
            <w:tcMar>
              <w:top w:w="60" w:type="dxa"/>
              <w:left w:w="70" w:type="dxa"/>
              <w:bottom w:w="60" w:type="dxa"/>
              <w:right w:w="70" w:type="dxa"/>
            </w:tcMar>
          </w:tcPr>
          <w:p w14:paraId="1C0A020C"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Citation</w:t>
            </w:r>
          </w:p>
        </w:tc>
        <w:tc>
          <w:tcPr>
            <w:tcW w:w="1203" w:type="dxa"/>
            <w:shd w:val="clear" w:color="auto" w:fill="D9EAF7"/>
            <w:tcMar>
              <w:top w:w="60" w:type="dxa"/>
              <w:left w:w="70" w:type="dxa"/>
              <w:bottom w:w="60" w:type="dxa"/>
              <w:right w:w="70" w:type="dxa"/>
            </w:tcMar>
          </w:tcPr>
          <w:p w14:paraId="46FD4380"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Literature Type</w:t>
            </w:r>
          </w:p>
        </w:tc>
        <w:tc>
          <w:tcPr>
            <w:tcW w:w="1241" w:type="dxa"/>
            <w:shd w:val="clear" w:color="auto" w:fill="D9EAF7"/>
            <w:tcMar>
              <w:top w:w="60" w:type="dxa"/>
              <w:left w:w="70" w:type="dxa"/>
              <w:bottom w:w="60" w:type="dxa"/>
              <w:right w:w="70" w:type="dxa"/>
            </w:tcMar>
          </w:tcPr>
          <w:p w14:paraId="7D1367BA"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Review Type</w:t>
            </w:r>
          </w:p>
        </w:tc>
        <w:tc>
          <w:tcPr>
            <w:tcW w:w="902" w:type="dxa"/>
            <w:shd w:val="clear" w:color="auto" w:fill="D9EAF7"/>
            <w:tcMar>
              <w:top w:w="60" w:type="dxa"/>
              <w:left w:w="70" w:type="dxa"/>
              <w:bottom w:w="60" w:type="dxa"/>
              <w:right w:w="70" w:type="dxa"/>
            </w:tcMar>
          </w:tcPr>
          <w:p w14:paraId="6C7F4FCA"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Key Insight</w:t>
            </w:r>
          </w:p>
        </w:tc>
        <w:tc>
          <w:tcPr>
            <w:tcW w:w="1216" w:type="dxa"/>
            <w:shd w:val="clear" w:color="auto" w:fill="D9EAF7"/>
            <w:tcMar>
              <w:top w:w="60" w:type="dxa"/>
              <w:left w:w="70" w:type="dxa"/>
              <w:bottom w:w="60" w:type="dxa"/>
              <w:right w:w="70" w:type="dxa"/>
            </w:tcMar>
          </w:tcPr>
          <w:p w14:paraId="6B24F716"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Theoretical Lens</w:t>
            </w:r>
          </w:p>
        </w:tc>
        <w:tc>
          <w:tcPr>
            <w:tcW w:w="902" w:type="dxa"/>
            <w:shd w:val="clear" w:color="auto" w:fill="D9EAF7"/>
            <w:tcMar>
              <w:top w:w="60" w:type="dxa"/>
              <w:left w:w="70" w:type="dxa"/>
              <w:bottom w:w="60" w:type="dxa"/>
              <w:right w:w="70" w:type="dxa"/>
            </w:tcMar>
          </w:tcPr>
          <w:p w14:paraId="0427E6D4"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Methodology</w:t>
            </w:r>
          </w:p>
        </w:tc>
        <w:tc>
          <w:tcPr>
            <w:tcW w:w="960" w:type="dxa"/>
            <w:shd w:val="clear" w:color="auto" w:fill="D9EAF7"/>
            <w:tcMar>
              <w:top w:w="60" w:type="dxa"/>
              <w:left w:w="70" w:type="dxa"/>
              <w:bottom w:w="60" w:type="dxa"/>
              <w:right w:w="70" w:type="dxa"/>
            </w:tcMar>
          </w:tcPr>
          <w:p w14:paraId="09CF12C9"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Critical Evaluation</w:t>
            </w:r>
          </w:p>
        </w:tc>
        <w:tc>
          <w:tcPr>
            <w:tcW w:w="896" w:type="dxa"/>
            <w:shd w:val="clear" w:color="auto" w:fill="D9EAF7"/>
            <w:tcMar>
              <w:top w:w="60" w:type="dxa"/>
              <w:left w:w="70" w:type="dxa"/>
              <w:bottom w:w="60" w:type="dxa"/>
              <w:right w:w="70" w:type="dxa"/>
            </w:tcMar>
          </w:tcPr>
          <w:p w14:paraId="68104C3C"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Relevance</w:t>
            </w:r>
          </w:p>
        </w:tc>
        <w:tc>
          <w:tcPr>
            <w:tcW w:w="902" w:type="dxa"/>
            <w:shd w:val="clear" w:color="auto" w:fill="D9EAF7"/>
            <w:tcMar>
              <w:top w:w="60" w:type="dxa"/>
              <w:left w:w="70" w:type="dxa"/>
              <w:bottom w:w="60" w:type="dxa"/>
              <w:right w:w="70" w:type="dxa"/>
            </w:tcMar>
          </w:tcPr>
          <w:p w14:paraId="544981DF"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Example Description</w:t>
            </w:r>
          </w:p>
        </w:tc>
      </w:tr>
      <w:tr w:rsidR="00794E6A" w:rsidRPr="00B3149D" w14:paraId="503B4D31" w14:textId="77777777" w:rsidTr="00794E6A">
        <w:tc>
          <w:tcPr>
            <w:tcW w:w="794" w:type="dxa"/>
            <w:tcMar>
              <w:top w:w="60" w:type="dxa"/>
              <w:left w:w="70" w:type="dxa"/>
              <w:bottom w:w="60" w:type="dxa"/>
              <w:right w:w="70" w:type="dxa"/>
            </w:tcMar>
          </w:tcPr>
          <w:p w14:paraId="0BBF4615"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Fildes</w:t>
            </w:r>
            <w:proofErr w:type="spellEnd"/>
            <w:r w:rsidRPr="00B3149D">
              <w:rPr>
                <w:rFonts w:ascii="Arial" w:hAnsi="Arial" w:cs="Arial"/>
                <w:sz w:val="20"/>
                <w:szCs w:val="20"/>
              </w:rPr>
              <w:t xml:space="preserve">, Ma and </w:t>
            </w:r>
            <w:proofErr w:type="spellStart"/>
            <w:r w:rsidRPr="00B3149D">
              <w:rPr>
                <w:rFonts w:ascii="Arial" w:hAnsi="Arial" w:cs="Arial"/>
                <w:sz w:val="20"/>
                <w:szCs w:val="20"/>
              </w:rPr>
              <w:t>Kolassa</w:t>
            </w:r>
            <w:proofErr w:type="spellEnd"/>
            <w:r w:rsidRPr="00B3149D">
              <w:rPr>
                <w:rFonts w:ascii="Arial" w:hAnsi="Arial" w:cs="Arial"/>
                <w:sz w:val="20"/>
                <w:szCs w:val="20"/>
              </w:rPr>
              <w:t xml:space="preserve"> (2022)</w:t>
            </w:r>
          </w:p>
        </w:tc>
        <w:tc>
          <w:tcPr>
            <w:tcW w:w="1203" w:type="dxa"/>
            <w:tcMar>
              <w:top w:w="60" w:type="dxa"/>
              <w:left w:w="70" w:type="dxa"/>
              <w:bottom w:w="60" w:type="dxa"/>
              <w:right w:w="70" w:type="dxa"/>
            </w:tcMar>
          </w:tcPr>
          <w:p w14:paraId="43F05C4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review</w:t>
            </w:r>
          </w:p>
        </w:tc>
        <w:tc>
          <w:tcPr>
            <w:tcW w:w="1241" w:type="dxa"/>
            <w:tcMar>
              <w:top w:w="60" w:type="dxa"/>
              <w:left w:w="70" w:type="dxa"/>
              <w:bottom w:w="60" w:type="dxa"/>
              <w:right w:w="70" w:type="dxa"/>
            </w:tcMar>
          </w:tcPr>
          <w:p w14:paraId="771223E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Narrative/systematic retail review</w:t>
            </w:r>
          </w:p>
        </w:tc>
        <w:tc>
          <w:tcPr>
            <w:tcW w:w="902" w:type="dxa"/>
            <w:tcMar>
              <w:top w:w="60" w:type="dxa"/>
              <w:left w:w="70" w:type="dxa"/>
              <w:bottom w:w="60" w:type="dxa"/>
              <w:right w:w="70" w:type="dxa"/>
            </w:tcMar>
          </w:tcPr>
          <w:p w14:paraId="0DF75F2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forecasting - Shows why retail forecasting is unusually complex and context-sensitive.</w:t>
            </w:r>
          </w:p>
        </w:tc>
        <w:tc>
          <w:tcPr>
            <w:tcW w:w="1216" w:type="dxa"/>
            <w:tcMar>
              <w:top w:w="60" w:type="dxa"/>
              <w:left w:w="70" w:type="dxa"/>
              <w:bottom w:w="60" w:type="dxa"/>
              <w:right w:w="70" w:type="dxa"/>
            </w:tcMar>
          </w:tcPr>
          <w:p w14:paraId="660960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902" w:type="dxa"/>
            <w:tcMar>
              <w:top w:w="60" w:type="dxa"/>
              <w:left w:w="70" w:type="dxa"/>
              <w:bottom w:w="60" w:type="dxa"/>
              <w:right w:w="70" w:type="dxa"/>
            </w:tcMar>
          </w:tcPr>
          <w:p w14:paraId="10C84E2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strategic and operational retail forecasting problems and the role of promotions and dimensionality.</w:t>
            </w:r>
          </w:p>
        </w:tc>
        <w:tc>
          <w:tcPr>
            <w:tcW w:w="960" w:type="dxa"/>
            <w:tcMar>
              <w:top w:w="60" w:type="dxa"/>
              <w:left w:w="70" w:type="dxa"/>
              <w:bottom w:w="60" w:type="dxa"/>
              <w:right w:w="70" w:type="dxa"/>
            </w:tcMar>
          </w:tcPr>
          <w:p w14:paraId="6F6B938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Seminal for the topic, though it notes evidence on newer ML methods is still evolving.</w:t>
            </w:r>
          </w:p>
        </w:tc>
        <w:tc>
          <w:tcPr>
            <w:tcW w:w="896" w:type="dxa"/>
            <w:tcMar>
              <w:top w:w="60" w:type="dxa"/>
              <w:left w:w="70" w:type="dxa"/>
              <w:bottom w:w="60" w:type="dxa"/>
              <w:right w:w="70" w:type="dxa"/>
            </w:tcMar>
          </w:tcPr>
          <w:p w14:paraId="0D07559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Directly relevant to the retail focus.</w:t>
            </w:r>
          </w:p>
        </w:tc>
        <w:tc>
          <w:tcPr>
            <w:tcW w:w="902" w:type="dxa"/>
            <w:tcMar>
              <w:top w:w="60" w:type="dxa"/>
              <w:left w:w="70" w:type="dxa"/>
              <w:bottom w:w="60" w:type="dxa"/>
              <w:right w:w="70" w:type="dxa"/>
            </w:tcMar>
          </w:tcPr>
          <w:p w14:paraId="6D6B80D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strategic and operational retail forecasting problems and the role of promotions and dimensionality. Shows why retail forecasting is unusually complex and context-sensitive.</w:t>
            </w:r>
          </w:p>
        </w:tc>
      </w:tr>
      <w:tr w:rsidR="00794E6A" w:rsidRPr="00B3149D" w14:paraId="74D75064" w14:textId="77777777" w:rsidTr="00794E6A">
        <w:tc>
          <w:tcPr>
            <w:tcW w:w="794" w:type="dxa"/>
            <w:tcMar>
              <w:top w:w="60" w:type="dxa"/>
              <w:left w:w="70" w:type="dxa"/>
              <w:bottom w:w="60" w:type="dxa"/>
              <w:right w:w="70" w:type="dxa"/>
            </w:tcMar>
          </w:tcPr>
          <w:p w14:paraId="0E0D1F8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Huber et al. (2020)</w:t>
            </w:r>
          </w:p>
        </w:tc>
        <w:tc>
          <w:tcPr>
            <w:tcW w:w="1203" w:type="dxa"/>
            <w:tcMar>
              <w:top w:w="60" w:type="dxa"/>
              <w:left w:w="70" w:type="dxa"/>
              <w:bottom w:w="60" w:type="dxa"/>
              <w:right w:w="70" w:type="dxa"/>
            </w:tcMar>
          </w:tcPr>
          <w:p w14:paraId="28803A6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5A4CE3D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ML application</w:t>
            </w:r>
          </w:p>
        </w:tc>
        <w:tc>
          <w:tcPr>
            <w:tcW w:w="902" w:type="dxa"/>
            <w:tcMar>
              <w:top w:w="60" w:type="dxa"/>
              <w:left w:w="70" w:type="dxa"/>
              <w:bottom w:w="60" w:type="dxa"/>
              <w:right w:w="70" w:type="dxa"/>
            </w:tcMar>
          </w:tcPr>
          <w:p w14:paraId="52CCD2C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Daily retail demand forecasting - Demonstrates practical forecasting gains in a real </w:t>
            </w:r>
            <w:r w:rsidRPr="00B3149D">
              <w:rPr>
                <w:rFonts w:ascii="Arial" w:hAnsi="Arial" w:cs="Arial"/>
                <w:sz w:val="20"/>
                <w:szCs w:val="20"/>
              </w:rPr>
              <w:lastRenderedPageBreak/>
              <w:t>retail context.</w:t>
            </w:r>
          </w:p>
        </w:tc>
        <w:tc>
          <w:tcPr>
            <w:tcW w:w="1216" w:type="dxa"/>
            <w:tcMar>
              <w:top w:w="60" w:type="dxa"/>
              <w:left w:w="70" w:type="dxa"/>
              <w:bottom w:w="60" w:type="dxa"/>
              <w:right w:w="70" w:type="dxa"/>
            </w:tcMar>
          </w:tcPr>
          <w:p w14:paraId="16BF97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empirical</w:t>
            </w:r>
          </w:p>
        </w:tc>
        <w:tc>
          <w:tcPr>
            <w:tcW w:w="902" w:type="dxa"/>
            <w:tcMar>
              <w:top w:w="60" w:type="dxa"/>
              <w:left w:w="70" w:type="dxa"/>
              <w:bottom w:w="60" w:type="dxa"/>
              <w:right w:w="70" w:type="dxa"/>
            </w:tcMar>
          </w:tcPr>
          <w:p w14:paraId="4F3630A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Compares ML methods for daily retail forecasting with special-day effects and </w:t>
            </w:r>
            <w:r w:rsidRPr="00B3149D">
              <w:rPr>
                <w:rFonts w:ascii="Arial" w:hAnsi="Arial" w:cs="Arial"/>
                <w:sz w:val="20"/>
                <w:szCs w:val="20"/>
              </w:rPr>
              <w:lastRenderedPageBreak/>
              <w:t>finds ML superiority in a large-scale retail setting.</w:t>
            </w:r>
          </w:p>
        </w:tc>
        <w:tc>
          <w:tcPr>
            <w:tcW w:w="960" w:type="dxa"/>
            <w:tcMar>
              <w:top w:w="60" w:type="dxa"/>
              <w:left w:w="70" w:type="dxa"/>
              <w:bottom w:w="60" w:type="dxa"/>
              <w:right w:w="70" w:type="dxa"/>
            </w:tcMar>
          </w:tcPr>
          <w:p w14:paraId="6CF65B6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Strong operational relevance, though focused on demand accuracy more than </w:t>
            </w:r>
            <w:r w:rsidRPr="00B3149D">
              <w:rPr>
                <w:rFonts w:ascii="Arial" w:hAnsi="Arial" w:cs="Arial"/>
                <w:sz w:val="20"/>
                <w:szCs w:val="20"/>
              </w:rPr>
              <w:lastRenderedPageBreak/>
              <w:t>replenishment outcomes.</w:t>
            </w:r>
          </w:p>
        </w:tc>
        <w:tc>
          <w:tcPr>
            <w:tcW w:w="896" w:type="dxa"/>
            <w:tcMar>
              <w:top w:w="60" w:type="dxa"/>
              <w:left w:w="70" w:type="dxa"/>
              <w:bottom w:w="60" w:type="dxa"/>
              <w:right w:w="70" w:type="dxa"/>
            </w:tcMar>
          </w:tcPr>
          <w:p w14:paraId="421D503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Useful evidence for AI forecasting effectiveness.</w:t>
            </w:r>
          </w:p>
        </w:tc>
        <w:tc>
          <w:tcPr>
            <w:tcW w:w="902" w:type="dxa"/>
            <w:tcMar>
              <w:top w:w="60" w:type="dxa"/>
              <w:left w:w="70" w:type="dxa"/>
              <w:bottom w:w="60" w:type="dxa"/>
              <w:right w:w="70" w:type="dxa"/>
            </w:tcMar>
          </w:tcPr>
          <w:p w14:paraId="799C1B7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Compares ML methods for daily retail forecasting with special-day effects and </w:t>
            </w:r>
            <w:r w:rsidRPr="00B3149D">
              <w:rPr>
                <w:rFonts w:ascii="Arial" w:hAnsi="Arial" w:cs="Arial"/>
                <w:sz w:val="20"/>
                <w:szCs w:val="20"/>
              </w:rPr>
              <w:lastRenderedPageBreak/>
              <w:t>finds ML superiority in a large-scale retail setting. Demonstrates practical forecasting gains in a real retail context.</w:t>
            </w:r>
          </w:p>
        </w:tc>
      </w:tr>
      <w:tr w:rsidR="00794E6A" w:rsidRPr="00B3149D" w14:paraId="330FCF0F" w14:textId="77777777" w:rsidTr="00794E6A">
        <w:tc>
          <w:tcPr>
            <w:tcW w:w="794" w:type="dxa"/>
            <w:tcMar>
              <w:top w:w="60" w:type="dxa"/>
              <w:left w:w="70" w:type="dxa"/>
              <w:bottom w:w="60" w:type="dxa"/>
              <w:right w:w="70" w:type="dxa"/>
            </w:tcMar>
          </w:tcPr>
          <w:p w14:paraId="0333FF5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Ma et al. (2024)</w:t>
            </w:r>
          </w:p>
        </w:tc>
        <w:tc>
          <w:tcPr>
            <w:tcW w:w="1203" w:type="dxa"/>
            <w:tcMar>
              <w:top w:w="60" w:type="dxa"/>
              <w:left w:w="70" w:type="dxa"/>
              <w:bottom w:w="60" w:type="dxa"/>
              <w:right w:w="70" w:type="dxa"/>
            </w:tcMar>
          </w:tcPr>
          <w:p w14:paraId="7CD7A5E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7804DEC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AI replenishment study</w:t>
            </w:r>
          </w:p>
        </w:tc>
        <w:tc>
          <w:tcPr>
            <w:tcW w:w="902" w:type="dxa"/>
            <w:tcMar>
              <w:top w:w="60" w:type="dxa"/>
              <w:left w:w="70" w:type="dxa"/>
              <w:bottom w:w="60" w:type="dxa"/>
              <w:right w:w="70" w:type="dxa"/>
            </w:tcMar>
          </w:tcPr>
          <w:p w14:paraId="6DE3178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Graph recurrent replenishment planning - Important because it explicitly links forecasting architecture to replenishment outcomes.</w:t>
            </w:r>
          </w:p>
        </w:tc>
        <w:tc>
          <w:tcPr>
            <w:tcW w:w="1216" w:type="dxa"/>
            <w:tcMar>
              <w:top w:w="60" w:type="dxa"/>
              <w:left w:w="70" w:type="dxa"/>
              <w:bottom w:w="60" w:type="dxa"/>
              <w:right w:w="70" w:type="dxa"/>
            </w:tcMar>
          </w:tcPr>
          <w:p w14:paraId="3C0AD93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073C8D0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graph-based deep learning can improve store-SKU replenishment performance and reduce inventory cost.</w:t>
            </w:r>
          </w:p>
        </w:tc>
        <w:tc>
          <w:tcPr>
            <w:tcW w:w="960" w:type="dxa"/>
            <w:tcMar>
              <w:top w:w="60" w:type="dxa"/>
              <w:left w:w="70" w:type="dxa"/>
              <w:bottom w:w="60" w:type="dxa"/>
              <w:right w:w="70" w:type="dxa"/>
            </w:tcMar>
          </w:tcPr>
          <w:p w14:paraId="38FAB17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Very strong topical fit, though evidence is still context-bound to selected categories and one retailer.</w:t>
            </w:r>
          </w:p>
        </w:tc>
        <w:tc>
          <w:tcPr>
            <w:tcW w:w="896" w:type="dxa"/>
            <w:tcMar>
              <w:top w:w="60" w:type="dxa"/>
              <w:left w:w="70" w:type="dxa"/>
              <w:bottom w:w="60" w:type="dxa"/>
              <w:right w:w="70" w:type="dxa"/>
            </w:tcMar>
          </w:tcPr>
          <w:p w14:paraId="0476E20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One of the most direct sources for the research question.</w:t>
            </w:r>
          </w:p>
        </w:tc>
        <w:tc>
          <w:tcPr>
            <w:tcW w:w="902" w:type="dxa"/>
            <w:tcMar>
              <w:top w:w="60" w:type="dxa"/>
              <w:left w:w="70" w:type="dxa"/>
              <w:bottom w:w="60" w:type="dxa"/>
              <w:right w:w="70" w:type="dxa"/>
            </w:tcMar>
          </w:tcPr>
          <w:p w14:paraId="5FC8BD3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that graph-based deep learning can improve store-SKU replenishment performance and reduce inventory cost. Important because it explicitly links </w:t>
            </w:r>
            <w:r w:rsidRPr="00B3149D">
              <w:rPr>
                <w:rFonts w:ascii="Arial" w:hAnsi="Arial" w:cs="Arial"/>
                <w:sz w:val="20"/>
                <w:szCs w:val="20"/>
              </w:rPr>
              <w:lastRenderedPageBreak/>
              <w:t>forecasting architecture to replenishment outcomes.</w:t>
            </w:r>
          </w:p>
        </w:tc>
      </w:tr>
      <w:tr w:rsidR="00794E6A" w:rsidRPr="00B3149D" w14:paraId="04539DC6" w14:textId="77777777" w:rsidTr="00794E6A">
        <w:tc>
          <w:tcPr>
            <w:tcW w:w="794" w:type="dxa"/>
            <w:tcMar>
              <w:top w:w="60" w:type="dxa"/>
              <w:left w:w="70" w:type="dxa"/>
              <w:bottom w:w="60" w:type="dxa"/>
              <w:right w:w="70" w:type="dxa"/>
            </w:tcMar>
          </w:tcPr>
          <w:p w14:paraId="00873165"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Goltsos</w:t>
            </w:r>
            <w:proofErr w:type="spellEnd"/>
            <w:r w:rsidRPr="00B3149D">
              <w:rPr>
                <w:rFonts w:ascii="Arial" w:hAnsi="Arial" w:cs="Arial"/>
                <w:sz w:val="20"/>
                <w:szCs w:val="20"/>
              </w:rPr>
              <w:t xml:space="preserve"> et al. (2022)</w:t>
            </w:r>
          </w:p>
        </w:tc>
        <w:tc>
          <w:tcPr>
            <w:tcW w:w="1203" w:type="dxa"/>
            <w:tcMar>
              <w:top w:w="60" w:type="dxa"/>
              <w:left w:w="70" w:type="dxa"/>
              <w:bottom w:w="60" w:type="dxa"/>
              <w:right w:w="70" w:type="dxa"/>
            </w:tcMar>
          </w:tcPr>
          <w:p w14:paraId="5D7E92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1241" w:type="dxa"/>
            <w:tcMar>
              <w:top w:w="60" w:type="dxa"/>
              <w:left w:w="70" w:type="dxa"/>
              <w:bottom w:w="60" w:type="dxa"/>
              <w:right w:w="70" w:type="dxa"/>
            </w:tcMar>
          </w:tcPr>
          <w:p w14:paraId="5BD9963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Gap-focused review</w:t>
            </w:r>
          </w:p>
        </w:tc>
        <w:tc>
          <w:tcPr>
            <w:tcW w:w="902" w:type="dxa"/>
            <w:tcMar>
              <w:top w:w="60" w:type="dxa"/>
              <w:left w:w="70" w:type="dxa"/>
              <w:bottom w:w="60" w:type="dxa"/>
              <w:right w:w="70" w:type="dxa"/>
            </w:tcMar>
          </w:tcPr>
          <w:p w14:paraId="45651BB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Inventory–forecasting interface - Clarifies a central theoretical disconnect in the literature.</w:t>
            </w:r>
          </w:p>
        </w:tc>
        <w:tc>
          <w:tcPr>
            <w:tcW w:w="1216" w:type="dxa"/>
            <w:tcMar>
              <w:top w:w="60" w:type="dxa"/>
              <w:left w:w="70" w:type="dxa"/>
              <w:bottom w:w="60" w:type="dxa"/>
              <w:right w:w="70" w:type="dxa"/>
            </w:tcMar>
          </w:tcPr>
          <w:p w14:paraId="52E523D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902" w:type="dxa"/>
            <w:tcMar>
              <w:top w:w="60" w:type="dxa"/>
              <w:left w:w="70" w:type="dxa"/>
              <w:bottom w:w="60" w:type="dxa"/>
              <w:right w:w="70" w:type="dxa"/>
            </w:tcMar>
          </w:tcPr>
          <w:p w14:paraId="3B9D635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forecasting and inventory research often develop separately despite their operational dependence.</w:t>
            </w:r>
          </w:p>
        </w:tc>
        <w:tc>
          <w:tcPr>
            <w:tcW w:w="960" w:type="dxa"/>
            <w:tcMar>
              <w:top w:w="60" w:type="dxa"/>
              <w:left w:w="70" w:type="dxa"/>
              <w:bottom w:w="60" w:type="dxa"/>
              <w:right w:w="70" w:type="dxa"/>
            </w:tcMar>
          </w:tcPr>
          <w:p w14:paraId="1FFA130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Excellent for gap construction, though more conceptual than implementation-focused.</w:t>
            </w:r>
          </w:p>
        </w:tc>
        <w:tc>
          <w:tcPr>
            <w:tcW w:w="896" w:type="dxa"/>
            <w:tcMar>
              <w:top w:w="60" w:type="dxa"/>
              <w:left w:w="70" w:type="dxa"/>
              <w:bottom w:w="60" w:type="dxa"/>
              <w:right w:w="70" w:type="dxa"/>
            </w:tcMar>
          </w:tcPr>
          <w:p w14:paraId="57B97D8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review’s core integration argument.</w:t>
            </w:r>
          </w:p>
        </w:tc>
        <w:tc>
          <w:tcPr>
            <w:tcW w:w="902" w:type="dxa"/>
            <w:tcMar>
              <w:top w:w="60" w:type="dxa"/>
              <w:left w:w="70" w:type="dxa"/>
              <w:bottom w:w="60" w:type="dxa"/>
              <w:right w:w="70" w:type="dxa"/>
            </w:tcMar>
          </w:tcPr>
          <w:p w14:paraId="0211EA3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forecasting and inventory research often develop separately despite their operational dependence. Clarifies a central theoretical disconnect in the literature.</w:t>
            </w:r>
          </w:p>
        </w:tc>
      </w:tr>
      <w:tr w:rsidR="00794E6A" w:rsidRPr="00B3149D" w14:paraId="5CCCFA99" w14:textId="77777777" w:rsidTr="00794E6A">
        <w:tc>
          <w:tcPr>
            <w:tcW w:w="794" w:type="dxa"/>
            <w:tcMar>
              <w:top w:w="60" w:type="dxa"/>
              <w:left w:w="70" w:type="dxa"/>
              <w:bottom w:w="60" w:type="dxa"/>
              <w:right w:w="70" w:type="dxa"/>
            </w:tcMar>
          </w:tcPr>
          <w:p w14:paraId="16D85B3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Van </w:t>
            </w:r>
            <w:proofErr w:type="spellStart"/>
            <w:r w:rsidRPr="00B3149D">
              <w:rPr>
                <w:rFonts w:ascii="Arial" w:hAnsi="Arial" w:cs="Arial"/>
                <w:sz w:val="20"/>
                <w:szCs w:val="20"/>
              </w:rPr>
              <w:t>Donselaar</w:t>
            </w:r>
            <w:proofErr w:type="spellEnd"/>
            <w:r w:rsidRPr="00B3149D">
              <w:rPr>
                <w:rFonts w:ascii="Arial" w:hAnsi="Arial" w:cs="Arial"/>
                <w:sz w:val="20"/>
                <w:szCs w:val="20"/>
              </w:rPr>
              <w:t xml:space="preserve"> et </w:t>
            </w:r>
            <w:r w:rsidRPr="00B3149D">
              <w:rPr>
                <w:rFonts w:ascii="Arial" w:hAnsi="Arial" w:cs="Arial"/>
                <w:sz w:val="20"/>
                <w:szCs w:val="20"/>
              </w:rPr>
              <w:lastRenderedPageBreak/>
              <w:t>al. (2010)</w:t>
            </w:r>
          </w:p>
        </w:tc>
        <w:tc>
          <w:tcPr>
            <w:tcW w:w="1203" w:type="dxa"/>
            <w:tcMar>
              <w:top w:w="60" w:type="dxa"/>
              <w:left w:w="70" w:type="dxa"/>
              <w:bottom w:w="60" w:type="dxa"/>
              <w:right w:w="70" w:type="dxa"/>
            </w:tcMar>
          </w:tcPr>
          <w:p w14:paraId="05305D3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Empirical study</w:t>
            </w:r>
          </w:p>
        </w:tc>
        <w:tc>
          <w:tcPr>
            <w:tcW w:w="1241" w:type="dxa"/>
            <w:tcMar>
              <w:top w:w="60" w:type="dxa"/>
              <w:left w:w="70" w:type="dxa"/>
              <w:bottom w:w="60" w:type="dxa"/>
              <w:right w:w="70" w:type="dxa"/>
            </w:tcMar>
          </w:tcPr>
          <w:p w14:paraId="2B749E1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operations study</w:t>
            </w:r>
          </w:p>
        </w:tc>
        <w:tc>
          <w:tcPr>
            <w:tcW w:w="902" w:type="dxa"/>
            <w:tcMar>
              <w:top w:w="60" w:type="dxa"/>
              <w:left w:w="70" w:type="dxa"/>
              <w:bottom w:w="60" w:type="dxa"/>
              <w:right w:w="70" w:type="dxa"/>
            </w:tcMar>
          </w:tcPr>
          <w:p w14:paraId="33E1ED2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Shelf-space and replenis</w:t>
            </w:r>
            <w:r w:rsidRPr="00B3149D">
              <w:rPr>
                <w:rFonts w:ascii="Arial" w:hAnsi="Arial" w:cs="Arial"/>
                <w:sz w:val="20"/>
                <w:szCs w:val="20"/>
              </w:rPr>
              <w:lastRenderedPageBreak/>
              <w:t>hment decisions - Reinforces the operational consequences of forecast quality.</w:t>
            </w:r>
          </w:p>
        </w:tc>
        <w:tc>
          <w:tcPr>
            <w:tcW w:w="1216" w:type="dxa"/>
            <w:tcMar>
              <w:top w:w="60" w:type="dxa"/>
              <w:left w:w="70" w:type="dxa"/>
              <w:bottom w:w="60" w:type="dxa"/>
              <w:right w:w="70" w:type="dxa"/>
            </w:tcMar>
          </w:tcPr>
          <w:p w14:paraId="7D52C41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empirical</w:t>
            </w:r>
          </w:p>
        </w:tc>
        <w:tc>
          <w:tcPr>
            <w:tcW w:w="902" w:type="dxa"/>
            <w:tcMar>
              <w:top w:w="60" w:type="dxa"/>
              <w:left w:w="70" w:type="dxa"/>
              <w:bottom w:w="60" w:type="dxa"/>
              <w:right w:w="70" w:type="dxa"/>
            </w:tcMar>
          </w:tcPr>
          <w:p w14:paraId="6B3AB32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retail operatio</w:t>
            </w:r>
            <w:r w:rsidRPr="00B3149D">
              <w:rPr>
                <w:rFonts w:ascii="Arial" w:hAnsi="Arial" w:cs="Arial"/>
                <w:sz w:val="20"/>
                <w:szCs w:val="20"/>
              </w:rPr>
              <w:lastRenderedPageBreak/>
              <w:t>nal forecasting shapes ordering and inventory decisions at store level.</w:t>
            </w:r>
          </w:p>
        </w:tc>
        <w:tc>
          <w:tcPr>
            <w:tcW w:w="960" w:type="dxa"/>
            <w:tcMar>
              <w:top w:w="60" w:type="dxa"/>
              <w:left w:w="70" w:type="dxa"/>
              <w:bottom w:w="60" w:type="dxa"/>
              <w:right w:w="70" w:type="dxa"/>
            </w:tcMar>
          </w:tcPr>
          <w:p w14:paraId="45F72E1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Pre-AI, but foundational for </w:t>
            </w:r>
            <w:r w:rsidRPr="00B3149D">
              <w:rPr>
                <w:rFonts w:ascii="Arial" w:hAnsi="Arial" w:cs="Arial"/>
                <w:sz w:val="20"/>
                <w:szCs w:val="20"/>
              </w:rPr>
              <w:lastRenderedPageBreak/>
              <w:t>understanding demand-to-replenishment translation.</w:t>
            </w:r>
          </w:p>
        </w:tc>
        <w:tc>
          <w:tcPr>
            <w:tcW w:w="896" w:type="dxa"/>
            <w:tcMar>
              <w:top w:w="60" w:type="dxa"/>
              <w:left w:w="70" w:type="dxa"/>
              <w:bottom w:w="60" w:type="dxa"/>
              <w:right w:w="70" w:type="dxa"/>
            </w:tcMar>
          </w:tcPr>
          <w:p w14:paraId="36B0033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Useful background for operatio</w:t>
            </w:r>
            <w:r w:rsidRPr="00B3149D">
              <w:rPr>
                <w:rFonts w:ascii="Arial" w:hAnsi="Arial" w:cs="Arial"/>
                <w:sz w:val="20"/>
                <w:szCs w:val="20"/>
              </w:rPr>
              <w:lastRenderedPageBreak/>
              <w:t>nal logic.</w:t>
            </w:r>
          </w:p>
        </w:tc>
        <w:tc>
          <w:tcPr>
            <w:tcW w:w="902" w:type="dxa"/>
            <w:tcMar>
              <w:top w:w="60" w:type="dxa"/>
              <w:left w:w="70" w:type="dxa"/>
              <w:bottom w:w="60" w:type="dxa"/>
              <w:right w:w="70" w:type="dxa"/>
            </w:tcMar>
          </w:tcPr>
          <w:p w14:paraId="1979480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Shows that retail operatio</w:t>
            </w:r>
            <w:r w:rsidRPr="00B3149D">
              <w:rPr>
                <w:rFonts w:ascii="Arial" w:hAnsi="Arial" w:cs="Arial"/>
                <w:sz w:val="20"/>
                <w:szCs w:val="20"/>
              </w:rPr>
              <w:lastRenderedPageBreak/>
              <w:t>nal forecasting shapes ordering and inventory decisions at store level. Reinforces the operational consequences of forecast quality.</w:t>
            </w:r>
          </w:p>
        </w:tc>
      </w:tr>
      <w:tr w:rsidR="00794E6A" w:rsidRPr="00B3149D" w14:paraId="7D8CF373" w14:textId="77777777" w:rsidTr="00794E6A">
        <w:tc>
          <w:tcPr>
            <w:tcW w:w="794" w:type="dxa"/>
            <w:tcMar>
              <w:top w:w="60" w:type="dxa"/>
              <w:left w:w="70" w:type="dxa"/>
              <w:bottom w:w="60" w:type="dxa"/>
              <w:right w:w="70" w:type="dxa"/>
            </w:tcMar>
          </w:tcPr>
          <w:p w14:paraId="3EB6B96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Van </w:t>
            </w:r>
            <w:proofErr w:type="spellStart"/>
            <w:r w:rsidRPr="00B3149D">
              <w:rPr>
                <w:rFonts w:ascii="Arial" w:hAnsi="Arial" w:cs="Arial"/>
                <w:sz w:val="20"/>
                <w:szCs w:val="20"/>
              </w:rPr>
              <w:t>Donselaar</w:t>
            </w:r>
            <w:proofErr w:type="spellEnd"/>
            <w:r w:rsidRPr="00B3149D">
              <w:rPr>
                <w:rFonts w:ascii="Arial" w:hAnsi="Arial" w:cs="Arial"/>
                <w:sz w:val="20"/>
                <w:szCs w:val="20"/>
              </w:rPr>
              <w:t xml:space="preserve"> et al. (2006)</w:t>
            </w:r>
          </w:p>
        </w:tc>
        <w:tc>
          <w:tcPr>
            <w:tcW w:w="1203" w:type="dxa"/>
            <w:tcMar>
              <w:top w:w="60" w:type="dxa"/>
              <w:left w:w="70" w:type="dxa"/>
              <w:bottom w:w="60" w:type="dxa"/>
              <w:right w:w="70" w:type="dxa"/>
            </w:tcMar>
          </w:tcPr>
          <w:p w14:paraId="02F3FEB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657E5D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perishables study</w:t>
            </w:r>
          </w:p>
        </w:tc>
        <w:tc>
          <w:tcPr>
            <w:tcW w:w="902" w:type="dxa"/>
            <w:tcMar>
              <w:top w:w="60" w:type="dxa"/>
              <w:left w:w="70" w:type="dxa"/>
              <w:bottom w:w="60" w:type="dxa"/>
              <w:right w:w="70" w:type="dxa"/>
            </w:tcMar>
          </w:tcPr>
          <w:p w14:paraId="3BE8614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Perishable demand and ordering - Highlights why service levels and waste must be considered together.</w:t>
            </w:r>
          </w:p>
        </w:tc>
        <w:tc>
          <w:tcPr>
            <w:tcW w:w="1216" w:type="dxa"/>
            <w:tcMar>
              <w:top w:w="60" w:type="dxa"/>
              <w:left w:w="70" w:type="dxa"/>
              <w:bottom w:w="60" w:type="dxa"/>
              <w:right w:w="70" w:type="dxa"/>
            </w:tcMar>
          </w:tcPr>
          <w:p w14:paraId="5CE9556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7E7F5F5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Demonstrates the critical role of short-horizon forecasts in perishable retail settings.</w:t>
            </w:r>
          </w:p>
        </w:tc>
        <w:tc>
          <w:tcPr>
            <w:tcW w:w="960" w:type="dxa"/>
            <w:tcMar>
              <w:top w:w="60" w:type="dxa"/>
              <w:left w:w="70" w:type="dxa"/>
              <w:bottom w:w="60" w:type="dxa"/>
              <w:right w:w="70" w:type="dxa"/>
            </w:tcMar>
          </w:tcPr>
          <w:p w14:paraId="7779422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Older and product-specific, but still valuable for perishability contexts.</w:t>
            </w:r>
          </w:p>
        </w:tc>
        <w:tc>
          <w:tcPr>
            <w:tcW w:w="896" w:type="dxa"/>
            <w:tcMar>
              <w:top w:w="60" w:type="dxa"/>
              <w:left w:w="70" w:type="dxa"/>
              <w:bottom w:w="60" w:type="dxa"/>
              <w:right w:w="70" w:type="dxa"/>
            </w:tcMar>
          </w:tcPr>
          <w:p w14:paraId="01ECB3C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service-level and waste implications.</w:t>
            </w:r>
          </w:p>
        </w:tc>
        <w:tc>
          <w:tcPr>
            <w:tcW w:w="902" w:type="dxa"/>
            <w:tcMar>
              <w:top w:w="60" w:type="dxa"/>
              <w:left w:w="70" w:type="dxa"/>
              <w:bottom w:w="60" w:type="dxa"/>
              <w:right w:w="70" w:type="dxa"/>
            </w:tcMar>
          </w:tcPr>
          <w:p w14:paraId="70B8D33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Demonstrates the critical role of short-horizon forecasts in perishable retail settings. Highlights why service levels and waste must be </w:t>
            </w:r>
            <w:r w:rsidRPr="00B3149D">
              <w:rPr>
                <w:rFonts w:ascii="Arial" w:hAnsi="Arial" w:cs="Arial"/>
                <w:sz w:val="20"/>
                <w:szCs w:val="20"/>
              </w:rPr>
              <w:lastRenderedPageBreak/>
              <w:t>considered together.</w:t>
            </w:r>
          </w:p>
        </w:tc>
      </w:tr>
      <w:tr w:rsidR="00794E6A" w:rsidRPr="00B3149D" w14:paraId="63C1E57D" w14:textId="77777777" w:rsidTr="00794E6A">
        <w:tc>
          <w:tcPr>
            <w:tcW w:w="794" w:type="dxa"/>
            <w:tcMar>
              <w:top w:w="60" w:type="dxa"/>
              <w:left w:w="70" w:type="dxa"/>
              <w:bottom w:w="60" w:type="dxa"/>
              <w:right w:w="70" w:type="dxa"/>
            </w:tcMar>
          </w:tcPr>
          <w:p w14:paraId="2364725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Taylor (2007)</w:t>
            </w:r>
          </w:p>
        </w:tc>
        <w:tc>
          <w:tcPr>
            <w:tcW w:w="1203" w:type="dxa"/>
            <w:tcMar>
              <w:top w:w="60" w:type="dxa"/>
              <w:left w:w="70" w:type="dxa"/>
              <w:bottom w:w="60" w:type="dxa"/>
              <w:right w:w="70" w:type="dxa"/>
            </w:tcMar>
          </w:tcPr>
          <w:p w14:paraId="5F8385A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53AABF1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model study</w:t>
            </w:r>
          </w:p>
        </w:tc>
        <w:tc>
          <w:tcPr>
            <w:tcW w:w="902" w:type="dxa"/>
            <w:tcMar>
              <w:top w:w="60" w:type="dxa"/>
              <w:left w:w="70" w:type="dxa"/>
              <w:bottom w:w="60" w:type="dxa"/>
              <w:right w:w="70" w:type="dxa"/>
            </w:tcMar>
          </w:tcPr>
          <w:p w14:paraId="5871BF6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Quantile regression for supermarket sales - Important because replenishment decisions often depend on service quantiles rather than point forecasts.</w:t>
            </w:r>
          </w:p>
        </w:tc>
        <w:tc>
          <w:tcPr>
            <w:tcW w:w="1216" w:type="dxa"/>
            <w:tcMar>
              <w:top w:w="60" w:type="dxa"/>
              <w:left w:w="70" w:type="dxa"/>
              <w:bottom w:w="60" w:type="dxa"/>
              <w:right w:w="70" w:type="dxa"/>
            </w:tcMar>
          </w:tcPr>
          <w:p w14:paraId="1EC7C6E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71265D8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quantile forecasting can better support retail inventory decisions than mean forecasting alone.</w:t>
            </w:r>
          </w:p>
        </w:tc>
        <w:tc>
          <w:tcPr>
            <w:tcW w:w="960" w:type="dxa"/>
            <w:tcMar>
              <w:top w:w="60" w:type="dxa"/>
              <w:left w:w="70" w:type="dxa"/>
              <w:bottom w:w="60" w:type="dxa"/>
              <w:right w:w="70" w:type="dxa"/>
            </w:tcMar>
          </w:tcPr>
          <w:p w14:paraId="67DE635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Method-focused, but operationally meaningful.</w:t>
            </w:r>
          </w:p>
        </w:tc>
        <w:tc>
          <w:tcPr>
            <w:tcW w:w="896" w:type="dxa"/>
            <w:tcMar>
              <w:top w:w="60" w:type="dxa"/>
              <w:left w:w="70" w:type="dxa"/>
              <w:bottom w:w="60" w:type="dxa"/>
              <w:right w:w="70" w:type="dxa"/>
            </w:tcMar>
          </w:tcPr>
          <w:p w14:paraId="59972C3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Useful for linking forecasting form to replenishment policy.</w:t>
            </w:r>
          </w:p>
        </w:tc>
        <w:tc>
          <w:tcPr>
            <w:tcW w:w="902" w:type="dxa"/>
            <w:tcMar>
              <w:top w:w="60" w:type="dxa"/>
              <w:left w:w="70" w:type="dxa"/>
              <w:bottom w:w="60" w:type="dxa"/>
              <w:right w:w="70" w:type="dxa"/>
            </w:tcMar>
          </w:tcPr>
          <w:p w14:paraId="1788521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quantile forecasting can better support retail inventory decisions than mean forecasting alone. Important because replenishment decisions often depend on service quantiles rather than point forecasts.</w:t>
            </w:r>
          </w:p>
        </w:tc>
      </w:tr>
      <w:tr w:rsidR="00794E6A" w:rsidRPr="00B3149D" w14:paraId="5BCC3D88" w14:textId="77777777" w:rsidTr="00794E6A">
        <w:tc>
          <w:tcPr>
            <w:tcW w:w="794" w:type="dxa"/>
            <w:tcMar>
              <w:top w:w="60" w:type="dxa"/>
              <w:left w:w="70" w:type="dxa"/>
              <w:bottom w:w="60" w:type="dxa"/>
              <w:right w:w="70" w:type="dxa"/>
            </w:tcMar>
          </w:tcPr>
          <w:p w14:paraId="208DE1E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Trapero et al. </w:t>
            </w:r>
            <w:r w:rsidRPr="00B3149D">
              <w:rPr>
                <w:rFonts w:ascii="Arial" w:hAnsi="Arial" w:cs="Arial"/>
                <w:sz w:val="20"/>
                <w:szCs w:val="20"/>
              </w:rPr>
              <w:lastRenderedPageBreak/>
              <w:t>(2019a)</w:t>
            </w:r>
          </w:p>
        </w:tc>
        <w:tc>
          <w:tcPr>
            <w:tcW w:w="1203" w:type="dxa"/>
            <w:tcMar>
              <w:top w:w="60" w:type="dxa"/>
              <w:left w:w="70" w:type="dxa"/>
              <w:bottom w:w="60" w:type="dxa"/>
              <w:right w:w="70" w:type="dxa"/>
            </w:tcMar>
          </w:tcPr>
          <w:p w14:paraId="7E20073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Empirical study</w:t>
            </w:r>
          </w:p>
        </w:tc>
        <w:tc>
          <w:tcPr>
            <w:tcW w:w="1241" w:type="dxa"/>
            <w:tcMar>
              <w:top w:w="60" w:type="dxa"/>
              <w:left w:w="70" w:type="dxa"/>
              <w:bottom w:w="60" w:type="dxa"/>
              <w:right w:w="70" w:type="dxa"/>
            </w:tcMar>
          </w:tcPr>
          <w:p w14:paraId="2DC116C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Forecasting/inventory study</w:t>
            </w:r>
          </w:p>
        </w:tc>
        <w:tc>
          <w:tcPr>
            <w:tcW w:w="902" w:type="dxa"/>
            <w:tcMar>
              <w:top w:w="60" w:type="dxa"/>
              <w:left w:w="70" w:type="dxa"/>
              <w:bottom w:w="60" w:type="dxa"/>
              <w:right w:w="70" w:type="dxa"/>
            </w:tcMar>
          </w:tcPr>
          <w:p w14:paraId="6393B5D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Safety stock estimati</w:t>
            </w:r>
            <w:r w:rsidRPr="00B3149D">
              <w:rPr>
                <w:rFonts w:ascii="Arial" w:hAnsi="Arial" w:cs="Arial"/>
                <w:sz w:val="20"/>
                <w:szCs w:val="20"/>
              </w:rPr>
              <w:lastRenderedPageBreak/>
              <w:t>on - Bridges forecasting outputs to inventory policy.</w:t>
            </w:r>
          </w:p>
        </w:tc>
        <w:tc>
          <w:tcPr>
            <w:tcW w:w="1216" w:type="dxa"/>
            <w:tcMar>
              <w:top w:w="60" w:type="dxa"/>
              <w:left w:w="70" w:type="dxa"/>
              <w:bottom w:w="60" w:type="dxa"/>
              <w:right w:w="70" w:type="dxa"/>
            </w:tcMar>
          </w:tcPr>
          <w:p w14:paraId="34B317D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empirical</w:t>
            </w:r>
          </w:p>
        </w:tc>
        <w:tc>
          <w:tcPr>
            <w:tcW w:w="902" w:type="dxa"/>
            <w:tcMar>
              <w:top w:w="60" w:type="dxa"/>
              <w:left w:w="70" w:type="dxa"/>
              <w:bottom w:w="60" w:type="dxa"/>
              <w:right w:w="70" w:type="dxa"/>
            </w:tcMar>
          </w:tcPr>
          <w:p w14:paraId="55A6C28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improve</w:t>
            </w:r>
            <w:r w:rsidRPr="00B3149D">
              <w:rPr>
                <w:rFonts w:ascii="Arial" w:hAnsi="Arial" w:cs="Arial"/>
                <w:sz w:val="20"/>
                <w:szCs w:val="20"/>
              </w:rPr>
              <w:lastRenderedPageBreak/>
              <w:t>d predictive distributions can enhance safety-stock estimation.</w:t>
            </w:r>
          </w:p>
        </w:tc>
        <w:tc>
          <w:tcPr>
            <w:tcW w:w="960" w:type="dxa"/>
            <w:tcMar>
              <w:top w:w="60" w:type="dxa"/>
              <w:left w:w="70" w:type="dxa"/>
              <w:bottom w:w="60" w:type="dxa"/>
              <w:right w:w="70" w:type="dxa"/>
            </w:tcMar>
          </w:tcPr>
          <w:p w14:paraId="7980FDE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Technical, but directly </w:t>
            </w:r>
            <w:r w:rsidRPr="00B3149D">
              <w:rPr>
                <w:rFonts w:ascii="Arial" w:hAnsi="Arial" w:cs="Arial"/>
                <w:sz w:val="20"/>
                <w:szCs w:val="20"/>
              </w:rPr>
              <w:lastRenderedPageBreak/>
              <w:t>relevant to replenishment performance.</w:t>
            </w:r>
          </w:p>
        </w:tc>
        <w:tc>
          <w:tcPr>
            <w:tcW w:w="896" w:type="dxa"/>
            <w:tcMar>
              <w:top w:w="60" w:type="dxa"/>
              <w:left w:w="70" w:type="dxa"/>
              <w:bottom w:w="60" w:type="dxa"/>
              <w:right w:w="70" w:type="dxa"/>
            </w:tcMar>
          </w:tcPr>
          <w:p w14:paraId="6499200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Supports the accurac</w:t>
            </w:r>
            <w:r w:rsidRPr="00B3149D">
              <w:rPr>
                <w:rFonts w:ascii="Arial" w:hAnsi="Arial" w:cs="Arial"/>
                <w:sz w:val="20"/>
                <w:szCs w:val="20"/>
              </w:rPr>
              <w:lastRenderedPageBreak/>
              <w:t>y-to-stock-policy pathway.</w:t>
            </w:r>
          </w:p>
        </w:tc>
        <w:tc>
          <w:tcPr>
            <w:tcW w:w="902" w:type="dxa"/>
            <w:tcMar>
              <w:top w:w="60" w:type="dxa"/>
              <w:left w:w="70" w:type="dxa"/>
              <w:bottom w:w="60" w:type="dxa"/>
              <w:right w:w="70" w:type="dxa"/>
            </w:tcMar>
          </w:tcPr>
          <w:p w14:paraId="616E33F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Shows that improve</w:t>
            </w:r>
            <w:r w:rsidRPr="00B3149D">
              <w:rPr>
                <w:rFonts w:ascii="Arial" w:hAnsi="Arial" w:cs="Arial"/>
                <w:sz w:val="20"/>
                <w:szCs w:val="20"/>
              </w:rPr>
              <w:lastRenderedPageBreak/>
              <w:t>d predictive distributions can enhance safety-stock estimation. Bridges forecasting outputs to inventory policy.</w:t>
            </w:r>
          </w:p>
        </w:tc>
      </w:tr>
      <w:tr w:rsidR="00794E6A" w:rsidRPr="00B3149D" w14:paraId="541EFC85" w14:textId="77777777" w:rsidTr="00794E6A">
        <w:tc>
          <w:tcPr>
            <w:tcW w:w="794" w:type="dxa"/>
            <w:tcMar>
              <w:top w:w="60" w:type="dxa"/>
              <w:left w:w="70" w:type="dxa"/>
              <w:bottom w:w="60" w:type="dxa"/>
              <w:right w:w="70" w:type="dxa"/>
            </w:tcMar>
          </w:tcPr>
          <w:p w14:paraId="45616A1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Trapero et al. (2019b)</w:t>
            </w:r>
          </w:p>
        </w:tc>
        <w:tc>
          <w:tcPr>
            <w:tcW w:w="1203" w:type="dxa"/>
            <w:tcMar>
              <w:top w:w="60" w:type="dxa"/>
              <w:left w:w="70" w:type="dxa"/>
              <w:bottom w:w="60" w:type="dxa"/>
              <w:right w:w="70" w:type="dxa"/>
            </w:tcMar>
          </w:tcPr>
          <w:p w14:paraId="452FCC7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55C408C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 combination study</w:t>
            </w:r>
          </w:p>
        </w:tc>
        <w:tc>
          <w:tcPr>
            <w:tcW w:w="902" w:type="dxa"/>
            <w:tcMar>
              <w:top w:w="60" w:type="dxa"/>
              <w:left w:w="70" w:type="dxa"/>
              <w:bottom w:w="60" w:type="dxa"/>
              <w:right w:w="70" w:type="dxa"/>
            </w:tcMar>
          </w:tcPr>
          <w:p w14:paraId="5C92D8A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Quantile forecast combination - Useful for showing that operational value may come from forecast design, not just model choice.</w:t>
            </w:r>
          </w:p>
        </w:tc>
        <w:tc>
          <w:tcPr>
            <w:tcW w:w="1216" w:type="dxa"/>
            <w:tcMar>
              <w:top w:w="60" w:type="dxa"/>
              <w:left w:w="70" w:type="dxa"/>
              <w:bottom w:w="60" w:type="dxa"/>
              <w:right w:w="70" w:type="dxa"/>
            </w:tcMar>
          </w:tcPr>
          <w:p w14:paraId="088E1DE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4F1E6A0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Demonstrates that combining quantile forecasts can improve safety-stock decisions.</w:t>
            </w:r>
          </w:p>
        </w:tc>
        <w:tc>
          <w:tcPr>
            <w:tcW w:w="960" w:type="dxa"/>
            <w:tcMar>
              <w:top w:w="60" w:type="dxa"/>
              <w:left w:w="70" w:type="dxa"/>
              <w:bottom w:w="60" w:type="dxa"/>
              <w:right w:w="70" w:type="dxa"/>
            </w:tcMar>
          </w:tcPr>
          <w:p w14:paraId="5CD68E7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Narrow in scope, but strong for service-level reasoning.</w:t>
            </w:r>
          </w:p>
        </w:tc>
        <w:tc>
          <w:tcPr>
            <w:tcW w:w="896" w:type="dxa"/>
            <w:tcMar>
              <w:top w:w="60" w:type="dxa"/>
              <w:left w:w="70" w:type="dxa"/>
              <w:bottom w:w="60" w:type="dxa"/>
              <w:right w:w="70" w:type="dxa"/>
            </w:tcMar>
          </w:tcPr>
          <w:p w14:paraId="2E2387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replenishment decision quality.</w:t>
            </w:r>
          </w:p>
        </w:tc>
        <w:tc>
          <w:tcPr>
            <w:tcW w:w="902" w:type="dxa"/>
            <w:tcMar>
              <w:top w:w="60" w:type="dxa"/>
              <w:left w:w="70" w:type="dxa"/>
              <w:bottom w:w="60" w:type="dxa"/>
              <w:right w:w="70" w:type="dxa"/>
            </w:tcMar>
          </w:tcPr>
          <w:p w14:paraId="2414FC4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Demonstrates that combining quantile forecasts can improve safety-stock decisions. Useful for showing that operational value may </w:t>
            </w:r>
            <w:r w:rsidRPr="00B3149D">
              <w:rPr>
                <w:rFonts w:ascii="Arial" w:hAnsi="Arial" w:cs="Arial"/>
                <w:sz w:val="20"/>
                <w:szCs w:val="20"/>
              </w:rPr>
              <w:lastRenderedPageBreak/>
              <w:t>come from forecast design, not just model choice.</w:t>
            </w:r>
          </w:p>
        </w:tc>
      </w:tr>
      <w:tr w:rsidR="00794E6A" w:rsidRPr="00B3149D" w14:paraId="10FB9268" w14:textId="77777777" w:rsidTr="00794E6A">
        <w:tc>
          <w:tcPr>
            <w:tcW w:w="794" w:type="dxa"/>
            <w:tcMar>
              <w:top w:w="60" w:type="dxa"/>
              <w:left w:w="70" w:type="dxa"/>
              <w:bottom w:w="60" w:type="dxa"/>
              <w:right w:w="70" w:type="dxa"/>
            </w:tcMar>
          </w:tcPr>
          <w:p w14:paraId="43CA5428"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Kolassa</w:t>
            </w:r>
            <w:proofErr w:type="spellEnd"/>
            <w:r w:rsidRPr="00B3149D">
              <w:rPr>
                <w:rFonts w:ascii="Arial" w:hAnsi="Arial" w:cs="Arial"/>
                <w:sz w:val="20"/>
                <w:szCs w:val="20"/>
              </w:rPr>
              <w:t xml:space="preserve"> (2016)</w:t>
            </w:r>
          </w:p>
        </w:tc>
        <w:tc>
          <w:tcPr>
            <w:tcW w:w="1203" w:type="dxa"/>
            <w:tcMar>
              <w:top w:w="60" w:type="dxa"/>
              <w:left w:w="70" w:type="dxa"/>
              <w:bottom w:w="60" w:type="dxa"/>
              <w:right w:w="70" w:type="dxa"/>
            </w:tcMar>
          </w:tcPr>
          <w:p w14:paraId="440B543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01AA284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Distributional forecasting</w:t>
            </w:r>
          </w:p>
        </w:tc>
        <w:tc>
          <w:tcPr>
            <w:tcW w:w="902" w:type="dxa"/>
            <w:tcMar>
              <w:top w:w="60" w:type="dxa"/>
              <w:left w:w="70" w:type="dxa"/>
              <w:bottom w:w="60" w:type="dxa"/>
              <w:right w:w="70" w:type="dxa"/>
            </w:tcMar>
          </w:tcPr>
          <w:p w14:paraId="77D8206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Predictive count distributions in retail - Strengthens the case that decision quality depends on distributional understanding.</w:t>
            </w:r>
          </w:p>
        </w:tc>
        <w:tc>
          <w:tcPr>
            <w:tcW w:w="1216" w:type="dxa"/>
            <w:tcMar>
              <w:top w:w="60" w:type="dxa"/>
              <w:left w:w="70" w:type="dxa"/>
              <w:bottom w:w="60" w:type="dxa"/>
              <w:right w:w="70" w:type="dxa"/>
            </w:tcMar>
          </w:tcPr>
          <w:p w14:paraId="395F1B5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10A949A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retail sales forecasting benefits from evaluating full predictive distributions rather than only point errors.</w:t>
            </w:r>
          </w:p>
        </w:tc>
        <w:tc>
          <w:tcPr>
            <w:tcW w:w="960" w:type="dxa"/>
            <w:tcMar>
              <w:top w:w="60" w:type="dxa"/>
              <w:left w:w="70" w:type="dxa"/>
              <w:bottom w:w="60" w:type="dxa"/>
              <w:right w:w="70" w:type="dxa"/>
            </w:tcMar>
          </w:tcPr>
          <w:p w14:paraId="497B4C1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More methodological than managerial, but highly applicable.</w:t>
            </w:r>
          </w:p>
        </w:tc>
        <w:tc>
          <w:tcPr>
            <w:tcW w:w="896" w:type="dxa"/>
            <w:tcMar>
              <w:top w:w="60" w:type="dxa"/>
              <w:left w:w="70" w:type="dxa"/>
              <w:bottom w:w="60" w:type="dxa"/>
              <w:right w:w="70" w:type="dxa"/>
            </w:tcMar>
          </w:tcPr>
          <w:p w14:paraId="1A2389B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service-level and uncertainty analysis.</w:t>
            </w:r>
          </w:p>
        </w:tc>
        <w:tc>
          <w:tcPr>
            <w:tcW w:w="902" w:type="dxa"/>
            <w:tcMar>
              <w:top w:w="60" w:type="dxa"/>
              <w:left w:w="70" w:type="dxa"/>
              <w:bottom w:w="60" w:type="dxa"/>
              <w:right w:w="70" w:type="dxa"/>
            </w:tcMar>
          </w:tcPr>
          <w:p w14:paraId="6068010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retail sales forecasting benefits from evaluating full predictive distributions rather than only point errors. Strengthens the case that decision quality depends on distributional understanding.</w:t>
            </w:r>
          </w:p>
        </w:tc>
      </w:tr>
      <w:tr w:rsidR="00794E6A" w:rsidRPr="00B3149D" w14:paraId="70E3FE81" w14:textId="77777777" w:rsidTr="00794E6A">
        <w:tc>
          <w:tcPr>
            <w:tcW w:w="794" w:type="dxa"/>
            <w:tcMar>
              <w:top w:w="60" w:type="dxa"/>
              <w:left w:w="70" w:type="dxa"/>
              <w:bottom w:w="60" w:type="dxa"/>
              <w:right w:w="70" w:type="dxa"/>
            </w:tcMar>
          </w:tcPr>
          <w:p w14:paraId="1E2C49B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Huang et al. (2014)</w:t>
            </w:r>
          </w:p>
        </w:tc>
        <w:tc>
          <w:tcPr>
            <w:tcW w:w="1203" w:type="dxa"/>
            <w:tcMar>
              <w:top w:w="60" w:type="dxa"/>
              <w:left w:w="70" w:type="dxa"/>
              <w:bottom w:w="60" w:type="dxa"/>
              <w:right w:w="70" w:type="dxa"/>
            </w:tcMar>
          </w:tcPr>
          <w:p w14:paraId="2415CD1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73691D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forecasting study</w:t>
            </w:r>
          </w:p>
        </w:tc>
        <w:tc>
          <w:tcPr>
            <w:tcW w:w="902" w:type="dxa"/>
            <w:tcMar>
              <w:top w:w="60" w:type="dxa"/>
              <w:left w:w="70" w:type="dxa"/>
              <w:bottom w:w="60" w:type="dxa"/>
              <w:right w:w="70" w:type="dxa"/>
            </w:tcMar>
          </w:tcPr>
          <w:p w14:paraId="22A0A22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Competitive information in FMCG sales forecasting - Shows why contextual variables matter in retail demand prediction.</w:t>
            </w:r>
          </w:p>
        </w:tc>
        <w:tc>
          <w:tcPr>
            <w:tcW w:w="1216" w:type="dxa"/>
            <w:tcMar>
              <w:top w:w="60" w:type="dxa"/>
              <w:left w:w="70" w:type="dxa"/>
              <w:bottom w:w="60" w:type="dxa"/>
              <w:right w:w="70" w:type="dxa"/>
            </w:tcMar>
          </w:tcPr>
          <w:p w14:paraId="0778FDC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47AD2FD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Finds that competitive and promotional information can improve retail sales forecasting.</w:t>
            </w:r>
          </w:p>
        </w:tc>
        <w:tc>
          <w:tcPr>
            <w:tcW w:w="960" w:type="dxa"/>
            <w:tcMar>
              <w:top w:w="60" w:type="dxa"/>
              <w:left w:w="70" w:type="dxa"/>
              <w:bottom w:w="60" w:type="dxa"/>
              <w:right w:w="70" w:type="dxa"/>
            </w:tcMar>
          </w:tcPr>
          <w:p w14:paraId="5A11DFF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Pre-deep-learning, but still relevant to feature richness and causal structure.</w:t>
            </w:r>
          </w:p>
        </w:tc>
        <w:tc>
          <w:tcPr>
            <w:tcW w:w="896" w:type="dxa"/>
            <w:tcMar>
              <w:top w:w="60" w:type="dxa"/>
              <w:left w:w="70" w:type="dxa"/>
              <w:bottom w:w="60" w:type="dxa"/>
              <w:right w:w="70" w:type="dxa"/>
            </w:tcMar>
          </w:tcPr>
          <w:p w14:paraId="7AC9E6C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Useful for contextual complexity in forecasting.</w:t>
            </w:r>
          </w:p>
        </w:tc>
        <w:tc>
          <w:tcPr>
            <w:tcW w:w="902" w:type="dxa"/>
            <w:tcMar>
              <w:top w:w="60" w:type="dxa"/>
              <w:left w:w="70" w:type="dxa"/>
              <w:bottom w:w="60" w:type="dxa"/>
              <w:right w:w="70" w:type="dxa"/>
            </w:tcMar>
          </w:tcPr>
          <w:p w14:paraId="2EA7A7F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Finds that competitive and promotional information can improve retail sales forecasting. Shows why contextual variables matter in retail demand prediction.</w:t>
            </w:r>
          </w:p>
        </w:tc>
      </w:tr>
      <w:tr w:rsidR="00794E6A" w:rsidRPr="00B3149D" w14:paraId="0172F788" w14:textId="77777777" w:rsidTr="00794E6A">
        <w:tc>
          <w:tcPr>
            <w:tcW w:w="794" w:type="dxa"/>
            <w:tcMar>
              <w:top w:w="60" w:type="dxa"/>
              <w:left w:w="70" w:type="dxa"/>
              <w:bottom w:w="60" w:type="dxa"/>
              <w:right w:w="70" w:type="dxa"/>
            </w:tcMar>
          </w:tcPr>
          <w:p w14:paraId="75A78F2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Ma, </w:t>
            </w:r>
            <w:proofErr w:type="spellStart"/>
            <w:r w:rsidRPr="00B3149D">
              <w:rPr>
                <w:rFonts w:ascii="Arial" w:hAnsi="Arial" w:cs="Arial"/>
                <w:sz w:val="20"/>
                <w:szCs w:val="20"/>
              </w:rPr>
              <w:t>Fildes</w:t>
            </w:r>
            <w:proofErr w:type="spellEnd"/>
            <w:r w:rsidRPr="00B3149D">
              <w:rPr>
                <w:rFonts w:ascii="Arial" w:hAnsi="Arial" w:cs="Arial"/>
                <w:sz w:val="20"/>
                <w:szCs w:val="20"/>
              </w:rPr>
              <w:t xml:space="preserve"> and colleagues (2016)</w:t>
            </w:r>
          </w:p>
        </w:tc>
        <w:tc>
          <w:tcPr>
            <w:tcW w:w="1203" w:type="dxa"/>
            <w:tcMar>
              <w:top w:w="60" w:type="dxa"/>
              <w:left w:w="70" w:type="dxa"/>
              <w:bottom w:w="60" w:type="dxa"/>
              <w:right w:w="70" w:type="dxa"/>
            </w:tcMar>
          </w:tcPr>
          <w:p w14:paraId="382BA16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7CDC15A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forecasting study</w:t>
            </w:r>
          </w:p>
        </w:tc>
        <w:tc>
          <w:tcPr>
            <w:tcW w:w="902" w:type="dxa"/>
            <w:tcMar>
              <w:top w:w="60" w:type="dxa"/>
              <w:left w:w="70" w:type="dxa"/>
              <w:bottom w:w="60" w:type="dxa"/>
              <w:right w:w="70" w:type="dxa"/>
            </w:tcMar>
          </w:tcPr>
          <w:p w14:paraId="22389A9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High-dimensional SKU sales forecasting - Strong evidence that retail demand is shaped by cross-</w:t>
            </w:r>
            <w:r w:rsidRPr="00B3149D">
              <w:rPr>
                <w:rFonts w:ascii="Arial" w:hAnsi="Arial" w:cs="Arial"/>
                <w:sz w:val="20"/>
                <w:szCs w:val="20"/>
              </w:rPr>
              <w:lastRenderedPageBreak/>
              <w:t>item promotional effects.</w:t>
            </w:r>
          </w:p>
        </w:tc>
        <w:tc>
          <w:tcPr>
            <w:tcW w:w="1216" w:type="dxa"/>
            <w:tcMar>
              <w:top w:w="60" w:type="dxa"/>
              <w:left w:w="70" w:type="dxa"/>
              <w:bottom w:w="60" w:type="dxa"/>
              <w:right w:w="70" w:type="dxa"/>
            </w:tcMar>
          </w:tcPr>
          <w:p w14:paraId="708E64F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empirical</w:t>
            </w:r>
          </w:p>
        </w:tc>
        <w:tc>
          <w:tcPr>
            <w:tcW w:w="902" w:type="dxa"/>
            <w:tcMar>
              <w:top w:w="60" w:type="dxa"/>
              <w:left w:w="70" w:type="dxa"/>
              <w:bottom w:w="60" w:type="dxa"/>
              <w:right w:w="70" w:type="dxa"/>
            </w:tcMar>
          </w:tcPr>
          <w:p w14:paraId="21C3819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intra- and inter-category promotional information can improve SKU-level forecasting.</w:t>
            </w:r>
          </w:p>
        </w:tc>
        <w:tc>
          <w:tcPr>
            <w:tcW w:w="960" w:type="dxa"/>
            <w:tcMar>
              <w:top w:w="60" w:type="dxa"/>
              <w:left w:w="70" w:type="dxa"/>
              <w:bottom w:w="60" w:type="dxa"/>
              <w:right w:w="70" w:type="dxa"/>
            </w:tcMar>
          </w:tcPr>
          <w:p w14:paraId="644E4FA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Important precursor to later graph-based replenishment work.</w:t>
            </w:r>
          </w:p>
        </w:tc>
        <w:tc>
          <w:tcPr>
            <w:tcW w:w="896" w:type="dxa"/>
            <w:tcMar>
              <w:top w:w="60" w:type="dxa"/>
              <w:left w:w="70" w:type="dxa"/>
              <w:bottom w:w="60" w:type="dxa"/>
              <w:right w:w="70" w:type="dxa"/>
            </w:tcMar>
          </w:tcPr>
          <w:p w14:paraId="2B52611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causal and feature-rich forecasting.</w:t>
            </w:r>
          </w:p>
        </w:tc>
        <w:tc>
          <w:tcPr>
            <w:tcW w:w="902" w:type="dxa"/>
            <w:tcMar>
              <w:top w:w="60" w:type="dxa"/>
              <w:left w:w="70" w:type="dxa"/>
              <w:bottom w:w="60" w:type="dxa"/>
              <w:right w:w="70" w:type="dxa"/>
            </w:tcMar>
          </w:tcPr>
          <w:p w14:paraId="12632AF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that intra- and inter-category promotional information can improve SKU-level forecasting. </w:t>
            </w:r>
            <w:r w:rsidRPr="00B3149D">
              <w:rPr>
                <w:rFonts w:ascii="Arial" w:hAnsi="Arial" w:cs="Arial"/>
                <w:sz w:val="20"/>
                <w:szCs w:val="20"/>
              </w:rPr>
              <w:lastRenderedPageBreak/>
              <w:t>Strong evidence that retail demand is shaped by cross-item promotional effects.</w:t>
            </w:r>
          </w:p>
        </w:tc>
      </w:tr>
      <w:tr w:rsidR="00794E6A" w:rsidRPr="00B3149D" w14:paraId="4AB40BEB" w14:textId="77777777" w:rsidTr="00794E6A">
        <w:tc>
          <w:tcPr>
            <w:tcW w:w="794" w:type="dxa"/>
            <w:tcMar>
              <w:top w:w="60" w:type="dxa"/>
              <w:left w:w="70" w:type="dxa"/>
              <w:bottom w:w="60" w:type="dxa"/>
              <w:right w:w="70" w:type="dxa"/>
            </w:tcMar>
          </w:tcPr>
          <w:p w14:paraId="328ED4A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Ma et al. (2021)</w:t>
            </w:r>
          </w:p>
        </w:tc>
        <w:tc>
          <w:tcPr>
            <w:tcW w:w="1203" w:type="dxa"/>
            <w:tcMar>
              <w:top w:w="60" w:type="dxa"/>
              <w:left w:w="70" w:type="dxa"/>
              <w:bottom w:w="60" w:type="dxa"/>
              <w:right w:w="70" w:type="dxa"/>
            </w:tcMar>
          </w:tcPr>
          <w:p w14:paraId="2C81DA8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0CA823D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forecasting study</w:t>
            </w:r>
          </w:p>
        </w:tc>
        <w:tc>
          <w:tcPr>
            <w:tcW w:w="902" w:type="dxa"/>
            <w:tcMar>
              <w:top w:w="60" w:type="dxa"/>
              <w:left w:w="70" w:type="dxa"/>
              <w:bottom w:w="60" w:type="dxa"/>
              <w:right w:w="70" w:type="dxa"/>
            </w:tcMar>
          </w:tcPr>
          <w:p w14:paraId="2973242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Meta-learning for retail sales - Shows the move toward global models that learn across series rather than per-series isolation.</w:t>
            </w:r>
          </w:p>
        </w:tc>
        <w:tc>
          <w:tcPr>
            <w:tcW w:w="1216" w:type="dxa"/>
            <w:tcMar>
              <w:top w:w="60" w:type="dxa"/>
              <w:left w:w="70" w:type="dxa"/>
              <w:bottom w:w="60" w:type="dxa"/>
              <w:right w:w="70" w:type="dxa"/>
            </w:tcMar>
          </w:tcPr>
          <w:p w14:paraId="413E4A0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0DAB325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Explores meta-learning to improve retail sales forecasting across many SKUs.</w:t>
            </w:r>
          </w:p>
        </w:tc>
        <w:tc>
          <w:tcPr>
            <w:tcW w:w="960" w:type="dxa"/>
            <w:tcMar>
              <w:top w:w="60" w:type="dxa"/>
              <w:left w:w="70" w:type="dxa"/>
              <w:bottom w:w="60" w:type="dxa"/>
              <w:right w:w="70" w:type="dxa"/>
            </w:tcMar>
          </w:tcPr>
          <w:p w14:paraId="7BB8224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Innovative but may raise interpretability and transferability questions.</w:t>
            </w:r>
          </w:p>
        </w:tc>
        <w:tc>
          <w:tcPr>
            <w:tcW w:w="896" w:type="dxa"/>
            <w:tcMar>
              <w:top w:w="60" w:type="dxa"/>
              <w:left w:w="70" w:type="dxa"/>
              <w:bottom w:w="60" w:type="dxa"/>
              <w:right w:w="70" w:type="dxa"/>
            </w:tcMar>
          </w:tcPr>
          <w:p w14:paraId="6208E23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scalability in retail forecasting.</w:t>
            </w:r>
          </w:p>
        </w:tc>
        <w:tc>
          <w:tcPr>
            <w:tcW w:w="902" w:type="dxa"/>
            <w:tcMar>
              <w:top w:w="60" w:type="dxa"/>
              <w:left w:w="70" w:type="dxa"/>
              <w:bottom w:w="60" w:type="dxa"/>
              <w:right w:w="70" w:type="dxa"/>
            </w:tcMar>
          </w:tcPr>
          <w:p w14:paraId="09DBA77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Explores meta-learning to improve retail sales forecasting across many SKUs. Shows the move toward global models that learn across series rather than per-series </w:t>
            </w:r>
            <w:r w:rsidRPr="00B3149D">
              <w:rPr>
                <w:rFonts w:ascii="Arial" w:hAnsi="Arial" w:cs="Arial"/>
                <w:sz w:val="20"/>
                <w:szCs w:val="20"/>
              </w:rPr>
              <w:lastRenderedPageBreak/>
              <w:t>isolation.</w:t>
            </w:r>
          </w:p>
        </w:tc>
      </w:tr>
      <w:tr w:rsidR="00794E6A" w:rsidRPr="00B3149D" w14:paraId="6AB70AA8" w14:textId="77777777" w:rsidTr="00794E6A">
        <w:tc>
          <w:tcPr>
            <w:tcW w:w="794" w:type="dxa"/>
            <w:tcMar>
              <w:top w:w="60" w:type="dxa"/>
              <w:left w:w="70" w:type="dxa"/>
              <w:bottom w:w="60" w:type="dxa"/>
              <w:right w:w="70" w:type="dxa"/>
            </w:tcMar>
          </w:tcPr>
          <w:p w14:paraId="783A1D1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Ban et al. (2019)</w:t>
            </w:r>
          </w:p>
        </w:tc>
        <w:tc>
          <w:tcPr>
            <w:tcW w:w="1203" w:type="dxa"/>
            <w:tcMar>
              <w:top w:w="60" w:type="dxa"/>
              <w:left w:w="70" w:type="dxa"/>
              <w:bottom w:w="60" w:type="dxa"/>
              <w:right w:w="70" w:type="dxa"/>
            </w:tcMar>
          </w:tcPr>
          <w:p w14:paraId="687B230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56FC4A9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Data-driven inventory study</w:t>
            </w:r>
          </w:p>
        </w:tc>
        <w:tc>
          <w:tcPr>
            <w:tcW w:w="902" w:type="dxa"/>
            <w:tcMar>
              <w:top w:w="60" w:type="dxa"/>
              <w:left w:w="70" w:type="dxa"/>
              <w:bottom w:w="60" w:type="dxa"/>
              <w:right w:w="70" w:type="dxa"/>
            </w:tcMar>
          </w:tcPr>
          <w:p w14:paraId="27C75F4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Big-data newsvendor - Strong bridge from predictive modelling to operational action.</w:t>
            </w:r>
          </w:p>
        </w:tc>
        <w:tc>
          <w:tcPr>
            <w:tcW w:w="1216" w:type="dxa"/>
            <w:tcMar>
              <w:top w:w="60" w:type="dxa"/>
              <w:left w:w="70" w:type="dxa"/>
              <w:bottom w:w="60" w:type="dxa"/>
              <w:right w:w="70" w:type="dxa"/>
            </w:tcMar>
          </w:tcPr>
          <w:p w14:paraId="269ECC0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3506335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machine-learning-driven decisions can improve inventory choices under uncertain demand.</w:t>
            </w:r>
          </w:p>
        </w:tc>
        <w:tc>
          <w:tcPr>
            <w:tcW w:w="960" w:type="dxa"/>
            <w:tcMar>
              <w:top w:w="60" w:type="dxa"/>
              <w:left w:w="70" w:type="dxa"/>
              <w:bottom w:w="60" w:type="dxa"/>
              <w:right w:w="70" w:type="dxa"/>
            </w:tcMar>
          </w:tcPr>
          <w:p w14:paraId="49EB46D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retail-exclusive, but highly relevant to replenishment under uncertainty.</w:t>
            </w:r>
          </w:p>
        </w:tc>
        <w:tc>
          <w:tcPr>
            <w:tcW w:w="896" w:type="dxa"/>
            <w:tcMar>
              <w:top w:w="60" w:type="dxa"/>
              <w:left w:w="70" w:type="dxa"/>
              <w:bottom w:w="60" w:type="dxa"/>
              <w:right w:w="70" w:type="dxa"/>
            </w:tcMar>
          </w:tcPr>
          <w:p w14:paraId="6208E06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performance pathway.</w:t>
            </w:r>
          </w:p>
        </w:tc>
        <w:tc>
          <w:tcPr>
            <w:tcW w:w="902" w:type="dxa"/>
            <w:tcMar>
              <w:top w:w="60" w:type="dxa"/>
              <w:left w:w="70" w:type="dxa"/>
              <w:bottom w:w="60" w:type="dxa"/>
              <w:right w:w="70" w:type="dxa"/>
            </w:tcMar>
          </w:tcPr>
          <w:p w14:paraId="09966BE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machine-learning-driven decisions can improve inventory choices under uncertain demand. Strong bridge from predictive modelling to operational action.</w:t>
            </w:r>
          </w:p>
        </w:tc>
      </w:tr>
      <w:tr w:rsidR="00794E6A" w:rsidRPr="00B3149D" w14:paraId="0F8CCE28" w14:textId="77777777" w:rsidTr="00794E6A">
        <w:tc>
          <w:tcPr>
            <w:tcW w:w="794" w:type="dxa"/>
            <w:tcMar>
              <w:top w:w="60" w:type="dxa"/>
              <w:left w:w="70" w:type="dxa"/>
              <w:bottom w:w="60" w:type="dxa"/>
              <w:right w:w="70" w:type="dxa"/>
            </w:tcMar>
          </w:tcPr>
          <w:p w14:paraId="0B20CBA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Huber et al. (2019)</w:t>
            </w:r>
          </w:p>
        </w:tc>
        <w:tc>
          <w:tcPr>
            <w:tcW w:w="1203" w:type="dxa"/>
            <w:tcMar>
              <w:top w:w="60" w:type="dxa"/>
              <w:left w:w="70" w:type="dxa"/>
              <w:bottom w:w="60" w:type="dxa"/>
              <w:right w:w="70" w:type="dxa"/>
            </w:tcMar>
          </w:tcPr>
          <w:p w14:paraId="043108A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6826B43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Data-driven inventory study</w:t>
            </w:r>
          </w:p>
        </w:tc>
        <w:tc>
          <w:tcPr>
            <w:tcW w:w="902" w:type="dxa"/>
            <w:tcMar>
              <w:top w:w="60" w:type="dxa"/>
              <w:left w:w="70" w:type="dxa"/>
              <w:bottom w:w="60" w:type="dxa"/>
              <w:right w:w="70" w:type="dxa"/>
            </w:tcMar>
          </w:tcPr>
          <w:p w14:paraId="2FDD1E0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Data-driven newsvendor - Important because it moves from prediction to </w:t>
            </w:r>
            <w:r w:rsidRPr="00B3149D">
              <w:rPr>
                <w:rFonts w:ascii="Arial" w:hAnsi="Arial" w:cs="Arial"/>
                <w:sz w:val="20"/>
                <w:szCs w:val="20"/>
              </w:rPr>
              <w:lastRenderedPageBreak/>
              <w:t>decision rules.</w:t>
            </w:r>
          </w:p>
        </w:tc>
        <w:tc>
          <w:tcPr>
            <w:tcW w:w="1216" w:type="dxa"/>
            <w:tcMar>
              <w:top w:w="60" w:type="dxa"/>
              <w:left w:w="70" w:type="dxa"/>
              <w:bottom w:w="60" w:type="dxa"/>
              <w:right w:w="70" w:type="dxa"/>
            </w:tcMar>
          </w:tcPr>
          <w:p w14:paraId="50D640F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empirical</w:t>
            </w:r>
          </w:p>
        </w:tc>
        <w:tc>
          <w:tcPr>
            <w:tcW w:w="902" w:type="dxa"/>
            <w:tcMar>
              <w:top w:w="60" w:type="dxa"/>
              <w:left w:w="70" w:type="dxa"/>
              <w:bottom w:w="60" w:type="dxa"/>
              <w:right w:w="70" w:type="dxa"/>
            </w:tcMar>
          </w:tcPr>
          <w:p w14:paraId="4687540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Demonstrates how demand data can be translated into better inventory </w:t>
            </w:r>
            <w:r w:rsidRPr="00B3149D">
              <w:rPr>
                <w:rFonts w:ascii="Arial" w:hAnsi="Arial" w:cs="Arial"/>
                <w:sz w:val="20"/>
                <w:szCs w:val="20"/>
              </w:rPr>
              <w:lastRenderedPageBreak/>
              <w:t>decisions.</w:t>
            </w:r>
          </w:p>
        </w:tc>
        <w:tc>
          <w:tcPr>
            <w:tcW w:w="960" w:type="dxa"/>
            <w:tcMar>
              <w:top w:w="60" w:type="dxa"/>
              <w:left w:w="70" w:type="dxa"/>
              <w:bottom w:w="60" w:type="dxa"/>
              <w:right w:w="70" w:type="dxa"/>
            </w:tcMar>
          </w:tcPr>
          <w:p w14:paraId="50AFFDB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Not explicitly AI-centric, but highly relevant to decision integration.</w:t>
            </w:r>
          </w:p>
        </w:tc>
        <w:tc>
          <w:tcPr>
            <w:tcW w:w="896" w:type="dxa"/>
            <w:tcMar>
              <w:top w:w="60" w:type="dxa"/>
              <w:left w:w="70" w:type="dxa"/>
              <w:bottom w:w="60" w:type="dxa"/>
              <w:right w:w="70" w:type="dxa"/>
            </w:tcMar>
          </w:tcPr>
          <w:p w14:paraId="0AA4450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decision-quality reasoning.</w:t>
            </w:r>
          </w:p>
        </w:tc>
        <w:tc>
          <w:tcPr>
            <w:tcW w:w="902" w:type="dxa"/>
            <w:tcMar>
              <w:top w:w="60" w:type="dxa"/>
              <w:left w:w="70" w:type="dxa"/>
              <w:bottom w:w="60" w:type="dxa"/>
              <w:right w:w="70" w:type="dxa"/>
            </w:tcMar>
          </w:tcPr>
          <w:p w14:paraId="5AF8A2D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Demonstrates how demand data can be translated into better inventory </w:t>
            </w:r>
            <w:r w:rsidRPr="00B3149D">
              <w:rPr>
                <w:rFonts w:ascii="Arial" w:hAnsi="Arial" w:cs="Arial"/>
                <w:sz w:val="20"/>
                <w:szCs w:val="20"/>
              </w:rPr>
              <w:lastRenderedPageBreak/>
              <w:t>decisions. Important because it moves from prediction to decision rules.</w:t>
            </w:r>
          </w:p>
        </w:tc>
      </w:tr>
      <w:tr w:rsidR="00794E6A" w:rsidRPr="00B3149D" w14:paraId="74D94401" w14:textId="77777777" w:rsidTr="00794E6A">
        <w:tc>
          <w:tcPr>
            <w:tcW w:w="794" w:type="dxa"/>
            <w:tcMar>
              <w:top w:w="60" w:type="dxa"/>
              <w:left w:w="70" w:type="dxa"/>
              <w:bottom w:w="60" w:type="dxa"/>
              <w:right w:w="70" w:type="dxa"/>
            </w:tcMar>
          </w:tcPr>
          <w:p w14:paraId="27CD8E2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Cao et al. (2019)</w:t>
            </w:r>
          </w:p>
        </w:tc>
        <w:tc>
          <w:tcPr>
            <w:tcW w:w="1203" w:type="dxa"/>
            <w:tcMar>
              <w:top w:w="60" w:type="dxa"/>
              <w:left w:w="70" w:type="dxa"/>
              <w:bottom w:w="60" w:type="dxa"/>
              <w:right w:w="70" w:type="dxa"/>
            </w:tcMar>
          </w:tcPr>
          <w:p w14:paraId="13D33BC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29A9BB7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Quantile forecasting/inventory study</w:t>
            </w:r>
          </w:p>
        </w:tc>
        <w:tc>
          <w:tcPr>
            <w:tcW w:w="902" w:type="dxa"/>
            <w:tcMar>
              <w:top w:w="60" w:type="dxa"/>
              <w:left w:w="70" w:type="dxa"/>
              <w:bottom w:w="60" w:type="dxa"/>
              <w:right w:w="70" w:type="dxa"/>
            </w:tcMar>
          </w:tcPr>
          <w:p w14:paraId="6F8A244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Nonstationary demand - Useful where retail demand is volatile and nonstationary.</w:t>
            </w:r>
          </w:p>
        </w:tc>
        <w:tc>
          <w:tcPr>
            <w:tcW w:w="1216" w:type="dxa"/>
            <w:tcMar>
              <w:top w:w="60" w:type="dxa"/>
              <w:left w:w="70" w:type="dxa"/>
              <w:bottom w:w="60" w:type="dxa"/>
              <w:right w:w="70" w:type="dxa"/>
            </w:tcMar>
          </w:tcPr>
          <w:p w14:paraId="219E229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4AA1C54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quantile forecasting improves inventory management under changing demand conditions.</w:t>
            </w:r>
          </w:p>
        </w:tc>
        <w:tc>
          <w:tcPr>
            <w:tcW w:w="960" w:type="dxa"/>
            <w:tcMar>
              <w:top w:w="60" w:type="dxa"/>
              <w:left w:w="70" w:type="dxa"/>
              <w:bottom w:w="60" w:type="dxa"/>
              <w:right w:w="70" w:type="dxa"/>
            </w:tcMar>
          </w:tcPr>
          <w:p w14:paraId="3B195CF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Technical, but operationally meaningful.</w:t>
            </w:r>
          </w:p>
        </w:tc>
        <w:tc>
          <w:tcPr>
            <w:tcW w:w="896" w:type="dxa"/>
            <w:tcMar>
              <w:top w:w="60" w:type="dxa"/>
              <w:left w:w="70" w:type="dxa"/>
              <w:bottom w:w="60" w:type="dxa"/>
              <w:right w:w="70" w:type="dxa"/>
            </w:tcMar>
          </w:tcPr>
          <w:p w14:paraId="5710C12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dynamic replenishment performance.</w:t>
            </w:r>
          </w:p>
        </w:tc>
        <w:tc>
          <w:tcPr>
            <w:tcW w:w="902" w:type="dxa"/>
            <w:tcMar>
              <w:top w:w="60" w:type="dxa"/>
              <w:left w:w="70" w:type="dxa"/>
              <w:bottom w:w="60" w:type="dxa"/>
              <w:right w:w="70" w:type="dxa"/>
            </w:tcMar>
          </w:tcPr>
          <w:p w14:paraId="38CEE94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quantile forecasting improves inventory management under changing demand conditions. Useful where retail demand is volatile and nonstationary.</w:t>
            </w:r>
          </w:p>
        </w:tc>
      </w:tr>
      <w:tr w:rsidR="00794E6A" w:rsidRPr="00B3149D" w14:paraId="30FA0301" w14:textId="77777777" w:rsidTr="00794E6A">
        <w:tc>
          <w:tcPr>
            <w:tcW w:w="794" w:type="dxa"/>
            <w:tcMar>
              <w:top w:w="60" w:type="dxa"/>
              <w:left w:w="70" w:type="dxa"/>
              <w:bottom w:w="60" w:type="dxa"/>
              <w:right w:w="70" w:type="dxa"/>
            </w:tcMar>
          </w:tcPr>
          <w:p w14:paraId="4E12BF11"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Beutel</w:t>
            </w:r>
            <w:proofErr w:type="spellEnd"/>
            <w:r w:rsidRPr="00B3149D">
              <w:rPr>
                <w:rFonts w:ascii="Arial" w:hAnsi="Arial" w:cs="Arial"/>
                <w:sz w:val="20"/>
                <w:szCs w:val="20"/>
              </w:rPr>
              <w:t xml:space="preserve"> et al. (2012)</w:t>
            </w:r>
          </w:p>
        </w:tc>
        <w:tc>
          <w:tcPr>
            <w:tcW w:w="1203" w:type="dxa"/>
            <w:tcMar>
              <w:top w:w="60" w:type="dxa"/>
              <w:left w:w="70" w:type="dxa"/>
              <w:bottom w:w="60" w:type="dxa"/>
              <w:right w:w="70" w:type="dxa"/>
            </w:tcMar>
          </w:tcPr>
          <w:p w14:paraId="4038CDC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241" w:type="dxa"/>
            <w:tcMar>
              <w:top w:w="60" w:type="dxa"/>
              <w:left w:w="70" w:type="dxa"/>
              <w:bottom w:w="60" w:type="dxa"/>
              <w:right w:w="70" w:type="dxa"/>
            </w:tcMar>
          </w:tcPr>
          <w:p w14:paraId="5E3C67D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Safety stock study</w:t>
            </w:r>
          </w:p>
        </w:tc>
        <w:tc>
          <w:tcPr>
            <w:tcW w:w="902" w:type="dxa"/>
            <w:tcMar>
              <w:top w:w="60" w:type="dxa"/>
              <w:left w:w="70" w:type="dxa"/>
              <w:bottom w:w="60" w:type="dxa"/>
              <w:right w:w="70" w:type="dxa"/>
            </w:tcMar>
          </w:tcPr>
          <w:p w14:paraId="4E68CE0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Causal demand forecasting - Supports the argument that better explanatory models can improve operational policy.</w:t>
            </w:r>
          </w:p>
        </w:tc>
        <w:tc>
          <w:tcPr>
            <w:tcW w:w="1216" w:type="dxa"/>
            <w:tcMar>
              <w:top w:w="60" w:type="dxa"/>
              <w:left w:w="70" w:type="dxa"/>
              <w:bottom w:w="60" w:type="dxa"/>
              <w:right w:w="70" w:type="dxa"/>
            </w:tcMar>
          </w:tcPr>
          <w:p w14:paraId="25B455A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902" w:type="dxa"/>
            <w:tcMar>
              <w:top w:w="60" w:type="dxa"/>
              <w:left w:w="70" w:type="dxa"/>
              <w:bottom w:w="60" w:type="dxa"/>
              <w:right w:w="70" w:type="dxa"/>
            </w:tcMar>
          </w:tcPr>
          <w:p w14:paraId="1246DE9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Links causal forecasting to safety-stock planning and improved inventory outcomes.</w:t>
            </w:r>
          </w:p>
        </w:tc>
        <w:tc>
          <w:tcPr>
            <w:tcW w:w="960" w:type="dxa"/>
            <w:tcMar>
              <w:top w:w="60" w:type="dxa"/>
              <w:left w:w="70" w:type="dxa"/>
              <w:bottom w:w="60" w:type="dxa"/>
              <w:right w:w="70" w:type="dxa"/>
            </w:tcMar>
          </w:tcPr>
          <w:p w14:paraId="43D5B7B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Older and narrower in context, but still useful.</w:t>
            </w:r>
          </w:p>
        </w:tc>
        <w:tc>
          <w:tcPr>
            <w:tcW w:w="896" w:type="dxa"/>
            <w:tcMar>
              <w:top w:w="60" w:type="dxa"/>
              <w:left w:w="70" w:type="dxa"/>
              <w:bottom w:w="60" w:type="dxa"/>
              <w:right w:w="70" w:type="dxa"/>
            </w:tcMar>
          </w:tcPr>
          <w:p w14:paraId="78F5F38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inventory cost and service level.</w:t>
            </w:r>
          </w:p>
        </w:tc>
        <w:tc>
          <w:tcPr>
            <w:tcW w:w="902" w:type="dxa"/>
            <w:tcMar>
              <w:top w:w="60" w:type="dxa"/>
              <w:left w:w="70" w:type="dxa"/>
              <w:bottom w:w="60" w:type="dxa"/>
              <w:right w:w="70" w:type="dxa"/>
            </w:tcMar>
          </w:tcPr>
          <w:p w14:paraId="0E8C21D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Links causal forecasting to safety-stock planning and improved inventory outcomes. Supports the argument that better explanatory models can improve operational policy.</w:t>
            </w:r>
          </w:p>
        </w:tc>
      </w:tr>
      <w:tr w:rsidR="00794E6A" w:rsidRPr="00B3149D" w14:paraId="26D451B2" w14:textId="77777777" w:rsidTr="00794E6A">
        <w:tc>
          <w:tcPr>
            <w:tcW w:w="794" w:type="dxa"/>
            <w:tcMar>
              <w:top w:w="60" w:type="dxa"/>
              <w:left w:w="70" w:type="dxa"/>
              <w:bottom w:w="60" w:type="dxa"/>
              <w:right w:w="70" w:type="dxa"/>
            </w:tcMar>
          </w:tcPr>
          <w:p w14:paraId="0251FA0F"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Riesenegger</w:t>
            </w:r>
            <w:proofErr w:type="spellEnd"/>
            <w:r w:rsidRPr="00B3149D">
              <w:rPr>
                <w:rFonts w:ascii="Arial" w:hAnsi="Arial" w:cs="Arial"/>
                <w:sz w:val="20"/>
                <w:szCs w:val="20"/>
              </w:rPr>
              <w:t xml:space="preserve"> et al. (2023)</w:t>
            </w:r>
          </w:p>
        </w:tc>
        <w:tc>
          <w:tcPr>
            <w:tcW w:w="1203" w:type="dxa"/>
            <w:tcMar>
              <w:top w:w="60" w:type="dxa"/>
              <w:left w:w="70" w:type="dxa"/>
              <w:bottom w:w="60" w:type="dxa"/>
              <w:right w:w="70" w:type="dxa"/>
            </w:tcMar>
          </w:tcPr>
          <w:p w14:paraId="1DF2C9D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241" w:type="dxa"/>
            <w:tcMar>
              <w:top w:w="60" w:type="dxa"/>
              <w:left w:w="70" w:type="dxa"/>
              <w:bottom w:w="60" w:type="dxa"/>
              <w:right w:w="70" w:type="dxa"/>
            </w:tcMar>
          </w:tcPr>
          <w:p w14:paraId="0637413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Literature review</w:t>
            </w:r>
          </w:p>
        </w:tc>
        <w:tc>
          <w:tcPr>
            <w:tcW w:w="902" w:type="dxa"/>
            <w:tcMar>
              <w:top w:w="60" w:type="dxa"/>
              <w:left w:w="70" w:type="dxa"/>
              <w:bottom w:w="60" w:type="dxa"/>
              <w:right w:w="70" w:type="dxa"/>
            </w:tcMar>
          </w:tcPr>
          <w:p w14:paraId="10CE87B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Food waste in grocery operations - Adds sustainability and waste to performance </w:t>
            </w:r>
            <w:r w:rsidRPr="00B3149D">
              <w:rPr>
                <w:rFonts w:ascii="Arial" w:hAnsi="Arial" w:cs="Arial"/>
                <w:sz w:val="20"/>
                <w:szCs w:val="20"/>
              </w:rPr>
              <w:lastRenderedPageBreak/>
              <w:t>evaluation.</w:t>
            </w:r>
          </w:p>
        </w:tc>
        <w:tc>
          <w:tcPr>
            <w:tcW w:w="1216" w:type="dxa"/>
            <w:tcMar>
              <w:top w:w="60" w:type="dxa"/>
              <w:left w:w="70" w:type="dxa"/>
              <w:bottom w:w="60" w:type="dxa"/>
              <w:right w:w="70" w:type="dxa"/>
            </w:tcMar>
          </w:tcPr>
          <w:p w14:paraId="5E3A61E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 article</w:t>
            </w:r>
          </w:p>
        </w:tc>
        <w:tc>
          <w:tcPr>
            <w:tcW w:w="902" w:type="dxa"/>
            <w:tcMar>
              <w:top w:w="60" w:type="dxa"/>
              <w:left w:w="70" w:type="dxa"/>
              <w:bottom w:w="60" w:type="dxa"/>
              <w:right w:w="70" w:type="dxa"/>
            </w:tcMar>
          </w:tcPr>
          <w:p w14:paraId="00CAF1F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grocery forecasting and replenishment affect food waste outcomes.</w:t>
            </w:r>
          </w:p>
        </w:tc>
        <w:tc>
          <w:tcPr>
            <w:tcW w:w="960" w:type="dxa"/>
            <w:tcMar>
              <w:top w:w="60" w:type="dxa"/>
              <w:left w:w="70" w:type="dxa"/>
              <w:bottom w:w="60" w:type="dxa"/>
              <w:right w:w="70" w:type="dxa"/>
            </w:tcMar>
          </w:tcPr>
          <w:p w14:paraId="04B1BE7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purely AI-focused, but valuable for broader managerial implications.</w:t>
            </w:r>
          </w:p>
        </w:tc>
        <w:tc>
          <w:tcPr>
            <w:tcW w:w="896" w:type="dxa"/>
            <w:tcMar>
              <w:top w:w="60" w:type="dxa"/>
              <w:left w:w="70" w:type="dxa"/>
              <w:bottom w:w="60" w:type="dxa"/>
              <w:right w:w="70" w:type="dxa"/>
            </w:tcMar>
          </w:tcPr>
          <w:p w14:paraId="31E5A3D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retail perishables and replenishment.</w:t>
            </w:r>
          </w:p>
        </w:tc>
        <w:tc>
          <w:tcPr>
            <w:tcW w:w="902" w:type="dxa"/>
            <w:tcMar>
              <w:top w:w="60" w:type="dxa"/>
              <w:left w:w="70" w:type="dxa"/>
              <w:bottom w:w="60" w:type="dxa"/>
              <w:right w:w="70" w:type="dxa"/>
            </w:tcMar>
          </w:tcPr>
          <w:p w14:paraId="51CC548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how grocery forecasting and replenishment affect food waste outcomes. </w:t>
            </w:r>
            <w:r w:rsidRPr="00B3149D">
              <w:rPr>
                <w:rFonts w:ascii="Arial" w:hAnsi="Arial" w:cs="Arial"/>
                <w:sz w:val="20"/>
                <w:szCs w:val="20"/>
              </w:rPr>
              <w:lastRenderedPageBreak/>
              <w:t>Adds sustainability and waste to performance evaluation.</w:t>
            </w:r>
          </w:p>
        </w:tc>
      </w:tr>
      <w:tr w:rsidR="00794E6A" w:rsidRPr="00B3149D" w14:paraId="5606ACF1" w14:textId="77777777" w:rsidTr="00794E6A">
        <w:tc>
          <w:tcPr>
            <w:tcW w:w="794" w:type="dxa"/>
            <w:tcMar>
              <w:top w:w="60" w:type="dxa"/>
              <w:left w:w="70" w:type="dxa"/>
              <w:bottom w:w="60" w:type="dxa"/>
              <w:right w:w="70" w:type="dxa"/>
            </w:tcMar>
          </w:tcPr>
          <w:p w14:paraId="3A4ED8C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Kuhn and </w:t>
            </w:r>
            <w:proofErr w:type="spellStart"/>
            <w:r w:rsidRPr="00B3149D">
              <w:rPr>
                <w:rFonts w:ascii="Arial" w:hAnsi="Arial" w:cs="Arial"/>
                <w:sz w:val="20"/>
                <w:szCs w:val="20"/>
              </w:rPr>
              <w:t>Sternbeck</w:t>
            </w:r>
            <w:proofErr w:type="spellEnd"/>
            <w:r w:rsidRPr="00B3149D">
              <w:rPr>
                <w:rFonts w:ascii="Arial" w:hAnsi="Arial" w:cs="Arial"/>
                <w:sz w:val="20"/>
                <w:szCs w:val="20"/>
              </w:rPr>
              <w:t xml:space="preserve"> (2013)</w:t>
            </w:r>
          </w:p>
        </w:tc>
        <w:tc>
          <w:tcPr>
            <w:tcW w:w="1203" w:type="dxa"/>
            <w:tcMar>
              <w:top w:w="60" w:type="dxa"/>
              <w:left w:w="70" w:type="dxa"/>
              <w:bottom w:w="60" w:type="dxa"/>
              <w:right w:w="70" w:type="dxa"/>
            </w:tcMar>
          </w:tcPr>
          <w:p w14:paraId="7DDE3B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1241" w:type="dxa"/>
            <w:tcMar>
              <w:top w:w="60" w:type="dxa"/>
              <w:left w:w="70" w:type="dxa"/>
              <w:bottom w:w="60" w:type="dxa"/>
              <w:right w:w="70" w:type="dxa"/>
            </w:tcMar>
          </w:tcPr>
          <w:p w14:paraId="51A54F3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logistics study</w:t>
            </w:r>
          </w:p>
        </w:tc>
        <w:tc>
          <w:tcPr>
            <w:tcW w:w="902" w:type="dxa"/>
            <w:tcMar>
              <w:top w:w="60" w:type="dxa"/>
              <w:left w:w="70" w:type="dxa"/>
              <w:bottom w:w="60" w:type="dxa"/>
              <w:right w:w="70" w:type="dxa"/>
            </w:tcMar>
          </w:tcPr>
          <w:p w14:paraId="4DDBECB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Hub-and-spoke retail distribution - Provides context for why replenishment matters in large retail chains.</w:t>
            </w:r>
          </w:p>
        </w:tc>
        <w:tc>
          <w:tcPr>
            <w:tcW w:w="1216" w:type="dxa"/>
            <w:tcMar>
              <w:top w:w="60" w:type="dxa"/>
              <w:left w:w="70" w:type="dxa"/>
              <w:bottom w:w="60" w:type="dxa"/>
              <w:right w:w="70" w:type="dxa"/>
            </w:tcMar>
          </w:tcPr>
          <w:p w14:paraId="0915AB4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Conceptual/empirical</w:t>
            </w:r>
          </w:p>
        </w:tc>
        <w:tc>
          <w:tcPr>
            <w:tcW w:w="902" w:type="dxa"/>
            <w:tcMar>
              <w:top w:w="60" w:type="dxa"/>
              <w:left w:w="70" w:type="dxa"/>
              <w:bottom w:w="60" w:type="dxa"/>
              <w:right w:w="70" w:type="dxa"/>
            </w:tcMar>
          </w:tcPr>
          <w:p w14:paraId="1F58D1D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Explains why centralised retail logistics rely on accurate store-SKU decisions.</w:t>
            </w:r>
          </w:p>
        </w:tc>
        <w:tc>
          <w:tcPr>
            <w:tcW w:w="960" w:type="dxa"/>
            <w:tcMar>
              <w:top w:w="60" w:type="dxa"/>
              <w:left w:w="70" w:type="dxa"/>
              <w:bottom w:w="60" w:type="dxa"/>
              <w:right w:w="70" w:type="dxa"/>
            </w:tcMar>
          </w:tcPr>
          <w:p w14:paraId="2D76A8B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Less forecasting-specific, but helpful for operational setting.</w:t>
            </w:r>
          </w:p>
        </w:tc>
        <w:tc>
          <w:tcPr>
            <w:tcW w:w="896" w:type="dxa"/>
            <w:tcMar>
              <w:top w:w="60" w:type="dxa"/>
              <w:left w:w="70" w:type="dxa"/>
              <w:bottom w:w="60" w:type="dxa"/>
              <w:right w:w="70" w:type="dxa"/>
            </w:tcMar>
          </w:tcPr>
          <w:p w14:paraId="3C32D07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Useful for industry context.</w:t>
            </w:r>
          </w:p>
        </w:tc>
        <w:tc>
          <w:tcPr>
            <w:tcW w:w="902" w:type="dxa"/>
            <w:tcMar>
              <w:top w:w="60" w:type="dxa"/>
              <w:left w:w="70" w:type="dxa"/>
              <w:bottom w:w="60" w:type="dxa"/>
              <w:right w:w="70" w:type="dxa"/>
            </w:tcMar>
          </w:tcPr>
          <w:p w14:paraId="04734AB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Explains why centralised retail logistics rely on accurate store-SKU decisions. Provides context for why replenishment matters in large retail chains.</w:t>
            </w:r>
          </w:p>
        </w:tc>
      </w:tr>
      <w:tr w:rsidR="00794E6A" w:rsidRPr="00B3149D" w14:paraId="15250F58" w14:textId="77777777" w:rsidTr="00794E6A">
        <w:tc>
          <w:tcPr>
            <w:tcW w:w="794" w:type="dxa"/>
            <w:tcMar>
              <w:top w:w="60" w:type="dxa"/>
              <w:left w:w="70" w:type="dxa"/>
              <w:bottom w:w="60" w:type="dxa"/>
              <w:right w:w="70" w:type="dxa"/>
            </w:tcMar>
          </w:tcPr>
          <w:p w14:paraId="59257E8E"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Makridakis</w:t>
            </w:r>
            <w:proofErr w:type="spellEnd"/>
            <w:r w:rsidRPr="00B3149D">
              <w:rPr>
                <w:rFonts w:ascii="Arial" w:hAnsi="Arial" w:cs="Arial"/>
                <w:sz w:val="20"/>
                <w:szCs w:val="20"/>
              </w:rPr>
              <w:t xml:space="preserve"> et al. (2022)</w:t>
            </w:r>
          </w:p>
        </w:tc>
        <w:tc>
          <w:tcPr>
            <w:tcW w:w="1203" w:type="dxa"/>
            <w:tcMar>
              <w:top w:w="60" w:type="dxa"/>
              <w:left w:w="70" w:type="dxa"/>
              <w:bottom w:w="60" w:type="dxa"/>
              <w:right w:w="70" w:type="dxa"/>
            </w:tcMar>
          </w:tcPr>
          <w:p w14:paraId="0E74E1B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Competition study</w:t>
            </w:r>
          </w:p>
        </w:tc>
        <w:tc>
          <w:tcPr>
            <w:tcW w:w="1241" w:type="dxa"/>
            <w:tcMar>
              <w:top w:w="60" w:type="dxa"/>
              <w:left w:w="70" w:type="dxa"/>
              <w:bottom w:w="60" w:type="dxa"/>
              <w:right w:w="70" w:type="dxa"/>
            </w:tcMar>
          </w:tcPr>
          <w:p w14:paraId="35049C1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competition review</w:t>
            </w:r>
          </w:p>
        </w:tc>
        <w:tc>
          <w:tcPr>
            <w:tcW w:w="902" w:type="dxa"/>
            <w:tcMar>
              <w:top w:w="60" w:type="dxa"/>
              <w:left w:w="70" w:type="dxa"/>
              <w:bottom w:w="60" w:type="dxa"/>
              <w:right w:w="70" w:type="dxa"/>
            </w:tcMar>
          </w:tcPr>
          <w:p w14:paraId="0CE54AC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M5 uncertainty competition - Important because retail-</w:t>
            </w:r>
            <w:r w:rsidRPr="00B3149D">
              <w:rPr>
                <w:rFonts w:ascii="Arial" w:hAnsi="Arial" w:cs="Arial"/>
                <w:sz w:val="20"/>
                <w:szCs w:val="20"/>
              </w:rPr>
              <w:lastRenderedPageBreak/>
              <w:t>like large-scale settings reveal strengths and weaknesses of advanced methods.</w:t>
            </w:r>
          </w:p>
        </w:tc>
        <w:tc>
          <w:tcPr>
            <w:tcW w:w="1216" w:type="dxa"/>
            <w:tcMar>
              <w:top w:w="60" w:type="dxa"/>
              <w:left w:w="70" w:type="dxa"/>
              <w:bottom w:w="60" w:type="dxa"/>
              <w:right w:w="70" w:type="dxa"/>
            </w:tcMar>
          </w:tcPr>
          <w:p w14:paraId="5372195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competition</w:t>
            </w:r>
          </w:p>
        </w:tc>
        <w:tc>
          <w:tcPr>
            <w:tcW w:w="902" w:type="dxa"/>
            <w:tcMar>
              <w:top w:w="60" w:type="dxa"/>
              <w:left w:w="70" w:type="dxa"/>
              <w:bottom w:w="60" w:type="dxa"/>
              <w:right w:w="70" w:type="dxa"/>
            </w:tcMar>
          </w:tcPr>
          <w:p w14:paraId="5B4229A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the state of the art in large-scale demand forecasting and </w:t>
            </w:r>
            <w:r w:rsidRPr="00B3149D">
              <w:rPr>
                <w:rFonts w:ascii="Arial" w:hAnsi="Arial" w:cs="Arial"/>
                <w:sz w:val="20"/>
                <w:szCs w:val="20"/>
              </w:rPr>
              <w:lastRenderedPageBreak/>
              <w:t>uncertainty estimation.</w:t>
            </w:r>
          </w:p>
        </w:tc>
        <w:tc>
          <w:tcPr>
            <w:tcW w:w="960" w:type="dxa"/>
            <w:tcMar>
              <w:top w:w="60" w:type="dxa"/>
              <w:left w:w="70" w:type="dxa"/>
              <w:bottom w:w="60" w:type="dxa"/>
              <w:right w:w="70" w:type="dxa"/>
            </w:tcMar>
          </w:tcPr>
          <w:p w14:paraId="1444640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Competition settings can differ from organisational practice.</w:t>
            </w:r>
          </w:p>
        </w:tc>
        <w:tc>
          <w:tcPr>
            <w:tcW w:w="896" w:type="dxa"/>
            <w:tcMar>
              <w:top w:w="60" w:type="dxa"/>
              <w:left w:w="70" w:type="dxa"/>
              <w:bottom w:w="60" w:type="dxa"/>
              <w:right w:w="70" w:type="dxa"/>
            </w:tcMar>
          </w:tcPr>
          <w:p w14:paraId="1EBE262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Useful benchmark evidence for modern forecasting </w:t>
            </w:r>
            <w:r w:rsidRPr="00B3149D">
              <w:rPr>
                <w:rFonts w:ascii="Arial" w:hAnsi="Arial" w:cs="Arial"/>
                <w:sz w:val="20"/>
                <w:szCs w:val="20"/>
              </w:rPr>
              <w:lastRenderedPageBreak/>
              <w:t>methods.</w:t>
            </w:r>
          </w:p>
        </w:tc>
        <w:tc>
          <w:tcPr>
            <w:tcW w:w="902" w:type="dxa"/>
            <w:tcMar>
              <w:top w:w="60" w:type="dxa"/>
              <w:left w:w="70" w:type="dxa"/>
              <w:bottom w:w="60" w:type="dxa"/>
              <w:right w:w="70" w:type="dxa"/>
            </w:tcMar>
          </w:tcPr>
          <w:p w14:paraId="7FCA763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Shows the state of the art in large-scale demand forecasting and </w:t>
            </w:r>
            <w:r w:rsidRPr="00B3149D">
              <w:rPr>
                <w:rFonts w:ascii="Arial" w:hAnsi="Arial" w:cs="Arial"/>
                <w:sz w:val="20"/>
                <w:szCs w:val="20"/>
              </w:rPr>
              <w:lastRenderedPageBreak/>
              <w:t>uncertainty estimation. Important because retail-like large-scale settings reveal strengths and weaknesses of advanced methods.</w:t>
            </w:r>
          </w:p>
        </w:tc>
      </w:tr>
    </w:tbl>
    <w:p w14:paraId="1DC4B759" w14:textId="77777777" w:rsidR="00794E6A" w:rsidRPr="00B3149D" w:rsidRDefault="00794E6A" w:rsidP="0062377A">
      <w:pPr>
        <w:spacing w:before="120" w:after="200" w:line="360" w:lineRule="auto"/>
        <w:rPr>
          <w:rFonts w:ascii="Arial" w:eastAsia="Aptos" w:hAnsi="Arial" w:cs="Arial"/>
          <w:lang w:val="en"/>
        </w:rPr>
      </w:pPr>
      <w:r w:rsidRPr="00B3149D">
        <w:rPr>
          <w:rFonts w:ascii="Arial" w:eastAsia="Aptos" w:hAnsi="Arial" w:cs="Arial"/>
          <w:lang w:val="en"/>
        </w:rPr>
        <w:lastRenderedPageBreak/>
        <w:t>Synthesis: Studies in this theme broadly agree that retail demand is operationally consequential because forecast quality affects ordering, waste, service and inventory cost. They conflict, however, on how directly improvements in forecast accuracy convert into replenishment performance, especially under promotion, perishability and cross-SKU effects. The missing element is an integrative explanation of why some forecasting gains translate into operational value while others dissipate in practice.</w:t>
      </w:r>
    </w:p>
    <w:p w14:paraId="54B25C4F" w14:textId="77777777" w:rsidR="00794E6A" w:rsidRPr="00B3149D" w:rsidRDefault="00794E6A" w:rsidP="0062377A">
      <w:pPr>
        <w:spacing w:before="200" w:after="120" w:line="360" w:lineRule="auto"/>
        <w:rPr>
          <w:rFonts w:ascii="Arial" w:hAnsi="Arial" w:cs="Arial"/>
        </w:rPr>
      </w:pPr>
      <w:r w:rsidRPr="00B3149D">
        <w:rPr>
          <w:rFonts w:ascii="Arial" w:hAnsi="Arial" w:cs="Arial"/>
          <w:b/>
          <w:color w:val="4F81BD"/>
        </w:rPr>
        <w:t>Theme 3: AI and forecasting methods</w:t>
      </w:r>
    </w:p>
    <w:tbl>
      <w:tblPr>
        <w:tblStyle w:val="TableGrid"/>
        <w:tblW w:w="0" w:type="auto"/>
        <w:tblLook w:val="04A0" w:firstRow="1" w:lastRow="0" w:firstColumn="1" w:lastColumn="0" w:noHBand="0" w:noVBand="1"/>
      </w:tblPr>
      <w:tblGrid>
        <w:gridCol w:w="941"/>
        <w:gridCol w:w="1441"/>
        <w:gridCol w:w="891"/>
        <w:gridCol w:w="879"/>
        <w:gridCol w:w="1361"/>
        <w:gridCol w:w="860"/>
        <w:gridCol w:w="885"/>
        <w:gridCol w:w="879"/>
        <w:gridCol w:w="879"/>
      </w:tblGrid>
      <w:tr w:rsidR="00794E6A" w:rsidRPr="00B3149D" w14:paraId="55CA39D2" w14:textId="77777777" w:rsidTr="00556F41">
        <w:tc>
          <w:tcPr>
            <w:tcW w:w="1944" w:type="dxa"/>
            <w:shd w:val="clear" w:color="auto" w:fill="D9EAF7"/>
            <w:tcMar>
              <w:top w:w="60" w:type="dxa"/>
              <w:left w:w="70" w:type="dxa"/>
              <w:bottom w:w="60" w:type="dxa"/>
              <w:right w:w="70" w:type="dxa"/>
            </w:tcMar>
          </w:tcPr>
          <w:p w14:paraId="2424C748"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Citation</w:t>
            </w:r>
          </w:p>
        </w:tc>
        <w:tc>
          <w:tcPr>
            <w:tcW w:w="1440" w:type="dxa"/>
            <w:shd w:val="clear" w:color="auto" w:fill="D9EAF7"/>
            <w:tcMar>
              <w:top w:w="60" w:type="dxa"/>
              <w:left w:w="70" w:type="dxa"/>
              <w:bottom w:w="60" w:type="dxa"/>
              <w:right w:w="70" w:type="dxa"/>
            </w:tcMar>
          </w:tcPr>
          <w:p w14:paraId="31FDD273"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Literature Type</w:t>
            </w:r>
          </w:p>
        </w:tc>
        <w:tc>
          <w:tcPr>
            <w:tcW w:w="1728" w:type="dxa"/>
            <w:shd w:val="clear" w:color="auto" w:fill="D9EAF7"/>
            <w:tcMar>
              <w:top w:w="60" w:type="dxa"/>
              <w:left w:w="70" w:type="dxa"/>
              <w:bottom w:w="60" w:type="dxa"/>
              <w:right w:w="70" w:type="dxa"/>
            </w:tcMar>
          </w:tcPr>
          <w:p w14:paraId="717F4F94"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Review Type</w:t>
            </w:r>
          </w:p>
        </w:tc>
        <w:tc>
          <w:tcPr>
            <w:tcW w:w="2592" w:type="dxa"/>
            <w:shd w:val="clear" w:color="auto" w:fill="D9EAF7"/>
            <w:tcMar>
              <w:top w:w="60" w:type="dxa"/>
              <w:left w:w="70" w:type="dxa"/>
              <w:bottom w:w="60" w:type="dxa"/>
              <w:right w:w="70" w:type="dxa"/>
            </w:tcMar>
          </w:tcPr>
          <w:p w14:paraId="3C1CDDBF"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Key Insight</w:t>
            </w:r>
          </w:p>
        </w:tc>
        <w:tc>
          <w:tcPr>
            <w:tcW w:w="1512" w:type="dxa"/>
            <w:shd w:val="clear" w:color="auto" w:fill="D9EAF7"/>
            <w:tcMar>
              <w:top w:w="60" w:type="dxa"/>
              <w:left w:w="70" w:type="dxa"/>
              <w:bottom w:w="60" w:type="dxa"/>
              <w:right w:w="70" w:type="dxa"/>
            </w:tcMar>
          </w:tcPr>
          <w:p w14:paraId="3A73C154"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Theoretical Lens</w:t>
            </w:r>
          </w:p>
        </w:tc>
        <w:tc>
          <w:tcPr>
            <w:tcW w:w="3024" w:type="dxa"/>
            <w:shd w:val="clear" w:color="auto" w:fill="D9EAF7"/>
            <w:tcMar>
              <w:top w:w="60" w:type="dxa"/>
              <w:left w:w="70" w:type="dxa"/>
              <w:bottom w:w="60" w:type="dxa"/>
              <w:right w:w="70" w:type="dxa"/>
            </w:tcMar>
          </w:tcPr>
          <w:p w14:paraId="05CC7E4C"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Methodology</w:t>
            </w:r>
          </w:p>
        </w:tc>
        <w:tc>
          <w:tcPr>
            <w:tcW w:w="2304" w:type="dxa"/>
            <w:shd w:val="clear" w:color="auto" w:fill="D9EAF7"/>
            <w:tcMar>
              <w:top w:w="60" w:type="dxa"/>
              <w:left w:w="70" w:type="dxa"/>
              <w:bottom w:w="60" w:type="dxa"/>
              <w:right w:w="70" w:type="dxa"/>
            </w:tcMar>
          </w:tcPr>
          <w:p w14:paraId="1115E7BA"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Critical Evaluation</w:t>
            </w:r>
          </w:p>
        </w:tc>
        <w:tc>
          <w:tcPr>
            <w:tcW w:w="1584" w:type="dxa"/>
            <w:shd w:val="clear" w:color="auto" w:fill="D9EAF7"/>
            <w:tcMar>
              <w:top w:w="60" w:type="dxa"/>
              <w:left w:w="70" w:type="dxa"/>
              <w:bottom w:w="60" w:type="dxa"/>
              <w:right w:w="70" w:type="dxa"/>
            </w:tcMar>
          </w:tcPr>
          <w:p w14:paraId="1067944E"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Relevance</w:t>
            </w:r>
          </w:p>
        </w:tc>
        <w:tc>
          <w:tcPr>
            <w:tcW w:w="3024" w:type="dxa"/>
            <w:shd w:val="clear" w:color="auto" w:fill="D9EAF7"/>
            <w:tcMar>
              <w:top w:w="60" w:type="dxa"/>
              <w:left w:w="70" w:type="dxa"/>
              <w:bottom w:w="60" w:type="dxa"/>
              <w:right w:w="70" w:type="dxa"/>
            </w:tcMar>
          </w:tcPr>
          <w:p w14:paraId="70B11D9E"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Example Description</w:t>
            </w:r>
          </w:p>
        </w:tc>
      </w:tr>
      <w:tr w:rsidR="00794E6A" w:rsidRPr="00B3149D" w14:paraId="5D2F6A37" w14:textId="77777777" w:rsidTr="00556F41">
        <w:tc>
          <w:tcPr>
            <w:tcW w:w="1944" w:type="dxa"/>
            <w:tcMar>
              <w:top w:w="60" w:type="dxa"/>
              <w:left w:w="70" w:type="dxa"/>
              <w:bottom w:w="60" w:type="dxa"/>
              <w:right w:w="70" w:type="dxa"/>
            </w:tcMar>
          </w:tcPr>
          <w:p w14:paraId="4A191E3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Hyndman et al. (2008)</w:t>
            </w:r>
          </w:p>
        </w:tc>
        <w:tc>
          <w:tcPr>
            <w:tcW w:w="1440" w:type="dxa"/>
            <w:tcMar>
              <w:top w:w="60" w:type="dxa"/>
              <w:left w:w="70" w:type="dxa"/>
              <w:bottom w:w="60" w:type="dxa"/>
              <w:right w:w="70" w:type="dxa"/>
            </w:tcMar>
          </w:tcPr>
          <w:p w14:paraId="40A8A6D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Methodological/empirical</w:t>
            </w:r>
          </w:p>
        </w:tc>
        <w:tc>
          <w:tcPr>
            <w:tcW w:w="1728" w:type="dxa"/>
            <w:tcMar>
              <w:top w:w="60" w:type="dxa"/>
              <w:left w:w="70" w:type="dxa"/>
              <w:bottom w:w="60" w:type="dxa"/>
              <w:right w:w="70" w:type="dxa"/>
            </w:tcMar>
          </w:tcPr>
          <w:p w14:paraId="2114E91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Automatic forecast</w:t>
            </w:r>
            <w:r w:rsidRPr="00B3149D">
              <w:rPr>
                <w:rFonts w:ascii="Arial" w:hAnsi="Arial" w:cs="Arial"/>
                <w:sz w:val="20"/>
                <w:szCs w:val="20"/>
              </w:rPr>
              <w:lastRenderedPageBreak/>
              <w:t>ing methods</w:t>
            </w:r>
          </w:p>
        </w:tc>
        <w:tc>
          <w:tcPr>
            <w:tcW w:w="2592" w:type="dxa"/>
            <w:tcMar>
              <w:top w:w="60" w:type="dxa"/>
              <w:left w:w="70" w:type="dxa"/>
              <w:bottom w:w="60" w:type="dxa"/>
              <w:right w:w="70" w:type="dxa"/>
            </w:tcMar>
          </w:tcPr>
          <w:p w14:paraId="3A3FA5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Forecast packag</w:t>
            </w:r>
            <w:r w:rsidRPr="00B3149D">
              <w:rPr>
                <w:rFonts w:ascii="Arial" w:hAnsi="Arial" w:cs="Arial"/>
                <w:sz w:val="20"/>
                <w:szCs w:val="20"/>
              </w:rPr>
              <w:lastRenderedPageBreak/>
              <w:t>e / automatic time-series forecasting - Shows why classical baselines remain essential.</w:t>
            </w:r>
          </w:p>
        </w:tc>
        <w:tc>
          <w:tcPr>
            <w:tcW w:w="1512" w:type="dxa"/>
            <w:tcMar>
              <w:top w:w="60" w:type="dxa"/>
              <w:left w:w="70" w:type="dxa"/>
              <w:bottom w:w="60" w:type="dxa"/>
              <w:right w:w="70" w:type="dxa"/>
            </w:tcMar>
          </w:tcPr>
          <w:p w14:paraId="36C4854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Methodological paper</w:t>
            </w:r>
          </w:p>
        </w:tc>
        <w:tc>
          <w:tcPr>
            <w:tcW w:w="3024" w:type="dxa"/>
            <w:tcMar>
              <w:top w:w="60" w:type="dxa"/>
              <w:left w:w="70" w:type="dxa"/>
              <w:bottom w:w="60" w:type="dxa"/>
              <w:right w:w="70" w:type="dxa"/>
            </w:tcMar>
          </w:tcPr>
          <w:p w14:paraId="2C3A49B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Systematises automa</w:t>
            </w:r>
            <w:r w:rsidRPr="00B3149D">
              <w:rPr>
                <w:rFonts w:ascii="Arial" w:hAnsi="Arial" w:cs="Arial"/>
                <w:sz w:val="20"/>
                <w:szCs w:val="20"/>
              </w:rPr>
              <w:lastRenderedPageBreak/>
              <w:t>tic forecasting methods and supports scalable benchmarking.</w:t>
            </w:r>
          </w:p>
        </w:tc>
        <w:tc>
          <w:tcPr>
            <w:tcW w:w="2304" w:type="dxa"/>
            <w:tcMar>
              <w:top w:w="60" w:type="dxa"/>
              <w:left w:w="70" w:type="dxa"/>
              <w:bottom w:w="60" w:type="dxa"/>
              <w:right w:w="70" w:type="dxa"/>
            </w:tcMar>
          </w:tcPr>
          <w:p w14:paraId="532BBA0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Foundational rather </w:t>
            </w:r>
            <w:r w:rsidRPr="00B3149D">
              <w:rPr>
                <w:rFonts w:ascii="Arial" w:hAnsi="Arial" w:cs="Arial"/>
                <w:sz w:val="20"/>
                <w:szCs w:val="20"/>
              </w:rPr>
              <w:lastRenderedPageBreak/>
              <w:t>than AI-specific, but crucial for fair comparison.</w:t>
            </w:r>
          </w:p>
        </w:tc>
        <w:tc>
          <w:tcPr>
            <w:tcW w:w="1584" w:type="dxa"/>
            <w:tcMar>
              <w:top w:w="60" w:type="dxa"/>
              <w:left w:w="70" w:type="dxa"/>
              <w:bottom w:w="60" w:type="dxa"/>
              <w:right w:w="70" w:type="dxa"/>
            </w:tcMar>
          </w:tcPr>
          <w:p w14:paraId="4F8CFE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Benchmark referenc</w:t>
            </w:r>
            <w:r w:rsidRPr="00B3149D">
              <w:rPr>
                <w:rFonts w:ascii="Arial" w:hAnsi="Arial" w:cs="Arial"/>
                <w:sz w:val="20"/>
                <w:szCs w:val="20"/>
              </w:rPr>
              <w:lastRenderedPageBreak/>
              <w:t>e for method selection.</w:t>
            </w:r>
          </w:p>
        </w:tc>
        <w:tc>
          <w:tcPr>
            <w:tcW w:w="3024" w:type="dxa"/>
            <w:tcMar>
              <w:top w:w="60" w:type="dxa"/>
              <w:left w:w="70" w:type="dxa"/>
              <w:bottom w:w="60" w:type="dxa"/>
              <w:right w:w="70" w:type="dxa"/>
            </w:tcMar>
          </w:tcPr>
          <w:p w14:paraId="6F0991E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Systematises automat</w:t>
            </w:r>
            <w:r w:rsidRPr="00B3149D">
              <w:rPr>
                <w:rFonts w:ascii="Arial" w:hAnsi="Arial" w:cs="Arial"/>
                <w:sz w:val="20"/>
                <w:szCs w:val="20"/>
              </w:rPr>
              <w:lastRenderedPageBreak/>
              <w:t>ic forecasting methods and supports scalable benchmarking. Shows why classical baselines remain essential.</w:t>
            </w:r>
          </w:p>
        </w:tc>
      </w:tr>
      <w:tr w:rsidR="00794E6A" w:rsidRPr="00B3149D" w14:paraId="26D3C3F9" w14:textId="77777777" w:rsidTr="00556F41">
        <w:tc>
          <w:tcPr>
            <w:tcW w:w="1944" w:type="dxa"/>
            <w:tcMar>
              <w:top w:w="60" w:type="dxa"/>
              <w:left w:w="70" w:type="dxa"/>
              <w:bottom w:w="60" w:type="dxa"/>
              <w:right w:w="70" w:type="dxa"/>
            </w:tcMar>
          </w:tcPr>
          <w:p w14:paraId="7F0AA06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Hyndman and </w:t>
            </w:r>
            <w:proofErr w:type="spellStart"/>
            <w:r w:rsidRPr="00B3149D">
              <w:rPr>
                <w:rFonts w:ascii="Arial" w:hAnsi="Arial" w:cs="Arial"/>
                <w:sz w:val="20"/>
                <w:szCs w:val="20"/>
              </w:rPr>
              <w:t>Athanasopoulos</w:t>
            </w:r>
            <w:proofErr w:type="spellEnd"/>
            <w:r w:rsidRPr="00B3149D">
              <w:rPr>
                <w:rFonts w:ascii="Arial" w:hAnsi="Arial" w:cs="Arial"/>
                <w:sz w:val="20"/>
                <w:szCs w:val="20"/>
              </w:rPr>
              <w:t xml:space="preserve"> (2018)</w:t>
            </w:r>
          </w:p>
        </w:tc>
        <w:tc>
          <w:tcPr>
            <w:tcW w:w="1440" w:type="dxa"/>
            <w:tcMar>
              <w:top w:w="60" w:type="dxa"/>
              <w:left w:w="70" w:type="dxa"/>
              <w:bottom w:w="60" w:type="dxa"/>
              <w:right w:w="70" w:type="dxa"/>
            </w:tcMar>
          </w:tcPr>
          <w:p w14:paraId="55B8D3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text</w:t>
            </w:r>
          </w:p>
        </w:tc>
        <w:tc>
          <w:tcPr>
            <w:tcW w:w="1728" w:type="dxa"/>
            <w:tcMar>
              <w:top w:w="60" w:type="dxa"/>
              <w:left w:w="70" w:type="dxa"/>
              <w:bottom w:w="60" w:type="dxa"/>
              <w:right w:w="70" w:type="dxa"/>
            </w:tcMar>
          </w:tcPr>
          <w:p w14:paraId="2E99C34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methods guide</w:t>
            </w:r>
          </w:p>
        </w:tc>
        <w:tc>
          <w:tcPr>
            <w:tcW w:w="2592" w:type="dxa"/>
            <w:tcMar>
              <w:top w:w="60" w:type="dxa"/>
              <w:left w:w="70" w:type="dxa"/>
              <w:bottom w:w="60" w:type="dxa"/>
              <w:right w:w="70" w:type="dxa"/>
            </w:tcMar>
          </w:tcPr>
          <w:p w14:paraId="5BE59E4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principles and practice - Vital for understanding what AI methods are being compared against.</w:t>
            </w:r>
          </w:p>
        </w:tc>
        <w:tc>
          <w:tcPr>
            <w:tcW w:w="1512" w:type="dxa"/>
            <w:tcMar>
              <w:top w:w="60" w:type="dxa"/>
              <w:left w:w="70" w:type="dxa"/>
              <w:bottom w:w="60" w:type="dxa"/>
              <w:right w:w="70" w:type="dxa"/>
            </w:tcMar>
          </w:tcPr>
          <w:p w14:paraId="12F63D6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Textbook/methodological</w:t>
            </w:r>
          </w:p>
        </w:tc>
        <w:tc>
          <w:tcPr>
            <w:tcW w:w="3024" w:type="dxa"/>
            <w:tcMar>
              <w:top w:w="60" w:type="dxa"/>
              <w:left w:w="70" w:type="dxa"/>
              <w:bottom w:w="60" w:type="dxa"/>
              <w:right w:w="70" w:type="dxa"/>
            </w:tcMar>
          </w:tcPr>
          <w:p w14:paraId="0B9E349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Provides a clear foundation for ARIMA, ETS and forecast evaluation.</w:t>
            </w:r>
          </w:p>
        </w:tc>
        <w:tc>
          <w:tcPr>
            <w:tcW w:w="2304" w:type="dxa"/>
            <w:tcMar>
              <w:top w:w="60" w:type="dxa"/>
              <w:left w:w="70" w:type="dxa"/>
              <w:bottom w:w="60" w:type="dxa"/>
              <w:right w:w="70" w:type="dxa"/>
            </w:tcMar>
          </w:tcPr>
          <w:p w14:paraId="4F546A1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retail-specific, but indispensable as a methodological base.</w:t>
            </w:r>
          </w:p>
        </w:tc>
        <w:tc>
          <w:tcPr>
            <w:tcW w:w="1584" w:type="dxa"/>
            <w:tcMar>
              <w:top w:w="60" w:type="dxa"/>
              <w:left w:w="70" w:type="dxa"/>
              <w:bottom w:w="60" w:type="dxa"/>
              <w:right w:w="70" w:type="dxa"/>
            </w:tcMar>
          </w:tcPr>
          <w:p w14:paraId="747690A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rigorous method comparison.</w:t>
            </w:r>
          </w:p>
        </w:tc>
        <w:tc>
          <w:tcPr>
            <w:tcW w:w="3024" w:type="dxa"/>
            <w:tcMar>
              <w:top w:w="60" w:type="dxa"/>
              <w:left w:w="70" w:type="dxa"/>
              <w:bottom w:w="60" w:type="dxa"/>
              <w:right w:w="70" w:type="dxa"/>
            </w:tcMar>
          </w:tcPr>
          <w:p w14:paraId="0399300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Provides a clear foundation for ARIMA, ETS and forecast evaluation. Vital for understanding what AI methods are being compar</w:t>
            </w:r>
            <w:r w:rsidRPr="00B3149D">
              <w:rPr>
                <w:rFonts w:ascii="Arial" w:hAnsi="Arial" w:cs="Arial"/>
                <w:sz w:val="20"/>
                <w:szCs w:val="20"/>
              </w:rPr>
              <w:lastRenderedPageBreak/>
              <w:t>ed against.</w:t>
            </w:r>
          </w:p>
        </w:tc>
      </w:tr>
      <w:tr w:rsidR="00794E6A" w:rsidRPr="00B3149D" w14:paraId="7BB56F35" w14:textId="77777777" w:rsidTr="00556F41">
        <w:tc>
          <w:tcPr>
            <w:tcW w:w="1944" w:type="dxa"/>
            <w:tcMar>
              <w:top w:w="60" w:type="dxa"/>
              <w:left w:w="70" w:type="dxa"/>
              <w:bottom w:w="60" w:type="dxa"/>
              <w:right w:w="70" w:type="dxa"/>
            </w:tcMar>
          </w:tcPr>
          <w:p w14:paraId="2511FBF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Box and Jenkins (1970/2015 ed.)</w:t>
            </w:r>
          </w:p>
        </w:tc>
        <w:tc>
          <w:tcPr>
            <w:tcW w:w="1440" w:type="dxa"/>
            <w:tcMar>
              <w:top w:w="60" w:type="dxa"/>
              <w:left w:w="70" w:type="dxa"/>
              <w:bottom w:w="60" w:type="dxa"/>
              <w:right w:w="70" w:type="dxa"/>
            </w:tcMar>
          </w:tcPr>
          <w:p w14:paraId="3DFC7B7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text</w:t>
            </w:r>
          </w:p>
        </w:tc>
        <w:tc>
          <w:tcPr>
            <w:tcW w:w="1728" w:type="dxa"/>
            <w:tcMar>
              <w:top w:w="60" w:type="dxa"/>
              <w:left w:w="70" w:type="dxa"/>
              <w:bottom w:w="60" w:type="dxa"/>
              <w:right w:w="70" w:type="dxa"/>
            </w:tcMar>
          </w:tcPr>
          <w:p w14:paraId="1A194F5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Classical forecasting</w:t>
            </w:r>
          </w:p>
        </w:tc>
        <w:tc>
          <w:tcPr>
            <w:tcW w:w="2592" w:type="dxa"/>
            <w:tcMar>
              <w:top w:w="60" w:type="dxa"/>
              <w:left w:w="70" w:type="dxa"/>
              <w:bottom w:w="60" w:type="dxa"/>
              <w:right w:w="70" w:type="dxa"/>
            </w:tcMar>
          </w:tcPr>
          <w:p w14:paraId="580463B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ARIMA methodology - Important because many retail ML gains are only meaningful relative to strong baselines.</w:t>
            </w:r>
          </w:p>
        </w:tc>
        <w:tc>
          <w:tcPr>
            <w:tcW w:w="1512" w:type="dxa"/>
            <w:tcMar>
              <w:top w:w="60" w:type="dxa"/>
              <w:left w:w="70" w:type="dxa"/>
              <w:bottom w:w="60" w:type="dxa"/>
              <w:right w:w="70" w:type="dxa"/>
            </w:tcMar>
          </w:tcPr>
          <w:p w14:paraId="3B71368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text</w:t>
            </w:r>
          </w:p>
        </w:tc>
        <w:tc>
          <w:tcPr>
            <w:tcW w:w="3024" w:type="dxa"/>
            <w:tcMar>
              <w:top w:w="60" w:type="dxa"/>
              <w:left w:w="70" w:type="dxa"/>
              <w:bottom w:w="60" w:type="dxa"/>
              <w:right w:w="70" w:type="dxa"/>
            </w:tcMar>
          </w:tcPr>
          <w:p w14:paraId="01466A0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Establishes the ARIMA tradition for autocorrelated time series.</w:t>
            </w:r>
          </w:p>
        </w:tc>
        <w:tc>
          <w:tcPr>
            <w:tcW w:w="2304" w:type="dxa"/>
            <w:tcMar>
              <w:top w:w="60" w:type="dxa"/>
              <w:left w:w="70" w:type="dxa"/>
              <w:bottom w:w="60" w:type="dxa"/>
              <w:right w:w="70" w:type="dxa"/>
            </w:tcMar>
          </w:tcPr>
          <w:p w14:paraId="055D9DB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Classical rather than contemporary, but still foundational.</w:t>
            </w:r>
          </w:p>
        </w:tc>
        <w:tc>
          <w:tcPr>
            <w:tcW w:w="1584" w:type="dxa"/>
            <w:tcMar>
              <w:top w:w="60" w:type="dxa"/>
              <w:left w:w="70" w:type="dxa"/>
              <w:bottom w:w="60" w:type="dxa"/>
              <w:right w:w="70" w:type="dxa"/>
            </w:tcMar>
          </w:tcPr>
          <w:p w14:paraId="7377C71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historical and methodological grounding.</w:t>
            </w:r>
          </w:p>
        </w:tc>
        <w:tc>
          <w:tcPr>
            <w:tcW w:w="3024" w:type="dxa"/>
            <w:tcMar>
              <w:top w:w="60" w:type="dxa"/>
              <w:left w:w="70" w:type="dxa"/>
              <w:bottom w:w="60" w:type="dxa"/>
              <w:right w:w="70" w:type="dxa"/>
            </w:tcMar>
          </w:tcPr>
          <w:p w14:paraId="551E051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Establishes the ARIMA tradition for autocorrelated time series. Important because many retail ML gains are only meaningful relative to strong baselines.</w:t>
            </w:r>
          </w:p>
        </w:tc>
      </w:tr>
      <w:tr w:rsidR="00794E6A" w:rsidRPr="00B3149D" w14:paraId="456F2770" w14:textId="77777777" w:rsidTr="00556F41">
        <w:tc>
          <w:tcPr>
            <w:tcW w:w="1944" w:type="dxa"/>
            <w:tcMar>
              <w:top w:w="60" w:type="dxa"/>
              <w:left w:w="70" w:type="dxa"/>
              <w:bottom w:w="60" w:type="dxa"/>
              <w:right w:w="70" w:type="dxa"/>
            </w:tcMar>
          </w:tcPr>
          <w:p w14:paraId="7A784521"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Breiman</w:t>
            </w:r>
            <w:proofErr w:type="spellEnd"/>
            <w:r w:rsidRPr="00B3149D">
              <w:rPr>
                <w:rFonts w:ascii="Arial" w:hAnsi="Arial" w:cs="Arial"/>
                <w:sz w:val="20"/>
                <w:szCs w:val="20"/>
              </w:rPr>
              <w:t xml:space="preserve"> (2001)</w:t>
            </w:r>
          </w:p>
        </w:tc>
        <w:tc>
          <w:tcPr>
            <w:tcW w:w="1440" w:type="dxa"/>
            <w:tcMar>
              <w:top w:w="60" w:type="dxa"/>
              <w:left w:w="70" w:type="dxa"/>
              <w:bottom w:w="60" w:type="dxa"/>
              <w:right w:w="70" w:type="dxa"/>
            </w:tcMar>
          </w:tcPr>
          <w:p w14:paraId="7300ED0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059166D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Machine-learning method</w:t>
            </w:r>
          </w:p>
        </w:tc>
        <w:tc>
          <w:tcPr>
            <w:tcW w:w="2592" w:type="dxa"/>
            <w:tcMar>
              <w:top w:w="60" w:type="dxa"/>
              <w:left w:w="70" w:type="dxa"/>
              <w:bottom w:w="60" w:type="dxa"/>
              <w:right w:w="70" w:type="dxa"/>
            </w:tcMar>
          </w:tcPr>
          <w:p w14:paraId="3622ABA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Random forests - Useful because retail demand data often involve rich interactions and </w:t>
            </w:r>
            <w:r w:rsidRPr="00B3149D">
              <w:rPr>
                <w:rFonts w:ascii="Arial" w:hAnsi="Arial" w:cs="Arial"/>
                <w:sz w:val="20"/>
                <w:szCs w:val="20"/>
              </w:rPr>
              <w:lastRenderedPageBreak/>
              <w:t>nonlinearity.</w:t>
            </w:r>
          </w:p>
        </w:tc>
        <w:tc>
          <w:tcPr>
            <w:tcW w:w="1512" w:type="dxa"/>
            <w:tcMar>
              <w:top w:w="60" w:type="dxa"/>
              <w:left w:w="70" w:type="dxa"/>
              <w:bottom w:w="60" w:type="dxa"/>
              <w:right w:w="70" w:type="dxa"/>
            </w:tcMar>
          </w:tcPr>
          <w:p w14:paraId="6B20214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Algorithm paper</w:t>
            </w:r>
          </w:p>
        </w:tc>
        <w:tc>
          <w:tcPr>
            <w:tcW w:w="3024" w:type="dxa"/>
            <w:tcMar>
              <w:top w:w="60" w:type="dxa"/>
              <w:left w:w="70" w:type="dxa"/>
              <w:bottom w:w="60" w:type="dxa"/>
              <w:right w:w="70" w:type="dxa"/>
            </w:tcMar>
          </w:tcPr>
          <w:p w14:paraId="4AAA559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Introduces random forests as a flexible nonlinear ensemble method.</w:t>
            </w:r>
          </w:p>
        </w:tc>
        <w:tc>
          <w:tcPr>
            <w:tcW w:w="2304" w:type="dxa"/>
            <w:tcMar>
              <w:top w:w="60" w:type="dxa"/>
              <w:left w:w="70" w:type="dxa"/>
              <w:bottom w:w="60" w:type="dxa"/>
              <w:right w:w="70" w:type="dxa"/>
            </w:tcMar>
          </w:tcPr>
          <w:p w14:paraId="03A1B0B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 paper, so operational implications must be inferred.</w:t>
            </w:r>
          </w:p>
        </w:tc>
        <w:tc>
          <w:tcPr>
            <w:tcW w:w="1584" w:type="dxa"/>
            <w:tcMar>
              <w:top w:w="60" w:type="dxa"/>
              <w:left w:w="70" w:type="dxa"/>
              <w:bottom w:w="60" w:type="dxa"/>
              <w:right w:w="70" w:type="dxa"/>
            </w:tcMar>
          </w:tcPr>
          <w:p w14:paraId="6D04F47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AI forecasting model comparisons.</w:t>
            </w:r>
          </w:p>
        </w:tc>
        <w:tc>
          <w:tcPr>
            <w:tcW w:w="3024" w:type="dxa"/>
            <w:tcMar>
              <w:top w:w="60" w:type="dxa"/>
              <w:left w:w="70" w:type="dxa"/>
              <w:bottom w:w="60" w:type="dxa"/>
              <w:right w:w="70" w:type="dxa"/>
            </w:tcMar>
          </w:tcPr>
          <w:p w14:paraId="72230B2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Introduces random forests as a flexible nonlinear ensemble method. Useful becaus</w:t>
            </w:r>
            <w:r w:rsidRPr="00B3149D">
              <w:rPr>
                <w:rFonts w:ascii="Arial" w:hAnsi="Arial" w:cs="Arial"/>
                <w:sz w:val="20"/>
                <w:szCs w:val="20"/>
              </w:rPr>
              <w:lastRenderedPageBreak/>
              <w:t>e retail demand data often involve rich interactions and nonlinearity.</w:t>
            </w:r>
          </w:p>
        </w:tc>
      </w:tr>
      <w:tr w:rsidR="00794E6A" w:rsidRPr="00B3149D" w14:paraId="63413FDB" w14:textId="77777777" w:rsidTr="00556F41">
        <w:tc>
          <w:tcPr>
            <w:tcW w:w="1944" w:type="dxa"/>
            <w:tcMar>
              <w:top w:w="60" w:type="dxa"/>
              <w:left w:w="70" w:type="dxa"/>
              <w:bottom w:w="60" w:type="dxa"/>
              <w:right w:w="70" w:type="dxa"/>
            </w:tcMar>
          </w:tcPr>
          <w:p w14:paraId="5448D8E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Chen and </w:t>
            </w:r>
            <w:proofErr w:type="spellStart"/>
            <w:r w:rsidRPr="00B3149D">
              <w:rPr>
                <w:rFonts w:ascii="Arial" w:hAnsi="Arial" w:cs="Arial"/>
                <w:sz w:val="20"/>
                <w:szCs w:val="20"/>
              </w:rPr>
              <w:t>Guestrin</w:t>
            </w:r>
            <w:proofErr w:type="spellEnd"/>
            <w:r w:rsidRPr="00B3149D">
              <w:rPr>
                <w:rFonts w:ascii="Arial" w:hAnsi="Arial" w:cs="Arial"/>
                <w:sz w:val="20"/>
                <w:szCs w:val="20"/>
              </w:rPr>
              <w:t xml:space="preserve"> (2016)</w:t>
            </w:r>
          </w:p>
        </w:tc>
        <w:tc>
          <w:tcPr>
            <w:tcW w:w="1440" w:type="dxa"/>
            <w:tcMar>
              <w:top w:w="60" w:type="dxa"/>
              <w:left w:w="70" w:type="dxa"/>
              <w:bottom w:w="60" w:type="dxa"/>
              <w:right w:w="70" w:type="dxa"/>
            </w:tcMar>
          </w:tcPr>
          <w:p w14:paraId="09B6721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3742764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Machine-learning method</w:t>
            </w:r>
          </w:p>
        </w:tc>
        <w:tc>
          <w:tcPr>
            <w:tcW w:w="2592" w:type="dxa"/>
            <w:tcMar>
              <w:top w:w="60" w:type="dxa"/>
              <w:left w:w="70" w:type="dxa"/>
              <w:bottom w:w="60" w:type="dxa"/>
              <w:right w:w="70" w:type="dxa"/>
            </w:tcMar>
          </w:tcPr>
          <w:p w14:paraId="0BBF5610"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XGBoost</w:t>
            </w:r>
            <w:proofErr w:type="spellEnd"/>
            <w:r w:rsidRPr="00B3149D">
              <w:rPr>
                <w:rFonts w:ascii="Arial" w:hAnsi="Arial" w:cs="Arial"/>
                <w:sz w:val="20"/>
                <w:szCs w:val="20"/>
              </w:rPr>
              <w:t xml:space="preserve"> - Highly relevant to retail datasets with many engineered features.</w:t>
            </w:r>
          </w:p>
        </w:tc>
        <w:tc>
          <w:tcPr>
            <w:tcW w:w="1512" w:type="dxa"/>
            <w:tcMar>
              <w:top w:w="60" w:type="dxa"/>
              <w:left w:w="70" w:type="dxa"/>
              <w:bottom w:w="60" w:type="dxa"/>
              <w:right w:w="70" w:type="dxa"/>
            </w:tcMar>
          </w:tcPr>
          <w:p w14:paraId="46554B0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Algorithm paper</w:t>
            </w:r>
          </w:p>
        </w:tc>
        <w:tc>
          <w:tcPr>
            <w:tcW w:w="3024" w:type="dxa"/>
            <w:tcMar>
              <w:top w:w="60" w:type="dxa"/>
              <w:left w:w="70" w:type="dxa"/>
              <w:bottom w:w="60" w:type="dxa"/>
              <w:right w:w="70" w:type="dxa"/>
            </w:tcMar>
          </w:tcPr>
          <w:p w14:paraId="512B18C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Introduces a scalable boosted-tree method effective for structured tabular data.</w:t>
            </w:r>
          </w:p>
        </w:tc>
        <w:tc>
          <w:tcPr>
            <w:tcW w:w="2304" w:type="dxa"/>
            <w:tcMar>
              <w:top w:w="60" w:type="dxa"/>
              <w:left w:w="70" w:type="dxa"/>
              <w:bottom w:w="60" w:type="dxa"/>
              <w:right w:w="70" w:type="dxa"/>
            </w:tcMar>
          </w:tcPr>
          <w:p w14:paraId="7D61E1E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Strong predictive method, though not inherently interpretable for managers.</w:t>
            </w:r>
          </w:p>
        </w:tc>
        <w:tc>
          <w:tcPr>
            <w:tcW w:w="1584" w:type="dxa"/>
            <w:tcMar>
              <w:top w:w="60" w:type="dxa"/>
              <w:left w:w="70" w:type="dxa"/>
              <w:bottom w:w="60" w:type="dxa"/>
              <w:right w:w="70" w:type="dxa"/>
            </w:tcMar>
          </w:tcPr>
          <w:p w14:paraId="2F245EC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modern retail demand modelling.</w:t>
            </w:r>
          </w:p>
        </w:tc>
        <w:tc>
          <w:tcPr>
            <w:tcW w:w="3024" w:type="dxa"/>
            <w:tcMar>
              <w:top w:w="60" w:type="dxa"/>
              <w:left w:w="70" w:type="dxa"/>
              <w:bottom w:w="60" w:type="dxa"/>
              <w:right w:w="70" w:type="dxa"/>
            </w:tcMar>
          </w:tcPr>
          <w:p w14:paraId="21555F9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Introduces a scalable boosted-tree method effective for structured tabular data. Highly relevant to retail datasets with many engineered features.</w:t>
            </w:r>
          </w:p>
        </w:tc>
      </w:tr>
      <w:tr w:rsidR="00794E6A" w:rsidRPr="00B3149D" w14:paraId="58E74F57" w14:textId="77777777" w:rsidTr="00556F41">
        <w:tc>
          <w:tcPr>
            <w:tcW w:w="1944" w:type="dxa"/>
            <w:tcMar>
              <w:top w:w="60" w:type="dxa"/>
              <w:left w:w="70" w:type="dxa"/>
              <w:bottom w:w="60" w:type="dxa"/>
              <w:right w:w="70" w:type="dxa"/>
            </w:tcMar>
          </w:tcPr>
          <w:p w14:paraId="593B9524"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Hochreiter</w:t>
            </w:r>
            <w:proofErr w:type="spellEnd"/>
            <w:r w:rsidRPr="00B3149D">
              <w:rPr>
                <w:rFonts w:ascii="Arial" w:hAnsi="Arial" w:cs="Arial"/>
                <w:sz w:val="20"/>
                <w:szCs w:val="20"/>
              </w:rPr>
              <w:t xml:space="preserve"> and </w:t>
            </w:r>
            <w:proofErr w:type="spellStart"/>
            <w:r w:rsidRPr="00B3149D">
              <w:rPr>
                <w:rFonts w:ascii="Arial" w:hAnsi="Arial" w:cs="Arial"/>
                <w:sz w:val="20"/>
                <w:szCs w:val="20"/>
              </w:rPr>
              <w:t>Schmidhuber</w:t>
            </w:r>
            <w:proofErr w:type="spellEnd"/>
            <w:r w:rsidRPr="00B3149D">
              <w:rPr>
                <w:rFonts w:ascii="Arial" w:hAnsi="Arial" w:cs="Arial"/>
                <w:sz w:val="20"/>
                <w:szCs w:val="20"/>
              </w:rPr>
              <w:t xml:space="preserve"> (1997)</w:t>
            </w:r>
          </w:p>
        </w:tc>
        <w:tc>
          <w:tcPr>
            <w:tcW w:w="1440" w:type="dxa"/>
            <w:tcMar>
              <w:top w:w="60" w:type="dxa"/>
              <w:left w:w="70" w:type="dxa"/>
              <w:bottom w:w="60" w:type="dxa"/>
              <w:right w:w="70" w:type="dxa"/>
            </w:tcMar>
          </w:tcPr>
          <w:p w14:paraId="5DD5651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5E93E31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Deep-learning method</w:t>
            </w:r>
          </w:p>
        </w:tc>
        <w:tc>
          <w:tcPr>
            <w:tcW w:w="2592" w:type="dxa"/>
            <w:tcMar>
              <w:top w:w="60" w:type="dxa"/>
              <w:left w:w="70" w:type="dxa"/>
              <w:bottom w:w="60" w:type="dxa"/>
              <w:right w:w="70" w:type="dxa"/>
            </w:tcMar>
          </w:tcPr>
          <w:p w14:paraId="6A7CE5D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LSTM - Important for retail demand histories with </w:t>
            </w:r>
            <w:r w:rsidRPr="00B3149D">
              <w:rPr>
                <w:rFonts w:ascii="Arial" w:hAnsi="Arial" w:cs="Arial"/>
                <w:sz w:val="20"/>
                <w:szCs w:val="20"/>
              </w:rPr>
              <w:lastRenderedPageBreak/>
              <w:t>longer dependencies.</w:t>
            </w:r>
          </w:p>
        </w:tc>
        <w:tc>
          <w:tcPr>
            <w:tcW w:w="1512" w:type="dxa"/>
            <w:tcMar>
              <w:top w:w="60" w:type="dxa"/>
              <w:left w:w="70" w:type="dxa"/>
              <w:bottom w:w="60" w:type="dxa"/>
              <w:right w:w="70" w:type="dxa"/>
            </w:tcMar>
          </w:tcPr>
          <w:p w14:paraId="548A512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Algorithm paper</w:t>
            </w:r>
          </w:p>
        </w:tc>
        <w:tc>
          <w:tcPr>
            <w:tcW w:w="3024" w:type="dxa"/>
            <w:tcMar>
              <w:top w:w="60" w:type="dxa"/>
              <w:left w:w="70" w:type="dxa"/>
              <w:bottom w:w="60" w:type="dxa"/>
              <w:right w:w="70" w:type="dxa"/>
            </w:tcMar>
          </w:tcPr>
          <w:p w14:paraId="5959370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Introduces long short-term memory </w:t>
            </w:r>
            <w:r w:rsidRPr="00B3149D">
              <w:rPr>
                <w:rFonts w:ascii="Arial" w:hAnsi="Arial" w:cs="Arial"/>
                <w:sz w:val="20"/>
                <w:szCs w:val="20"/>
              </w:rPr>
              <w:lastRenderedPageBreak/>
              <w:t>networks for sequence learning.</w:t>
            </w:r>
          </w:p>
        </w:tc>
        <w:tc>
          <w:tcPr>
            <w:tcW w:w="2304" w:type="dxa"/>
            <w:tcMar>
              <w:top w:w="60" w:type="dxa"/>
              <w:left w:w="70" w:type="dxa"/>
              <w:bottom w:w="60" w:type="dxa"/>
              <w:right w:w="70" w:type="dxa"/>
            </w:tcMar>
          </w:tcPr>
          <w:p w14:paraId="4EA05E1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Interpretability remains a limitation in manage</w:t>
            </w:r>
            <w:r w:rsidRPr="00B3149D">
              <w:rPr>
                <w:rFonts w:ascii="Arial" w:hAnsi="Arial" w:cs="Arial"/>
                <w:sz w:val="20"/>
                <w:szCs w:val="20"/>
              </w:rPr>
              <w:lastRenderedPageBreak/>
              <w:t>rial contexts.</w:t>
            </w:r>
          </w:p>
        </w:tc>
        <w:tc>
          <w:tcPr>
            <w:tcW w:w="1584" w:type="dxa"/>
            <w:tcMar>
              <w:top w:w="60" w:type="dxa"/>
              <w:left w:w="70" w:type="dxa"/>
              <w:bottom w:w="60" w:type="dxa"/>
              <w:right w:w="70" w:type="dxa"/>
            </w:tcMar>
          </w:tcPr>
          <w:p w14:paraId="794720D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Relevant to deep-learning forecasting.</w:t>
            </w:r>
          </w:p>
        </w:tc>
        <w:tc>
          <w:tcPr>
            <w:tcW w:w="3024" w:type="dxa"/>
            <w:tcMar>
              <w:top w:w="60" w:type="dxa"/>
              <w:left w:w="70" w:type="dxa"/>
              <w:bottom w:w="60" w:type="dxa"/>
              <w:right w:w="70" w:type="dxa"/>
            </w:tcMar>
          </w:tcPr>
          <w:p w14:paraId="38C42C6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Introduces long short-term memory networks for </w:t>
            </w:r>
            <w:r w:rsidRPr="00B3149D">
              <w:rPr>
                <w:rFonts w:ascii="Arial" w:hAnsi="Arial" w:cs="Arial"/>
                <w:sz w:val="20"/>
                <w:szCs w:val="20"/>
              </w:rPr>
              <w:lastRenderedPageBreak/>
              <w:t>sequence learning. Important for retail demand histories with longer dependencies.</w:t>
            </w:r>
          </w:p>
        </w:tc>
      </w:tr>
      <w:tr w:rsidR="00794E6A" w:rsidRPr="00B3149D" w14:paraId="52F085A8" w14:textId="77777777" w:rsidTr="00556F41">
        <w:tc>
          <w:tcPr>
            <w:tcW w:w="1944" w:type="dxa"/>
            <w:tcMar>
              <w:top w:w="60" w:type="dxa"/>
              <w:left w:w="70" w:type="dxa"/>
              <w:bottom w:w="60" w:type="dxa"/>
              <w:right w:w="70" w:type="dxa"/>
            </w:tcMar>
          </w:tcPr>
          <w:p w14:paraId="3CDBAF1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Salinas et al. (2020)</w:t>
            </w:r>
          </w:p>
        </w:tc>
        <w:tc>
          <w:tcPr>
            <w:tcW w:w="1440" w:type="dxa"/>
            <w:tcMar>
              <w:top w:w="60" w:type="dxa"/>
              <w:left w:w="70" w:type="dxa"/>
              <w:bottom w:w="60" w:type="dxa"/>
              <w:right w:w="70" w:type="dxa"/>
            </w:tcMar>
          </w:tcPr>
          <w:p w14:paraId="52D91A8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Methodological/empirical</w:t>
            </w:r>
          </w:p>
        </w:tc>
        <w:tc>
          <w:tcPr>
            <w:tcW w:w="1728" w:type="dxa"/>
            <w:tcMar>
              <w:top w:w="60" w:type="dxa"/>
              <w:left w:w="70" w:type="dxa"/>
              <w:bottom w:w="60" w:type="dxa"/>
              <w:right w:w="70" w:type="dxa"/>
            </w:tcMar>
          </w:tcPr>
          <w:p w14:paraId="6DDBEC6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Deep-learning forecasting</w:t>
            </w:r>
          </w:p>
        </w:tc>
        <w:tc>
          <w:tcPr>
            <w:tcW w:w="2592" w:type="dxa"/>
            <w:tcMar>
              <w:top w:w="60" w:type="dxa"/>
              <w:left w:w="70" w:type="dxa"/>
              <w:bottom w:w="60" w:type="dxa"/>
              <w:right w:w="70" w:type="dxa"/>
            </w:tcMar>
          </w:tcPr>
          <w:p w14:paraId="29094E8A"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DeepAR</w:t>
            </w:r>
            <w:proofErr w:type="spellEnd"/>
            <w:r w:rsidRPr="00B3149D">
              <w:rPr>
                <w:rFonts w:ascii="Arial" w:hAnsi="Arial" w:cs="Arial"/>
                <w:sz w:val="20"/>
                <w:szCs w:val="20"/>
              </w:rPr>
              <w:t xml:space="preserve"> - Useful for large retail portfolios with many SKUs.</w:t>
            </w:r>
          </w:p>
        </w:tc>
        <w:tc>
          <w:tcPr>
            <w:tcW w:w="1512" w:type="dxa"/>
            <w:tcMar>
              <w:top w:w="60" w:type="dxa"/>
              <w:left w:w="70" w:type="dxa"/>
              <w:bottom w:w="60" w:type="dxa"/>
              <w:right w:w="70" w:type="dxa"/>
            </w:tcMar>
          </w:tcPr>
          <w:p w14:paraId="6516C83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Methodological/empirical</w:t>
            </w:r>
          </w:p>
        </w:tc>
        <w:tc>
          <w:tcPr>
            <w:tcW w:w="3024" w:type="dxa"/>
            <w:tcMar>
              <w:top w:w="60" w:type="dxa"/>
              <w:left w:w="70" w:type="dxa"/>
              <w:bottom w:w="60" w:type="dxa"/>
              <w:right w:w="70" w:type="dxa"/>
            </w:tcMar>
          </w:tcPr>
          <w:p w14:paraId="360CD0A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global autoregressive recurrent models can forecast groups of related time series effectively.</w:t>
            </w:r>
          </w:p>
        </w:tc>
        <w:tc>
          <w:tcPr>
            <w:tcW w:w="2304" w:type="dxa"/>
            <w:tcMar>
              <w:top w:w="60" w:type="dxa"/>
              <w:left w:w="70" w:type="dxa"/>
              <w:bottom w:w="60" w:type="dxa"/>
              <w:right w:w="70" w:type="dxa"/>
            </w:tcMar>
          </w:tcPr>
          <w:p w14:paraId="24ACB61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Operational relevance is high, though model opacity remains a concern.</w:t>
            </w:r>
          </w:p>
        </w:tc>
        <w:tc>
          <w:tcPr>
            <w:tcW w:w="1584" w:type="dxa"/>
            <w:tcMar>
              <w:top w:w="60" w:type="dxa"/>
              <w:left w:w="70" w:type="dxa"/>
              <w:bottom w:w="60" w:type="dxa"/>
              <w:right w:w="70" w:type="dxa"/>
            </w:tcMar>
          </w:tcPr>
          <w:p w14:paraId="10D23EA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case for global deep-learning methods.</w:t>
            </w:r>
          </w:p>
        </w:tc>
        <w:tc>
          <w:tcPr>
            <w:tcW w:w="3024" w:type="dxa"/>
            <w:tcMar>
              <w:top w:w="60" w:type="dxa"/>
              <w:left w:w="70" w:type="dxa"/>
              <w:bottom w:w="60" w:type="dxa"/>
              <w:right w:w="70" w:type="dxa"/>
            </w:tcMar>
          </w:tcPr>
          <w:p w14:paraId="6CBABCF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global autoregressive recurrent models can forecast groups of related time series effectively. Useful for large retail portfolios with many SKUs.</w:t>
            </w:r>
          </w:p>
        </w:tc>
      </w:tr>
      <w:tr w:rsidR="00794E6A" w:rsidRPr="00B3149D" w14:paraId="338C6B7C" w14:textId="77777777" w:rsidTr="00556F41">
        <w:tc>
          <w:tcPr>
            <w:tcW w:w="1944" w:type="dxa"/>
            <w:tcMar>
              <w:top w:w="60" w:type="dxa"/>
              <w:left w:w="70" w:type="dxa"/>
              <w:bottom w:w="60" w:type="dxa"/>
              <w:right w:w="70" w:type="dxa"/>
            </w:tcMar>
          </w:tcPr>
          <w:p w14:paraId="704458C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Smyl (2020)</w:t>
            </w:r>
          </w:p>
        </w:tc>
        <w:tc>
          <w:tcPr>
            <w:tcW w:w="1440" w:type="dxa"/>
            <w:tcMar>
              <w:top w:w="60" w:type="dxa"/>
              <w:left w:w="70" w:type="dxa"/>
              <w:bottom w:w="60" w:type="dxa"/>
              <w:right w:w="70" w:type="dxa"/>
            </w:tcMar>
          </w:tcPr>
          <w:p w14:paraId="090E562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Competition method</w:t>
            </w:r>
          </w:p>
        </w:tc>
        <w:tc>
          <w:tcPr>
            <w:tcW w:w="1728" w:type="dxa"/>
            <w:tcMar>
              <w:top w:w="60" w:type="dxa"/>
              <w:left w:w="70" w:type="dxa"/>
              <w:bottom w:w="60" w:type="dxa"/>
              <w:right w:w="70" w:type="dxa"/>
            </w:tcMar>
          </w:tcPr>
          <w:p w14:paraId="060B24C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Hybrid forecast</w:t>
            </w:r>
            <w:r w:rsidRPr="00B3149D">
              <w:rPr>
                <w:rFonts w:ascii="Arial" w:hAnsi="Arial" w:cs="Arial"/>
                <w:sz w:val="20"/>
                <w:szCs w:val="20"/>
              </w:rPr>
              <w:lastRenderedPageBreak/>
              <w:t>ing method</w:t>
            </w:r>
          </w:p>
        </w:tc>
        <w:tc>
          <w:tcPr>
            <w:tcW w:w="2592" w:type="dxa"/>
            <w:tcMar>
              <w:top w:w="60" w:type="dxa"/>
              <w:left w:w="70" w:type="dxa"/>
              <w:bottom w:w="60" w:type="dxa"/>
              <w:right w:w="70" w:type="dxa"/>
            </w:tcMar>
          </w:tcPr>
          <w:p w14:paraId="748FAD2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Exponential </w:t>
            </w:r>
            <w:r w:rsidRPr="00B3149D">
              <w:rPr>
                <w:rFonts w:ascii="Arial" w:hAnsi="Arial" w:cs="Arial"/>
                <w:sz w:val="20"/>
                <w:szCs w:val="20"/>
              </w:rPr>
              <w:lastRenderedPageBreak/>
              <w:t>smoothing plus RNNs - Suggests that methodological pluralism may outperform model tribalism.</w:t>
            </w:r>
          </w:p>
        </w:tc>
        <w:tc>
          <w:tcPr>
            <w:tcW w:w="1512" w:type="dxa"/>
            <w:tcMar>
              <w:top w:w="60" w:type="dxa"/>
              <w:left w:w="70" w:type="dxa"/>
              <w:bottom w:w="60" w:type="dxa"/>
              <w:right w:w="70" w:type="dxa"/>
            </w:tcMar>
          </w:tcPr>
          <w:p w14:paraId="46F1B0F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Competition paper</w:t>
            </w:r>
          </w:p>
        </w:tc>
        <w:tc>
          <w:tcPr>
            <w:tcW w:w="3024" w:type="dxa"/>
            <w:tcMar>
              <w:top w:w="60" w:type="dxa"/>
              <w:left w:w="70" w:type="dxa"/>
              <w:bottom w:w="60" w:type="dxa"/>
              <w:right w:w="70" w:type="dxa"/>
            </w:tcMar>
          </w:tcPr>
          <w:p w14:paraId="411ED5D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Demonstrates </w:t>
            </w:r>
            <w:r w:rsidRPr="00B3149D">
              <w:rPr>
                <w:rFonts w:ascii="Arial" w:hAnsi="Arial" w:cs="Arial"/>
                <w:sz w:val="20"/>
                <w:szCs w:val="20"/>
              </w:rPr>
              <w:lastRenderedPageBreak/>
              <w:t>that hybrid models can outperform pure single-family methods in large-scale forecasting.</w:t>
            </w:r>
          </w:p>
        </w:tc>
        <w:tc>
          <w:tcPr>
            <w:tcW w:w="2304" w:type="dxa"/>
            <w:tcMar>
              <w:top w:w="60" w:type="dxa"/>
              <w:left w:w="70" w:type="dxa"/>
              <w:bottom w:w="60" w:type="dxa"/>
              <w:right w:w="70" w:type="dxa"/>
            </w:tcMar>
          </w:tcPr>
          <w:p w14:paraId="56FD5D7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Competition </w:t>
            </w:r>
            <w:r w:rsidRPr="00B3149D">
              <w:rPr>
                <w:rFonts w:ascii="Arial" w:hAnsi="Arial" w:cs="Arial"/>
                <w:sz w:val="20"/>
                <w:szCs w:val="20"/>
              </w:rPr>
              <w:lastRenderedPageBreak/>
              <w:t>setting, but influential for practice.</w:t>
            </w:r>
          </w:p>
        </w:tc>
        <w:tc>
          <w:tcPr>
            <w:tcW w:w="1584" w:type="dxa"/>
            <w:tcMar>
              <w:top w:w="60" w:type="dxa"/>
              <w:left w:w="70" w:type="dxa"/>
              <w:bottom w:w="60" w:type="dxa"/>
              <w:right w:w="70" w:type="dxa"/>
            </w:tcMar>
          </w:tcPr>
          <w:p w14:paraId="50F83E7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Relevant to </w:t>
            </w:r>
            <w:r w:rsidRPr="00B3149D">
              <w:rPr>
                <w:rFonts w:ascii="Arial" w:hAnsi="Arial" w:cs="Arial"/>
                <w:sz w:val="20"/>
                <w:szCs w:val="20"/>
              </w:rPr>
              <w:lastRenderedPageBreak/>
              <w:t>hybrid forecasting choices.</w:t>
            </w:r>
          </w:p>
        </w:tc>
        <w:tc>
          <w:tcPr>
            <w:tcW w:w="3024" w:type="dxa"/>
            <w:tcMar>
              <w:top w:w="60" w:type="dxa"/>
              <w:left w:w="70" w:type="dxa"/>
              <w:bottom w:w="60" w:type="dxa"/>
              <w:right w:w="70" w:type="dxa"/>
            </w:tcMar>
          </w:tcPr>
          <w:p w14:paraId="5E81C5C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Demonstrates </w:t>
            </w:r>
            <w:r w:rsidRPr="00B3149D">
              <w:rPr>
                <w:rFonts w:ascii="Arial" w:hAnsi="Arial" w:cs="Arial"/>
                <w:sz w:val="20"/>
                <w:szCs w:val="20"/>
              </w:rPr>
              <w:lastRenderedPageBreak/>
              <w:t>that hybrid models can outperform pure single-family methods in large-scale forecasting. Suggests that methodological pluralism may outperform model tribalism.</w:t>
            </w:r>
          </w:p>
        </w:tc>
      </w:tr>
      <w:tr w:rsidR="00794E6A" w:rsidRPr="00B3149D" w14:paraId="3991D499" w14:textId="77777777" w:rsidTr="00556F41">
        <w:tc>
          <w:tcPr>
            <w:tcW w:w="1944" w:type="dxa"/>
            <w:tcMar>
              <w:top w:w="60" w:type="dxa"/>
              <w:left w:w="70" w:type="dxa"/>
              <w:bottom w:w="60" w:type="dxa"/>
              <w:right w:w="70" w:type="dxa"/>
            </w:tcMar>
          </w:tcPr>
          <w:p w14:paraId="2D043CE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Montero-</w:t>
            </w:r>
            <w:proofErr w:type="spellStart"/>
            <w:r w:rsidRPr="00B3149D">
              <w:rPr>
                <w:rFonts w:ascii="Arial" w:hAnsi="Arial" w:cs="Arial"/>
                <w:sz w:val="20"/>
                <w:szCs w:val="20"/>
              </w:rPr>
              <w:t>Manso</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16A04C7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1EA365E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Grouped/global forecasting</w:t>
            </w:r>
          </w:p>
        </w:tc>
        <w:tc>
          <w:tcPr>
            <w:tcW w:w="2592" w:type="dxa"/>
            <w:tcMar>
              <w:top w:w="60" w:type="dxa"/>
              <w:left w:w="70" w:type="dxa"/>
              <w:bottom w:w="60" w:type="dxa"/>
              <w:right w:w="70" w:type="dxa"/>
            </w:tcMar>
          </w:tcPr>
          <w:p w14:paraId="7D89FB0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Locality and globality - Important for multi-SKU retail settings.</w:t>
            </w:r>
          </w:p>
        </w:tc>
        <w:tc>
          <w:tcPr>
            <w:tcW w:w="1512" w:type="dxa"/>
            <w:tcMar>
              <w:top w:w="60" w:type="dxa"/>
              <w:left w:w="70" w:type="dxa"/>
              <w:bottom w:w="60" w:type="dxa"/>
              <w:right w:w="70" w:type="dxa"/>
            </w:tcMar>
          </w:tcPr>
          <w:p w14:paraId="316F414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3024" w:type="dxa"/>
            <w:tcMar>
              <w:top w:w="60" w:type="dxa"/>
              <w:left w:w="70" w:type="dxa"/>
              <w:bottom w:w="60" w:type="dxa"/>
              <w:right w:w="70" w:type="dxa"/>
            </w:tcMar>
          </w:tcPr>
          <w:p w14:paraId="1427706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Explains principles for forecasting groups of time series using local versus global models.</w:t>
            </w:r>
          </w:p>
        </w:tc>
        <w:tc>
          <w:tcPr>
            <w:tcW w:w="2304" w:type="dxa"/>
            <w:tcMar>
              <w:top w:w="60" w:type="dxa"/>
              <w:left w:w="70" w:type="dxa"/>
              <w:bottom w:w="60" w:type="dxa"/>
              <w:right w:w="70" w:type="dxa"/>
            </w:tcMar>
          </w:tcPr>
          <w:p w14:paraId="480FB05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Conceptually strong but less directly tied to replenishment.</w:t>
            </w:r>
          </w:p>
        </w:tc>
        <w:tc>
          <w:tcPr>
            <w:tcW w:w="1584" w:type="dxa"/>
            <w:tcMar>
              <w:top w:w="60" w:type="dxa"/>
              <w:left w:w="70" w:type="dxa"/>
              <w:bottom w:w="60" w:type="dxa"/>
              <w:right w:w="70" w:type="dxa"/>
            </w:tcMar>
          </w:tcPr>
          <w:p w14:paraId="1CED487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Useful for model-architecture reasoning.</w:t>
            </w:r>
          </w:p>
        </w:tc>
        <w:tc>
          <w:tcPr>
            <w:tcW w:w="3024" w:type="dxa"/>
            <w:tcMar>
              <w:top w:w="60" w:type="dxa"/>
              <w:left w:w="70" w:type="dxa"/>
              <w:bottom w:w="60" w:type="dxa"/>
              <w:right w:w="70" w:type="dxa"/>
            </w:tcMar>
          </w:tcPr>
          <w:p w14:paraId="5602841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Explains principles for forecasting groups of time series using local versus global models. </w:t>
            </w:r>
            <w:r w:rsidRPr="00B3149D">
              <w:rPr>
                <w:rFonts w:ascii="Arial" w:hAnsi="Arial" w:cs="Arial"/>
                <w:sz w:val="20"/>
                <w:szCs w:val="20"/>
              </w:rPr>
              <w:lastRenderedPageBreak/>
              <w:t>Important for multi-SKU retail settings.</w:t>
            </w:r>
          </w:p>
        </w:tc>
      </w:tr>
      <w:tr w:rsidR="00794E6A" w:rsidRPr="00B3149D" w14:paraId="0C9E136F" w14:textId="77777777" w:rsidTr="00556F41">
        <w:tc>
          <w:tcPr>
            <w:tcW w:w="1944" w:type="dxa"/>
            <w:tcMar>
              <w:top w:w="60" w:type="dxa"/>
              <w:left w:w="70" w:type="dxa"/>
              <w:bottom w:w="60" w:type="dxa"/>
              <w:right w:w="70" w:type="dxa"/>
            </w:tcMar>
          </w:tcPr>
          <w:p w14:paraId="2A95C98D"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Januschowski</w:t>
            </w:r>
            <w:proofErr w:type="spellEnd"/>
            <w:r w:rsidRPr="00B3149D">
              <w:rPr>
                <w:rFonts w:ascii="Arial" w:hAnsi="Arial" w:cs="Arial"/>
                <w:sz w:val="20"/>
                <w:szCs w:val="20"/>
              </w:rPr>
              <w:t xml:space="preserve"> et al. (2020)</w:t>
            </w:r>
          </w:p>
        </w:tc>
        <w:tc>
          <w:tcPr>
            <w:tcW w:w="1440" w:type="dxa"/>
            <w:tcMar>
              <w:top w:w="60" w:type="dxa"/>
              <w:left w:w="70" w:type="dxa"/>
              <w:bottom w:w="60" w:type="dxa"/>
              <w:right w:w="70" w:type="dxa"/>
            </w:tcMar>
          </w:tcPr>
          <w:p w14:paraId="4F61E32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7953A96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 classification</w:t>
            </w:r>
          </w:p>
        </w:tc>
        <w:tc>
          <w:tcPr>
            <w:tcW w:w="2592" w:type="dxa"/>
            <w:tcMar>
              <w:top w:w="60" w:type="dxa"/>
              <w:left w:w="70" w:type="dxa"/>
              <w:bottom w:w="60" w:type="dxa"/>
              <w:right w:w="70" w:type="dxa"/>
            </w:tcMar>
          </w:tcPr>
          <w:p w14:paraId="1996BFA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method classification - Useful for structuring the method discussion in the bibliography.</w:t>
            </w:r>
          </w:p>
        </w:tc>
        <w:tc>
          <w:tcPr>
            <w:tcW w:w="1512" w:type="dxa"/>
            <w:tcMar>
              <w:top w:w="60" w:type="dxa"/>
              <w:left w:w="70" w:type="dxa"/>
              <w:bottom w:w="60" w:type="dxa"/>
              <w:right w:w="70" w:type="dxa"/>
            </w:tcMar>
          </w:tcPr>
          <w:p w14:paraId="4742CDB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3024" w:type="dxa"/>
            <w:tcMar>
              <w:top w:w="60" w:type="dxa"/>
              <w:left w:w="70" w:type="dxa"/>
              <w:bottom w:w="60" w:type="dxa"/>
              <w:right w:w="70" w:type="dxa"/>
            </w:tcMar>
          </w:tcPr>
          <w:p w14:paraId="68DAEF3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Clarifies how forecasting methods can be classified and compared.</w:t>
            </w:r>
          </w:p>
        </w:tc>
        <w:tc>
          <w:tcPr>
            <w:tcW w:w="2304" w:type="dxa"/>
            <w:tcMar>
              <w:top w:w="60" w:type="dxa"/>
              <w:left w:w="70" w:type="dxa"/>
              <w:bottom w:w="60" w:type="dxa"/>
              <w:right w:w="70" w:type="dxa"/>
            </w:tcMar>
          </w:tcPr>
          <w:p w14:paraId="32174BD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Indirectly operational, but strong for conceptual organisation.</w:t>
            </w:r>
          </w:p>
        </w:tc>
        <w:tc>
          <w:tcPr>
            <w:tcW w:w="1584" w:type="dxa"/>
            <w:tcMar>
              <w:top w:w="60" w:type="dxa"/>
              <w:left w:w="70" w:type="dxa"/>
              <w:bottom w:w="60" w:type="dxa"/>
              <w:right w:w="70" w:type="dxa"/>
            </w:tcMar>
          </w:tcPr>
          <w:p w14:paraId="42C49E6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methodological clarity.</w:t>
            </w:r>
          </w:p>
        </w:tc>
        <w:tc>
          <w:tcPr>
            <w:tcW w:w="3024" w:type="dxa"/>
            <w:tcMar>
              <w:top w:w="60" w:type="dxa"/>
              <w:left w:w="70" w:type="dxa"/>
              <w:bottom w:w="60" w:type="dxa"/>
              <w:right w:w="70" w:type="dxa"/>
            </w:tcMar>
          </w:tcPr>
          <w:p w14:paraId="0BFD39C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Clarifies how forecasting methods can be classified and compared. Useful for structuring the method discussion in the bibliography.</w:t>
            </w:r>
          </w:p>
        </w:tc>
      </w:tr>
      <w:tr w:rsidR="00794E6A" w:rsidRPr="00B3149D" w14:paraId="0EFCDC6B" w14:textId="77777777" w:rsidTr="00556F41">
        <w:tc>
          <w:tcPr>
            <w:tcW w:w="1944" w:type="dxa"/>
            <w:tcMar>
              <w:top w:w="60" w:type="dxa"/>
              <w:left w:w="70" w:type="dxa"/>
              <w:bottom w:w="60" w:type="dxa"/>
              <w:right w:w="70" w:type="dxa"/>
            </w:tcMar>
          </w:tcPr>
          <w:p w14:paraId="275C4D23"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Januschowski</w:t>
            </w:r>
            <w:proofErr w:type="spellEnd"/>
            <w:r w:rsidRPr="00B3149D">
              <w:rPr>
                <w:rFonts w:ascii="Arial" w:hAnsi="Arial" w:cs="Arial"/>
                <w:sz w:val="20"/>
                <w:szCs w:val="20"/>
              </w:rPr>
              <w:t xml:space="preserve"> et al. (2022)</w:t>
            </w:r>
          </w:p>
        </w:tc>
        <w:tc>
          <w:tcPr>
            <w:tcW w:w="1440" w:type="dxa"/>
            <w:tcMar>
              <w:top w:w="60" w:type="dxa"/>
              <w:left w:w="70" w:type="dxa"/>
              <w:bottom w:w="60" w:type="dxa"/>
              <w:right w:w="70" w:type="dxa"/>
            </w:tcMar>
          </w:tcPr>
          <w:p w14:paraId="1B07F9F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728" w:type="dxa"/>
            <w:tcMar>
              <w:top w:w="60" w:type="dxa"/>
              <w:left w:w="70" w:type="dxa"/>
              <w:bottom w:w="60" w:type="dxa"/>
              <w:right w:w="70" w:type="dxa"/>
            </w:tcMar>
          </w:tcPr>
          <w:p w14:paraId="1C0CCEF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methods review</w:t>
            </w:r>
          </w:p>
        </w:tc>
        <w:tc>
          <w:tcPr>
            <w:tcW w:w="2592" w:type="dxa"/>
            <w:tcMar>
              <w:top w:w="60" w:type="dxa"/>
              <w:left w:w="70" w:type="dxa"/>
              <w:bottom w:w="60" w:type="dxa"/>
              <w:right w:w="70" w:type="dxa"/>
            </w:tcMar>
          </w:tcPr>
          <w:p w14:paraId="326DDFC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with trees - Useful because boosted trees remain highly competi</w:t>
            </w:r>
            <w:r w:rsidRPr="00B3149D">
              <w:rPr>
                <w:rFonts w:ascii="Arial" w:hAnsi="Arial" w:cs="Arial"/>
                <w:sz w:val="20"/>
                <w:szCs w:val="20"/>
              </w:rPr>
              <w:lastRenderedPageBreak/>
              <w:t>tive in retail tabular data.</w:t>
            </w:r>
          </w:p>
        </w:tc>
        <w:tc>
          <w:tcPr>
            <w:tcW w:w="1512" w:type="dxa"/>
            <w:tcMar>
              <w:top w:w="60" w:type="dxa"/>
              <w:left w:w="70" w:type="dxa"/>
              <w:bottom w:w="60" w:type="dxa"/>
              <w:right w:w="70" w:type="dxa"/>
            </w:tcMar>
          </w:tcPr>
          <w:p w14:paraId="3C2FD38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Review/methodological</w:t>
            </w:r>
          </w:p>
        </w:tc>
        <w:tc>
          <w:tcPr>
            <w:tcW w:w="3024" w:type="dxa"/>
            <w:tcMar>
              <w:top w:w="60" w:type="dxa"/>
              <w:left w:w="70" w:type="dxa"/>
              <w:bottom w:w="60" w:type="dxa"/>
              <w:right w:w="70" w:type="dxa"/>
            </w:tcMar>
          </w:tcPr>
          <w:p w14:paraId="11D1C46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Explains the use of tree-based models in forecasting tasks.</w:t>
            </w:r>
          </w:p>
        </w:tc>
        <w:tc>
          <w:tcPr>
            <w:tcW w:w="2304" w:type="dxa"/>
            <w:tcMar>
              <w:top w:w="60" w:type="dxa"/>
              <w:left w:w="70" w:type="dxa"/>
              <w:bottom w:w="60" w:type="dxa"/>
              <w:right w:w="70" w:type="dxa"/>
            </w:tcMar>
          </w:tcPr>
          <w:p w14:paraId="376829F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Operational value depends on feature engineering and implementation context.</w:t>
            </w:r>
          </w:p>
        </w:tc>
        <w:tc>
          <w:tcPr>
            <w:tcW w:w="1584" w:type="dxa"/>
            <w:tcMar>
              <w:top w:w="60" w:type="dxa"/>
              <w:left w:w="70" w:type="dxa"/>
              <w:bottom w:w="60" w:type="dxa"/>
              <w:right w:w="70" w:type="dxa"/>
            </w:tcMar>
          </w:tcPr>
          <w:p w14:paraId="321DAE7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structured-data retail demand forecasting.</w:t>
            </w:r>
          </w:p>
        </w:tc>
        <w:tc>
          <w:tcPr>
            <w:tcW w:w="3024" w:type="dxa"/>
            <w:tcMar>
              <w:top w:w="60" w:type="dxa"/>
              <w:left w:w="70" w:type="dxa"/>
              <w:bottom w:w="60" w:type="dxa"/>
              <w:right w:w="70" w:type="dxa"/>
            </w:tcMar>
          </w:tcPr>
          <w:p w14:paraId="37BAA94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Explains the use of tree-based models in forecasting tasks. Useful </w:t>
            </w:r>
            <w:r w:rsidRPr="00B3149D">
              <w:rPr>
                <w:rFonts w:ascii="Arial" w:hAnsi="Arial" w:cs="Arial"/>
                <w:sz w:val="20"/>
                <w:szCs w:val="20"/>
              </w:rPr>
              <w:lastRenderedPageBreak/>
              <w:t>because boosted trees remain highly competitive in retail tabular data.</w:t>
            </w:r>
          </w:p>
        </w:tc>
      </w:tr>
      <w:tr w:rsidR="00794E6A" w:rsidRPr="00B3149D" w14:paraId="360629C6" w14:textId="77777777" w:rsidTr="00556F41">
        <w:tc>
          <w:tcPr>
            <w:tcW w:w="1944" w:type="dxa"/>
            <w:tcMar>
              <w:top w:w="60" w:type="dxa"/>
              <w:left w:w="70" w:type="dxa"/>
              <w:bottom w:w="60" w:type="dxa"/>
              <w:right w:w="70" w:type="dxa"/>
            </w:tcMar>
          </w:tcPr>
          <w:p w14:paraId="15A09D43"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Carbonneau</w:t>
            </w:r>
            <w:proofErr w:type="spellEnd"/>
            <w:r w:rsidRPr="00B3149D">
              <w:rPr>
                <w:rFonts w:ascii="Arial" w:hAnsi="Arial" w:cs="Arial"/>
                <w:sz w:val="20"/>
                <w:szCs w:val="20"/>
              </w:rPr>
              <w:t xml:space="preserve"> et al. (2008)</w:t>
            </w:r>
          </w:p>
        </w:tc>
        <w:tc>
          <w:tcPr>
            <w:tcW w:w="1440" w:type="dxa"/>
            <w:tcMar>
              <w:top w:w="60" w:type="dxa"/>
              <w:left w:w="70" w:type="dxa"/>
              <w:bottom w:w="60" w:type="dxa"/>
              <w:right w:w="70" w:type="dxa"/>
            </w:tcMar>
          </w:tcPr>
          <w:p w14:paraId="4DBDC32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03F437F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NN forecasting review</w:t>
            </w:r>
          </w:p>
        </w:tc>
        <w:tc>
          <w:tcPr>
            <w:tcW w:w="2592" w:type="dxa"/>
            <w:tcMar>
              <w:top w:w="60" w:type="dxa"/>
              <w:left w:w="70" w:type="dxa"/>
              <w:bottom w:w="60" w:type="dxa"/>
              <w:right w:w="70" w:type="dxa"/>
            </w:tcMar>
          </w:tcPr>
          <w:p w14:paraId="4B12AF5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Neural networks for forecasting - Early evidence that AI methods can improve forecasting, but not uniformly.</w:t>
            </w:r>
          </w:p>
        </w:tc>
        <w:tc>
          <w:tcPr>
            <w:tcW w:w="1512" w:type="dxa"/>
            <w:tcMar>
              <w:top w:w="60" w:type="dxa"/>
              <w:left w:w="70" w:type="dxa"/>
              <w:bottom w:w="60" w:type="dxa"/>
              <w:right w:w="70" w:type="dxa"/>
            </w:tcMar>
          </w:tcPr>
          <w:p w14:paraId="26DD0BC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Review/empirical</w:t>
            </w:r>
          </w:p>
        </w:tc>
        <w:tc>
          <w:tcPr>
            <w:tcW w:w="3024" w:type="dxa"/>
            <w:tcMar>
              <w:top w:w="60" w:type="dxa"/>
              <w:left w:w="70" w:type="dxa"/>
              <w:bottom w:w="60" w:type="dxa"/>
              <w:right w:w="70" w:type="dxa"/>
            </w:tcMar>
          </w:tcPr>
          <w:p w14:paraId="09187D4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neural network forecasting applications and comparative performance.</w:t>
            </w:r>
          </w:p>
        </w:tc>
        <w:tc>
          <w:tcPr>
            <w:tcW w:w="2304" w:type="dxa"/>
            <w:tcMar>
              <w:top w:w="60" w:type="dxa"/>
              <w:left w:w="70" w:type="dxa"/>
              <w:bottom w:w="60" w:type="dxa"/>
              <w:right w:w="70" w:type="dxa"/>
            </w:tcMar>
          </w:tcPr>
          <w:p w14:paraId="0B89B21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Older and pre-deep-learning, yet useful historically.</w:t>
            </w:r>
          </w:p>
        </w:tc>
        <w:tc>
          <w:tcPr>
            <w:tcW w:w="1584" w:type="dxa"/>
            <w:tcMar>
              <w:top w:w="60" w:type="dxa"/>
              <w:left w:w="70" w:type="dxa"/>
              <w:bottom w:w="60" w:type="dxa"/>
              <w:right w:w="70" w:type="dxa"/>
            </w:tcMar>
          </w:tcPr>
          <w:p w14:paraId="3C817B1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evolution of AI methods.</w:t>
            </w:r>
          </w:p>
        </w:tc>
        <w:tc>
          <w:tcPr>
            <w:tcW w:w="3024" w:type="dxa"/>
            <w:tcMar>
              <w:top w:w="60" w:type="dxa"/>
              <w:left w:w="70" w:type="dxa"/>
              <w:bottom w:w="60" w:type="dxa"/>
              <w:right w:w="70" w:type="dxa"/>
            </w:tcMar>
          </w:tcPr>
          <w:p w14:paraId="4E5BE25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neural network forecasting applications and comparative performance. Early evidence that AI methods can improve forecasting, but not uniformly.</w:t>
            </w:r>
          </w:p>
        </w:tc>
      </w:tr>
      <w:tr w:rsidR="00794E6A" w:rsidRPr="00B3149D" w14:paraId="12C4199E" w14:textId="77777777" w:rsidTr="00556F41">
        <w:tc>
          <w:tcPr>
            <w:tcW w:w="1944" w:type="dxa"/>
            <w:tcMar>
              <w:top w:w="60" w:type="dxa"/>
              <w:left w:w="70" w:type="dxa"/>
              <w:bottom w:w="60" w:type="dxa"/>
              <w:right w:w="70" w:type="dxa"/>
            </w:tcMar>
          </w:tcPr>
          <w:p w14:paraId="257D5D6F"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Makridakis</w:t>
            </w:r>
            <w:proofErr w:type="spellEnd"/>
            <w:r w:rsidRPr="00B3149D">
              <w:rPr>
                <w:rFonts w:ascii="Arial" w:hAnsi="Arial" w:cs="Arial"/>
                <w:sz w:val="20"/>
                <w:szCs w:val="20"/>
              </w:rPr>
              <w:t xml:space="preserve">, </w:t>
            </w:r>
            <w:proofErr w:type="spellStart"/>
            <w:r w:rsidRPr="00B3149D">
              <w:rPr>
                <w:rFonts w:ascii="Arial" w:hAnsi="Arial" w:cs="Arial"/>
                <w:sz w:val="20"/>
                <w:szCs w:val="20"/>
              </w:rPr>
              <w:t>Spiliotis</w:t>
            </w:r>
            <w:proofErr w:type="spellEnd"/>
            <w:r w:rsidRPr="00B3149D">
              <w:rPr>
                <w:rFonts w:ascii="Arial" w:hAnsi="Arial" w:cs="Arial"/>
                <w:sz w:val="20"/>
                <w:szCs w:val="20"/>
              </w:rPr>
              <w:t xml:space="preserve"> and </w:t>
            </w:r>
            <w:proofErr w:type="spellStart"/>
            <w:r w:rsidRPr="00B3149D">
              <w:rPr>
                <w:rFonts w:ascii="Arial" w:hAnsi="Arial" w:cs="Arial"/>
                <w:sz w:val="20"/>
                <w:szCs w:val="20"/>
              </w:rPr>
              <w:t>Assimak</w:t>
            </w:r>
            <w:r w:rsidRPr="00B3149D">
              <w:rPr>
                <w:rFonts w:ascii="Arial" w:hAnsi="Arial" w:cs="Arial"/>
                <w:sz w:val="20"/>
                <w:szCs w:val="20"/>
              </w:rPr>
              <w:lastRenderedPageBreak/>
              <w:t>opoulos</w:t>
            </w:r>
            <w:proofErr w:type="spellEnd"/>
            <w:r w:rsidRPr="00B3149D">
              <w:rPr>
                <w:rFonts w:ascii="Arial" w:hAnsi="Arial" w:cs="Arial"/>
                <w:sz w:val="20"/>
                <w:szCs w:val="20"/>
              </w:rPr>
              <w:t xml:space="preserve"> (2020)</w:t>
            </w:r>
          </w:p>
        </w:tc>
        <w:tc>
          <w:tcPr>
            <w:tcW w:w="1440" w:type="dxa"/>
            <w:tcMar>
              <w:top w:w="60" w:type="dxa"/>
              <w:left w:w="70" w:type="dxa"/>
              <w:bottom w:w="60" w:type="dxa"/>
              <w:right w:w="70" w:type="dxa"/>
            </w:tcMar>
          </w:tcPr>
          <w:p w14:paraId="5576304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Competition review</w:t>
            </w:r>
          </w:p>
        </w:tc>
        <w:tc>
          <w:tcPr>
            <w:tcW w:w="1728" w:type="dxa"/>
            <w:tcMar>
              <w:top w:w="60" w:type="dxa"/>
              <w:left w:w="70" w:type="dxa"/>
              <w:bottom w:w="60" w:type="dxa"/>
              <w:right w:w="70" w:type="dxa"/>
            </w:tcMar>
          </w:tcPr>
          <w:p w14:paraId="3226320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competition</w:t>
            </w:r>
          </w:p>
        </w:tc>
        <w:tc>
          <w:tcPr>
            <w:tcW w:w="2592" w:type="dxa"/>
            <w:tcMar>
              <w:top w:w="60" w:type="dxa"/>
              <w:left w:w="70" w:type="dxa"/>
              <w:bottom w:w="60" w:type="dxa"/>
              <w:right w:w="70" w:type="dxa"/>
            </w:tcMar>
          </w:tcPr>
          <w:p w14:paraId="7E59755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M4 and ML lessons - Importa</w:t>
            </w:r>
            <w:r w:rsidRPr="00B3149D">
              <w:rPr>
                <w:rFonts w:ascii="Arial" w:hAnsi="Arial" w:cs="Arial"/>
                <w:sz w:val="20"/>
                <w:szCs w:val="20"/>
              </w:rPr>
              <w:lastRenderedPageBreak/>
              <w:t>nt for tempering AI hype with evidence.</w:t>
            </w:r>
          </w:p>
        </w:tc>
        <w:tc>
          <w:tcPr>
            <w:tcW w:w="1512" w:type="dxa"/>
            <w:tcMar>
              <w:top w:w="60" w:type="dxa"/>
              <w:left w:w="70" w:type="dxa"/>
              <w:bottom w:w="60" w:type="dxa"/>
              <w:right w:w="70" w:type="dxa"/>
            </w:tcMar>
          </w:tcPr>
          <w:p w14:paraId="48F7FCD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review</w:t>
            </w:r>
          </w:p>
        </w:tc>
        <w:tc>
          <w:tcPr>
            <w:tcW w:w="3024" w:type="dxa"/>
            <w:tcMar>
              <w:top w:w="60" w:type="dxa"/>
              <w:left w:w="70" w:type="dxa"/>
              <w:bottom w:w="60" w:type="dxa"/>
              <w:right w:w="70" w:type="dxa"/>
            </w:tcMar>
          </w:tcPr>
          <w:p w14:paraId="6CABF41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that machine learning </w:t>
            </w:r>
            <w:r w:rsidRPr="00B3149D">
              <w:rPr>
                <w:rFonts w:ascii="Arial" w:hAnsi="Arial" w:cs="Arial"/>
                <w:sz w:val="20"/>
                <w:szCs w:val="20"/>
              </w:rPr>
              <w:lastRenderedPageBreak/>
              <w:t>does not automatically dominate all forecasting contexts.</w:t>
            </w:r>
          </w:p>
        </w:tc>
        <w:tc>
          <w:tcPr>
            <w:tcW w:w="2304" w:type="dxa"/>
            <w:tcMar>
              <w:top w:w="60" w:type="dxa"/>
              <w:left w:w="70" w:type="dxa"/>
              <w:bottom w:w="60" w:type="dxa"/>
              <w:right w:w="70" w:type="dxa"/>
            </w:tcMar>
          </w:tcPr>
          <w:p w14:paraId="1BC0C9D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Very useful for critical </w:t>
            </w:r>
            <w:r w:rsidRPr="00B3149D">
              <w:rPr>
                <w:rFonts w:ascii="Arial" w:hAnsi="Arial" w:cs="Arial"/>
                <w:sz w:val="20"/>
                <w:szCs w:val="20"/>
              </w:rPr>
              <w:lastRenderedPageBreak/>
              <w:t>balance.</w:t>
            </w:r>
          </w:p>
        </w:tc>
        <w:tc>
          <w:tcPr>
            <w:tcW w:w="1584" w:type="dxa"/>
            <w:tcMar>
              <w:top w:w="60" w:type="dxa"/>
              <w:left w:w="70" w:type="dxa"/>
              <w:bottom w:w="60" w:type="dxa"/>
              <w:right w:w="70" w:type="dxa"/>
            </w:tcMar>
          </w:tcPr>
          <w:p w14:paraId="4E0CE82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Supports a non-deterministic view of </w:t>
            </w:r>
            <w:r w:rsidRPr="00B3149D">
              <w:rPr>
                <w:rFonts w:ascii="Arial" w:hAnsi="Arial" w:cs="Arial"/>
                <w:sz w:val="20"/>
                <w:szCs w:val="20"/>
              </w:rPr>
              <w:lastRenderedPageBreak/>
              <w:t>AI superiority.</w:t>
            </w:r>
          </w:p>
        </w:tc>
        <w:tc>
          <w:tcPr>
            <w:tcW w:w="3024" w:type="dxa"/>
            <w:tcMar>
              <w:top w:w="60" w:type="dxa"/>
              <w:left w:w="70" w:type="dxa"/>
              <w:bottom w:w="60" w:type="dxa"/>
              <w:right w:w="70" w:type="dxa"/>
            </w:tcMar>
          </w:tcPr>
          <w:p w14:paraId="6032AA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Shows that machine learning </w:t>
            </w:r>
            <w:r w:rsidRPr="00B3149D">
              <w:rPr>
                <w:rFonts w:ascii="Arial" w:hAnsi="Arial" w:cs="Arial"/>
                <w:sz w:val="20"/>
                <w:szCs w:val="20"/>
              </w:rPr>
              <w:lastRenderedPageBreak/>
              <w:t>does not automatically dominate all forecasting contexts. Important for tempering AI hype with evidence.</w:t>
            </w:r>
          </w:p>
        </w:tc>
      </w:tr>
      <w:tr w:rsidR="00794E6A" w:rsidRPr="00B3149D" w14:paraId="3EDFB605" w14:textId="77777777" w:rsidTr="00556F41">
        <w:tc>
          <w:tcPr>
            <w:tcW w:w="1944" w:type="dxa"/>
            <w:tcMar>
              <w:top w:w="60" w:type="dxa"/>
              <w:left w:w="70" w:type="dxa"/>
              <w:bottom w:w="60" w:type="dxa"/>
              <w:right w:w="70" w:type="dxa"/>
            </w:tcMar>
          </w:tcPr>
          <w:p w14:paraId="0817747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Bandara et al. (2020)</w:t>
            </w:r>
          </w:p>
        </w:tc>
        <w:tc>
          <w:tcPr>
            <w:tcW w:w="1440" w:type="dxa"/>
            <w:tcMar>
              <w:top w:w="60" w:type="dxa"/>
              <w:left w:w="70" w:type="dxa"/>
              <w:bottom w:w="60" w:type="dxa"/>
              <w:right w:w="70" w:type="dxa"/>
            </w:tcMar>
          </w:tcPr>
          <w:p w14:paraId="06DB46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Methodological/empirical</w:t>
            </w:r>
          </w:p>
        </w:tc>
        <w:tc>
          <w:tcPr>
            <w:tcW w:w="1728" w:type="dxa"/>
            <w:tcMar>
              <w:top w:w="60" w:type="dxa"/>
              <w:left w:w="70" w:type="dxa"/>
              <w:bottom w:w="60" w:type="dxa"/>
              <w:right w:w="70" w:type="dxa"/>
            </w:tcMar>
          </w:tcPr>
          <w:p w14:paraId="252C9DD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Global forecasting methods</w:t>
            </w:r>
          </w:p>
        </w:tc>
        <w:tc>
          <w:tcPr>
            <w:tcW w:w="2592" w:type="dxa"/>
            <w:tcMar>
              <w:top w:w="60" w:type="dxa"/>
              <w:left w:w="70" w:type="dxa"/>
              <w:bottom w:w="60" w:type="dxa"/>
              <w:right w:w="70" w:type="dxa"/>
            </w:tcMar>
          </w:tcPr>
          <w:p w14:paraId="3BAF952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RNN/global models - Useful for retail portfolios where scale matters.</w:t>
            </w:r>
          </w:p>
        </w:tc>
        <w:tc>
          <w:tcPr>
            <w:tcW w:w="1512" w:type="dxa"/>
            <w:tcMar>
              <w:top w:w="60" w:type="dxa"/>
              <w:left w:w="70" w:type="dxa"/>
              <w:bottom w:w="60" w:type="dxa"/>
              <w:right w:w="70" w:type="dxa"/>
            </w:tcMar>
          </w:tcPr>
          <w:p w14:paraId="59F8AE9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Empirical/methodological</w:t>
            </w:r>
          </w:p>
        </w:tc>
        <w:tc>
          <w:tcPr>
            <w:tcW w:w="3024" w:type="dxa"/>
            <w:tcMar>
              <w:top w:w="60" w:type="dxa"/>
              <w:left w:w="70" w:type="dxa"/>
              <w:bottom w:w="60" w:type="dxa"/>
              <w:right w:w="70" w:type="dxa"/>
            </w:tcMar>
          </w:tcPr>
          <w:p w14:paraId="344D9E2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the promise of deep global models for large collections of related series.</w:t>
            </w:r>
          </w:p>
        </w:tc>
        <w:tc>
          <w:tcPr>
            <w:tcW w:w="2304" w:type="dxa"/>
            <w:tcMar>
              <w:top w:w="60" w:type="dxa"/>
              <w:left w:w="70" w:type="dxa"/>
              <w:bottom w:w="60" w:type="dxa"/>
              <w:right w:w="70" w:type="dxa"/>
            </w:tcMar>
          </w:tcPr>
          <w:p w14:paraId="20B9483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Still leaves implementation and interpretability questions.</w:t>
            </w:r>
          </w:p>
        </w:tc>
        <w:tc>
          <w:tcPr>
            <w:tcW w:w="1584" w:type="dxa"/>
            <w:tcMar>
              <w:top w:w="60" w:type="dxa"/>
              <w:left w:w="70" w:type="dxa"/>
              <w:bottom w:w="60" w:type="dxa"/>
              <w:right w:w="70" w:type="dxa"/>
            </w:tcMar>
          </w:tcPr>
          <w:p w14:paraId="7F13233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chain-wide forecasting.</w:t>
            </w:r>
          </w:p>
        </w:tc>
        <w:tc>
          <w:tcPr>
            <w:tcW w:w="3024" w:type="dxa"/>
            <w:tcMar>
              <w:top w:w="60" w:type="dxa"/>
              <w:left w:w="70" w:type="dxa"/>
              <w:bottom w:w="60" w:type="dxa"/>
              <w:right w:w="70" w:type="dxa"/>
            </w:tcMar>
          </w:tcPr>
          <w:p w14:paraId="1C3BD82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the promise of deep global models for large collections of related series. Useful for retail portfolios where scale matters.</w:t>
            </w:r>
          </w:p>
        </w:tc>
      </w:tr>
      <w:tr w:rsidR="00794E6A" w:rsidRPr="00B3149D" w14:paraId="035CF783" w14:textId="77777777" w:rsidTr="00556F41">
        <w:tc>
          <w:tcPr>
            <w:tcW w:w="1944" w:type="dxa"/>
            <w:tcMar>
              <w:top w:w="60" w:type="dxa"/>
              <w:left w:w="70" w:type="dxa"/>
              <w:bottom w:w="60" w:type="dxa"/>
              <w:right w:w="70" w:type="dxa"/>
            </w:tcMar>
          </w:tcPr>
          <w:p w14:paraId="2756A899"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Benidis</w:t>
            </w:r>
            <w:proofErr w:type="spellEnd"/>
            <w:r w:rsidRPr="00B3149D">
              <w:rPr>
                <w:rFonts w:ascii="Arial" w:hAnsi="Arial" w:cs="Arial"/>
                <w:sz w:val="20"/>
                <w:szCs w:val="20"/>
              </w:rPr>
              <w:t xml:space="preserve"> et al. (2022)</w:t>
            </w:r>
          </w:p>
        </w:tc>
        <w:tc>
          <w:tcPr>
            <w:tcW w:w="1440" w:type="dxa"/>
            <w:tcMar>
              <w:top w:w="60" w:type="dxa"/>
              <w:left w:w="70" w:type="dxa"/>
              <w:bottom w:w="60" w:type="dxa"/>
              <w:right w:w="70" w:type="dxa"/>
            </w:tcMar>
          </w:tcPr>
          <w:p w14:paraId="428EB3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review</w:t>
            </w:r>
          </w:p>
        </w:tc>
        <w:tc>
          <w:tcPr>
            <w:tcW w:w="1728" w:type="dxa"/>
            <w:tcMar>
              <w:top w:w="60" w:type="dxa"/>
              <w:left w:w="70" w:type="dxa"/>
              <w:bottom w:w="60" w:type="dxa"/>
              <w:right w:w="70" w:type="dxa"/>
            </w:tcMar>
          </w:tcPr>
          <w:p w14:paraId="7790A3C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methods review</w:t>
            </w:r>
          </w:p>
        </w:tc>
        <w:tc>
          <w:tcPr>
            <w:tcW w:w="2592" w:type="dxa"/>
            <w:tcMar>
              <w:top w:w="60" w:type="dxa"/>
              <w:left w:w="70" w:type="dxa"/>
              <w:bottom w:w="60" w:type="dxa"/>
              <w:right w:w="70" w:type="dxa"/>
            </w:tcMar>
          </w:tcPr>
          <w:p w14:paraId="02E7192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Neural and statistical </w:t>
            </w:r>
            <w:r w:rsidRPr="00B3149D">
              <w:rPr>
                <w:rFonts w:ascii="Arial" w:hAnsi="Arial" w:cs="Arial"/>
                <w:sz w:val="20"/>
                <w:szCs w:val="20"/>
              </w:rPr>
              <w:lastRenderedPageBreak/>
              <w:t>methods - Useful for method comparison and state-of-the-art positioning.</w:t>
            </w:r>
          </w:p>
        </w:tc>
        <w:tc>
          <w:tcPr>
            <w:tcW w:w="1512" w:type="dxa"/>
            <w:tcMar>
              <w:top w:w="60" w:type="dxa"/>
              <w:left w:w="70" w:type="dxa"/>
              <w:bottom w:w="60" w:type="dxa"/>
              <w:right w:w="70" w:type="dxa"/>
            </w:tcMar>
          </w:tcPr>
          <w:p w14:paraId="76BBBDC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 article</w:t>
            </w:r>
          </w:p>
        </w:tc>
        <w:tc>
          <w:tcPr>
            <w:tcW w:w="3024" w:type="dxa"/>
            <w:tcMar>
              <w:top w:w="60" w:type="dxa"/>
              <w:left w:w="70" w:type="dxa"/>
              <w:bottom w:w="60" w:type="dxa"/>
              <w:right w:w="70" w:type="dxa"/>
            </w:tcMar>
          </w:tcPr>
          <w:p w14:paraId="1B6BB33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modern forecast</w:t>
            </w:r>
            <w:r w:rsidRPr="00B3149D">
              <w:rPr>
                <w:rFonts w:ascii="Arial" w:hAnsi="Arial" w:cs="Arial"/>
                <w:sz w:val="20"/>
                <w:szCs w:val="20"/>
              </w:rPr>
              <w:lastRenderedPageBreak/>
              <w:t>ing methods including statistical and machine-learning families.</w:t>
            </w:r>
          </w:p>
        </w:tc>
        <w:tc>
          <w:tcPr>
            <w:tcW w:w="2304" w:type="dxa"/>
            <w:tcMar>
              <w:top w:w="60" w:type="dxa"/>
              <w:left w:w="70" w:type="dxa"/>
              <w:bottom w:w="60" w:type="dxa"/>
              <w:right w:w="70" w:type="dxa"/>
            </w:tcMar>
          </w:tcPr>
          <w:p w14:paraId="0DC719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Broad and less retail-specific, </w:t>
            </w:r>
            <w:r w:rsidRPr="00B3149D">
              <w:rPr>
                <w:rFonts w:ascii="Arial" w:hAnsi="Arial" w:cs="Arial"/>
                <w:sz w:val="20"/>
                <w:szCs w:val="20"/>
              </w:rPr>
              <w:lastRenderedPageBreak/>
              <w:t>but highly useful.</w:t>
            </w:r>
          </w:p>
        </w:tc>
        <w:tc>
          <w:tcPr>
            <w:tcW w:w="1584" w:type="dxa"/>
            <w:tcMar>
              <w:top w:w="60" w:type="dxa"/>
              <w:left w:w="70" w:type="dxa"/>
              <w:bottom w:w="60" w:type="dxa"/>
              <w:right w:w="70" w:type="dxa"/>
            </w:tcMar>
          </w:tcPr>
          <w:p w14:paraId="2A2CF90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Supports the method </w:t>
            </w:r>
            <w:r w:rsidRPr="00B3149D">
              <w:rPr>
                <w:rFonts w:ascii="Arial" w:hAnsi="Arial" w:cs="Arial"/>
                <w:sz w:val="20"/>
                <w:szCs w:val="20"/>
              </w:rPr>
              <w:lastRenderedPageBreak/>
              <w:t>chapter logic.</w:t>
            </w:r>
          </w:p>
        </w:tc>
        <w:tc>
          <w:tcPr>
            <w:tcW w:w="3024" w:type="dxa"/>
            <w:tcMar>
              <w:top w:w="60" w:type="dxa"/>
              <w:left w:w="70" w:type="dxa"/>
              <w:bottom w:w="60" w:type="dxa"/>
              <w:right w:w="70" w:type="dxa"/>
            </w:tcMar>
          </w:tcPr>
          <w:p w14:paraId="1A59D56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Reviews modern forecast</w:t>
            </w:r>
            <w:r w:rsidRPr="00B3149D">
              <w:rPr>
                <w:rFonts w:ascii="Arial" w:hAnsi="Arial" w:cs="Arial"/>
                <w:sz w:val="20"/>
                <w:szCs w:val="20"/>
              </w:rPr>
              <w:lastRenderedPageBreak/>
              <w:t>ing methods including statistical and machine-learning families. Useful for method comparison and state-of-the-art positioning.</w:t>
            </w:r>
          </w:p>
        </w:tc>
      </w:tr>
      <w:tr w:rsidR="00794E6A" w:rsidRPr="00B3149D" w14:paraId="5B9FA16F" w14:textId="77777777" w:rsidTr="00556F41">
        <w:tc>
          <w:tcPr>
            <w:tcW w:w="1944" w:type="dxa"/>
            <w:tcMar>
              <w:top w:w="60" w:type="dxa"/>
              <w:left w:w="70" w:type="dxa"/>
              <w:bottom w:w="60" w:type="dxa"/>
              <w:right w:w="70" w:type="dxa"/>
            </w:tcMar>
          </w:tcPr>
          <w:p w14:paraId="2090125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Taylor and Snyder (2012)</w:t>
            </w:r>
          </w:p>
        </w:tc>
        <w:tc>
          <w:tcPr>
            <w:tcW w:w="1440" w:type="dxa"/>
            <w:tcMar>
              <w:top w:w="60" w:type="dxa"/>
              <w:left w:w="70" w:type="dxa"/>
              <w:bottom w:w="60" w:type="dxa"/>
              <w:right w:w="70" w:type="dxa"/>
            </w:tcMar>
          </w:tcPr>
          <w:p w14:paraId="521B69F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00BD1FF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Operational forecasting</w:t>
            </w:r>
          </w:p>
        </w:tc>
        <w:tc>
          <w:tcPr>
            <w:tcW w:w="2592" w:type="dxa"/>
            <w:tcMar>
              <w:top w:w="60" w:type="dxa"/>
              <w:left w:w="70" w:type="dxa"/>
              <w:bottom w:w="60" w:type="dxa"/>
              <w:right w:w="70" w:type="dxa"/>
            </w:tcMar>
          </w:tcPr>
          <w:p w14:paraId="727F3A0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Promotion-sensitive retail demand - Important because AI gains can disappear if promotional context is ignored.</w:t>
            </w:r>
          </w:p>
        </w:tc>
        <w:tc>
          <w:tcPr>
            <w:tcW w:w="1512" w:type="dxa"/>
            <w:tcMar>
              <w:top w:w="60" w:type="dxa"/>
              <w:left w:w="70" w:type="dxa"/>
              <w:bottom w:w="60" w:type="dxa"/>
              <w:right w:w="70" w:type="dxa"/>
            </w:tcMar>
          </w:tcPr>
          <w:p w14:paraId="15E180A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empirical</w:t>
            </w:r>
          </w:p>
        </w:tc>
        <w:tc>
          <w:tcPr>
            <w:tcW w:w="3024" w:type="dxa"/>
            <w:tcMar>
              <w:top w:w="60" w:type="dxa"/>
              <w:left w:w="70" w:type="dxa"/>
              <w:bottom w:w="60" w:type="dxa"/>
              <w:right w:w="70" w:type="dxa"/>
            </w:tcMar>
          </w:tcPr>
          <w:p w14:paraId="0711338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operational retail forecasting must account for promotion effects and uncertainty.</w:t>
            </w:r>
          </w:p>
        </w:tc>
        <w:tc>
          <w:tcPr>
            <w:tcW w:w="2304" w:type="dxa"/>
            <w:tcMar>
              <w:top w:w="60" w:type="dxa"/>
              <w:left w:w="70" w:type="dxa"/>
              <w:bottom w:w="60" w:type="dxa"/>
              <w:right w:w="70" w:type="dxa"/>
            </w:tcMar>
          </w:tcPr>
          <w:p w14:paraId="39F37A7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a pure AI paper, but directly relevant to causal modelling.</w:t>
            </w:r>
          </w:p>
        </w:tc>
        <w:tc>
          <w:tcPr>
            <w:tcW w:w="1584" w:type="dxa"/>
            <w:tcMar>
              <w:top w:w="60" w:type="dxa"/>
              <w:left w:w="70" w:type="dxa"/>
              <w:bottom w:w="60" w:type="dxa"/>
              <w:right w:w="70" w:type="dxa"/>
            </w:tcMar>
          </w:tcPr>
          <w:p w14:paraId="4CAF1E8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retail-specific feature design.</w:t>
            </w:r>
          </w:p>
        </w:tc>
        <w:tc>
          <w:tcPr>
            <w:tcW w:w="3024" w:type="dxa"/>
            <w:tcMar>
              <w:top w:w="60" w:type="dxa"/>
              <w:left w:w="70" w:type="dxa"/>
              <w:bottom w:w="60" w:type="dxa"/>
              <w:right w:w="70" w:type="dxa"/>
            </w:tcMar>
          </w:tcPr>
          <w:p w14:paraId="7533B47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operational retail forecasting must account for promotion effects and uncertainty. Important becaus</w:t>
            </w:r>
            <w:r w:rsidRPr="00B3149D">
              <w:rPr>
                <w:rFonts w:ascii="Arial" w:hAnsi="Arial" w:cs="Arial"/>
                <w:sz w:val="20"/>
                <w:szCs w:val="20"/>
              </w:rPr>
              <w:lastRenderedPageBreak/>
              <w:t>e AI gains can disappear if promotional context is ignored.</w:t>
            </w:r>
          </w:p>
        </w:tc>
      </w:tr>
      <w:tr w:rsidR="00794E6A" w:rsidRPr="00B3149D" w14:paraId="35A0975D" w14:textId="77777777" w:rsidTr="00556F41">
        <w:tc>
          <w:tcPr>
            <w:tcW w:w="1944" w:type="dxa"/>
            <w:tcMar>
              <w:top w:w="60" w:type="dxa"/>
              <w:left w:w="70" w:type="dxa"/>
              <w:bottom w:w="60" w:type="dxa"/>
              <w:right w:w="70" w:type="dxa"/>
            </w:tcMar>
          </w:tcPr>
          <w:p w14:paraId="1600F592"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Fildes</w:t>
            </w:r>
            <w:proofErr w:type="spellEnd"/>
            <w:r w:rsidRPr="00B3149D">
              <w:rPr>
                <w:rFonts w:ascii="Arial" w:hAnsi="Arial" w:cs="Arial"/>
                <w:sz w:val="20"/>
                <w:szCs w:val="20"/>
              </w:rPr>
              <w:t xml:space="preserve"> and Petropoulos (2015)</w:t>
            </w:r>
          </w:p>
        </w:tc>
        <w:tc>
          <w:tcPr>
            <w:tcW w:w="1440" w:type="dxa"/>
            <w:tcMar>
              <w:top w:w="60" w:type="dxa"/>
              <w:left w:w="70" w:type="dxa"/>
              <w:bottom w:w="60" w:type="dxa"/>
              <w:right w:w="70" w:type="dxa"/>
            </w:tcMar>
          </w:tcPr>
          <w:p w14:paraId="3DD9982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Methodological/conceptual</w:t>
            </w:r>
          </w:p>
        </w:tc>
        <w:tc>
          <w:tcPr>
            <w:tcW w:w="1728" w:type="dxa"/>
            <w:tcMar>
              <w:top w:w="60" w:type="dxa"/>
              <w:left w:w="70" w:type="dxa"/>
              <w:bottom w:w="60" w:type="dxa"/>
              <w:right w:w="70" w:type="dxa"/>
            </w:tcMar>
          </w:tcPr>
          <w:p w14:paraId="5FAE561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practice</w:t>
            </w:r>
          </w:p>
        </w:tc>
        <w:tc>
          <w:tcPr>
            <w:tcW w:w="2592" w:type="dxa"/>
            <w:tcMar>
              <w:top w:w="60" w:type="dxa"/>
              <w:left w:w="70" w:type="dxa"/>
              <w:bottom w:w="60" w:type="dxa"/>
              <w:right w:w="70" w:type="dxa"/>
            </w:tcMar>
          </w:tcPr>
          <w:p w14:paraId="3E29DFB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Judgement and model integration - Useful because even strong AI models are rarely used in a purely automated way.</w:t>
            </w:r>
          </w:p>
        </w:tc>
        <w:tc>
          <w:tcPr>
            <w:tcW w:w="1512" w:type="dxa"/>
            <w:tcMar>
              <w:top w:w="60" w:type="dxa"/>
              <w:left w:w="70" w:type="dxa"/>
              <w:bottom w:w="60" w:type="dxa"/>
              <w:right w:w="70" w:type="dxa"/>
            </w:tcMar>
          </w:tcPr>
          <w:p w14:paraId="67773E4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Conceptual/empirical</w:t>
            </w:r>
          </w:p>
        </w:tc>
        <w:tc>
          <w:tcPr>
            <w:tcW w:w="3024" w:type="dxa"/>
            <w:tcMar>
              <w:top w:w="60" w:type="dxa"/>
              <w:left w:w="70" w:type="dxa"/>
              <w:bottom w:w="60" w:type="dxa"/>
              <w:right w:w="70" w:type="dxa"/>
            </w:tcMar>
          </w:tcPr>
          <w:p w14:paraId="649CED6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Discusses how judgement and models interact in forecasting practice.</w:t>
            </w:r>
          </w:p>
        </w:tc>
        <w:tc>
          <w:tcPr>
            <w:tcW w:w="2304" w:type="dxa"/>
            <w:tcMar>
              <w:top w:w="60" w:type="dxa"/>
              <w:left w:w="70" w:type="dxa"/>
              <w:bottom w:w="60" w:type="dxa"/>
              <w:right w:w="70" w:type="dxa"/>
            </w:tcMar>
          </w:tcPr>
          <w:p w14:paraId="734B75E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retail-exclusive, but highly relevant to human-AI interaction.</w:t>
            </w:r>
          </w:p>
        </w:tc>
        <w:tc>
          <w:tcPr>
            <w:tcW w:w="1584" w:type="dxa"/>
            <w:tcMar>
              <w:top w:w="60" w:type="dxa"/>
              <w:left w:w="70" w:type="dxa"/>
              <w:bottom w:w="60" w:type="dxa"/>
              <w:right w:w="70" w:type="dxa"/>
            </w:tcMar>
          </w:tcPr>
          <w:p w14:paraId="30F8278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later contradiction analysis.</w:t>
            </w:r>
          </w:p>
        </w:tc>
        <w:tc>
          <w:tcPr>
            <w:tcW w:w="3024" w:type="dxa"/>
            <w:tcMar>
              <w:top w:w="60" w:type="dxa"/>
              <w:left w:w="70" w:type="dxa"/>
              <w:bottom w:w="60" w:type="dxa"/>
              <w:right w:w="70" w:type="dxa"/>
            </w:tcMar>
          </w:tcPr>
          <w:p w14:paraId="3B11D18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Discusses how judgement and models interact in forecasting practice. Useful because even strong AI models are rarely used in a purely automated way.</w:t>
            </w:r>
          </w:p>
        </w:tc>
      </w:tr>
      <w:tr w:rsidR="00794E6A" w:rsidRPr="00B3149D" w14:paraId="666435C8" w14:textId="77777777" w:rsidTr="00556F41">
        <w:tc>
          <w:tcPr>
            <w:tcW w:w="1944" w:type="dxa"/>
            <w:tcMar>
              <w:top w:w="60" w:type="dxa"/>
              <w:left w:w="70" w:type="dxa"/>
              <w:bottom w:w="60" w:type="dxa"/>
              <w:right w:w="70" w:type="dxa"/>
            </w:tcMar>
          </w:tcPr>
          <w:p w14:paraId="6CDBAAC4"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Makridakis</w:t>
            </w:r>
            <w:proofErr w:type="spellEnd"/>
            <w:r w:rsidRPr="00B3149D">
              <w:rPr>
                <w:rFonts w:ascii="Arial" w:hAnsi="Arial" w:cs="Arial"/>
                <w:sz w:val="20"/>
                <w:szCs w:val="20"/>
              </w:rPr>
              <w:t xml:space="preserve">, </w:t>
            </w:r>
            <w:proofErr w:type="spellStart"/>
            <w:r w:rsidRPr="00B3149D">
              <w:rPr>
                <w:rFonts w:ascii="Arial" w:hAnsi="Arial" w:cs="Arial"/>
                <w:sz w:val="20"/>
                <w:szCs w:val="20"/>
              </w:rPr>
              <w:t>Spiliotis</w:t>
            </w:r>
            <w:proofErr w:type="spellEnd"/>
            <w:r w:rsidRPr="00B3149D">
              <w:rPr>
                <w:rFonts w:ascii="Arial" w:hAnsi="Arial" w:cs="Arial"/>
                <w:sz w:val="20"/>
                <w:szCs w:val="20"/>
              </w:rPr>
              <w:t xml:space="preserve"> and </w:t>
            </w:r>
            <w:proofErr w:type="spellStart"/>
            <w:r w:rsidRPr="00B3149D">
              <w:rPr>
                <w:rFonts w:ascii="Arial" w:hAnsi="Arial" w:cs="Arial"/>
                <w:sz w:val="20"/>
                <w:szCs w:val="20"/>
              </w:rPr>
              <w:t>Assimakopoulos</w:t>
            </w:r>
            <w:proofErr w:type="spellEnd"/>
            <w:r w:rsidRPr="00B3149D">
              <w:rPr>
                <w:rFonts w:ascii="Arial" w:hAnsi="Arial" w:cs="Arial"/>
                <w:sz w:val="20"/>
                <w:szCs w:val="20"/>
              </w:rPr>
              <w:t xml:space="preserve"> (2022)</w:t>
            </w:r>
          </w:p>
        </w:tc>
        <w:tc>
          <w:tcPr>
            <w:tcW w:w="1440" w:type="dxa"/>
            <w:tcMar>
              <w:top w:w="60" w:type="dxa"/>
              <w:left w:w="70" w:type="dxa"/>
              <w:bottom w:w="60" w:type="dxa"/>
              <w:right w:w="70" w:type="dxa"/>
            </w:tcMar>
          </w:tcPr>
          <w:p w14:paraId="4233153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Competition review</w:t>
            </w:r>
          </w:p>
        </w:tc>
        <w:tc>
          <w:tcPr>
            <w:tcW w:w="1728" w:type="dxa"/>
            <w:tcMar>
              <w:top w:w="60" w:type="dxa"/>
              <w:left w:w="70" w:type="dxa"/>
              <w:bottom w:w="60" w:type="dxa"/>
              <w:right w:w="70" w:type="dxa"/>
            </w:tcMar>
          </w:tcPr>
          <w:p w14:paraId="3CC0D98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Forecasting competition</w:t>
            </w:r>
          </w:p>
        </w:tc>
        <w:tc>
          <w:tcPr>
            <w:tcW w:w="2592" w:type="dxa"/>
            <w:tcMar>
              <w:top w:w="60" w:type="dxa"/>
              <w:left w:w="70" w:type="dxa"/>
              <w:bottom w:w="60" w:type="dxa"/>
              <w:right w:w="70" w:type="dxa"/>
            </w:tcMar>
          </w:tcPr>
          <w:p w14:paraId="4D66235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Uncertainty and large-scale demand - Useful for </w:t>
            </w:r>
            <w:r w:rsidRPr="00B3149D">
              <w:rPr>
                <w:rFonts w:ascii="Arial" w:hAnsi="Arial" w:cs="Arial"/>
                <w:sz w:val="20"/>
                <w:szCs w:val="20"/>
              </w:rPr>
              <w:lastRenderedPageBreak/>
              <w:t>understanding what 'better forecasting' means beyond point accuracy.</w:t>
            </w:r>
          </w:p>
        </w:tc>
        <w:tc>
          <w:tcPr>
            <w:tcW w:w="1512" w:type="dxa"/>
            <w:tcMar>
              <w:top w:w="60" w:type="dxa"/>
              <w:left w:w="70" w:type="dxa"/>
              <w:bottom w:w="60" w:type="dxa"/>
              <w:right w:w="70" w:type="dxa"/>
            </w:tcMar>
          </w:tcPr>
          <w:p w14:paraId="626711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Quantitative competition</w:t>
            </w:r>
          </w:p>
        </w:tc>
        <w:tc>
          <w:tcPr>
            <w:tcW w:w="3024" w:type="dxa"/>
            <w:tcMar>
              <w:top w:w="60" w:type="dxa"/>
              <w:left w:w="70" w:type="dxa"/>
              <w:bottom w:w="60" w:type="dxa"/>
              <w:right w:w="70" w:type="dxa"/>
            </w:tcMar>
          </w:tcPr>
          <w:p w14:paraId="271A4B7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the increasing importance of probabil</w:t>
            </w:r>
            <w:r w:rsidRPr="00B3149D">
              <w:rPr>
                <w:rFonts w:ascii="Arial" w:hAnsi="Arial" w:cs="Arial"/>
                <w:sz w:val="20"/>
                <w:szCs w:val="20"/>
              </w:rPr>
              <w:lastRenderedPageBreak/>
              <w:t>istic and large-scale forecasting benchmarks.</w:t>
            </w:r>
          </w:p>
        </w:tc>
        <w:tc>
          <w:tcPr>
            <w:tcW w:w="2304" w:type="dxa"/>
            <w:tcMar>
              <w:top w:w="60" w:type="dxa"/>
              <w:left w:w="70" w:type="dxa"/>
              <w:bottom w:w="60" w:type="dxa"/>
              <w:right w:w="70" w:type="dxa"/>
            </w:tcMar>
          </w:tcPr>
          <w:p w14:paraId="36CDA88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Competition evidence is informative but not </w:t>
            </w:r>
            <w:r w:rsidRPr="00B3149D">
              <w:rPr>
                <w:rFonts w:ascii="Arial" w:hAnsi="Arial" w:cs="Arial"/>
                <w:sz w:val="20"/>
                <w:szCs w:val="20"/>
              </w:rPr>
              <w:lastRenderedPageBreak/>
              <w:t>identical to organisational use.</w:t>
            </w:r>
          </w:p>
        </w:tc>
        <w:tc>
          <w:tcPr>
            <w:tcW w:w="1584" w:type="dxa"/>
            <w:tcMar>
              <w:top w:w="60" w:type="dxa"/>
              <w:left w:w="70" w:type="dxa"/>
              <w:bottom w:w="60" w:type="dxa"/>
              <w:right w:w="70" w:type="dxa"/>
            </w:tcMar>
          </w:tcPr>
          <w:p w14:paraId="0AC7723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Relevant to uncertainty-aware replenishment.</w:t>
            </w:r>
          </w:p>
        </w:tc>
        <w:tc>
          <w:tcPr>
            <w:tcW w:w="3024" w:type="dxa"/>
            <w:tcMar>
              <w:top w:w="60" w:type="dxa"/>
              <w:left w:w="70" w:type="dxa"/>
              <w:bottom w:w="60" w:type="dxa"/>
              <w:right w:w="70" w:type="dxa"/>
            </w:tcMar>
          </w:tcPr>
          <w:p w14:paraId="2075E87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the increasing importance of probabil</w:t>
            </w:r>
            <w:r w:rsidRPr="00B3149D">
              <w:rPr>
                <w:rFonts w:ascii="Arial" w:hAnsi="Arial" w:cs="Arial"/>
                <w:sz w:val="20"/>
                <w:szCs w:val="20"/>
              </w:rPr>
              <w:lastRenderedPageBreak/>
              <w:t>istic and large-scale forecasting benchmarks. Useful for understanding what 'better forecasting' means beyond point accuracy.</w:t>
            </w:r>
          </w:p>
        </w:tc>
      </w:tr>
      <w:tr w:rsidR="00794E6A" w:rsidRPr="00B3149D" w14:paraId="7ABBB95B" w14:textId="77777777" w:rsidTr="00556F41">
        <w:tc>
          <w:tcPr>
            <w:tcW w:w="1944" w:type="dxa"/>
            <w:tcMar>
              <w:top w:w="60" w:type="dxa"/>
              <w:left w:w="70" w:type="dxa"/>
              <w:bottom w:w="60" w:type="dxa"/>
              <w:right w:w="70" w:type="dxa"/>
            </w:tcMar>
          </w:tcPr>
          <w:p w14:paraId="2D7032F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Yu and </w:t>
            </w:r>
            <w:proofErr w:type="spellStart"/>
            <w:r w:rsidRPr="00B3149D">
              <w:rPr>
                <w:rFonts w:ascii="Arial" w:hAnsi="Arial" w:cs="Arial"/>
                <w:sz w:val="20"/>
                <w:szCs w:val="20"/>
              </w:rPr>
              <w:t>Moyeed</w:t>
            </w:r>
            <w:proofErr w:type="spellEnd"/>
            <w:r w:rsidRPr="00B3149D">
              <w:rPr>
                <w:rFonts w:ascii="Arial" w:hAnsi="Arial" w:cs="Arial"/>
                <w:sz w:val="20"/>
                <w:szCs w:val="20"/>
              </w:rPr>
              <w:t xml:space="preserve"> (2001)</w:t>
            </w:r>
          </w:p>
        </w:tc>
        <w:tc>
          <w:tcPr>
            <w:tcW w:w="1440" w:type="dxa"/>
            <w:tcMar>
              <w:top w:w="60" w:type="dxa"/>
              <w:left w:w="70" w:type="dxa"/>
              <w:bottom w:w="60" w:type="dxa"/>
              <w:right w:w="70" w:type="dxa"/>
            </w:tcMar>
          </w:tcPr>
          <w:p w14:paraId="44600A7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337F58A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Quantile method</w:t>
            </w:r>
          </w:p>
        </w:tc>
        <w:tc>
          <w:tcPr>
            <w:tcW w:w="2592" w:type="dxa"/>
            <w:tcMar>
              <w:top w:w="60" w:type="dxa"/>
              <w:left w:w="70" w:type="dxa"/>
              <w:bottom w:w="60" w:type="dxa"/>
              <w:right w:w="70" w:type="dxa"/>
            </w:tcMar>
          </w:tcPr>
          <w:p w14:paraId="37796A3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Bayesian quantile regression - Important where replenishment depends on demand quantiles rather than means.</w:t>
            </w:r>
          </w:p>
        </w:tc>
        <w:tc>
          <w:tcPr>
            <w:tcW w:w="1512" w:type="dxa"/>
            <w:tcMar>
              <w:top w:w="60" w:type="dxa"/>
              <w:left w:w="70" w:type="dxa"/>
              <w:bottom w:w="60" w:type="dxa"/>
              <w:right w:w="70" w:type="dxa"/>
            </w:tcMar>
          </w:tcPr>
          <w:p w14:paraId="47EDA95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3024" w:type="dxa"/>
            <w:tcMar>
              <w:top w:w="60" w:type="dxa"/>
              <w:left w:w="70" w:type="dxa"/>
              <w:bottom w:w="60" w:type="dxa"/>
              <w:right w:w="70" w:type="dxa"/>
            </w:tcMar>
          </w:tcPr>
          <w:p w14:paraId="03870A4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Introduces a flexible quantile framework relevant to service-level-based inventory decisions.</w:t>
            </w:r>
          </w:p>
        </w:tc>
        <w:tc>
          <w:tcPr>
            <w:tcW w:w="2304" w:type="dxa"/>
            <w:tcMar>
              <w:top w:w="60" w:type="dxa"/>
              <w:left w:w="70" w:type="dxa"/>
              <w:bottom w:w="60" w:type="dxa"/>
              <w:right w:w="70" w:type="dxa"/>
            </w:tcMar>
          </w:tcPr>
          <w:p w14:paraId="6EA2608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Highly technical, but conceptually relevant.</w:t>
            </w:r>
          </w:p>
        </w:tc>
        <w:tc>
          <w:tcPr>
            <w:tcW w:w="1584" w:type="dxa"/>
            <w:tcMar>
              <w:top w:w="60" w:type="dxa"/>
              <w:left w:w="70" w:type="dxa"/>
              <w:bottom w:w="60" w:type="dxa"/>
              <w:right w:w="70" w:type="dxa"/>
            </w:tcMar>
          </w:tcPr>
          <w:p w14:paraId="665DAB8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quantile-oriented replenishment logic.</w:t>
            </w:r>
          </w:p>
        </w:tc>
        <w:tc>
          <w:tcPr>
            <w:tcW w:w="3024" w:type="dxa"/>
            <w:tcMar>
              <w:top w:w="60" w:type="dxa"/>
              <w:left w:w="70" w:type="dxa"/>
              <w:bottom w:w="60" w:type="dxa"/>
              <w:right w:w="70" w:type="dxa"/>
            </w:tcMar>
          </w:tcPr>
          <w:p w14:paraId="328A326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Introduces a flexible quantile framework relevant to service-level-based inventory decisions. Important where replenis</w:t>
            </w:r>
            <w:r w:rsidRPr="00B3149D">
              <w:rPr>
                <w:rFonts w:ascii="Arial" w:hAnsi="Arial" w:cs="Arial"/>
                <w:sz w:val="20"/>
                <w:szCs w:val="20"/>
              </w:rPr>
              <w:lastRenderedPageBreak/>
              <w:t>hment depends on demand quantiles rather than means.</w:t>
            </w:r>
          </w:p>
        </w:tc>
      </w:tr>
      <w:tr w:rsidR="00794E6A" w:rsidRPr="00B3149D" w14:paraId="62418477" w14:textId="77777777" w:rsidTr="00556F41">
        <w:tc>
          <w:tcPr>
            <w:tcW w:w="1944" w:type="dxa"/>
            <w:tcMar>
              <w:top w:w="60" w:type="dxa"/>
              <w:left w:w="70" w:type="dxa"/>
              <w:bottom w:w="60" w:type="dxa"/>
              <w:right w:w="70" w:type="dxa"/>
            </w:tcMar>
          </w:tcPr>
          <w:p w14:paraId="0EC2DD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Cannon (2011)</w:t>
            </w:r>
          </w:p>
        </w:tc>
        <w:tc>
          <w:tcPr>
            <w:tcW w:w="1440" w:type="dxa"/>
            <w:tcMar>
              <w:top w:w="60" w:type="dxa"/>
              <w:left w:w="70" w:type="dxa"/>
              <w:bottom w:w="60" w:type="dxa"/>
              <w:right w:w="70" w:type="dxa"/>
            </w:tcMar>
          </w:tcPr>
          <w:p w14:paraId="64B88B0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1728" w:type="dxa"/>
            <w:tcMar>
              <w:top w:w="60" w:type="dxa"/>
              <w:left w:w="70" w:type="dxa"/>
              <w:bottom w:w="60" w:type="dxa"/>
              <w:right w:w="70" w:type="dxa"/>
            </w:tcMar>
          </w:tcPr>
          <w:p w14:paraId="16BAA4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Quantile neural method</w:t>
            </w:r>
          </w:p>
        </w:tc>
        <w:tc>
          <w:tcPr>
            <w:tcW w:w="2592" w:type="dxa"/>
            <w:tcMar>
              <w:top w:w="60" w:type="dxa"/>
              <w:left w:w="70" w:type="dxa"/>
              <w:bottom w:w="60" w:type="dxa"/>
              <w:right w:w="70" w:type="dxa"/>
            </w:tcMar>
          </w:tcPr>
          <w:p w14:paraId="114D24F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Quantile regression neural networks - Useful for linking AI architectures to inventory decision thresholds.</w:t>
            </w:r>
          </w:p>
        </w:tc>
        <w:tc>
          <w:tcPr>
            <w:tcW w:w="1512" w:type="dxa"/>
            <w:tcMar>
              <w:top w:w="60" w:type="dxa"/>
              <w:left w:w="70" w:type="dxa"/>
              <w:bottom w:w="60" w:type="dxa"/>
              <w:right w:w="70" w:type="dxa"/>
            </w:tcMar>
          </w:tcPr>
          <w:p w14:paraId="579106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 paper</w:t>
            </w:r>
          </w:p>
        </w:tc>
        <w:tc>
          <w:tcPr>
            <w:tcW w:w="3024" w:type="dxa"/>
            <w:tcMar>
              <w:top w:w="60" w:type="dxa"/>
              <w:left w:w="70" w:type="dxa"/>
              <w:bottom w:w="60" w:type="dxa"/>
              <w:right w:w="70" w:type="dxa"/>
            </w:tcMar>
          </w:tcPr>
          <w:p w14:paraId="71B081D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Demonstrates how neural approaches can be adapted for quantile forecasting.</w:t>
            </w:r>
          </w:p>
        </w:tc>
        <w:tc>
          <w:tcPr>
            <w:tcW w:w="2304" w:type="dxa"/>
            <w:tcMar>
              <w:top w:w="60" w:type="dxa"/>
              <w:left w:w="70" w:type="dxa"/>
              <w:bottom w:w="60" w:type="dxa"/>
              <w:right w:w="70" w:type="dxa"/>
            </w:tcMar>
          </w:tcPr>
          <w:p w14:paraId="1B7264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Method-focused and specialised, but relevant to service-level planning.</w:t>
            </w:r>
          </w:p>
        </w:tc>
        <w:tc>
          <w:tcPr>
            <w:tcW w:w="1584" w:type="dxa"/>
            <w:tcMar>
              <w:top w:w="60" w:type="dxa"/>
              <w:left w:w="70" w:type="dxa"/>
              <w:bottom w:w="60" w:type="dxa"/>
              <w:right w:w="70" w:type="dxa"/>
            </w:tcMar>
          </w:tcPr>
          <w:p w14:paraId="0E86A0A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quantile forecasting in retail.</w:t>
            </w:r>
          </w:p>
        </w:tc>
        <w:tc>
          <w:tcPr>
            <w:tcW w:w="3024" w:type="dxa"/>
            <w:tcMar>
              <w:top w:w="60" w:type="dxa"/>
              <w:left w:w="70" w:type="dxa"/>
              <w:bottom w:w="60" w:type="dxa"/>
              <w:right w:w="70" w:type="dxa"/>
            </w:tcMar>
          </w:tcPr>
          <w:p w14:paraId="5DCED15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Demonstrates how neural approaches can be adapted for quantile forecasting. Useful for linking AI architectures to inventory decision thresholds.</w:t>
            </w:r>
          </w:p>
        </w:tc>
      </w:tr>
    </w:tbl>
    <w:p w14:paraId="5B0CBD3F" w14:textId="073B9202" w:rsidR="00973F30" w:rsidRPr="00B3149D" w:rsidRDefault="00973F30" w:rsidP="0062377A">
      <w:pPr>
        <w:spacing w:line="360" w:lineRule="auto"/>
        <w:rPr>
          <w:rFonts w:ascii="Arial" w:hAnsi="Arial" w:cs="Arial"/>
        </w:rPr>
      </w:pPr>
      <w:r w:rsidRPr="00B3149D">
        <w:rPr>
          <w:rFonts w:ascii="Arial" w:hAnsi="Arial" w:cs="Arial"/>
        </w:rPr>
        <w:br/>
      </w:r>
      <w:r w:rsidR="00794E6A" w:rsidRPr="00B3149D">
        <w:rPr>
          <w:rFonts w:ascii="Arial" w:hAnsi="Arial" w:cs="Arial"/>
        </w:rPr>
        <w:br/>
      </w:r>
    </w:p>
    <w:p w14:paraId="135D0988" w14:textId="73435FB9" w:rsidR="00794E6A" w:rsidRPr="00B3149D" w:rsidRDefault="00794E6A" w:rsidP="0062377A">
      <w:pPr>
        <w:spacing w:line="360" w:lineRule="auto"/>
        <w:rPr>
          <w:rFonts w:ascii="Arial" w:hAnsi="Arial" w:cs="Arial"/>
        </w:rPr>
      </w:pPr>
    </w:p>
    <w:p w14:paraId="7ABC3AAF" w14:textId="22243CCB" w:rsidR="00794E6A" w:rsidRPr="00B3149D" w:rsidRDefault="00794E6A" w:rsidP="0062377A">
      <w:pPr>
        <w:spacing w:line="360" w:lineRule="auto"/>
        <w:rPr>
          <w:rFonts w:ascii="Arial" w:hAnsi="Arial" w:cs="Arial"/>
        </w:rPr>
      </w:pPr>
    </w:p>
    <w:p w14:paraId="633CFCE7" w14:textId="35BF1CDC" w:rsidR="00794E6A" w:rsidRPr="00B3149D" w:rsidRDefault="00794E6A" w:rsidP="0062377A">
      <w:pPr>
        <w:spacing w:line="360" w:lineRule="auto"/>
        <w:rPr>
          <w:rFonts w:ascii="Arial" w:hAnsi="Arial" w:cs="Arial"/>
        </w:rPr>
      </w:pPr>
    </w:p>
    <w:p w14:paraId="7FC2EFD2" w14:textId="74774B90" w:rsidR="00794E6A" w:rsidRPr="00B3149D" w:rsidRDefault="00794E6A" w:rsidP="0062377A">
      <w:pPr>
        <w:spacing w:line="360" w:lineRule="auto"/>
        <w:rPr>
          <w:rFonts w:ascii="Arial" w:hAnsi="Arial" w:cs="Arial"/>
        </w:rPr>
      </w:pPr>
    </w:p>
    <w:p w14:paraId="6493F3D6" w14:textId="77777777" w:rsidR="00794E6A" w:rsidRPr="00B3149D" w:rsidRDefault="00794E6A" w:rsidP="0062377A">
      <w:pPr>
        <w:spacing w:before="200" w:after="120" w:line="360" w:lineRule="auto"/>
        <w:rPr>
          <w:rFonts w:ascii="Arial" w:hAnsi="Arial" w:cs="Arial"/>
        </w:rPr>
      </w:pPr>
      <w:r w:rsidRPr="00B3149D">
        <w:rPr>
          <w:rFonts w:ascii="Arial" w:hAnsi="Arial" w:cs="Arial"/>
          <w:b/>
          <w:color w:val="4F81BD"/>
        </w:rPr>
        <w:lastRenderedPageBreak/>
        <w:t>Theme 4: Human judgement, contradiction and adoption</w:t>
      </w:r>
    </w:p>
    <w:tbl>
      <w:tblPr>
        <w:tblStyle w:val="TableGrid"/>
        <w:tblW w:w="0" w:type="auto"/>
        <w:tblLook w:val="04A0" w:firstRow="1" w:lastRow="0" w:firstColumn="1" w:lastColumn="0" w:noHBand="0" w:noVBand="1"/>
      </w:tblPr>
      <w:tblGrid>
        <w:gridCol w:w="806"/>
        <w:gridCol w:w="1364"/>
        <w:gridCol w:w="956"/>
        <w:gridCol w:w="1197"/>
        <w:gridCol w:w="1264"/>
        <w:gridCol w:w="839"/>
        <w:gridCol w:w="925"/>
        <w:gridCol w:w="820"/>
        <w:gridCol w:w="845"/>
      </w:tblGrid>
      <w:tr w:rsidR="00794E6A" w:rsidRPr="00B3149D" w14:paraId="7070F32B" w14:textId="77777777" w:rsidTr="00556F41">
        <w:tc>
          <w:tcPr>
            <w:tcW w:w="1944" w:type="dxa"/>
            <w:shd w:val="clear" w:color="auto" w:fill="D9EAF7"/>
            <w:tcMar>
              <w:top w:w="60" w:type="dxa"/>
              <w:left w:w="70" w:type="dxa"/>
              <w:bottom w:w="60" w:type="dxa"/>
              <w:right w:w="70" w:type="dxa"/>
            </w:tcMar>
          </w:tcPr>
          <w:p w14:paraId="6E50C303"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Citation</w:t>
            </w:r>
          </w:p>
        </w:tc>
        <w:tc>
          <w:tcPr>
            <w:tcW w:w="1440" w:type="dxa"/>
            <w:shd w:val="clear" w:color="auto" w:fill="D9EAF7"/>
            <w:tcMar>
              <w:top w:w="60" w:type="dxa"/>
              <w:left w:w="70" w:type="dxa"/>
              <w:bottom w:w="60" w:type="dxa"/>
              <w:right w:w="70" w:type="dxa"/>
            </w:tcMar>
          </w:tcPr>
          <w:p w14:paraId="2B564C9E"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Literature Type</w:t>
            </w:r>
          </w:p>
        </w:tc>
        <w:tc>
          <w:tcPr>
            <w:tcW w:w="1728" w:type="dxa"/>
            <w:shd w:val="clear" w:color="auto" w:fill="D9EAF7"/>
            <w:tcMar>
              <w:top w:w="60" w:type="dxa"/>
              <w:left w:w="70" w:type="dxa"/>
              <w:bottom w:w="60" w:type="dxa"/>
              <w:right w:w="70" w:type="dxa"/>
            </w:tcMar>
          </w:tcPr>
          <w:p w14:paraId="28C60D0F"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Review Type</w:t>
            </w:r>
          </w:p>
        </w:tc>
        <w:tc>
          <w:tcPr>
            <w:tcW w:w="2592" w:type="dxa"/>
            <w:shd w:val="clear" w:color="auto" w:fill="D9EAF7"/>
            <w:tcMar>
              <w:top w:w="60" w:type="dxa"/>
              <w:left w:w="70" w:type="dxa"/>
              <w:bottom w:w="60" w:type="dxa"/>
              <w:right w:w="70" w:type="dxa"/>
            </w:tcMar>
          </w:tcPr>
          <w:p w14:paraId="50EFD31D"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Key Insight</w:t>
            </w:r>
          </w:p>
        </w:tc>
        <w:tc>
          <w:tcPr>
            <w:tcW w:w="1512" w:type="dxa"/>
            <w:shd w:val="clear" w:color="auto" w:fill="D9EAF7"/>
            <w:tcMar>
              <w:top w:w="60" w:type="dxa"/>
              <w:left w:w="70" w:type="dxa"/>
              <w:bottom w:w="60" w:type="dxa"/>
              <w:right w:w="70" w:type="dxa"/>
            </w:tcMar>
          </w:tcPr>
          <w:p w14:paraId="1B82D122"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Theoretical Lens</w:t>
            </w:r>
          </w:p>
        </w:tc>
        <w:tc>
          <w:tcPr>
            <w:tcW w:w="3024" w:type="dxa"/>
            <w:shd w:val="clear" w:color="auto" w:fill="D9EAF7"/>
            <w:tcMar>
              <w:top w:w="60" w:type="dxa"/>
              <w:left w:w="70" w:type="dxa"/>
              <w:bottom w:w="60" w:type="dxa"/>
              <w:right w:w="70" w:type="dxa"/>
            </w:tcMar>
          </w:tcPr>
          <w:p w14:paraId="049DD7C7"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Methodology</w:t>
            </w:r>
          </w:p>
        </w:tc>
        <w:tc>
          <w:tcPr>
            <w:tcW w:w="2304" w:type="dxa"/>
            <w:shd w:val="clear" w:color="auto" w:fill="D9EAF7"/>
            <w:tcMar>
              <w:top w:w="60" w:type="dxa"/>
              <w:left w:w="70" w:type="dxa"/>
              <w:bottom w:w="60" w:type="dxa"/>
              <w:right w:w="70" w:type="dxa"/>
            </w:tcMar>
          </w:tcPr>
          <w:p w14:paraId="366B9947"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Critical Evaluation</w:t>
            </w:r>
          </w:p>
        </w:tc>
        <w:tc>
          <w:tcPr>
            <w:tcW w:w="1584" w:type="dxa"/>
            <w:shd w:val="clear" w:color="auto" w:fill="D9EAF7"/>
            <w:tcMar>
              <w:top w:w="60" w:type="dxa"/>
              <w:left w:w="70" w:type="dxa"/>
              <w:bottom w:w="60" w:type="dxa"/>
              <w:right w:w="70" w:type="dxa"/>
            </w:tcMar>
          </w:tcPr>
          <w:p w14:paraId="58E4042B"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Relevance</w:t>
            </w:r>
          </w:p>
        </w:tc>
        <w:tc>
          <w:tcPr>
            <w:tcW w:w="3024" w:type="dxa"/>
            <w:shd w:val="clear" w:color="auto" w:fill="D9EAF7"/>
            <w:tcMar>
              <w:top w:w="60" w:type="dxa"/>
              <w:left w:w="70" w:type="dxa"/>
              <w:bottom w:w="60" w:type="dxa"/>
              <w:right w:w="70" w:type="dxa"/>
            </w:tcMar>
          </w:tcPr>
          <w:p w14:paraId="3E80DB7C"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Example Description</w:t>
            </w:r>
          </w:p>
        </w:tc>
      </w:tr>
      <w:tr w:rsidR="00794E6A" w:rsidRPr="00B3149D" w14:paraId="727013DC" w14:textId="77777777" w:rsidTr="00556F41">
        <w:tc>
          <w:tcPr>
            <w:tcW w:w="1944" w:type="dxa"/>
            <w:tcMar>
              <w:top w:w="60" w:type="dxa"/>
              <w:left w:w="70" w:type="dxa"/>
              <w:bottom w:w="60" w:type="dxa"/>
              <w:right w:w="70" w:type="dxa"/>
            </w:tcMar>
          </w:tcPr>
          <w:p w14:paraId="382DB1A2"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Dietvorst</w:t>
            </w:r>
            <w:proofErr w:type="spellEnd"/>
            <w:r w:rsidRPr="00B3149D">
              <w:rPr>
                <w:rFonts w:ascii="Arial" w:hAnsi="Arial" w:cs="Arial"/>
                <w:sz w:val="20"/>
                <w:szCs w:val="20"/>
              </w:rPr>
              <w:t>, Simmons and Massey (2015)</w:t>
            </w:r>
          </w:p>
        </w:tc>
        <w:tc>
          <w:tcPr>
            <w:tcW w:w="1440" w:type="dxa"/>
            <w:tcMar>
              <w:top w:w="60" w:type="dxa"/>
              <w:left w:w="70" w:type="dxa"/>
              <w:bottom w:w="60" w:type="dxa"/>
              <w:right w:w="70" w:type="dxa"/>
            </w:tcMar>
          </w:tcPr>
          <w:p w14:paraId="4C0454D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Behavioural study</w:t>
            </w:r>
          </w:p>
        </w:tc>
        <w:tc>
          <w:tcPr>
            <w:tcW w:w="1728" w:type="dxa"/>
            <w:tcMar>
              <w:top w:w="60" w:type="dxa"/>
              <w:left w:w="70" w:type="dxa"/>
              <w:bottom w:w="60" w:type="dxa"/>
              <w:right w:w="70" w:type="dxa"/>
            </w:tcMar>
          </w:tcPr>
          <w:p w14:paraId="5D369BE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Experimental study</w:t>
            </w:r>
          </w:p>
        </w:tc>
        <w:tc>
          <w:tcPr>
            <w:tcW w:w="2592" w:type="dxa"/>
            <w:tcMar>
              <w:top w:w="60" w:type="dxa"/>
              <w:left w:w="70" w:type="dxa"/>
              <w:bottom w:w="60" w:type="dxa"/>
              <w:right w:w="70" w:type="dxa"/>
            </w:tcMar>
          </w:tcPr>
          <w:p w14:paraId="1308062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Algorithm aversion - Crucial because technical superiority does not guarantee adoption.</w:t>
            </w:r>
          </w:p>
        </w:tc>
        <w:tc>
          <w:tcPr>
            <w:tcW w:w="1512" w:type="dxa"/>
            <w:tcMar>
              <w:top w:w="60" w:type="dxa"/>
              <w:left w:w="70" w:type="dxa"/>
              <w:bottom w:w="60" w:type="dxa"/>
              <w:right w:w="70" w:type="dxa"/>
            </w:tcMar>
          </w:tcPr>
          <w:p w14:paraId="35E0A4B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Experimental</w:t>
            </w:r>
          </w:p>
        </w:tc>
        <w:tc>
          <w:tcPr>
            <w:tcW w:w="3024" w:type="dxa"/>
            <w:tcMar>
              <w:top w:w="60" w:type="dxa"/>
              <w:left w:w="70" w:type="dxa"/>
              <w:bottom w:w="60" w:type="dxa"/>
              <w:right w:w="70" w:type="dxa"/>
            </w:tcMar>
          </w:tcPr>
          <w:p w14:paraId="061CC4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people may reject algorithms after seeing them err, even when the algorithm outperforms humans.</w:t>
            </w:r>
          </w:p>
        </w:tc>
        <w:tc>
          <w:tcPr>
            <w:tcW w:w="2304" w:type="dxa"/>
            <w:tcMar>
              <w:top w:w="60" w:type="dxa"/>
              <w:left w:w="70" w:type="dxa"/>
              <w:bottom w:w="60" w:type="dxa"/>
              <w:right w:w="70" w:type="dxa"/>
            </w:tcMar>
          </w:tcPr>
          <w:p w14:paraId="18B2B8E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Foundational behavioural evidence, though not forecasting-specific.</w:t>
            </w:r>
          </w:p>
        </w:tc>
        <w:tc>
          <w:tcPr>
            <w:tcW w:w="1584" w:type="dxa"/>
            <w:tcMar>
              <w:top w:w="60" w:type="dxa"/>
              <w:left w:w="70" w:type="dxa"/>
              <w:bottom w:w="60" w:type="dxa"/>
              <w:right w:w="70" w:type="dxa"/>
            </w:tcMar>
          </w:tcPr>
          <w:p w14:paraId="1B6D5B4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Directly relevant to human overrides in retail planning.</w:t>
            </w:r>
          </w:p>
        </w:tc>
        <w:tc>
          <w:tcPr>
            <w:tcW w:w="3024" w:type="dxa"/>
            <w:tcMar>
              <w:top w:w="60" w:type="dxa"/>
              <w:left w:w="70" w:type="dxa"/>
              <w:bottom w:w="60" w:type="dxa"/>
              <w:right w:w="70" w:type="dxa"/>
            </w:tcMar>
          </w:tcPr>
          <w:p w14:paraId="4D52897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people may reject algorithms after seeing them err, even when the algorithm outperforms humans. Crucial because technical superiority does not guarantee adoption.</w:t>
            </w:r>
          </w:p>
        </w:tc>
      </w:tr>
      <w:tr w:rsidR="00794E6A" w:rsidRPr="00B3149D" w14:paraId="66D23BCC" w14:textId="77777777" w:rsidTr="00556F41">
        <w:tc>
          <w:tcPr>
            <w:tcW w:w="1944" w:type="dxa"/>
            <w:tcMar>
              <w:top w:w="60" w:type="dxa"/>
              <w:left w:w="70" w:type="dxa"/>
              <w:bottom w:w="60" w:type="dxa"/>
              <w:right w:w="70" w:type="dxa"/>
            </w:tcMar>
          </w:tcPr>
          <w:p w14:paraId="50B6CE44"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Logg</w:t>
            </w:r>
            <w:proofErr w:type="spellEnd"/>
            <w:r w:rsidRPr="00B3149D">
              <w:rPr>
                <w:rFonts w:ascii="Arial" w:hAnsi="Arial" w:cs="Arial"/>
                <w:sz w:val="20"/>
                <w:szCs w:val="20"/>
              </w:rPr>
              <w:t xml:space="preserve">, </w:t>
            </w:r>
            <w:proofErr w:type="spellStart"/>
            <w:r w:rsidRPr="00B3149D">
              <w:rPr>
                <w:rFonts w:ascii="Arial" w:hAnsi="Arial" w:cs="Arial"/>
                <w:sz w:val="20"/>
                <w:szCs w:val="20"/>
              </w:rPr>
              <w:t>Minson</w:t>
            </w:r>
            <w:proofErr w:type="spellEnd"/>
            <w:r w:rsidRPr="00B3149D">
              <w:rPr>
                <w:rFonts w:ascii="Arial" w:hAnsi="Arial" w:cs="Arial"/>
                <w:sz w:val="20"/>
                <w:szCs w:val="20"/>
              </w:rPr>
              <w:t xml:space="preserve"> and Moore (2019)</w:t>
            </w:r>
          </w:p>
        </w:tc>
        <w:tc>
          <w:tcPr>
            <w:tcW w:w="1440" w:type="dxa"/>
            <w:tcMar>
              <w:top w:w="60" w:type="dxa"/>
              <w:left w:w="70" w:type="dxa"/>
              <w:bottom w:w="60" w:type="dxa"/>
              <w:right w:w="70" w:type="dxa"/>
            </w:tcMar>
          </w:tcPr>
          <w:p w14:paraId="1013DD8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Behavioural study</w:t>
            </w:r>
          </w:p>
        </w:tc>
        <w:tc>
          <w:tcPr>
            <w:tcW w:w="1728" w:type="dxa"/>
            <w:tcMar>
              <w:top w:w="60" w:type="dxa"/>
              <w:left w:w="70" w:type="dxa"/>
              <w:bottom w:w="60" w:type="dxa"/>
              <w:right w:w="70" w:type="dxa"/>
            </w:tcMar>
          </w:tcPr>
          <w:p w14:paraId="65270B5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Experimental study</w:t>
            </w:r>
          </w:p>
        </w:tc>
        <w:tc>
          <w:tcPr>
            <w:tcW w:w="2592" w:type="dxa"/>
            <w:tcMar>
              <w:top w:w="60" w:type="dxa"/>
              <w:left w:w="70" w:type="dxa"/>
              <w:bottom w:w="60" w:type="dxa"/>
              <w:right w:w="70" w:type="dxa"/>
            </w:tcMar>
          </w:tcPr>
          <w:p w14:paraId="25EAED6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Algorithm appreciation/aversion - Complicates simple algorithm-aversion narratives.</w:t>
            </w:r>
          </w:p>
        </w:tc>
        <w:tc>
          <w:tcPr>
            <w:tcW w:w="1512" w:type="dxa"/>
            <w:tcMar>
              <w:top w:w="60" w:type="dxa"/>
              <w:left w:w="70" w:type="dxa"/>
              <w:bottom w:w="60" w:type="dxa"/>
              <w:right w:w="70" w:type="dxa"/>
            </w:tcMar>
          </w:tcPr>
          <w:p w14:paraId="40A1AE3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Experimental</w:t>
            </w:r>
          </w:p>
        </w:tc>
        <w:tc>
          <w:tcPr>
            <w:tcW w:w="3024" w:type="dxa"/>
            <w:tcMar>
              <w:top w:w="60" w:type="dxa"/>
              <w:left w:w="70" w:type="dxa"/>
              <w:bottom w:w="60" w:type="dxa"/>
              <w:right w:w="70" w:type="dxa"/>
            </w:tcMar>
          </w:tcPr>
          <w:p w14:paraId="15A4E66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people sometimes prefer algorithmic advice, depending on framing and task.</w:t>
            </w:r>
          </w:p>
        </w:tc>
        <w:tc>
          <w:tcPr>
            <w:tcW w:w="2304" w:type="dxa"/>
            <w:tcMar>
              <w:top w:w="60" w:type="dxa"/>
              <w:left w:w="70" w:type="dxa"/>
              <w:bottom w:w="60" w:type="dxa"/>
              <w:right w:w="70" w:type="dxa"/>
            </w:tcMar>
          </w:tcPr>
          <w:p w14:paraId="722875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Important because adoption is context-dependent rather than universally resistant.</w:t>
            </w:r>
          </w:p>
        </w:tc>
        <w:tc>
          <w:tcPr>
            <w:tcW w:w="1584" w:type="dxa"/>
            <w:tcMar>
              <w:top w:w="60" w:type="dxa"/>
              <w:left w:w="70" w:type="dxa"/>
              <w:bottom w:w="60" w:type="dxa"/>
              <w:right w:w="70" w:type="dxa"/>
            </w:tcMar>
          </w:tcPr>
          <w:p w14:paraId="152DDFA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Useful for nuanced human–AI interpretation.</w:t>
            </w:r>
          </w:p>
        </w:tc>
        <w:tc>
          <w:tcPr>
            <w:tcW w:w="3024" w:type="dxa"/>
            <w:tcMar>
              <w:top w:w="60" w:type="dxa"/>
              <w:left w:w="70" w:type="dxa"/>
              <w:bottom w:w="60" w:type="dxa"/>
              <w:right w:w="70" w:type="dxa"/>
            </w:tcMar>
          </w:tcPr>
          <w:p w14:paraId="1BE978F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people sometimes prefer algorithmic advice, depending on framing and task. Complicates simple algorithm-aversion narratives.</w:t>
            </w:r>
          </w:p>
        </w:tc>
      </w:tr>
      <w:tr w:rsidR="00794E6A" w:rsidRPr="00B3149D" w14:paraId="4EC7B522" w14:textId="77777777" w:rsidTr="00556F41">
        <w:tc>
          <w:tcPr>
            <w:tcW w:w="1944" w:type="dxa"/>
            <w:tcMar>
              <w:top w:w="60" w:type="dxa"/>
              <w:left w:w="70" w:type="dxa"/>
              <w:bottom w:w="60" w:type="dxa"/>
              <w:right w:w="70" w:type="dxa"/>
            </w:tcMar>
          </w:tcPr>
          <w:p w14:paraId="2A4CF76C"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Jarrahi</w:t>
            </w:r>
            <w:proofErr w:type="spellEnd"/>
            <w:r w:rsidRPr="00B3149D">
              <w:rPr>
                <w:rFonts w:ascii="Arial" w:hAnsi="Arial" w:cs="Arial"/>
                <w:sz w:val="20"/>
                <w:szCs w:val="20"/>
              </w:rPr>
              <w:t xml:space="preserve"> (2018)</w:t>
            </w:r>
          </w:p>
        </w:tc>
        <w:tc>
          <w:tcPr>
            <w:tcW w:w="1440" w:type="dxa"/>
            <w:tcMar>
              <w:top w:w="60" w:type="dxa"/>
              <w:left w:w="70" w:type="dxa"/>
              <w:bottom w:w="60" w:type="dxa"/>
              <w:right w:w="70" w:type="dxa"/>
            </w:tcMar>
          </w:tcPr>
          <w:p w14:paraId="65BCBCC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Conceptual/empirical</w:t>
            </w:r>
          </w:p>
        </w:tc>
        <w:tc>
          <w:tcPr>
            <w:tcW w:w="1728" w:type="dxa"/>
            <w:tcMar>
              <w:top w:w="60" w:type="dxa"/>
              <w:left w:w="70" w:type="dxa"/>
              <w:bottom w:w="60" w:type="dxa"/>
              <w:right w:w="70" w:type="dxa"/>
            </w:tcMar>
          </w:tcPr>
          <w:p w14:paraId="14A40B1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review</w:t>
            </w:r>
          </w:p>
        </w:tc>
        <w:tc>
          <w:tcPr>
            <w:tcW w:w="2592" w:type="dxa"/>
            <w:tcMar>
              <w:top w:w="60" w:type="dxa"/>
              <w:left w:w="70" w:type="dxa"/>
              <w:bottom w:w="60" w:type="dxa"/>
              <w:right w:w="70" w:type="dxa"/>
            </w:tcMar>
          </w:tcPr>
          <w:p w14:paraId="744B676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Human-AI collaboration - Useful for framing replenishment planning as collaborative intelligence rather than substitution.</w:t>
            </w:r>
          </w:p>
        </w:tc>
        <w:tc>
          <w:tcPr>
            <w:tcW w:w="1512" w:type="dxa"/>
            <w:tcMar>
              <w:top w:w="60" w:type="dxa"/>
              <w:left w:w="70" w:type="dxa"/>
              <w:bottom w:w="60" w:type="dxa"/>
              <w:right w:w="70" w:type="dxa"/>
            </w:tcMar>
          </w:tcPr>
          <w:p w14:paraId="0BCA844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Conceptual/review</w:t>
            </w:r>
          </w:p>
        </w:tc>
        <w:tc>
          <w:tcPr>
            <w:tcW w:w="3024" w:type="dxa"/>
            <w:tcMar>
              <w:top w:w="60" w:type="dxa"/>
              <w:left w:w="70" w:type="dxa"/>
              <w:bottom w:w="60" w:type="dxa"/>
              <w:right w:w="70" w:type="dxa"/>
            </w:tcMar>
          </w:tcPr>
          <w:p w14:paraId="73426C7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AI should augment rather than replace human work.</w:t>
            </w:r>
          </w:p>
        </w:tc>
        <w:tc>
          <w:tcPr>
            <w:tcW w:w="2304" w:type="dxa"/>
            <w:tcMar>
              <w:top w:w="60" w:type="dxa"/>
              <w:left w:w="70" w:type="dxa"/>
              <w:bottom w:w="60" w:type="dxa"/>
              <w:right w:w="70" w:type="dxa"/>
            </w:tcMar>
          </w:tcPr>
          <w:p w14:paraId="5648F48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Broad across professions, but well aligned with DBA concerns.</w:t>
            </w:r>
          </w:p>
        </w:tc>
        <w:tc>
          <w:tcPr>
            <w:tcW w:w="1584" w:type="dxa"/>
            <w:tcMar>
              <w:top w:w="60" w:type="dxa"/>
              <w:left w:w="70" w:type="dxa"/>
              <w:bottom w:w="60" w:type="dxa"/>
              <w:right w:w="70" w:type="dxa"/>
            </w:tcMar>
          </w:tcPr>
          <w:p w14:paraId="47DA392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hybrid-decision thesis.</w:t>
            </w:r>
          </w:p>
        </w:tc>
        <w:tc>
          <w:tcPr>
            <w:tcW w:w="3024" w:type="dxa"/>
            <w:tcMar>
              <w:top w:w="60" w:type="dxa"/>
              <w:left w:w="70" w:type="dxa"/>
              <w:bottom w:w="60" w:type="dxa"/>
              <w:right w:w="70" w:type="dxa"/>
            </w:tcMar>
          </w:tcPr>
          <w:p w14:paraId="19CFAA5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AI should augment rather than replace human work. Useful for framing replenishment plannin</w:t>
            </w:r>
            <w:r w:rsidRPr="00B3149D">
              <w:rPr>
                <w:rFonts w:ascii="Arial" w:hAnsi="Arial" w:cs="Arial"/>
                <w:sz w:val="20"/>
                <w:szCs w:val="20"/>
              </w:rPr>
              <w:lastRenderedPageBreak/>
              <w:t>g as collaborative intelligence rather than substitution.</w:t>
            </w:r>
          </w:p>
        </w:tc>
      </w:tr>
      <w:tr w:rsidR="00794E6A" w:rsidRPr="00B3149D" w14:paraId="70B2D014" w14:textId="77777777" w:rsidTr="00556F41">
        <w:tc>
          <w:tcPr>
            <w:tcW w:w="1944" w:type="dxa"/>
            <w:tcMar>
              <w:top w:w="60" w:type="dxa"/>
              <w:left w:w="70" w:type="dxa"/>
              <w:bottom w:w="60" w:type="dxa"/>
              <w:right w:w="70" w:type="dxa"/>
            </w:tcMar>
          </w:tcPr>
          <w:p w14:paraId="5E7CC326"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Raisch</w:t>
            </w:r>
            <w:proofErr w:type="spellEnd"/>
            <w:r w:rsidRPr="00B3149D">
              <w:rPr>
                <w:rFonts w:ascii="Arial" w:hAnsi="Arial" w:cs="Arial"/>
                <w:sz w:val="20"/>
                <w:szCs w:val="20"/>
              </w:rPr>
              <w:t xml:space="preserve"> and Krakowski (2021)</w:t>
            </w:r>
          </w:p>
        </w:tc>
        <w:tc>
          <w:tcPr>
            <w:tcW w:w="1440" w:type="dxa"/>
            <w:tcMar>
              <w:top w:w="60" w:type="dxa"/>
              <w:left w:w="70" w:type="dxa"/>
              <w:bottom w:w="60" w:type="dxa"/>
              <w:right w:w="70" w:type="dxa"/>
            </w:tcMar>
          </w:tcPr>
          <w:p w14:paraId="735774E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review</w:t>
            </w:r>
          </w:p>
        </w:tc>
        <w:tc>
          <w:tcPr>
            <w:tcW w:w="1728" w:type="dxa"/>
            <w:tcMar>
              <w:top w:w="60" w:type="dxa"/>
              <w:left w:w="70" w:type="dxa"/>
              <w:bottom w:w="60" w:type="dxa"/>
              <w:right w:w="70" w:type="dxa"/>
            </w:tcMar>
          </w:tcPr>
          <w:p w14:paraId="7D2D860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2592" w:type="dxa"/>
            <w:tcMar>
              <w:top w:w="60" w:type="dxa"/>
              <w:left w:w="70" w:type="dxa"/>
              <w:bottom w:w="60" w:type="dxa"/>
              <w:right w:w="70" w:type="dxa"/>
            </w:tcMar>
          </w:tcPr>
          <w:p w14:paraId="567CBEE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Artificial and human intelligence in organisations - Useful for linking forecasting tools to organisational decision architecture.</w:t>
            </w:r>
          </w:p>
        </w:tc>
        <w:tc>
          <w:tcPr>
            <w:tcW w:w="1512" w:type="dxa"/>
            <w:tcMar>
              <w:top w:w="60" w:type="dxa"/>
              <w:left w:w="70" w:type="dxa"/>
              <w:bottom w:w="60" w:type="dxa"/>
              <w:right w:w="70" w:type="dxa"/>
            </w:tcMar>
          </w:tcPr>
          <w:p w14:paraId="0AB4421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3024" w:type="dxa"/>
            <w:tcMar>
              <w:top w:w="60" w:type="dxa"/>
              <w:left w:w="70" w:type="dxa"/>
              <w:bottom w:w="60" w:type="dxa"/>
              <w:right w:w="70" w:type="dxa"/>
            </w:tcMar>
          </w:tcPr>
          <w:p w14:paraId="4059341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Explains how organisations need to redesign decision structures around hybrid intelligence.</w:t>
            </w:r>
          </w:p>
        </w:tc>
        <w:tc>
          <w:tcPr>
            <w:tcW w:w="2304" w:type="dxa"/>
            <w:tcMar>
              <w:top w:w="60" w:type="dxa"/>
              <w:left w:w="70" w:type="dxa"/>
              <w:bottom w:w="60" w:type="dxa"/>
              <w:right w:w="70" w:type="dxa"/>
            </w:tcMar>
          </w:tcPr>
          <w:p w14:paraId="3930433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forecasting-specific, but very strong theoretically.</w:t>
            </w:r>
          </w:p>
        </w:tc>
        <w:tc>
          <w:tcPr>
            <w:tcW w:w="1584" w:type="dxa"/>
            <w:tcMar>
              <w:top w:w="60" w:type="dxa"/>
              <w:left w:w="70" w:type="dxa"/>
              <w:bottom w:w="60" w:type="dxa"/>
              <w:right w:w="70" w:type="dxa"/>
            </w:tcMar>
          </w:tcPr>
          <w:p w14:paraId="0B8FDEF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managerial implications.</w:t>
            </w:r>
          </w:p>
        </w:tc>
        <w:tc>
          <w:tcPr>
            <w:tcW w:w="3024" w:type="dxa"/>
            <w:tcMar>
              <w:top w:w="60" w:type="dxa"/>
              <w:left w:w="70" w:type="dxa"/>
              <w:bottom w:w="60" w:type="dxa"/>
              <w:right w:w="70" w:type="dxa"/>
            </w:tcMar>
          </w:tcPr>
          <w:p w14:paraId="296A5E5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Explains how organisations need to redesign decision structures around hybrid intelligence. Useful for linking forecasting tools to organisational decision architecture.</w:t>
            </w:r>
          </w:p>
        </w:tc>
      </w:tr>
      <w:tr w:rsidR="00794E6A" w:rsidRPr="00B3149D" w14:paraId="44A9A869" w14:textId="77777777" w:rsidTr="00556F41">
        <w:tc>
          <w:tcPr>
            <w:tcW w:w="1944" w:type="dxa"/>
            <w:tcMar>
              <w:top w:w="60" w:type="dxa"/>
              <w:left w:w="70" w:type="dxa"/>
              <w:bottom w:w="60" w:type="dxa"/>
              <w:right w:w="70" w:type="dxa"/>
            </w:tcMar>
          </w:tcPr>
          <w:p w14:paraId="16E5753F"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Glikson</w:t>
            </w:r>
            <w:proofErr w:type="spellEnd"/>
            <w:r w:rsidRPr="00B3149D">
              <w:rPr>
                <w:rFonts w:ascii="Arial" w:hAnsi="Arial" w:cs="Arial"/>
                <w:sz w:val="20"/>
                <w:szCs w:val="20"/>
              </w:rPr>
              <w:t xml:space="preserve"> and Woolle</w:t>
            </w:r>
            <w:r w:rsidRPr="00B3149D">
              <w:rPr>
                <w:rFonts w:ascii="Arial" w:hAnsi="Arial" w:cs="Arial"/>
                <w:sz w:val="20"/>
                <w:szCs w:val="20"/>
              </w:rPr>
              <w:lastRenderedPageBreak/>
              <w:t>y (2020)</w:t>
            </w:r>
          </w:p>
        </w:tc>
        <w:tc>
          <w:tcPr>
            <w:tcW w:w="1440" w:type="dxa"/>
            <w:tcMar>
              <w:top w:w="60" w:type="dxa"/>
              <w:left w:w="70" w:type="dxa"/>
              <w:bottom w:w="60" w:type="dxa"/>
              <w:right w:w="70" w:type="dxa"/>
            </w:tcMar>
          </w:tcPr>
          <w:p w14:paraId="7BCFAD9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Behavioural review</w:t>
            </w:r>
          </w:p>
        </w:tc>
        <w:tc>
          <w:tcPr>
            <w:tcW w:w="1728" w:type="dxa"/>
            <w:tcMar>
              <w:top w:w="60" w:type="dxa"/>
              <w:left w:w="70" w:type="dxa"/>
              <w:bottom w:w="60" w:type="dxa"/>
              <w:right w:w="70" w:type="dxa"/>
            </w:tcMar>
          </w:tcPr>
          <w:p w14:paraId="6943E43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2592" w:type="dxa"/>
            <w:tcMar>
              <w:top w:w="60" w:type="dxa"/>
              <w:left w:w="70" w:type="dxa"/>
              <w:bottom w:w="60" w:type="dxa"/>
              <w:right w:w="70" w:type="dxa"/>
            </w:tcMar>
          </w:tcPr>
          <w:p w14:paraId="6C978BD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Human trust in AI - Important </w:t>
            </w:r>
            <w:r w:rsidRPr="00B3149D">
              <w:rPr>
                <w:rFonts w:ascii="Arial" w:hAnsi="Arial" w:cs="Arial"/>
                <w:sz w:val="20"/>
                <w:szCs w:val="20"/>
              </w:rPr>
              <w:lastRenderedPageBreak/>
              <w:t>because planner trust mediates whether forecasts influence replenishment actions.</w:t>
            </w:r>
          </w:p>
        </w:tc>
        <w:tc>
          <w:tcPr>
            <w:tcW w:w="1512" w:type="dxa"/>
            <w:tcMar>
              <w:top w:w="60" w:type="dxa"/>
              <w:left w:w="70" w:type="dxa"/>
              <w:bottom w:w="60" w:type="dxa"/>
              <w:right w:w="70" w:type="dxa"/>
            </w:tcMar>
          </w:tcPr>
          <w:p w14:paraId="0CDD94B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 article</w:t>
            </w:r>
          </w:p>
        </w:tc>
        <w:tc>
          <w:tcPr>
            <w:tcW w:w="3024" w:type="dxa"/>
            <w:tcMar>
              <w:top w:w="60" w:type="dxa"/>
              <w:left w:w="70" w:type="dxa"/>
              <w:bottom w:w="60" w:type="dxa"/>
              <w:right w:w="70" w:type="dxa"/>
            </w:tcMar>
          </w:tcPr>
          <w:p w14:paraId="2B9F455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Synthesises determi</w:t>
            </w:r>
            <w:r w:rsidRPr="00B3149D">
              <w:rPr>
                <w:rFonts w:ascii="Arial" w:hAnsi="Arial" w:cs="Arial"/>
                <w:sz w:val="20"/>
                <w:szCs w:val="20"/>
              </w:rPr>
              <w:lastRenderedPageBreak/>
              <w:t>nants of trust in AI systems.</w:t>
            </w:r>
          </w:p>
        </w:tc>
        <w:tc>
          <w:tcPr>
            <w:tcW w:w="2304" w:type="dxa"/>
            <w:tcMar>
              <w:top w:w="60" w:type="dxa"/>
              <w:left w:w="70" w:type="dxa"/>
              <w:bottom w:w="60" w:type="dxa"/>
              <w:right w:w="70" w:type="dxa"/>
            </w:tcMar>
          </w:tcPr>
          <w:p w14:paraId="1834D78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Trust is broader than </w:t>
            </w:r>
            <w:r w:rsidRPr="00B3149D">
              <w:rPr>
                <w:rFonts w:ascii="Arial" w:hAnsi="Arial" w:cs="Arial"/>
                <w:sz w:val="20"/>
                <w:szCs w:val="20"/>
              </w:rPr>
              <w:lastRenderedPageBreak/>
              <w:t>forecasting, but central to implementation.</w:t>
            </w:r>
          </w:p>
        </w:tc>
        <w:tc>
          <w:tcPr>
            <w:tcW w:w="1584" w:type="dxa"/>
            <w:tcMar>
              <w:top w:w="60" w:type="dxa"/>
              <w:left w:w="70" w:type="dxa"/>
              <w:bottom w:w="60" w:type="dxa"/>
              <w:right w:w="70" w:type="dxa"/>
            </w:tcMar>
          </w:tcPr>
          <w:p w14:paraId="3E3E231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Supports govern</w:t>
            </w:r>
            <w:r w:rsidRPr="00B3149D">
              <w:rPr>
                <w:rFonts w:ascii="Arial" w:hAnsi="Arial" w:cs="Arial"/>
                <w:sz w:val="20"/>
                <w:szCs w:val="20"/>
              </w:rPr>
              <w:lastRenderedPageBreak/>
              <w:t>ance and adoption arguments.</w:t>
            </w:r>
          </w:p>
        </w:tc>
        <w:tc>
          <w:tcPr>
            <w:tcW w:w="3024" w:type="dxa"/>
            <w:tcMar>
              <w:top w:w="60" w:type="dxa"/>
              <w:left w:w="70" w:type="dxa"/>
              <w:bottom w:w="60" w:type="dxa"/>
              <w:right w:w="70" w:type="dxa"/>
            </w:tcMar>
          </w:tcPr>
          <w:p w14:paraId="70D55E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Synthesises determi</w:t>
            </w:r>
            <w:r w:rsidRPr="00B3149D">
              <w:rPr>
                <w:rFonts w:ascii="Arial" w:hAnsi="Arial" w:cs="Arial"/>
                <w:sz w:val="20"/>
                <w:szCs w:val="20"/>
              </w:rPr>
              <w:lastRenderedPageBreak/>
              <w:t>nants of trust in AI systems. Important because planner trust mediates whether forecasts influence replenishment actions.</w:t>
            </w:r>
          </w:p>
        </w:tc>
      </w:tr>
      <w:tr w:rsidR="00794E6A" w:rsidRPr="00B3149D" w14:paraId="762A09B4" w14:textId="77777777" w:rsidTr="00556F41">
        <w:tc>
          <w:tcPr>
            <w:tcW w:w="1944" w:type="dxa"/>
            <w:tcMar>
              <w:top w:w="60" w:type="dxa"/>
              <w:left w:w="70" w:type="dxa"/>
              <w:bottom w:w="60" w:type="dxa"/>
              <w:right w:w="70" w:type="dxa"/>
            </w:tcMar>
          </w:tcPr>
          <w:p w14:paraId="3BAEAD4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Burton et al. (2020)</w:t>
            </w:r>
          </w:p>
        </w:tc>
        <w:tc>
          <w:tcPr>
            <w:tcW w:w="1440" w:type="dxa"/>
            <w:tcMar>
              <w:top w:w="60" w:type="dxa"/>
              <w:left w:w="70" w:type="dxa"/>
              <w:bottom w:w="60" w:type="dxa"/>
              <w:right w:w="70" w:type="dxa"/>
            </w:tcMar>
          </w:tcPr>
          <w:p w14:paraId="373A03D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Behavioural/conceptual</w:t>
            </w:r>
          </w:p>
        </w:tc>
        <w:tc>
          <w:tcPr>
            <w:tcW w:w="1728" w:type="dxa"/>
            <w:tcMar>
              <w:top w:w="60" w:type="dxa"/>
              <w:left w:w="70" w:type="dxa"/>
              <w:bottom w:w="60" w:type="dxa"/>
              <w:right w:w="70" w:type="dxa"/>
            </w:tcMar>
          </w:tcPr>
          <w:p w14:paraId="47B205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2592" w:type="dxa"/>
            <w:tcMar>
              <w:top w:w="60" w:type="dxa"/>
              <w:left w:w="70" w:type="dxa"/>
              <w:bottom w:w="60" w:type="dxa"/>
              <w:right w:w="70" w:type="dxa"/>
            </w:tcMar>
          </w:tcPr>
          <w:p w14:paraId="13871AE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Understanding algorithm aversion - Helps explain why AI gains may fail to materialise operationally.</w:t>
            </w:r>
          </w:p>
        </w:tc>
        <w:tc>
          <w:tcPr>
            <w:tcW w:w="1512" w:type="dxa"/>
            <w:tcMar>
              <w:top w:w="60" w:type="dxa"/>
              <w:left w:w="70" w:type="dxa"/>
              <w:bottom w:w="60" w:type="dxa"/>
              <w:right w:w="70" w:type="dxa"/>
            </w:tcMar>
          </w:tcPr>
          <w:p w14:paraId="411F4CB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3024" w:type="dxa"/>
            <w:tcMar>
              <w:top w:w="60" w:type="dxa"/>
              <w:left w:w="70" w:type="dxa"/>
              <w:bottom w:w="60" w:type="dxa"/>
              <w:right w:w="70" w:type="dxa"/>
            </w:tcMar>
          </w:tcPr>
          <w:p w14:paraId="68CE983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why users resist algorithmic advice and when they accept it.</w:t>
            </w:r>
          </w:p>
        </w:tc>
        <w:tc>
          <w:tcPr>
            <w:tcW w:w="2304" w:type="dxa"/>
            <w:tcMar>
              <w:top w:w="60" w:type="dxa"/>
              <w:left w:w="70" w:type="dxa"/>
              <w:bottom w:w="60" w:type="dxa"/>
              <w:right w:w="70" w:type="dxa"/>
            </w:tcMar>
          </w:tcPr>
          <w:p w14:paraId="58B2555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Broad but valuable for behaviour-focused critique.</w:t>
            </w:r>
          </w:p>
        </w:tc>
        <w:tc>
          <w:tcPr>
            <w:tcW w:w="1584" w:type="dxa"/>
            <w:tcMar>
              <w:top w:w="60" w:type="dxa"/>
              <w:left w:w="70" w:type="dxa"/>
              <w:bottom w:w="60" w:type="dxa"/>
              <w:right w:w="70" w:type="dxa"/>
            </w:tcMar>
          </w:tcPr>
          <w:p w14:paraId="4C81B36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adoption barriers.</w:t>
            </w:r>
          </w:p>
        </w:tc>
        <w:tc>
          <w:tcPr>
            <w:tcW w:w="3024" w:type="dxa"/>
            <w:tcMar>
              <w:top w:w="60" w:type="dxa"/>
              <w:left w:w="70" w:type="dxa"/>
              <w:bottom w:w="60" w:type="dxa"/>
              <w:right w:w="70" w:type="dxa"/>
            </w:tcMar>
          </w:tcPr>
          <w:p w14:paraId="26CBDEA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Reviews why users resist algorithmic advice and when they accept it. Helps explain why AI gains may fail </w:t>
            </w:r>
            <w:r w:rsidRPr="00B3149D">
              <w:rPr>
                <w:rFonts w:ascii="Arial" w:hAnsi="Arial" w:cs="Arial"/>
                <w:sz w:val="20"/>
                <w:szCs w:val="20"/>
              </w:rPr>
              <w:lastRenderedPageBreak/>
              <w:t>to materialise operationally.</w:t>
            </w:r>
          </w:p>
        </w:tc>
      </w:tr>
      <w:tr w:rsidR="00794E6A" w:rsidRPr="00B3149D" w14:paraId="421B8BB5" w14:textId="77777777" w:rsidTr="00556F41">
        <w:tc>
          <w:tcPr>
            <w:tcW w:w="1944" w:type="dxa"/>
            <w:tcMar>
              <w:top w:w="60" w:type="dxa"/>
              <w:left w:w="70" w:type="dxa"/>
              <w:bottom w:w="60" w:type="dxa"/>
              <w:right w:w="70" w:type="dxa"/>
            </w:tcMar>
          </w:tcPr>
          <w:p w14:paraId="45C33873"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Dellermann</w:t>
            </w:r>
            <w:proofErr w:type="spellEnd"/>
            <w:r w:rsidRPr="00B3149D">
              <w:rPr>
                <w:rFonts w:ascii="Arial" w:hAnsi="Arial" w:cs="Arial"/>
                <w:sz w:val="20"/>
                <w:szCs w:val="20"/>
              </w:rPr>
              <w:t xml:space="preserve"> et al. (2019)</w:t>
            </w:r>
          </w:p>
        </w:tc>
        <w:tc>
          <w:tcPr>
            <w:tcW w:w="1440" w:type="dxa"/>
            <w:tcMar>
              <w:top w:w="60" w:type="dxa"/>
              <w:left w:w="70" w:type="dxa"/>
              <w:bottom w:w="60" w:type="dxa"/>
              <w:right w:w="70" w:type="dxa"/>
            </w:tcMar>
          </w:tcPr>
          <w:p w14:paraId="6D59699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review</w:t>
            </w:r>
          </w:p>
        </w:tc>
        <w:tc>
          <w:tcPr>
            <w:tcW w:w="1728" w:type="dxa"/>
            <w:tcMar>
              <w:top w:w="60" w:type="dxa"/>
              <w:left w:w="70" w:type="dxa"/>
              <w:bottom w:w="60" w:type="dxa"/>
              <w:right w:w="70" w:type="dxa"/>
            </w:tcMar>
          </w:tcPr>
          <w:p w14:paraId="1A33DF0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2592" w:type="dxa"/>
            <w:tcMar>
              <w:top w:w="60" w:type="dxa"/>
              <w:left w:w="70" w:type="dxa"/>
              <w:bottom w:w="60" w:type="dxa"/>
              <w:right w:w="70" w:type="dxa"/>
            </w:tcMar>
          </w:tcPr>
          <w:p w14:paraId="5300EDD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Hybrid intelligence - Useful for moving beyond the false 'human versus AI' binary.</w:t>
            </w:r>
          </w:p>
        </w:tc>
        <w:tc>
          <w:tcPr>
            <w:tcW w:w="1512" w:type="dxa"/>
            <w:tcMar>
              <w:top w:w="60" w:type="dxa"/>
              <w:left w:w="70" w:type="dxa"/>
              <w:bottom w:w="60" w:type="dxa"/>
              <w:right w:w="70" w:type="dxa"/>
            </w:tcMar>
          </w:tcPr>
          <w:p w14:paraId="65B0E4B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3024" w:type="dxa"/>
            <w:tcMar>
              <w:top w:w="60" w:type="dxa"/>
              <w:left w:w="70" w:type="dxa"/>
              <w:bottom w:w="60" w:type="dxa"/>
              <w:right w:w="70" w:type="dxa"/>
            </w:tcMar>
          </w:tcPr>
          <w:p w14:paraId="4E43F0C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combining human and machine intelligence can create superior outcomes.</w:t>
            </w:r>
          </w:p>
        </w:tc>
        <w:tc>
          <w:tcPr>
            <w:tcW w:w="2304" w:type="dxa"/>
            <w:tcMar>
              <w:top w:w="60" w:type="dxa"/>
              <w:left w:w="70" w:type="dxa"/>
              <w:bottom w:w="60" w:type="dxa"/>
              <w:right w:w="70" w:type="dxa"/>
            </w:tcMar>
          </w:tcPr>
          <w:p w14:paraId="1F785B5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rather than retail empirical, but practically relevant.</w:t>
            </w:r>
          </w:p>
        </w:tc>
        <w:tc>
          <w:tcPr>
            <w:tcW w:w="1584" w:type="dxa"/>
            <w:tcMar>
              <w:top w:w="60" w:type="dxa"/>
              <w:left w:w="70" w:type="dxa"/>
              <w:bottom w:w="60" w:type="dxa"/>
              <w:right w:w="70" w:type="dxa"/>
            </w:tcMar>
          </w:tcPr>
          <w:p w14:paraId="6754945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a collaboration-oriented framing.</w:t>
            </w:r>
          </w:p>
        </w:tc>
        <w:tc>
          <w:tcPr>
            <w:tcW w:w="3024" w:type="dxa"/>
            <w:tcMar>
              <w:top w:w="60" w:type="dxa"/>
              <w:left w:w="70" w:type="dxa"/>
              <w:bottom w:w="60" w:type="dxa"/>
              <w:right w:w="70" w:type="dxa"/>
            </w:tcMar>
          </w:tcPr>
          <w:p w14:paraId="32CB738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combining human and machine intelligence can create superior outcomes. Useful for moving beyond the false 'human versus AI' binary.</w:t>
            </w:r>
          </w:p>
        </w:tc>
      </w:tr>
      <w:tr w:rsidR="00794E6A" w:rsidRPr="00B3149D" w14:paraId="77C03EDE" w14:textId="77777777" w:rsidTr="00556F41">
        <w:tc>
          <w:tcPr>
            <w:tcW w:w="1944" w:type="dxa"/>
            <w:tcMar>
              <w:top w:w="60" w:type="dxa"/>
              <w:left w:w="70" w:type="dxa"/>
              <w:bottom w:w="60" w:type="dxa"/>
              <w:right w:w="70" w:type="dxa"/>
            </w:tcMar>
          </w:tcPr>
          <w:p w14:paraId="35CB892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Lebovitz, </w:t>
            </w:r>
            <w:proofErr w:type="spellStart"/>
            <w:r w:rsidRPr="00B3149D">
              <w:rPr>
                <w:rFonts w:ascii="Arial" w:hAnsi="Arial" w:cs="Arial"/>
                <w:sz w:val="20"/>
                <w:szCs w:val="20"/>
              </w:rPr>
              <w:t>Lifshitz</w:t>
            </w:r>
            <w:proofErr w:type="spellEnd"/>
            <w:r w:rsidRPr="00B3149D">
              <w:rPr>
                <w:rFonts w:ascii="Arial" w:hAnsi="Arial" w:cs="Arial"/>
                <w:sz w:val="20"/>
                <w:szCs w:val="20"/>
              </w:rPr>
              <w:t xml:space="preserve">-Assaf and </w:t>
            </w:r>
            <w:proofErr w:type="spellStart"/>
            <w:r w:rsidRPr="00B3149D">
              <w:rPr>
                <w:rFonts w:ascii="Arial" w:hAnsi="Arial" w:cs="Arial"/>
                <w:sz w:val="20"/>
                <w:szCs w:val="20"/>
              </w:rPr>
              <w:t>Levina</w:t>
            </w:r>
            <w:proofErr w:type="spellEnd"/>
            <w:r w:rsidRPr="00B3149D">
              <w:rPr>
                <w:rFonts w:ascii="Arial" w:hAnsi="Arial" w:cs="Arial"/>
                <w:sz w:val="20"/>
                <w:szCs w:val="20"/>
              </w:rPr>
              <w:t xml:space="preserve"> (2022)</w:t>
            </w:r>
          </w:p>
        </w:tc>
        <w:tc>
          <w:tcPr>
            <w:tcW w:w="1440" w:type="dxa"/>
            <w:tcMar>
              <w:top w:w="60" w:type="dxa"/>
              <w:left w:w="70" w:type="dxa"/>
              <w:bottom w:w="60" w:type="dxa"/>
              <w:right w:w="70" w:type="dxa"/>
            </w:tcMar>
          </w:tcPr>
          <w:p w14:paraId="5C59744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6ECFDE0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Organisation study</w:t>
            </w:r>
          </w:p>
        </w:tc>
        <w:tc>
          <w:tcPr>
            <w:tcW w:w="2592" w:type="dxa"/>
            <w:tcMar>
              <w:top w:w="60" w:type="dxa"/>
              <w:left w:w="70" w:type="dxa"/>
              <w:bottom w:w="60" w:type="dxa"/>
              <w:right w:w="70" w:type="dxa"/>
            </w:tcMar>
          </w:tcPr>
          <w:p w14:paraId="3786936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AI and expertise - Important because retail planners may need to reconfigure </w:t>
            </w:r>
            <w:r w:rsidRPr="00B3149D">
              <w:rPr>
                <w:rFonts w:ascii="Arial" w:hAnsi="Arial" w:cs="Arial"/>
                <w:sz w:val="20"/>
                <w:szCs w:val="20"/>
              </w:rPr>
              <w:lastRenderedPageBreak/>
              <w:t>judgement rather than surrender it.</w:t>
            </w:r>
          </w:p>
        </w:tc>
        <w:tc>
          <w:tcPr>
            <w:tcW w:w="1512" w:type="dxa"/>
            <w:tcMar>
              <w:top w:w="60" w:type="dxa"/>
              <w:left w:w="70" w:type="dxa"/>
              <w:bottom w:w="60" w:type="dxa"/>
              <w:right w:w="70" w:type="dxa"/>
            </w:tcMar>
          </w:tcPr>
          <w:p w14:paraId="40D0D76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Qualitative empirical</w:t>
            </w:r>
          </w:p>
        </w:tc>
        <w:tc>
          <w:tcPr>
            <w:tcW w:w="3024" w:type="dxa"/>
            <w:tcMar>
              <w:top w:w="60" w:type="dxa"/>
              <w:left w:w="70" w:type="dxa"/>
              <w:bottom w:w="60" w:type="dxa"/>
              <w:right w:w="70" w:type="dxa"/>
            </w:tcMar>
          </w:tcPr>
          <w:p w14:paraId="26E4DBE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AI adoption changes expertise bounda</w:t>
            </w:r>
            <w:r w:rsidRPr="00B3149D">
              <w:rPr>
                <w:rFonts w:ascii="Arial" w:hAnsi="Arial" w:cs="Arial"/>
                <w:sz w:val="20"/>
                <w:szCs w:val="20"/>
              </w:rPr>
              <w:lastRenderedPageBreak/>
              <w:t>ries and professional routines.</w:t>
            </w:r>
          </w:p>
        </w:tc>
        <w:tc>
          <w:tcPr>
            <w:tcW w:w="2304" w:type="dxa"/>
            <w:tcMar>
              <w:top w:w="60" w:type="dxa"/>
              <w:left w:w="70" w:type="dxa"/>
              <w:bottom w:w="60" w:type="dxa"/>
              <w:right w:w="70" w:type="dxa"/>
            </w:tcMar>
          </w:tcPr>
          <w:p w14:paraId="34D59B1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Not forecasting-specific, but rich on organisational change.</w:t>
            </w:r>
          </w:p>
        </w:tc>
        <w:tc>
          <w:tcPr>
            <w:tcW w:w="1584" w:type="dxa"/>
            <w:tcMar>
              <w:top w:w="60" w:type="dxa"/>
              <w:left w:w="70" w:type="dxa"/>
              <w:bottom w:w="60" w:type="dxa"/>
              <w:right w:w="70" w:type="dxa"/>
            </w:tcMar>
          </w:tcPr>
          <w:p w14:paraId="01AC921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practitioner adaptation.</w:t>
            </w:r>
          </w:p>
        </w:tc>
        <w:tc>
          <w:tcPr>
            <w:tcW w:w="3024" w:type="dxa"/>
            <w:tcMar>
              <w:top w:w="60" w:type="dxa"/>
              <w:left w:w="70" w:type="dxa"/>
              <w:bottom w:w="60" w:type="dxa"/>
              <w:right w:w="70" w:type="dxa"/>
            </w:tcMar>
          </w:tcPr>
          <w:p w14:paraId="546D14B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AI adoption changes expertise bounda</w:t>
            </w:r>
            <w:r w:rsidRPr="00B3149D">
              <w:rPr>
                <w:rFonts w:ascii="Arial" w:hAnsi="Arial" w:cs="Arial"/>
                <w:sz w:val="20"/>
                <w:szCs w:val="20"/>
              </w:rPr>
              <w:lastRenderedPageBreak/>
              <w:t>ries and professional routines. Important because retail planners may need to reconfigure judgement rather than surrender it.</w:t>
            </w:r>
          </w:p>
        </w:tc>
      </w:tr>
      <w:tr w:rsidR="00794E6A" w:rsidRPr="00B3149D" w14:paraId="7AECC0D4" w14:textId="77777777" w:rsidTr="00556F41">
        <w:tc>
          <w:tcPr>
            <w:tcW w:w="1944" w:type="dxa"/>
            <w:tcMar>
              <w:top w:w="60" w:type="dxa"/>
              <w:left w:w="70" w:type="dxa"/>
              <w:bottom w:w="60" w:type="dxa"/>
              <w:right w:w="70" w:type="dxa"/>
            </w:tcMar>
          </w:tcPr>
          <w:p w14:paraId="2538B6B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Bertsimas and Kallus (2020)</w:t>
            </w:r>
          </w:p>
        </w:tc>
        <w:tc>
          <w:tcPr>
            <w:tcW w:w="1440" w:type="dxa"/>
            <w:tcMar>
              <w:top w:w="60" w:type="dxa"/>
              <w:left w:w="70" w:type="dxa"/>
              <w:bottom w:w="60" w:type="dxa"/>
              <w:right w:w="70" w:type="dxa"/>
            </w:tcMar>
          </w:tcPr>
          <w:p w14:paraId="0BC5A1C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Methodological/empirical</w:t>
            </w:r>
          </w:p>
        </w:tc>
        <w:tc>
          <w:tcPr>
            <w:tcW w:w="1728" w:type="dxa"/>
            <w:tcMar>
              <w:top w:w="60" w:type="dxa"/>
              <w:left w:w="70" w:type="dxa"/>
              <w:bottom w:w="60" w:type="dxa"/>
              <w:right w:w="70" w:type="dxa"/>
            </w:tcMar>
          </w:tcPr>
          <w:p w14:paraId="37DD3F3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Prescriptive analytics</w:t>
            </w:r>
          </w:p>
        </w:tc>
        <w:tc>
          <w:tcPr>
            <w:tcW w:w="2592" w:type="dxa"/>
            <w:tcMar>
              <w:top w:w="60" w:type="dxa"/>
              <w:left w:w="70" w:type="dxa"/>
              <w:bottom w:w="60" w:type="dxa"/>
              <w:right w:w="70" w:type="dxa"/>
            </w:tcMar>
          </w:tcPr>
          <w:p w14:paraId="3DCE0F1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Data-driven decision-making - Useful because it links forecasting outputs to action choices.</w:t>
            </w:r>
          </w:p>
        </w:tc>
        <w:tc>
          <w:tcPr>
            <w:tcW w:w="1512" w:type="dxa"/>
            <w:tcMar>
              <w:top w:w="60" w:type="dxa"/>
              <w:left w:w="70" w:type="dxa"/>
              <w:bottom w:w="60" w:type="dxa"/>
              <w:right w:w="70" w:type="dxa"/>
            </w:tcMar>
          </w:tcPr>
          <w:p w14:paraId="2525F2D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Quantitative conceptual</w:t>
            </w:r>
          </w:p>
        </w:tc>
        <w:tc>
          <w:tcPr>
            <w:tcW w:w="3024" w:type="dxa"/>
            <w:tcMar>
              <w:top w:w="60" w:type="dxa"/>
              <w:left w:w="70" w:type="dxa"/>
              <w:bottom w:w="60" w:type="dxa"/>
              <w:right w:w="70" w:type="dxa"/>
            </w:tcMar>
          </w:tcPr>
          <w:p w14:paraId="3BE139B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prediction can be embedded into better prescriptive decisions.</w:t>
            </w:r>
          </w:p>
        </w:tc>
        <w:tc>
          <w:tcPr>
            <w:tcW w:w="2304" w:type="dxa"/>
            <w:tcMar>
              <w:top w:w="60" w:type="dxa"/>
              <w:left w:w="70" w:type="dxa"/>
              <w:bottom w:w="60" w:type="dxa"/>
              <w:right w:w="70" w:type="dxa"/>
            </w:tcMar>
          </w:tcPr>
          <w:p w14:paraId="4A7093C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Stronger on optimisation than social adoption issues.</w:t>
            </w:r>
          </w:p>
        </w:tc>
        <w:tc>
          <w:tcPr>
            <w:tcW w:w="1584" w:type="dxa"/>
            <w:tcMar>
              <w:top w:w="60" w:type="dxa"/>
              <w:left w:w="70" w:type="dxa"/>
              <w:bottom w:w="60" w:type="dxa"/>
              <w:right w:w="70" w:type="dxa"/>
            </w:tcMar>
          </w:tcPr>
          <w:p w14:paraId="5BE2E34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accuracy-to-decision mechanism.</w:t>
            </w:r>
          </w:p>
        </w:tc>
        <w:tc>
          <w:tcPr>
            <w:tcW w:w="3024" w:type="dxa"/>
            <w:tcMar>
              <w:top w:w="60" w:type="dxa"/>
              <w:left w:w="70" w:type="dxa"/>
              <w:bottom w:w="60" w:type="dxa"/>
              <w:right w:w="70" w:type="dxa"/>
            </w:tcMar>
          </w:tcPr>
          <w:p w14:paraId="2A3629C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prediction can be embedded into better prescriptive decisions. Useful because it links forecas</w:t>
            </w:r>
            <w:r w:rsidRPr="00B3149D">
              <w:rPr>
                <w:rFonts w:ascii="Arial" w:hAnsi="Arial" w:cs="Arial"/>
                <w:sz w:val="20"/>
                <w:szCs w:val="20"/>
              </w:rPr>
              <w:lastRenderedPageBreak/>
              <w:t>ting outputs to action choices.</w:t>
            </w:r>
          </w:p>
        </w:tc>
      </w:tr>
      <w:tr w:rsidR="00794E6A" w:rsidRPr="00B3149D" w14:paraId="4226564E" w14:textId="77777777" w:rsidTr="00556F41">
        <w:tc>
          <w:tcPr>
            <w:tcW w:w="1944" w:type="dxa"/>
            <w:tcMar>
              <w:top w:w="60" w:type="dxa"/>
              <w:left w:w="70" w:type="dxa"/>
              <w:bottom w:w="60" w:type="dxa"/>
              <w:right w:w="70" w:type="dxa"/>
            </w:tcMar>
          </w:tcPr>
          <w:p w14:paraId="67AE7E8C"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Fildes</w:t>
            </w:r>
            <w:proofErr w:type="spellEnd"/>
            <w:r w:rsidRPr="00B3149D">
              <w:rPr>
                <w:rFonts w:ascii="Arial" w:hAnsi="Arial" w:cs="Arial"/>
                <w:sz w:val="20"/>
                <w:szCs w:val="20"/>
              </w:rPr>
              <w:t xml:space="preserve"> and Goodwin (2007)</w:t>
            </w:r>
          </w:p>
        </w:tc>
        <w:tc>
          <w:tcPr>
            <w:tcW w:w="1440" w:type="dxa"/>
            <w:tcMar>
              <w:top w:w="60" w:type="dxa"/>
              <w:left w:w="70" w:type="dxa"/>
              <w:bottom w:w="60" w:type="dxa"/>
              <w:right w:w="70" w:type="dxa"/>
            </w:tcMar>
          </w:tcPr>
          <w:p w14:paraId="2C39B2A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1728" w:type="dxa"/>
            <w:tcMar>
              <w:top w:w="60" w:type="dxa"/>
              <w:left w:w="70" w:type="dxa"/>
              <w:bottom w:w="60" w:type="dxa"/>
              <w:right w:w="70" w:type="dxa"/>
            </w:tcMar>
          </w:tcPr>
          <w:p w14:paraId="3C886D5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Judgemental forecasting review</w:t>
            </w:r>
          </w:p>
        </w:tc>
        <w:tc>
          <w:tcPr>
            <w:tcW w:w="2592" w:type="dxa"/>
            <w:tcMar>
              <w:top w:w="60" w:type="dxa"/>
              <w:left w:w="70" w:type="dxa"/>
              <w:bottom w:w="60" w:type="dxa"/>
              <w:right w:w="70" w:type="dxa"/>
            </w:tcMar>
          </w:tcPr>
          <w:p w14:paraId="58D687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Judgement in forecasting - Useful for resisting simplistic automation narratives.</w:t>
            </w:r>
          </w:p>
        </w:tc>
        <w:tc>
          <w:tcPr>
            <w:tcW w:w="1512" w:type="dxa"/>
            <w:tcMar>
              <w:top w:w="60" w:type="dxa"/>
              <w:left w:w="70" w:type="dxa"/>
              <w:bottom w:w="60" w:type="dxa"/>
              <w:right w:w="70" w:type="dxa"/>
            </w:tcMar>
          </w:tcPr>
          <w:p w14:paraId="391659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3024" w:type="dxa"/>
            <w:tcMar>
              <w:top w:w="60" w:type="dxa"/>
              <w:left w:w="70" w:type="dxa"/>
              <w:bottom w:w="60" w:type="dxa"/>
              <w:right w:w="70" w:type="dxa"/>
            </w:tcMar>
          </w:tcPr>
          <w:p w14:paraId="2986D5E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human judgement can help or harm forecasting depending on process design.</w:t>
            </w:r>
          </w:p>
        </w:tc>
        <w:tc>
          <w:tcPr>
            <w:tcW w:w="2304" w:type="dxa"/>
            <w:tcMar>
              <w:top w:w="60" w:type="dxa"/>
              <w:left w:w="70" w:type="dxa"/>
              <w:bottom w:w="60" w:type="dxa"/>
              <w:right w:w="70" w:type="dxa"/>
            </w:tcMar>
          </w:tcPr>
          <w:p w14:paraId="34C942C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Older but still central to forecasting practice.</w:t>
            </w:r>
          </w:p>
        </w:tc>
        <w:tc>
          <w:tcPr>
            <w:tcW w:w="1584" w:type="dxa"/>
            <w:tcMar>
              <w:top w:w="60" w:type="dxa"/>
              <w:left w:w="70" w:type="dxa"/>
              <w:bottom w:w="60" w:type="dxa"/>
              <w:right w:w="70" w:type="dxa"/>
            </w:tcMar>
          </w:tcPr>
          <w:p w14:paraId="2813C52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human intervention analysis.</w:t>
            </w:r>
          </w:p>
        </w:tc>
        <w:tc>
          <w:tcPr>
            <w:tcW w:w="3024" w:type="dxa"/>
            <w:tcMar>
              <w:top w:w="60" w:type="dxa"/>
              <w:left w:w="70" w:type="dxa"/>
              <w:bottom w:w="60" w:type="dxa"/>
              <w:right w:w="70" w:type="dxa"/>
            </w:tcMar>
          </w:tcPr>
          <w:p w14:paraId="197F427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human judgement can help or harm forecasting depending on process design. Useful for resisting simplistic automation narratives.</w:t>
            </w:r>
          </w:p>
        </w:tc>
      </w:tr>
      <w:tr w:rsidR="00794E6A" w:rsidRPr="00B3149D" w14:paraId="6FCC11F0" w14:textId="77777777" w:rsidTr="00556F41">
        <w:tc>
          <w:tcPr>
            <w:tcW w:w="1944" w:type="dxa"/>
            <w:tcMar>
              <w:top w:w="60" w:type="dxa"/>
              <w:left w:w="70" w:type="dxa"/>
              <w:bottom w:w="60" w:type="dxa"/>
              <w:right w:w="70" w:type="dxa"/>
            </w:tcMar>
          </w:tcPr>
          <w:p w14:paraId="53C9BE3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Goodwin and </w:t>
            </w:r>
            <w:proofErr w:type="spellStart"/>
            <w:r w:rsidRPr="00B3149D">
              <w:rPr>
                <w:rFonts w:ascii="Arial" w:hAnsi="Arial" w:cs="Arial"/>
                <w:sz w:val="20"/>
                <w:szCs w:val="20"/>
              </w:rPr>
              <w:t>Fildes</w:t>
            </w:r>
            <w:proofErr w:type="spellEnd"/>
            <w:r w:rsidRPr="00B3149D">
              <w:rPr>
                <w:rFonts w:ascii="Arial" w:hAnsi="Arial" w:cs="Arial"/>
                <w:sz w:val="20"/>
                <w:szCs w:val="20"/>
              </w:rPr>
              <w:t xml:space="preserve"> (1999)</w:t>
            </w:r>
          </w:p>
        </w:tc>
        <w:tc>
          <w:tcPr>
            <w:tcW w:w="1440" w:type="dxa"/>
            <w:tcMar>
              <w:top w:w="60" w:type="dxa"/>
              <w:left w:w="70" w:type="dxa"/>
              <w:bottom w:w="60" w:type="dxa"/>
              <w:right w:w="70" w:type="dxa"/>
            </w:tcMar>
          </w:tcPr>
          <w:p w14:paraId="7D92E93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0809EDC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Judgemental adjustment study</w:t>
            </w:r>
          </w:p>
        </w:tc>
        <w:tc>
          <w:tcPr>
            <w:tcW w:w="2592" w:type="dxa"/>
            <w:tcMar>
              <w:top w:w="60" w:type="dxa"/>
              <w:left w:w="70" w:type="dxa"/>
              <w:bottom w:w="60" w:type="dxa"/>
              <w:right w:w="70" w:type="dxa"/>
            </w:tcMar>
          </w:tcPr>
          <w:p w14:paraId="7FF2A1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 adjustment - Important precursor to current human-versus-AI debates.</w:t>
            </w:r>
          </w:p>
        </w:tc>
        <w:tc>
          <w:tcPr>
            <w:tcW w:w="1512" w:type="dxa"/>
            <w:tcMar>
              <w:top w:w="60" w:type="dxa"/>
              <w:left w:w="70" w:type="dxa"/>
              <w:bottom w:w="60" w:type="dxa"/>
              <w:right w:w="70" w:type="dxa"/>
            </w:tcMar>
          </w:tcPr>
          <w:p w14:paraId="1A2AF25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w:t>
            </w:r>
          </w:p>
        </w:tc>
        <w:tc>
          <w:tcPr>
            <w:tcW w:w="3024" w:type="dxa"/>
            <w:tcMar>
              <w:top w:w="60" w:type="dxa"/>
              <w:left w:w="70" w:type="dxa"/>
              <w:bottom w:w="60" w:type="dxa"/>
              <w:right w:w="70" w:type="dxa"/>
            </w:tcMar>
          </w:tcPr>
          <w:p w14:paraId="7CA0904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Examines when managerial forecast adjustments improv</w:t>
            </w:r>
            <w:r w:rsidRPr="00B3149D">
              <w:rPr>
                <w:rFonts w:ascii="Arial" w:hAnsi="Arial" w:cs="Arial"/>
                <w:sz w:val="20"/>
                <w:szCs w:val="20"/>
              </w:rPr>
              <w:lastRenderedPageBreak/>
              <w:t>e or worsen model-based forecasts.</w:t>
            </w:r>
          </w:p>
        </w:tc>
        <w:tc>
          <w:tcPr>
            <w:tcW w:w="2304" w:type="dxa"/>
            <w:tcMar>
              <w:top w:w="60" w:type="dxa"/>
              <w:left w:w="70" w:type="dxa"/>
              <w:bottom w:w="60" w:type="dxa"/>
              <w:right w:w="70" w:type="dxa"/>
            </w:tcMar>
          </w:tcPr>
          <w:p w14:paraId="36CB0FD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Older evidence, but highly relevant conceptually.</w:t>
            </w:r>
          </w:p>
        </w:tc>
        <w:tc>
          <w:tcPr>
            <w:tcW w:w="1584" w:type="dxa"/>
            <w:tcMar>
              <w:top w:w="60" w:type="dxa"/>
              <w:left w:w="70" w:type="dxa"/>
              <w:bottom w:w="60" w:type="dxa"/>
              <w:right w:w="70" w:type="dxa"/>
            </w:tcMar>
          </w:tcPr>
          <w:p w14:paraId="272B794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critique of unchecked overrides.</w:t>
            </w:r>
          </w:p>
        </w:tc>
        <w:tc>
          <w:tcPr>
            <w:tcW w:w="3024" w:type="dxa"/>
            <w:tcMar>
              <w:top w:w="60" w:type="dxa"/>
              <w:left w:w="70" w:type="dxa"/>
              <w:bottom w:w="60" w:type="dxa"/>
              <w:right w:w="70" w:type="dxa"/>
            </w:tcMar>
          </w:tcPr>
          <w:p w14:paraId="49D79DC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Examines when managerial forecast adjustments improv</w:t>
            </w:r>
            <w:r w:rsidRPr="00B3149D">
              <w:rPr>
                <w:rFonts w:ascii="Arial" w:hAnsi="Arial" w:cs="Arial"/>
                <w:sz w:val="20"/>
                <w:szCs w:val="20"/>
              </w:rPr>
              <w:lastRenderedPageBreak/>
              <w:t>e or worsen model-based forecasts. Important precursor to current human-versus-AI debates.</w:t>
            </w:r>
          </w:p>
        </w:tc>
      </w:tr>
      <w:tr w:rsidR="00794E6A" w:rsidRPr="00B3149D" w14:paraId="7F58AC3A" w14:textId="77777777" w:rsidTr="00556F41">
        <w:tc>
          <w:tcPr>
            <w:tcW w:w="1944" w:type="dxa"/>
            <w:tcMar>
              <w:top w:w="60" w:type="dxa"/>
              <w:left w:w="70" w:type="dxa"/>
              <w:bottom w:w="60" w:type="dxa"/>
              <w:right w:w="70" w:type="dxa"/>
            </w:tcMar>
          </w:tcPr>
          <w:p w14:paraId="02D904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Humans vs. large language models (2024)</w:t>
            </w:r>
          </w:p>
        </w:tc>
        <w:tc>
          <w:tcPr>
            <w:tcW w:w="1440" w:type="dxa"/>
            <w:tcMar>
              <w:top w:w="60" w:type="dxa"/>
              <w:left w:w="70" w:type="dxa"/>
              <w:bottom w:w="60" w:type="dxa"/>
              <w:right w:w="70" w:type="dxa"/>
            </w:tcMar>
          </w:tcPr>
          <w:p w14:paraId="5A95F8B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4672FBA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Judgmental forecasting study</w:t>
            </w:r>
          </w:p>
        </w:tc>
        <w:tc>
          <w:tcPr>
            <w:tcW w:w="2592" w:type="dxa"/>
            <w:tcMar>
              <w:top w:w="60" w:type="dxa"/>
              <w:left w:w="70" w:type="dxa"/>
              <w:bottom w:w="60" w:type="dxa"/>
              <w:right w:w="70" w:type="dxa"/>
            </w:tcMar>
          </w:tcPr>
          <w:p w14:paraId="442CA2C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Humans versus advanced AI - Shows that the human–AI relationship is evolving with generative models.</w:t>
            </w:r>
          </w:p>
        </w:tc>
        <w:tc>
          <w:tcPr>
            <w:tcW w:w="1512" w:type="dxa"/>
            <w:tcMar>
              <w:top w:w="60" w:type="dxa"/>
              <w:left w:w="70" w:type="dxa"/>
              <w:bottom w:w="60" w:type="dxa"/>
              <w:right w:w="70" w:type="dxa"/>
            </w:tcMar>
          </w:tcPr>
          <w:p w14:paraId="7F6DDB8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Experimental/empirical</w:t>
            </w:r>
          </w:p>
        </w:tc>
        <w:tc>
          <w:tcPr>
            <w:tcW w:w="3024" w:type="dxa"/>
            <w:tcMar>
              <w:top w:w="60" w:type="dxa"/>
              <w:left w:w="70" w:type="dxa"/>
              <w:bottom w:w="60" w:type="dxa"/>
              <w:right w:w="70" w:type="dxa"/>
            </w:tcMar>
          </w:tcPr>
          <w:p w14:paraId="348C849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Compares human and advanced AI judgement in forecasting tasks.</w:t>
            </w:r>
          </w:p>
        </w:tc>
        <w:tc>
          <w:tcPr>
            <w:tcW w:w="2304" w:type="dxa"/>
            <w:tcMar>
              <w:top w:w="60" w:type="dxa"/>
              <w:left w:w="70" w:type="dxa"/>
              <w:bottom w:w="60" w:type="dxa"/>
              <w:right w:w="70" w:type="dxa"/>
            </w:tcMar>
          </w:tcPr>
          <w:p w14:paraId="0DC7831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New and important, though field applicability is still developing.</w:t>
            </w:r>
          </w:p>
        </w:tc>
        <w:tc>
          <w:tcPr>
            <w:tcW w:w="1584" w:type="dxa"/>
            <w:tcMar>
              <w:top w:w="60" w:type="dxa"/>
              <w:left w:w="70" w:type="dxa"/>
              <w:bottom w:w="60" w:type="dxa"/>
              <w:right w:w="70" w:type="dxa"/>
            </w:tcMar>
          </w:tcPr>
          <w:p w14:paraId="39FC512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Relevant to the latest decision-support debates.</w:t>
            </w:r>
          </w:p>
        </w:tc>
        <w:tc>
          <w:tcPr>
            <w:tcW w:w="3024" w:type="dxa"/>
            <w:tcMar>
              <w:top w:w="60" w:type="dxa"/>
              <w:left w:w="70" w:type="dxa"/>
              <w:bottom w:w="60" w:type="dxa"/>
              <w:right w:w="70" w:type="dxa"/>
            </w:tcMar>
          </w:tcPr>
          <w:p w14:paraId="1FC262E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Compares human and advanced AI judgement in forecasting tasks. Shows that the human–AI relationship is evolving with generative models.</w:t>
            </w:r>
          </w:p>
        </w:tc>
      </w:tr>
      <w:tr w:rsidR="00794E6A" w:rsidRPr="00B3149D" w14:paraId="6EF50457" w14:textId="77777777" w:rsidTr="00556F41">
        <w:tc>
          <w:tcPr>
            <w:tcW w:w="1944" w:type="dxa"/>
            <w:tcMar>
              <w:top w:w="60" w:type="dxa"/>
              <w:left w:w="70" w:type="dxa"/>
              <w:bottom w:w="60" w:type="dxa"/>
              <w:right w:w="70" w:type="dxa"/>
            </w:tcMar>
          </w:tcPr>
          <w:p w14:paraId="07D4206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Forecast value added in demand planning (2024)</w:t>
            </w:r>
          </w:p>
        </w:tc>
        <w:tc>
          <w:tcPr>
            <w:tcW w:w="1440" w:type="dxa"/>
            <w:tcMar>
              <w:top w:w="60" w:type="dxa"/>
              <w:left w:w="70" w:type="dxa"/>
              <w:bottom w:w="60" w:type="dxa"/>
              <w:right w:w="70" w:type="dxa"/>
            </w:tcMar>
          </w:tcPr>
          <w:p w14:paraId="6FEB3E6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2EC6818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Demand-planning study</w:t>
            </w:r>
          </w:p>
        </w:tc>
        <w:tc>
          <w:tcPr>
            <w:tcW w:w="2592" w:type="dxa"/>
            <w:tcMar>
              <w:top w:w="60" w:type="dxa"/>
              <w:left w:w="70" w:type="dxa"/>
              <w:bottom w:w="60" w:type="dxa"/>
              <w:right w:w="70" w:type="dxa"/>
            </w:tcMar>
          </w:tcPr>
          <w:p w14:paraId="1063552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Forecast value added - Very relevant because it questions the value of human overrides.</w:t>
            </w:r>
          </w:p>
        </w:tc>
        <w:tc>
          <w:tcPr>
            <w:tcW w:w="1512" w:type="dxa"/>
            <w:tcMar>
              <w:top w:w="60" w:type="dxa"/>
              <w:left w:w="70" w:type="dxa"/>
              <w:bottom w:w="60" w:type="dxa"/>
              <w:right w:w="70" w:type="dxa"/>
            </w:tcMar>
          </w:tcPr>
          <w:p w14:paraId="4DC5CB5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w:t>
            </w:r>
          </w:p>
        </w:tc>
        <w:tc>
          <w:tcPr>
            <w:tcW w:w="3024" w:type="dxa"/>
            <w:tcMar>
              <w:top w:w="60" w:type="dxa"/>
              <w:left w:w="70" w:type="dxa"/>
              <w:bottom w:w="60" w:type="dxa"/>
              <w:right w:w="70" w:type="dxa"/>
            </w:tcMar>
          </w:tcPr>
          <w:p w14:paraId="3815FE0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interventions in the forecasting process do not automatically improve outcomes.</w:t>
            </w:r>
          </w:p>
        </w:tc>
        <w:tc>
          <w:tcPr>
            <w:tcW w:w="2304" w:type="dxa"/>
            <w:tcMar>
              <w:top w:w="60" w:type="dxa"/>
              <w:left w:w="70" w:type="dxa"/>
              <w:bottom w:w="60" w:type="dxa"/>
              <w:right w:w="70" w:type="dxa"/>
            </w:tcMar>
          </w:tcPr>
          <w:p w14:paraId="3EC01CD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Strong topical fit, though specific implementation details matter.</w:t>
            </w:r>
          </w:p>
        </w:tc>
        <w:tc>
          <w:tcPr>
            <w:tcW w:w="1584" w:type="dxa"/>
            <w:tcMar>
              <w:top w:w="60" w:type="dxa"/>
              <w:left w:w="70" w:type="dxa"/>
              <w:bottom w:w="60" w:type="dxa"/>
              <w:right w:w="70" w:type="dxa"/>
            </w:tcMar>
          </w:tcPr>
          <w:p w14:paraId="6B1EBE4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critical analysis of decision process quality.</w:t>
            </w:r>
          </w:p>
        </w:tc>
        <w:tc>
          <w:tcPr>
            <w:tcW w:w="3024" w:type="dxa"/>
            <w:tcMar>
              <w:top w:w="60" w:type="dxa"/>
              <w:left w:w="70" w:type="dxa"/>
              <w:bottom w:w="60" w:type="dxa"/>
              <w:right w:w="70" w:type="dxa"/>
            </w:tcMar>
          </w:tcPr>
          <w:p w14:paraId="15761AF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interventions in the forecasting process do not automatically improve outcomes. Very relevant because it questions the value of human overrides.</w:t>
            </w:r>
          </w:p>
        </w:tc>
      </w:tr>
      <w:tr w:rsidR="00794E6A" w:rsidRPr="00B3149D" w14:paraId="4D1DA45B" w14:textId="77777777" w:rsidTr="00556F41">
        <w:tc>
          <w:tcPr>
            <w:tcW w:w="1944" w:type="dxa"/>
            <w:tcMar>
              <w:top w:w="60" w:type="dxa"/>
              <w:left w:w="70" w:type="dxa"/>
              <w:bottom w:w="60" w:type="dxa"/>
              <w:right w:w="70" w:type="dxa"/>
            </w:tcMar>
          </w:tcPr>
          <w:p w14:paraId="48B4678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Introduction to the Special Issue on the Human-Algorithm Connection (2023)</w:t>
            </w:r>
          </w:p>
        </w:tc>
        <w:tc>
          <w:tcPr>
            <w:tcW w:w="1440" w:type="dxa"/>
            <w:tcMar>
              <w:top w:w="60" w:type="dxa"/>
              <w:left w:w="70" w:type="dxa"/>
              <w:bottom w:w="60" w:type="dxa"/>
              <w:right w:w="70" w:type="dxa"/>
            </w:tcMar>
          </w:tcPr>
          <w:p w14:paraId="4BF586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review</w:t>
            </w:r>
          </w:p>
        </w:tc>
        <w:tc>
          <w:tcPr>
            <w:tcW w:w="1728" w:type="dxa"/>
            <w:tcMar>
              <w:top w:w="60" w:type="dxa"/>
              <w:left w:w="70" w:type="dxa"/>
              <w:bottom w:w="60" w:type="dxa"/>
              <w:right w:w="70" w:type="dxa"/>
            </w:tcMar>
          </w:tcPr>
          <w:p w14:paraId="25330D9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Special issue introduction</w:t>
            </w:r>
          </w:p>
        </w:tc>
        <w:tc>
          <w:tcPr>
            <w:tcW w:w="2592" w:type="dxa"/>
            <w:tcMar>
              <w:top w:w="60" w:type="dxa"/>
              <w:left w:w="70" w:type="dxa"/>
              <w:bottom w:w="60" w:type="dxa"/>
              <w:right w:w="70" w:type="dxa"/>
            </w:tcMar>
          </w:tcPr>
          <w:p w14:paraId="329E303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Human–algorithm interaction - Useful for connecting forecasting to broader human-algorithm literature.</w:t>
            </w:r>
          </w:p>
        </w:tc>
        <w:tc>
          <w:tcPr>
            <w:tcW w:w="1512" w:type="dxa"/>
            <w:tcMar>
              <w:top w:w="60" w:type="dxa"/>
              <w:left w:w="70" w:type="dxa"/>
              <w:bottom w:w="60" w:type="dxa"/>
              <w:right w:w="70" w:type="dxa"/>
            </w:tcMar>
          </w:tcPr>
          <w:p w14:paraId="79AC118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Conceptual/review</w:t>
            </w:r>
          </w:p>
        </w:tc>
        <w:tc>
          <w:tcPr>
            <w:tcW w:w="3024" w:type="dxa"/>
            <w:tcMar>
              <w:top w:w="60" w:type="dxa"/>
              <w:left w:w="70" w:type="dxa"/>
              <w:bottom w:w="60" w:type="dxa"/>
              <w:right w:w="70" w:type="dxa"/>
            </w:tcMar>
          </w:tcPr>
          <w:p w14:paraId="5928812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Frames human–algorithm interaction as a managerial and organisational </w:t>
            </w:r>
            <w:r w:rsidRPr="00B3149D">
              <w:rPr>
                <w:rFonts w:ascii="Arial" w:hAnsi="Arial" w:cs="Arial"/>
                <w:sz w:val="20"/>
                <w:szCs w:val="20"/>
              </w:rPr>
              <w:lastRenderedPageBreak/>
              <w:t>challenge rather than a technical side issue.</w:t>
            </w:r>
          </w:p>
        </w:tc>
        <w:tc>
          <w:tcPr>
            <w:tcW w:w="2304" w:type="dxa"/>
            <w:tcMar>
              <w:top w:w="60" w:type="dxa"/>
              <w:left w:w="70" w:type="dxa"/>
              <w:bottom w:w="60" w:type="dxa"/>
              <w:right w:w="70" w:type="dxa"/>
            </w:tcMar>
          </w:tcPr>
          <w:p w14:paraId="01F0197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Broad rather than retail-specific.</w:t>
            </w:r>
          </w:p>
        </w:tc>
        <w:tc>
          <w:tcPr>
            <w:tcW w:w="1584" w:type="dxa"/>
            <w:tcMar>
              <w:top w:w="60" w:type="dxa"/>
              <w:left w:w="70" w:type="dxa"/>
              <w:bottom w:w="60" w:type="dxa"/>
              <w:right w:w="70" w:type="dxa"/>
            </w:tcMar>
          </w:tcPr>
          <w:p w14:paraId="730E226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Strengthens the contradiction theme.</w:t>
            </w:r>
          </w:p>
        </w:tc>
        <w:tc>
          <w:tcPr>
            <w:tcW w:w="3024" w:type="dxa"/>
            <w:tcMar>
              <w:top w:w="60" w:type="dxa"/>
              <w:left w:w="70" w:type="dxa"/>
              <w:bottom w:w="60" w:type="dxa"/>
              <w:right w:w="70" w:type="dxa"/>
            </w:tcMar>
          </w:tcPr>
          <w:p w14:paraId="004AB56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Frames human–algorithm interaction as a managerial and organisational challen</w:t>
            </w:r>
            <w:r w:rsidRPr="00B3149D">
              <w:rPr>
                <w:rFonts w:ascii="Arial" w:hAnsi="Arial" w:cs="Arial"/>
                <w:sz w:val="20"/>
                <w:szCs w:val="20"/>
              </w:rPr>
              <w:lastRenderedPageBreak/>
              <w:t>ge rather than a technical side issue. Useful for connecting forecasting to broader human-algorithm literature.</w:t>
            </w:r>
          </w:p>
        </w:tc>
      </w:tr>
      <w:tr w:rsidR="00794E6A" w:rsidRPr="00B3149D" w14:paraId="4BC5A6BD" w14:textId="77777777" w:rsidTr="00556F41">
        <w:tc>
          <w:tcPr>
            <w:tcW w:w="1944" w:type="dxa"/>
            <w:tcMar>
              <w:top w:w="60" w:type="dxa"/>
              <w:left w:w="70" w:type="dxa"/>
              <w:bottom w:w="60" w:type="dxa"/>
              <w:right w:w="70" w:type="dxa"/>
            </w:tcMar>
          </w:tcPr>
          <w:p w14:paraId="0537078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Bansal et al. (2021)</w:t>
            </w:r>
          </w:p>
        </w:tc>
        <w:tc>
          <w:tcPr>
            <w:tcW w:w="1440" w:type="dxa"/>
            <w:tcMar>
              <w:top w:w="60" w:type="dxa"/>
              <w:left w:w="70" w:type="dxa"/>
              <w:bottom w:w="60" w:type="dxa"/>
              <w:right w:w="70" w:type="dxa"/>
            </w:tcMar>
          </w:tcPr>
          <w:p w14:paraId="2B28D7C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58EAD24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Human-AI complementarity study</w:t>
            </w:r>
          </w:p>
        </w:tc>
        <w:tc>
          <w:tcPr>
            <w:tcW w:w="2592" w:type="dxa"/>
            <w:tcMar>
              <w:top w:w="60" w:type="dxa"/>
              <w:left w:w="70" w:type="dxa"/>
              <w:bottom w:w="60" w:type="dxa"/>
              <w:right w:w="70" w:type="dxa"/>
            </w:tcMar>
          </w:tcPr>
          <w:p w14:paraId="439281C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Decision support and trust - Useful for identifying moderators of adoption.</w:t>
            </w:r>
          </w:p>
        </w:tc>
        <w:tc>
          <w:tcPr>
            <w:tcW w:w="1512" w:type="dxa"/>
            <w:tcMar>
              <w:top w:w="60" w:type="dxa"/>
              <w:left w:w="70" w:type="dxa"/>
              <w:bottom w:w="60" w:type="dxa"/>
              <w:right w:w="70" w:type="dxa"/>
            </w:tcMar>
          </w:tcPr>
          <w:p w14:paraId="6688A24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Experimental/empirical</w:t>
            </w:r>
          </w:p>
        </w:tc>
        <w:tc>
          <w:tcPr>
            <w:tcW w:w="3024" w:type="dxa"/>
            <w:tcMar>
              <w:top w:w="60" w:type="dxa"/>
              <w:left w:w="70" w:type="dxa"/>
              <w:bottom w:w="60" w:type="dxa"/>
              <w:right w:w="70" w:type="dxa"/>
            </w:tcMar>
          </w:tcPr>
          <w:p w14:paraId="22C65D7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Explores when humans benefit from and trust AI-supported decisions.</w:t>
            </w:r>
          </w:p>
        </w:tc>
        <w:tc>
          <w:tcPr>
            <w:tcW w:w="2304" w:type="dxa"/>
            <w:tcMar>
              <w:top w:w="60" w:type="dxa"/>
              <w:left w:w="70" w:type="dxa"/>
              <w:bottom w:w="60" w:type="dxa"/>
              <w:right w:w="70" w:type="dxa"/>
            </w:tcMar>
          </w:tcPr>
          <w:p w14:paraId="2EFCE97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retail-specific, but relevant to planner interaction.</w:t>
            </w:r>
          </w:p>
        </w:tc>
        <w:tc>
          <w:tcPr>
            <w:tcW w:w="1584" w:type="dxa"/>
            <w:tcMar>
              <w:top w:w="60" w:type="dxa"/>
              <w:left w:w="70" w:type="dxa"/>
              <w:bottom w:w="60" w:type="dxa"/>
              <w:right w:w="70" w:type="dxa"/>
            </w:tcMar>
          </w:tcPr>
          <w:p w14:paraId="3794388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adoption lens.</w:t>
            </w:r>
          </w:p>
        </w:tc>
        <w:tc>
          <w:tcPr>
            <w:tcW w:w="3024" w:type="dxa"/>
            <w:tcMar>
              <w:top w:w="60" w:type="dxa"/>
              <w:left w:w="70" w:type="dxa"/>
              <w:bottom w:w="60" w:type="dxa"/>
              <w:right w:w="70" w:type="dxa"/>
            </w:tcMar>
          </w:tcPr>
          <w:p w14:paraId="4C49F1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Explores when humans benefit from and trust AI-supported decisions. Useful for identifying moderators of adoption.</w:t>
            </w:r>
          </w:p>
        </w:tc>
      </w:tr>
      <w:tr w:rsidR="00794E6A" w:rsidRPr="00B3149D" w14:paraId="5F5E2FD2" w14:textId="77777777" w:rsidTr="00556F41">
        <w:tc>
          <w:tcPr>
            <w:tcW w:w="1944" w:type="dxa"/>
            <w:tcMar>
              <w:top w:w="60" w:type="dxa"/>
              <w:left w:w="70" w:type="dxa"/>
              <w:bottom w:w="60" w:type="dxa"/>
              <w:right w:w="70" w:type="dxa"/>
            </w:tcMar>
          </w:tcPr>
          <w:p w14:paraId="789A70AE"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Kuncel</w:t>
            </w:r>
            <w:proofErr w:type="spellEnd"/>
            <w:r w:rsidRPr="00B3149D">
              <w:rPr>
                <w:rFonts w:ascii="Arial" w:hAnsi="Arial" w:cs="Arial"/>
                <w:sz w:val="20"/>
                <w:szCs w:val="20"/>
              </w:rPr>
              <w:t xml:space="preserve"> et al. (2013)</w:t>
            </w:r>
          </w:p>
        </w:tc>
        <w:tc>
          <w:tcPr>
            <w:tcW w:w="1440" w:type="dxa"/>
            <w:tcMar>
              <w:top w:w="60" w:type="dxa"/>
              <w:left w:w="70" w:type="dxa"/>
              <w:bottom w:w="60" w:type="dxa"/>
              <w:right w:w="70" w:type="dxa"/>
            </w:tcMar>
          </w:tcPr>
          <w:p w14:paraId="57E1C31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Behavioural review</w:t>
            </w:r>
          </w:p>
        </w:tc>
        <w:tc>
          <w:tcPr>
            <w:tcW w:w="1728" w:type="dxa"/>
            <w:tcMar>
              <w:top w:w="60" w:type="dxa"/>
              <w:left w:w="70" w:type="dxa"/>
              <w:bottom w:w="60" w:type="dxa"/>
              <w:right w:w="70" w:type="dxa"/>
            </w:tcMar>
          </w:tcPr>
          <w:p w14:paraId="0B070BC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Judgement review</w:t>
            </w:r>
          </w:p>
        </w:tc>
        <w:tc>
          <w:tcPr>
            <w:tcW w:w="2592" w:type="dxa"/>
            <w:tcMar>
              <w:top w:w="60" w:type="dxa"/>
              <w:left w:w="70" w:type="dxa"/>
              <w:bottom w:w="60" w:type="dxa"/>
              <w:right w:w="70" w:type="dxa"/>
            </w:tcMar>
          </w:tcPr>
          <w:p w14:paraId="285B756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Mechanical versus clinical judgement - Provides a long-run behavioural backdrop to current AI debates.</w:t>
            </w:r>
          </w:p>
        </w:tc>
        <w:tc>
          <w:tcPr>
            <w:tcW w:w="1512" w:type="dxa"/>
            <w:tcMar>
              <w:top w:w="60" w:type="dxa"/>
              <w:left w:w="70" w:type="dxa"/>
              <w:bottom w:w="60" w:type="dxa"/>
              <w:right w:w="70" w:type="dxa"/>
            </w:tcMar>
          </w:tcPr>
          <w:p w14:paraId="57B405C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3024" w:type="dxa"/>
            <w:tcMar>
              <w:top w:w="60" w:type="dxa"/>
              <w:left w:w="70" w:type="dxa"/>
              <w:bottom w:w="60" w:type="dxa"/>
              <w:right w:w="70" w:type="dxa"/>
            </w:tcMar>
          </w:tcPr>
          <w:p w14:paraId="304D70F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structured models often outperform unaided human judgement.</w:t>
            </w:r>
          </w:p>
        </w:tc>
        <w:tc>
          <w:tcPr>
            <w:tcW w:w="2304" w:type="dxa"/>
            <w:tcMar>
              <w:top w:w="60" w:type="dxa"/>
              <w:left w:w="70" w:type="dxa"/>
              <w:bottom w:w="60" w:type="dxa"/>
              <w:right w:w="70" w:type="dxa"/>
            </w:tcMar>
          </w:tcPr>
          <w:p w14:paraId="25F381E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AI-specific, but conceptually relevant to algorithmic decision-making.</w:t>
            </w:r>
          </w:p>
        </w:tc>
        <w:tc>
          <w:tcPr>
            <w:tcW w:w="1584" w:type="dxa"/>
            <w:tcMar>
              <w:top w:w="60" w:type="dxa"/>
              <w:left w:w="70" w:type="dxa"/>
              <w:bottom w:w="60" w:type="dxa"/>
              <w:right w:w="70" w:type="dxa"/>
            </w:tcMar>
          </w:tcPr>
          <w:p w14:paraId="09CA7FE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critique of intuition-heavy planning.</w:t>
            </w:r>
          </w:p>
        </w:tc>
        <w:tc>
          <w:tcPr>
            <w:tcW w:w="3024" w:type="dxa"/>
            <w:tcMar>
              <w:top w:w="60" w:type="dxa"/>
              <w:left w:w="70" w:type="dxa"/>
              <w:bottom w:w="60" w:type="dxa"/>
              <w:right w:w="70" w:type="dxa"/>
            </w:tcMar>
          </w:tcPr>
          <w:p w14:paraId="3898F79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structured models often outperform unaided human judgement. Provides a long-run behavioural backdrop to current AI debates.</w:t>
            </w:r>
          </w:p>
        </w:tc>
      </w:tr>
      <w:tr w:rsidR="00794E6A" w:rsidRPr="00B3149D" w14:paraId="4C542261" w14:textId="77777777" w:rsidTr="00556F41">
        <w:tc>
          <w:tcPr>
            <w:tcW w:w="1944" w:type="dxa"/>
            <w:tcMar>
              <w:top w:w="60" w:type="dxa"/>
              <w:left w:w="70" w:type="dxa"/>
              <w:bottom w:w="60" w:type="dxa"/>
              <w:right w:w="70" w:type="dxa"/>
            </w:tcMar>
          </w:tcPr>
          <w:p w14:paraId="3B5D6355"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Meehl</w:t>
            </w:r>
            <w:proofErr w:type="spellEnd"/>
            <w:r w:rsidRPr="00B3149D">
              <w:rPr>
                <w:rFonts w:ascii="Arial" w:hAnsi="Arial" w:cs="Arial"/>
                <w:sz w:val="20"/>
                <w:szCs w:val="20"/>
              </w:rPr>
              <w:t xml:space="preserve"> (1954)</w:t>
            </w:r>
          </w:p>
        </w:tc>
        <w:tc>
          <w:tcPr>
            <w:tcW w:w="1440" w:type="dxa"/>
            <w:tcMar>
              <w:top w:w="60" w:type="dxa"/>
              <w:left w:w="70" w:type="dxa"/>
              <w:bottom w:w="60" w:type="dxa"/>
              <w:right w:w="70" w:type="dxa"/>
            </w:tcMar>
          </w:tcPr>
          <w:p w14:paraId="08B877C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Foundational behavioural text</w:t>
            </w:r>
          </w:p>
        </w:tc>
        <w:tc>
          <w:tcPr>
            <w:tcW w:w="1728" w:type="dxa"/>
            <w:tcMar>
              <w:top w:w="60" w:type="dxa"/>
              <w:left w:w="70" w:type="dxa"/>
              <w:bottom w:w="60" w:type="dxa"/>
              <w:right w:w="70" w:type="dxa"/>
            </w:tcMar>
          </w:tcPr>
          <w:p w14:paraId="27D7636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Comparative judgement review</w:t>
            </w:r>
          </w:p>
        </w:tc>
        <w:tc>
          <w:tcPr>
            <w:tcW w:w="2592" w:type="dxa"/>
            <w:tcMar>
              <w:top w:w="60" w:type="dxa"/>
              <w:left w:w="70" w:type="dxa"/>
              <w:bottom w:w="60" w:type="dxa"/>
              <w:right w:w="70" w:type="dxa"/>
            </w:tcMar>
          </w:tcPr>
          <w:p w14:paraId="0D0D786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Clinical versus statistical prediction - Seminal for understanding current algorithm debates.</w:t>
            </w:r>
          </w:p>
        </w:tc>
        <w:tc>
          <w:tcPr>
            <w:tcW w:w="1512" w:type="dxa"/>
            <w:tcMar>
              <w:top w:w="60" w:type="dxa"/>
              <w:left w:w="70" w:type="dxa"/>
              <w:bottom w:w="60" w:type="dxa"/>
              <w:right w:w="70" w:type="dxa"/>
            </w:tcMar>
          </w:tcPr>
          <w:p w14:paraId="58CFF4C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Book</w:t>
            </w:r>
          </w:p>
        </w:tc>
        <w:tc>
          <w:tcPr>
            <w:tcW w:w="3024" w:type="dxa"/>
            <w:tcMar>
              <w:top w:w="60" w:type="dxa"/>
              <w:left w:w="70" w:type="dxa"/>
              <w:bottom w:w="60" w:type="dxa"/>
              <w:right w:w="70" w:type="dxa"/>
            </w:tcMar>
          </w:tcPr>
          <w:p w14:paraId="3CEE8AC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Classic argument that statistical prediction often beats subjective judgement.</w:t>
            </w:r>
          </w:p>
        </w:tc>
        <w:tc>
          <w:tcPr>
            <w:tcW w:w="2304" w:type="dxa"/>
            <w:tcMar>
              <w:top w:w="60" w:type="dxa"/>
              <w:left w:w="70" w:type="dxa"/>
              <w:bottom w:w="60" w:type="dxa"/>
              <w:right w:w="70" w:type="dxa"/>
            </w:tcMar>
          </w:tcPr>
          <w:p w14:paraId="264FB4C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Very old, but still theoretically important.</w:t>
            </w:r>
          </w:p>
        </w:tc>
        <w:tc>
          <w:tcPr>
            <w:tcW w:w="1584" w:type="dxa"/>
            <w:tcMar>
              <w:top w:w="60" w:type="dxa"/>
              <w:left w:w="70" w:type="dxa"/>
              <w:bottom w:w="60" w:type="dxa"/>
              <w:right w:w="70" w:type="dxa"/>
            </w:tcMar>
          </w:tcPr>
          <w:p w14:paraId="5AD671F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Useful as a seminal anchor.</w:t>
            </w:r>
          </w:p>
        </w:tc>
        <w:tc>
          <w:tcPr>
            <w:tcW w:w="3024" w:type="dxa"/>
            <w:tcMar>
              <w:top w:w="60" w:type="dxa"/>
              <w:left w:w="70" w:type="dxa"/>
              <w:bottom w:w="60" w:type="dxa"/>
              <w:right w:w="70" w:type="dxa"/>
            </w:tcMar>
          </w:tcPr>
          <w:p w14:paraId="6FDEAB0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Classic argument that statistical prediction often beats subjective judgement. Semina</w:t>
            </w:r>
            <w:r w:rsidRPr="00B3149D">
              <w:rPr>
                <w:rFonts w:ascii="Arial" w:hAnsi="Arial" w:cs="Arial"/>
                <w:sz w:val="20"/>
                <w:szCs w:val="20"/>
              </w:rPr>
              <w:lastRenderedPageBreak/>
              <w:t>l for understanding current algorithm debates.</w:t>
            </w:r>
          </w:p>
        </w:tc>
      </w:tr>
      <w:tr w:rsidR="00794E6A" w:rsidRPr="00B3149D" w14:paraId="31D16C84" w14:textId="77777777" w:rsidTr="00556F41">
        <w:tc>
          <w:tcPr>
            <w:tcW w:w="1944" w:type="dxa"/>
            <w:tcMar>
              <w:top w:w="60" w:type="dxa"/>
              <w:left w:w="70" w:type="dxa"/>
              <w:bottom w:w="60" w:type="dxa"/>
              <w:right w:w="70" w:type="dxa"/>
            </w:tcMar>
          </w:tcPr>
          <w:p w14:paraId="52B7C06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Cummings (2004)</w:t>
            </w:r>
          </w:p>
        </w:tc>
        <w:tc>
          <w:tcPr>
            <w:tcW w:w="1440" w:type="dxa"/>
            <w:tcMar>
              <w:top w:w="60" w:type="dxa"/>
              <w:left w:w="70" w:type="dxa"/>
              <w:bottom w:w="60" w:type="dxa"/>
              <w:right w:w="70" w:type="dxa"/>
            </w:tcMar>
          </w:tcPr>
          <w:p w14:paraId="6E5BF43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Behavioural/conceptual</w:t>
            </w:r>
          </w:p>
        </w:tc>
        <w:tc>
          <w:tcPr>
            <w:tcW w:w="1728" w:type="dxa"/>
            <w:tcMar>
              <w:top w:w="60" w:type="dxa"/>
              <w:left w:w="70" w:type="dxa"/>
              <w:bottom w:w="60" w:type="dxa"/>
              <w:right w:w="70" w:type="dxa"/>
            </w:tcMar>
          </w:tcPr>
          <w:p w14:paraId="58B5F8C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Automation study</w:t>
            </w:r>
          </w:p>
        </w:tc>
        <w:tc>
          <w:tcPr>
            <w:tcW w:w="2592" w:type="dxa"/>
            <w:tcMar>
              <w:top w:w="60" w:type="dxa"/>
              <w:left w:w="70" w:type="dxa"/>
              <w:bottom w:w="60" w:type="dxa"/>
              <w:right w:w="70" w:type="dxa"/>
            </w:tcMar>
          </w:tcPr>
          <w:p w14:paraId="581555F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Automation bias - Useful because human–AI problems include both aversion and blind acceptance.</w:t>
            </w:r>
          </w:p>
        </w:tc>
        <w:tc>
          <w:tcPr>
            <w:tcW w:w="1512" w:type="dxa"/>
            <w:tcMar>
              <w:top w:w="60" w:type="dxa"/>
              <w:left w:w="70" w:type="dxa"/>
              <w:bottom w:w="60" w:type="dxa"/>
              <w:right w:w="70" w:type="dxa"/>
            </w:tcMar>
          </w:tcPr>
          <w:p w14:paraId="45909C2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Conceptual/review</w:t>
            </w:r>
          </w:p>
        </w:tc>
        <w:tc>
          <w:tcPr>
            <w:tcW w:w="3024" w:type="dxa"/>
            <w:tcMar>
              <w:top w:w="60" w:type="dxa"/>
              <w:left w:w="70" w:type="dxa"/>
              <w:bottom w:w="60" w:type="dxa"/>
              <w:right w:w="70" w:type="dxa"/>
            </w:tcMar>
          </w:tcPr>
          <w:p w14:paraId="57C29A4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automation can create over-reliance as well as resistance.</w:t>
            </w:r>
          </w:p>
        </w:tc>
        <w:tc>
          <w:tcPr>
            <w:tcW w:w="2304" w:type="dxa"/>
            <w:tcMar>
              <w:top w:w="60" w:type="dxa"/>
              <w:left w:w="70" w:type="dxa"/>
              <w:bottom w:w="60" w:type="dxa"/>
              <w:right w:w="70" w:type="dxa"/>
            </w:tcMar>
          </w:tcPr>
          <w:p w14:paraId="5FA6163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forecasting-specific, but highly transferable.</w:t>
            </w:r>
          </w:p>
        </w:tc>
        <w:tc>
          <w:tcPr>
            <w:tcW w:w="1584" w:type="dxa"/>
            <w:tcMar>
              <w:top w:w="60" w:type="dxa"/>
              <w:left w:w="70" w:type="dxa"/>
              <w:bottom w:w="60" w:type="dxa"/>
              <w:right w:w="70" w:type="dxa"/>
            </w:tcMar>
          </w:tcPr>
          <w:p w14:paraId="01AE6C0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balanced critique of automation.</w:t>
            </w:r>
          </w:p>
        </w:tc>
        <w:tc>
          <w:tcPr>
            <w:tcW w:w="3024" w:type="dxa"/>
            <w:tcMar>
              <w:top w:w="60" w:type="dxa"/>
              <w:left w:w="70" w:type="dxa"/>
              <w:bottom w:w="60" w:type="dxa"/>
              <w:right w:w="70" w:type="dxa"/>
            </w:tcMar>
          </w:tcPr>
          <w:p w14:paraId="1B73500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automation can create over-reliance as well as resistance. Useful because human–AI problems include both aversion and blind acceptance.</w:t>
            </w:r>
          </w:p>
        </w:tc>
      </w:tr>
      <w:tr w:rsidR="00794E6A" w:rsidRPr="00B3149D" w14:paraId="3056D9AF" w14:textId="77777777" w:rsidTr="00556F41">
        <w:tc>
          <w:tcPr>
            <w:tcW w:w="1944" w:type="dxa"/>
            <w:tcMar>
              <w:top w:w="60" w:type="dxa"/>
              <w:left w:w="70" w:type="dxa"/>
              <w:bottom w:w="60" w:type="dxa"/>
              <w:right w:w="70" w:type="dxa"/>
            </w:tcMar>
          </w:tcPr>
          <w:p w14:paraId="4A3CE43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Parasuraman and Riley (1997)</w:t>
            </w:r>
          </w:p>
        </w:tc>
        <w:tc>
          <w:tcPr>
            <w:tcW w:w="1440" w:type="dxa"/>
            <w:tcMar>
              <w:top w:w="60" w:type="dxa"/>
              <w:left w:w="70" w:type="dxa"/>
              <w:bottom w:w="60" w:type="dxa"/>
              <w:right w:w="70" w:type="dxa"/>
            </w:tcMar>
          </w:tcPr>
          <w:p w14:paraId="1D0CBB4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Behavioural review</w:t>
            </w:r>
          </w:p>
        </w:tc>
        <w:tc>
          <w:tcPr>
            <w:tcW w:w="1728" w:type="dxa"/>
            <w:tcMar>
              <w:top w:w="60" w:type="dxa"/>
              <w:left w:w="70" w:type="dxa"/>
              <w:bottom w:w="60" w:type="dxa"/>
              <w:right w:w="70" w:type="dxa"/>
            </w:tcMar>
          </w:tcPr>
          <w:p w14:paraId="0C7A22D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Automation study</w:t>
            </w:r>
          </w:p>
        </w:tc>
        <w:tc>
          <w:tcPr>
            <w:tcW w:w="2592" w:type="dxa"/>
            <w:tcMar>
              <w:top w:w="60" w:type="dxa"/>
              <w:left w:w="70" w:type="dxa"/>
              <w:bottom w:w="60" w:type="dxa"/>
              <w:right w:w="70" w:type="dxa"/>
            </w:tcMar>
          </w:tcPr>
          <w:p w14:paraId="44981A0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Humans and automation - Strong theoretical precursor </w:t>
            </w:r>
            <w:r w:rsidRPr="00B3149D">
              <w:rPr>
                <w:rFonts w:ascii="Arial" w:hAnsi="Arial" w:cs="Arial"/>
                <w:sz w:val="20"/>
                <w:szCs w:val="20"/>
              </w:rPr>
              <w:lastRenderedPageBreak/>
              <w:t>to algorithm-adoption issues.</w:t>
            </w:r>
          </w:p>
        </w:tc>
        <w:tc>
          <w:tcPr>
            <w:tcW w:w="1512" w:type="dxa"/>
            <w:tcMar>
              <w:top w:w="60" w:type="dxa"/>
              <w:left w:w="70" w:type="dxa"/>
              <w:bottom w:w="60" w:type="dxa"/>
              <w:right w:w="70" w:type="dxa"/>
            </w:tcMar>
          </w:tcPr>
          <w:p w14:paraId="1A2A682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 article</w:t>
            </w:r>
          </w:p>
        </w:tc>
        <w:tc>
          <w:tcPr>
            <w:tcW w:w="3024" w:type="dxa"/>
            <w:tcMar>
              <w:top w:w="60" w:type="dxa"/>
              <w:left w:w="70" w:type="dxa"/>
              <w:bottom w:w="60" w:type="dxa"/>
              <w:right w:w="70" w:type="dxa"/>
            </w:tcMar>
          </w:tcPr>
          <w:p w14:paraId="67EAD7E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Explains misuse, disuse and abuse </w:t>
            </w:r>
            <w:r w:rsidRPr="00B3149D">
              <w:rPr>
                <w:rFonts w:ascii="Arial" w:hAnsi="Arial" w:cs="Arial"/>
                <w:sz w:val="20"/>
                <w:szCs w:val="20"/>
              </w:rPr>
              <w:lastRenderedPageBreak/>
              <w:t>of automation in organisational settings.</w:t>
            </w:r>
          </w:p>
        </w:tc>
        <w:tc>
          <w:tcPr>
            <w:tcW w:w="2304" w:type="dxa"/>
            <w:tcMar>
              <w:top w:w="60" w:type="dxa"/>
              <w:left w:w="70" w:type="dxa"/>
              <w:bottom w:w="60" w:type="dxa"/>
              <w:right w:w="70" w:type="dxa"/>
            </w:tcMar>
          </w:tcPr>
          <w:p w14:paraId="37692E5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Older source, but still highly relevant.</w:t>
            </w:r>
          </w:p>
        </w:tc>
        <w:tc>
          <w:tcPr>
            <w:tcW w:w="1584" w:type="dxa"/>
            <w:tcMar>
              <w:top w:w="60" w:type="dxa"/>
              <w:left w:w="70" w:type="dxa"/>
              <w:bottom w:w="60" w:type="dxa"/>
              <w:right w:w="70" w:type="dxa"/>
            </w:tcMar>
          </w:tcPr>
          <w:p w14:paraId="59241B7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Supports the design of human </w:t>
            </w:r>
            <w:r w:rsidRPr="00B3149D">
              <w:rPr>
                <w:rFonts w:ascii="Arial" w:hAnsi="Arial" w:cs="Arial"/>
                <w:sz w:val="20"/>
                <w:szCs w:val="20"/>
              </w:rPr>
              <w:lastRenderedPageBreak/>
              <w:t>oversight.</w:t>
            </w:r>
          </w:p>
        </w:tc>
        <w:tc>
          <w:tcPr>
            <w:tcW w:w="3024" w:type="dxa"/>
            <w:tcMar>
              <w:top w:w="60" w:type="dxa"/>
              <w:left w:w="70" w:type="dxa"/>
              <w:bottom w:w="60" w:type="dxa"/>
              <w:right w:w="70" w:type="dxa"/>
            </w:tcMar>
          </w:tcPr>
          <w:p w14:paraId="593DBBB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Explains misuse, disuse and abuse </w:t>
            </w:r>
            <w:r w:rsidRPr="00B3149D">
              <w:rPr>
                <w:rFonts w:ascii="Arial" w:hAnsi="Arial" w:cs="Arial"/>
                <w:sz w:val="20"/>
                <w:szCs w:val="20"/>
              </w:rPr>
              <w:lastRenderedPageBreak/>
              <w:t>of automation in organisational settings. Strong theoretical precursor to algorithm-adoption issues.</w:t>
            </w:r>
          </w:p>
        </w:tc>
      </w:tr>
      <w:tr w:rsidR="00794E6A" w:rsidRPr="00B3149D" w14:paraId="7866C908" w14:textId="77777777" w:rsidTr="00556F41">
        <w:tc>
          <w:tcPr>
            <w:tcW w:w="1944" w:type="dxa"/>
            <w:tcMar>
              <w:top w:w="60" w:type="dxa"/>
              <w:left w:w="70" w:type="dxa"/>
              <w:bottom w:w="60" w:type="dxa"/>
              <w:right w:w="70" w:type="dxa"/>
            </w:tcMar>
          </w:tcPr>
          <w:p w14:paraId="0EE9DAA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Service-level anchoring in demand forecasting (2024)</w:t>
            </w:r>
          </w:p>
        </w:tc>
        <w:tc>
          <w:tcPr>
            <w:tcW w:w="1440" w:type="dxa"/>
            <w:tcMar>
              <w:top w:w="60" w:type="dxa"/>
              <w:left w:w="70" w:type="dxa"/>
              <w:bottom w:w="60" w:type="dxa"/>
              <w:right w:w="70" w:type="dxa"/>
            </w:tcMar>
          </w:tcPr>
          <w:p w14:paraId="3C7513F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 study</w:t>
            </w:r>
          </w:p>
        </w:tc>
        <w:tc>
          <w:tcPr>
            <w:tcW w:w="1728" w:type="dxa"/>
            <w:tcMar>
              <w:top w:w="60" w:type="dxa"/>
              <w:left w:w="70" w:type="dxa"/>
              <w:bottom w:w="60" w:type="dxa"/>
              <w:right w:w="70" w:type="dxa"/>
            </w:tcMar>
          </w:tcPr>
          <w:p w14:paraId="728C2E3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Retail forecasting study</w:t>
            </w:r>
          </w:p>
        </w:tc>
        <w:tc>
          <w:tcPr>
            <w:tcW w:w="2592" w:type="dxa"/>
            <w:tcMar>
              <w:top w:w="60" w:type="dxa"/>
              <w:left w:w="70" w:type="dxa"/>
              <w:bottom w:w="60" w:type="dxa"/>
              <w:right w:w="70" w:type="dxa"/>
            </w:tcMar>
          </w:tcPr>
          <w:p w14:paraId="06D5F05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Promotions, perishability and service levels - Important because it demonstrates how context mediates the performance value of forecasts.</w:t>
            </w:r>
          </w:p>
        </w:tc>
        <w:tc>
          <w:tcPr>
            <w:tcW w:w="1512" w:type="dxa"/>
            <w:tcMar>
              <w:top w:w="60" w:type="dxa"/>
              <w:left w:w="70" w:type="dxa"/>
              <w:bottom w:w="60" w:type="dxa"/>
              <w:right w:w="70" w:type="dxa"/>
            </w:tcMar>
          </w:tcPr>
          <w:p w14:paraId="5872E75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w:t>
            </w:r>
          </w:p>
        </w:tc>
        <w:tc>
          <w:tcPr>
            <w:tcW w:w="3024" w:type="dxa"/>
            <w:tcMar>
              <w:top w:w="60" w:type="dxa"/>
              <w:left w:w="70" w:type="dxa"/>
              <w:bottom w:w="60" w:type="dxa"/>
              <w:right w:w="70" w:type="dxa"/>
            </w:tcMar>
          </w:tcPr>
          <w:p w14:paraId="4B21E05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service-level framing, promotions and perishability affect forecasting and replenishment decisions.</w:t>
            </w:r>
          </w:p>
        </w:tc>
        <w:tc>
          <w:tcPr>
            <w:tcW w:w="2304" w:type="dxa"/>
            <w:tcMar>
              <w:top w:w="60" w:type="dxa"/>
              <w:left w:w="70" w:type="dxa"/>
              <w:bottom w:w="60" w:type="dxa"/>
              <w:right w:w="70" w:type="dxa"/>
            </w:tcMar>
          </w:tcPr>
          <w:p w14:paraId="6DA8BE2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Strong topical fit and direct relevance to retail operations.</w:t>
            </w:r>
          </w:p>
        </w:tc>
        <w:tc>
          <w:tcPr>
            <w:tcW w:w="1584" w:type="dxa"/>
            <w:tcMar>
              <w:top w:w="60" w:type="dxa"/>
              <w:left w:w="70" w:type="dxa"/>
              <w:bottom w:w="60" w:type="dxa"/>
              <w:right w:w="70" w:type="dxa"/>
            </w:tcMar>
          </w:tcPr>
          <w:p w14:paraId="7D94AA3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context-dependent performance analysis.</w:t>
            </w:r>
          </w:p>
        </w:tc>
        <w:tc>
          <w:tcPr>
            <w:tcW w:w="3024" w:type="dxa"/>
            <w:tcMar>
              <w:top w:w="60" w:type="dxa"/>
              <w:left w:w="70" w:type="dxa"/>
              <w:bottom w:w="60" w:type="dxa"/>
              <w:right w:w="70" w:type="dxa"/>
            </w:tcMar>
          </w:tcPr>
          <w:p w14:paraId="4B54344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that service-level framing, promotions and perishability affect forecasting and replenishment decisions. Important because it </w:t>
            </w:r>
            <w:r w:rsidRPr="00B3149D">
              <w:rPr>
                <w:rFonts w:ascii="Arial" w:hAnsi="Arial" w:cs="Arial"/>
                <w:sz w:val="20"/>
                <w:szCs w:val="20"/>
              </w:rPr>
              <w:lastRenderedPageBreak/>
              <w:t>demonstrates how context mediates the performance value of forecasts.</w:t>
            </w:r>
          </w:p>
        </w:tc>
      </w:tr>
    </w:tbl>
    <w:p w14:paraId="1F9AD251" w14:textId="334A39AC" w:rsidR="00794E6A" w:rsidRPr="00B3149D" w:rsidRDefault="00794E6A" w:rsidP="0062377A">
      <w:pPr>
        <w:spacing w:line="360" w:lineRule="auto"/>
        <w:rPr>
          <w:rFonts w:ascii="Arial" w:hAnsi="Arial" w:cs="Arial"/>
        </w:rPr>
      </w:pPr>
    </w:p>
    <w:p w14:paraId="25918C55" w14:textId="77777777" w:rsidR="00794E6A" w:rsidRPr="00B3149D" w:rsidRDefault="00794E6A" w:rsidP="0062377A">
      <w:pPr>
        <w:spacing w:before="120" w:line="360" w:lineRule="auto"/>
        <w:rPr>
          <w:rFonts w:ascii="Arial" w:hAnsi="Arial" w:cs="Arial"/>
        </w:rPr>
      </w:pPr>
      <w:r w:rsidRPr="00B3149D">
        <w:rPr>
          <w:rFonts w:ascii="Arial" w:hAnsi="Arial" w:cs="Arial"/>
        </w:rPr>
        <w:t>Synthesis: This theme shows the clearest contradiction in the literature. Technical and prescriptive papers imply superior algorithmic guidance, while behavioural and organisational sources show distrust, override behaviour and expertise tensions. The missing link is a context-specific account of when human intervention improves forecast use and when it destroys value in retail replenishment settings.</w:t>
      </w:r>
    </w:p>
    <w:p w14:paraId="4193443D" w14:textId="1F794213" w:rsidR="00794E6A" w:rsidRPr="00B3149D" w:rsidRDefault="00794E6A" w:rsidP="0062377A">
      <w:pPr>
        <w:spacing w:line="360" w:lineRule="auto"/>
        <w:rPr>
          <w:rFonts w:ascii="Arial" w:hAnsi="Arial" w:cs="Arial"/>
        </w:rPr>
      </w:pPr>
    </w:p>
    <w:p w14:paraId="09E896F1" w14:textId="3AF34C54" w:rsidR="00794E6A" w:rsidRPr="00B3149D" w:rsidRDefault="00794E6A" w:rsidP="0062377A">
      <w:pPr>
        <w:spacing w:line="360" w:lineRule="auto"/>
        <w:rPr>
          <w:rFonts w:ascii="Arial" w:hAnsi="Arial" w:cs="Arial"/>
        </w:rPr>
      </w:pPr>
    </w:p>
    <w:p w14:paraId="382633A7" w14:textId="77777777" w:rsidR="00794E6A" w:rsidRPr="00B3149D" w:rsidRDefault="00794E6A" w:rsidP="0062377A">
      <w:pPr>
        <w:spacing w:before="200" w:after="120" w:line="360" w:lineRule="auto"/>
        <w:rPr>
          <w:rFonts w:ascii="Arial" w:hAnsi="Arial" w:cs="Arial"/>
        </w:rPr>
      </w:pPr>
      <w:r w:rsidRPr="00B3149D">
        <w:rPr>
          <w:rFonts w:ascii="Arial" w:hAnsi="Arial" w:cs="Arial"/>
          <w:b/>
          <w:color w:val="4F81BD"/>
        </w:rPr>
        <w:t>Theme 5: Emerging trends, governance and mixed-method implications</w:t>
      </w:r>
    </w:p>
    <w:tbl>
      <w:tblPr>
        <w:tblStyle w:val="TableGrid"/>
        <w:tblW w:w="0" w:type="auto"/>
        <w:tblLook w:val="04A0" w:firstRow="1" w:lastRow="0" w:firstColumn="1" w:lastColumn="0" w:noHBand="0" w:noVBand="1"/>
      </w:tblPr>
      <w:tblGrid>
        <w:gridCol w:w="756"/>
        <w:gridCol w:w="1143"/>
        <w:gridCol w:w="1034"/>
        <w:gridCol w:w="1402"/>
        <w:gridCol w:w="1143"/>
        <w:gridCol w:w="877"/>
        <w:gridCol w:w="907"/>
        <w:gridCol w:w="877"/>
        <w:gridCol w:w="877"/>
      </w:tblGrid>
      <w:tr w:rsidR="00794E6A" w:rsidRPr="00B3149D" w14:paraId="565DE139" w14:textId="77777777" w:rsidTr="00556F41">
        <w:tc>
          <w:tcPr>
            <w:tcW w:w="1944" w:type="dxa"/>
            <w:shd w:val="clear" w:color="auto" w:fill="D9EAF7"/>
            <w:tcMar>
              <w:top w:w="60" w:type="dxa"/>
              <w:left w:w="70" w:type="dxa"/>
              <w:bottom w:w="60" w:type="dxa"/>
              <w:right w:w="70" w:type="dxa"/>
            </w:tcMar>
          </w:tcPr>
          <w:p w14:paraId="5938215E"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Citation</w:t>
            </w:r>
          </w:p>
        </w:tc>
        <w:tc>
          <w:tcPr>
            <w:tcW w:w="1440" w:type="dxa"/>
            <w:shd w:val="clear" w:color="auto" w:fill="D9EAF7"/>
            <w:tcMar>
              <w:top w:w="60" w:type="dxa"/>
              <w:left w:w="70" w:type="dxa"/>
              <w:bottom w:w="60" w:type="dxa"/>
              <w:right w:w="70" w:type="dxa"/>
            </w:tcMar>
          </w:tcPr>
          <w:p w14:paraId="59650497"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Literature Type</w:t>
            </w:r>
          </w:p>
        </w:tc>
        <w:tc>
          <w:tcPr>
            <w:tcW w:w="1728" w:type="dxa"/>
            <w:shd w:val="clear" w:color="auto" w:fill="D9EAF7"/>
            <w:tcMar>
              <w:top w:w="60" w:type="dxa"/>
              <w:left w:w="70" w:type="dxa"/>
              <w:bottom w:w="60" w:type="dxa"/>
              <w:right w:w="70" w:type="dxa"/>
            </w:tcMar>
          </w:tcPr>
          <w:p w14:paraId="136DEED9"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Review Type</w:t>
            </w:r>
          </w:p>
        </w:tc>
        <w:tc>
          <w:tcPr>
            <w:tcW w:w="2592" w:type="dxa"/>
            <w:shd w:val="clear" w:color="auto" w:fill="D9EAF7"/>
            <w:tcMar>
              <w:top w:w="60" w:type="dxa"/>
              <w:left w:w="70" w:type="dxa"/>
              <w:bottom w:w="60" w:type="dxa"/>
              <w:right w:w="70" w:type="dxa"/>
            </w:tcMar>
          </w:tcPr>
          <w:p w14:paraId="7B70B413"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Key Insight</w:t>
            </w:r>
          </w:p>
        </w:tc>
        <w:tc>
          <w:tcPr>
            <w:tcW w:w="1512" w:type="dxa"/>
            <w:shd w:val="clear" w:color="auto" w:fill="D9EAF7"/>
            <w:tcMar>
              <w:top w:w="60" w:type="dxa"/>
              <w:left w:w="70" w:type="dxa"/>
              <w:bottom w:w="60" w:type="dxa"/>
              <w:right w:w="70" w:type="dxa"/>
            </w:tcMar>
          </w:tcPr>
          <w:p w14:paraId="2DB9346A"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Theoretical Lens</w:t>
            </w:r>
          </w:p>
        </w:tc>
        <w:tc>
          <w:tcPr>
            <w:tcW w:w="3024" w:type="dxa"/>
            <w:shd w:val="clear" w:color="auto" w:fill="D9EAF7"/>
            <w:tcMar>
              <w:top w:w="60" w:type="dxa"/>
              <w:left w:w="70" w:type="dxa"/>
              <w:bottom w:w="60" w:type="dxa"/>
              <w:right w:w="70" w:type="dxa"/>
            </w:tcMar>
          </w:tcPr>
          <w:p w14:paraId="351C958F"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Methodology</w:t>
            </w:r>
          </w:p>
        </w:tc>
        <w:tc>
          <w:tcPr>
            <w:tcW w:w="2304" w:type="dxa"/>
            <w:shd w:val="clear" w:color="auto" w:fill="D9EAF7"/>
            <w:tcMar>
              <w:top w:w="60" w:type="dxa"/>
              <w:left w:w="70" w:type="dxa"/>
              <w:bottom w:w="60" w:type="dxa"/>
              <w:right w:w="70" w:type="dxa"/>
            </w:tcMar>
          </w:tcPr>
          <w:p w14:paraId="24A25AA1"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Critical Evaluation</w:t>
            </w:r>
          </w:p>
        </w:tc>
        <w:tc>
          <w:tcPr>
            <w:tcW w:w="1584" w:type="dxa"/>
            <w:shd w:val="clear" w:color="auto" w:fill="D9EAF7"/>
            <w:tcMar>
              <w:top w:w="60" w:type="dxa"/>
              <w:left w:w="70" w:type="dxa"/>
              <w:bottom w:w="60" w:type="dxa"/>
              <w:right w:w="70" w:type="dxa"/>
            </w:tcMar>
          </w:tcPr>
          <w:p w14:paraId="037B9780"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Relevance</w:t>
            </w:r>
          </w:p>
        </w:tc>
        <w:tc>
          <w:tcPr>
            <w:tcW w:w="3024" w:type="dxa"/>
            <w:shd w:val="clear" w:color="auto" w:fill="D9EAF7"/>
            <w:tcMar>
              <w:top w:w="60" w:type="dxa"/>
              <w:left w:w="70" w:type="dxa"/>
              <w:bottom w:w="60" w:type="dxa"/>
              <w:right w:w="70" w:type="dxa"/>
            </w:tcMar>
          </w:tcPr>
          <w:p w14:paraId="376FC824" w14:textId="77777777" w:rsidR="00794E6A" w:rsidRPr="00B3149D" w:rsidRDefault="00794E6A" w:rsidP="0062377A">
            <w:pPr>
              <w:spacing w:line="360" w:lineRule="auto"/>
              <w:rPr>
                <w:rFonts w:ascii="Arial" w:hAnsi="Arial" w:cs="Arial"/>
                <w:sz w:val="20"/>
                <w:szCs w:val="20"/>
              </w:rPr>
            </w:pPr>
            <w:r w:rsidRPr="00B3149D">
              <w:rPr>
                <w:rFonts w:ascii="Arial" w:hAnsi="Arial" w:cs="Arial"/>
                <w:b/>
                <w:sz w:val="20"/>
                <w:szCs w:val="20"/>
              </w:rPr>
              <w:t>Example Description</w:t>
            </w:r>
          </w:p>
        </w:tc>
      </w:tr>
      <w:tr w:rsidR="00794E6A" w:rsidRPr="00B3149D" w14:paraId="60A1A5E8" w14:textId="77777777" w:rsidTr="00556F41">
        <w:tc>
          <w:tcPr>
            <w:tcW w:w="1944" w:type="dxa"/>
            <w:tcMar>
              <w:top w:w="60" w:type="dxa"/>
              <w:left w:w="70" w:type="dxa"/>
              <w:bottom w:w="60" w:type="dxa"/>
              <w:right w:w="70" w:type="dxa"/>
            </w:tcMar>
          </w:tcPr>
          <w:p w14:paraId="6A9620D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OECD (2019)</w:t>
            </w:r>
          </w:p>
        </w:tc>
        <w:tc>
          <w:tcPr>
            <w:tcW w:w="1440" w:type="dxa"/>
            <w:tcMar>
              <w:top w:w="60" w:type="dxa"/>
              <w:left w:w="70" w:type="dxa"/>
              <w:bottom w:w="60" w:type="dxa"/>
              <w:right w:w="70" w:type="dxa"/>
            </w:tcMar>
          </w:tcPr>
          <w:p w14:paraId="1C77EA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Policy/governance</w:t>
            </w:r>
          </w:p>
        </w:tc>
        <w:tc>
          <w:tcPr>
            <w:tcW w:w="1728" w:type="dxa"/>
            <w:tcMar>
              <w:top w:w="60" w:type="dxa"/>
              <w:left w:w="70" w:type="dxa"/>
              <w:bottom w:w="60" w:type="dxa"/>
              <w:right w:w="70" w:type="dxa"/>
            </w:tcMar>
          </w:tcPr>
          <w:p w14:paraId="3F7386C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Principles framework</w:t>
            </w:r>
          </w:p>
        </w:tc>
        <w:tc>
          <w:tcPr>
            <w:tcW w:w="2592" w:type="dxa"/>
            <w:tcMar>
              <w:top w:w="60" w:type="dxa"/>
              <w:left w:w="70" w:type="dxa"/>
              <w:bottom w:w="60" w:type="dxa"/>
              <w:right w:w="70" w:type="dxa"/>
            </w:tcMar>
          </w:tcPr>
          <w:p w14:paraId="4E0671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Trustworthy AI - Useful for evaluating whether forecasting systems are governable as well as accurate.</w:t>
            </w:r>
          </w:p>
        </w:tc>
        <w:tc>
          <w:tcPr>
            <w:tcW w:w="1512" w:type="dxa"/>
            <w:tcMar>
              <w:top w:w="60" w:type="dxa"/>
              <w:left w:w="70" w:type="dxa"/>
              <w:bottom w:w="60" w:type="dxa"/>
              <w:right w:w="70" w:type="dxa"/>
            </w:tcMar>
          </w:tcPr>
          <w:p w14:paraId="683D73A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Policy framework</w:t>
            </w:r>
          </w:p>
        </w:tc>
        <w:tc>
          <w:tcPr>
            <w:tcW w:w="3024" w:type="dxa"/>
            <w:tcMar>
              <w:top w:w="60" w:type="dxa"/>
              <w:left w:w="70" w:type="dxa"/>
              <w:bottom w:w="60" w:type="dxa"/>
              <w:right w:w="70" w:type="dxa"/>
            </w:tcMar>
          </w:tcPr>
          <w:p w14:paraId="188B797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Provides principles for accountable, transparent and robust AI systems.</w:t>
            </w:r>
          </w:p>
        </w:tc>
        <w:tc>
          <w:tcPr>
            <w:tcW w:w="2304" w:type="dxa"/>
            <w:tcMar>
              <w:top w:w="60" w:type="dxa"/>
              <w:left w:w="70" w:type="dxa"/>
              <w:bottom w:w="60" w:type="dxa"/>
              <w:right w:w="70" w:type="dxa"/>
            </w:tcMar>
          </w:tcPr>
          <w:p w14:paraId="39BF4D8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Policy level, but central to managerial implementation.</w:t>
            </w:r>
          </w:p>
        </w:tc>
        <w:tc>
          <w:tcPr>
            <w:tcW w:w="1584" w:type="dxa"/>
            <w:tcMar>
              <w:top w:w="60" w:type="dxa"/>
              <w:left w:w="70" w:type="dxa"/>
              <w:bottom w:w="60" w:type="dxa"/>
              <w:right w:w="70" w:type="dxa"/>
            </w:tcMar>
          </w:tcPr>
          <w:p w14:paraId="7B0E0D9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governance criteria.</w:t>
            </w:r>
          </w:p>
        </w:tc>
        <w:tc>
          <w:tcPr>
            <w:tcW w:w="3024" w:type="dxa"/>
            <w:tcMar>
              <w:top w:w="60" w:type="dxa"/>
              <w:left w:w="70" w:type="dxa"/>
              <w:bottom w:w="60" w:type="dxa"/>
              <w:right w:w="70" w:type="dxa"/>
            </w:tcMar>
          </w:tcPr>
          <w:p w14:paraId="652BE94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Provides principles for accountable, transparent and robust AI systems. Useful </w:t>
            </w:r>
            <w:r w:rsidRPr="00B3149D">
              <w:rPr>
                <w:rFonts w:ascii="Arial" w:hAnsi="Arial" w:cs="Arial"/>
                <w:sz w:val="20"/>
                <w:szCs w:val="20"/>
              </w:rPr>
              <w:lastRenderedPageBreak/>
              <w:t>for evaluating whether forecasting systems are governable as well as accurate.</w:t>
            </w:r>
          </w:p>
        </w:tc>
      </w:tr>
      <w:tr w:rsidR="00794E6A" w:rsidRPr="00B3149D" w14:paraId="183647EA" w14:textId="77777777" w:rsidTr="00556F41">
        <w:tc>
          <w:tcPr>
            <w:tcW w:w="1944" w:type="dxa"/>
            <w:tcMar>
              <w:top w:w="60" w:type="dxa"/>
              <w:left w:w="70" w:type="dxa"/>
              <w:bottom w:w="60" w:type="dxa"/>
              <w:right w:w="70" w:type="dxa"/>
            </w:tcMar>
          </w:tcPr>
          <w:p w14:paraId="34668FF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UNESCO (2021)</w:t>
            </w:r>
          </w:p>
        </w:tc>
        <w:tc>
          <w:tcPr>
            <w:tcW w:w="1440" w:type="dxa"/>
            <w:tcMar>
              <w:top w:w="60" w:type="dxa"/>
              <w:left w:w="70" w:type="dxa"/>
              <w:bottom w:w="60" w:type="dxa"/>
              <w:right w:w="70" w:type="dxa"/>
            </w:tcMar>
          </w:tcPr>
          <w:p w14:paraId="5DAD08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Policy/governance</w:t>
            </w:r>
          </w:p>
        </w:tc>
        <w:tc>
          <w:tcPr>
            <w:tcW w:w="1728" w:type="dxa"/>
            <w:tcMar>
              <w:top w:w="60" w:type="dxa"/>
              <w:left w:w="70" w:type="dxa"/>
              <w:bottom w:w="60" w:type="dxa"/>
              <w:right w:w="70" w:type="dxa"/>
            </w:tcMar>
          </w:tcPr>
          <w:p w14:paraId="522C5C0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Ethics framework</w:t>
            </w:r>
          </w:p>
        </w:tc>
        <w:tc>
          <w:tcPr>
            <w:tcW w:w="2592" w:type="dxa"/>
            <w:tcMar>
              <w:top w:w="60" w:type="dxa"/>
              <w:left w:w="70" w:type="dxa"/>
              <w:bottom w:w="60" w:type="dxa"/>
              <w:right w:w="70" w:type="dxa"/>
            </w:tcMar>
          </w:tcPr>
          <w:p w14:paraId="0AD2B17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Recommendation on the ethics of AI - Adds an ethical layer often missing from optimisation studies.</w:t>
            </w:r>
          </w:p>
        </w:tc>
        <w:tc>
          <w:tcPr>
            <w:tcW w:w="1512" w:type="dxa"/>
            <w:tcMar>
              <w:top w:w="60" w:type="dxa"/>
              <w:left w:w="70" w:type="dxa"/>
              <w:bottom w:w="60" w:type="dxa"/>
              <w:right w:w="70" w:type="dxa"/>
            </w:tcMar>
          </w:tcPr>
          <w:p w14:paraId="4FEDE11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Policy framework</w:t>
            </w:r>
          </w:p>
        </w:tc>
        <w:tc>
          <w:tcPr>
            <w:tcW w:w="3024" w:type="dxa"/>
            <w:tcMar>
              <w:top w:w="60" w:type="dxa"/>
              <w:left w:w="70" w:type="dxa"/>
              <w:bottom w:w="60" w:type="dxa"/>
              <w:right w:w="70" w:type="dxa"/>
            </w:tcMar>
          </w:tcPr>
          <w:p w14:paraId="73E018A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Stresses human oversight, fairness, accountability and social responsibility.</w:t>
            </w:r>
          </w:p>
        </w:tc>
        <w:tc>
          <w:tcPr>
            <w:tcW w:w="2304" w:type="dxa"/>
            <w:tcMar>
              <w:top w:w="60" w:type="dxa"/>
              <w:left w:w="70" w:type="dxa"/>
              <w:bottom w:w="60" w:type="dxa"/>
              <w:right w:w="70" w:type="dxa"/>
            </w:tcMar>
          </w:tcPr>
          <w:p w14:paraId="771F73F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Abstract, but highly relevant to organisational policy.</w:t>
            </w:r>
          </w:p>
        </w:tc>
        <w:tc>
          <w:tcPr>
            <w:tcW w:w="1584" w:type="dxa"/>
            <w:tcMar>
              <w:top w:w="60" w:type="dxa"/>
              <w:left w:w="70" w:type="dxa"/>
              <w:bottom w:w="60" w:type="dxa"/>
              <w:right w:w="70" w:type="dxa"/>
            </w:tcMar>
          </w:tcPr>
          <w:p w14:paraId="0CB0EA1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ethics and oversight angle.</w:t>
            </w:r>
          </w:p>
        </w:tc>
        <w:tc>
          <w:tcPr>
            <w:tcW w:w="3024" w:type="dxa"/>
            <w:tcMar>
              <w:top w:w="60" w:type="dxa"/>
              <w:left w:w="70" w:type="dxa"/>
              <w:bottom w:w="60" w:type="dxa"/>
              <w:right w:w="70" w:type="dxa"/>
            </w:tcMar>
          </w:tcPr>
          <w:p w14:paraId="7A11CEC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Stresses human oversight, fairness, accountability and social responsibility. Adds an ethical layer often missing from optimisation studies.</w:t>
            </w:r>
          </w:p>
        </w:tc>
      </w:tr>
      <w:tr w:rsidR="00794E6A" w:rsidRPr="00B3149D" w14:paraId="7DB2BDCE" w14:textId="77777777" w:rsidTr="00556F41">
        <w:tc>
          <w:tcPr>
            <w:tcW w:w="1944" w:type="dxa"/>
            <w:tcMar>
              <w:top w:w="60" w:type="dxa"/>
              <w:left w:w="70" w:type="dxa"/>
              <w:bottom w:w="60" w:type="dxa"/>
              <w:right w:w="70" w:type="dxa"/>
            </w:tcMar>
          </w:tcPr>
          <w:p w14:paraId="7571A8A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Dwivedi et al. (2021)</w:t>
            </w:r>
          </w:p>
        </w:tc>
        <w:tc>
          <w:tcPr>
            <w:tcW w:w="1440" w:type="dxa"/>
            <w:tcMar>
              <w:top w:w="60" w:type="dxa"/>
              <w:left w:w="70" w:type="dxa"/>
              <w:bottom w:w="60" w:type="dxa"/>
              <w:right w:w="70" w:type="dxa"/>
            </w:tcMar>
          </w:tcPr>
          <w:p w14:paraId="24602E4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18DBBCA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Integrative review</w:t>
            </w:r>
          </w:p>
        </w:tc>
        <w:tc>
          <w:tcPr>
            <w:tcW w:w="2592" w:type="dxa"/>
            <w:tcMar>
              <w:top w:w="60" w:type="dxa"/>
              <w:left w:w="70" w:type="dxa"/>
              <w:bottom w:w="60" w:type="dxa"/>
              <w:right w:w="70" w:type="dxa"/>
            </w:tcMar>
          </w:tcPr>
          <w:p w14:paraId="40E0ECE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AI in business and society - Useful for connecting </w:t>
            </w:r>
            <w:r w:rsidRPr="00B3149D">
              <w:rPr>
                <w:rFonts w:ascii="Arial" w:hAnsi="Arial" w:cs="Arial"/>
                <w:sz w:val="20"/>
                <w:szCs w:val="20"/>
              </w:rPr>
              <w:lastRenderedPageBreak/>
              <w:t>technical forecasting systems to organisational realities.</w:t>
            </w:r>
          </w:p>
        </w:tc>
        <w:tc>
          <w:tcPr>
            <w:tcW w:w="1512" w:type="dxa"/>
            <w:tcMar>
              <w:top w:w="60" w:type="dxa"/>
              <w:left w:w="70" w:type="dxa"/>
              <w:bottom w:w="60" w:type="dxa"/>
              <w:right w:w="70" w:type="dxa"/>
            </w:tcMar>
          </w:tcPr>
          <w:p w14:paraId="0FECD6B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 article</w:t>
            </w:r>
          </w:p>
        </w:tc>
        <w:tc>
          <w:tcPr>
            <w:tcW w:w="3024" w:type="dxa"/>
            <w:tcMar>
              <w:top w:w="60" w:type="dxa"/>
              <w:left w:w="70" w:type="dxa"/>
              <w:bottom w:w="60" w:type="dxa"/>
              <w:right w:w="70" w:type="dxa"/>
            </w:tcMar>
          </w:tcPr>
          <w:p w14:paraId="0BF54BC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Reviews opportunities, </w:t>
            </w:r>
            <w:r w:rsidRPr="00B3149D">
              <w:rPr>
                <w:rFonts w:ascii="Arial" w:hAnsi="Arial" w:cs="Arial"/>
                <w:sz w:val="20"/>
                <w:szCs w:val="20"/>
              </w:rPr>
              <w:lastRenderedPageBreak/>
              <w:t>risks and implementation issues around AI adoption.</w:t>
            </w:r>
          </w:p>
        </w:tc>
        <w:tc>
          <w:tcPr>
            <w:tcW w:w="2304" w:type="dxa"/>
            <w:tcMar>
              <w:top w:w="60" w:type="dxa"/>
              <w:left w:w="70" w:type="dxa"/>
              <w:bottom w:w="60" w:type="dxa"/>
              <w:right w:w="70" w:type="dxa"/>
            </w:tcMar>
          </w:tcPr>
          <w:p w14:paraId="5C68ADF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Broad in scope, but strong </w:t>
            </w:r>
            <w:r w:rsidRPr="00B3149D">
              <w:rPr>
                <w:rFonts w:ascii="Arial" w:hAnsi="Arial" w:cs="Arial"/>
                <w:sz w:val="20"/>
                <w:szCs w:val="20"/>
              </w:rPr>
              <w:lastRenderedPageBreak/>
              <w:t>on implementation tensions.</w:t>
            </w:r>
          </w:p>
        </w:tc>
        <w:tc>
          <w:tcPr>
            <w:tcW w:w="1584" w:type="dxa"/>
            <w:tcMar>
              <w:top w:w="60" w:type="dxa"/>
              <w:left w:w="70" w:type="dxa"/>
              <w:bottom w:w="60" w:type="dxa"/>
              <w:right w:w="70" w:type="dxa"/>
            </w:tcMar>
          </w:tcPr>
          <w:p w14:paraId="36E7B28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Supports managerial and </w:t>
            </w:r>
            <w:r w:rsidRPr="00B3149D">
              <w:rPr>
                <w:rFonts w:ascii="Arial" w:hAnsi="Arial" w:cs="Arial"/>
                <w:sz w:val="20"/>
                <w:szCs w:val="20"/>
              </w:rPr>
              <w:lastRenderedPageBreak/>
              <w:t>governance discussion.</w:t>
            </w:r>
          </w:p>
        </w:tc>
        <w:tc>
          <w:tcPr>
            <w:tcW w:w="3024" w:type="dxa"/>
            <w:tcMar>
              <w:top w:w="60" w:type="dxa"/>
              <w:left w:w="70" w:type="dxa"/>
              <w:bottom w:w="60" w:type="dxa"/>
              <w:right w:w="70" w:type="dxa"/>
            </w:tcMar>
          </w:tcPr>
          <w:p w14:paraId="71B9BDC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Reviews opportunities, </w:t>
            </w:r>
            <w:r w:rsidRPr="00B3149D">
              <w:rPr>
                <w:rFonts w:ascii="Arial" w:hAnsi="Arial" w:cs="Arial"/>
                <w:sz w:val="20"/>
                <w:szCs w:val="20"/>
              </w:rPr>
              <w:lastRenderedPageBreak/>
              <w:t>risks and implementation issues around AI adoption. Useful for connecting technical forecasting systems to organisational realities.</w:t>
            </w:r>
          </w:p>
        </w:tc>
      </w:tr>
      <w:tr w:rsidR="00794E6A" w:rsidRPr="00B3149D" w14:paraId="0F59172A" w14:textId="77777777" w:rsidTr="00556F41">
        <w:tc>
          <w:tcPr>
            <w:tcW w:w="1944" w:type="dxa"/>
            <w:tcMar>
              <w:top w:w="60" w:type="dxa"/>
              <w:left w:w="70" w:type="dxa"/>
              <w:bottom w:w="60" w:type="dxa"/>
              <w:right w:w="70" w:type="dxa"/>
            </w:tcMar>
          </w:tcPr>
          <w:p w14:paraId="4D28765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Waller and Fawcett (2013)</w:t>
            </w:r>
          </w:p>
        </w:tc>
        <w:tc>
          <w:tcPr>
            <w:tcW w:w="1440" w:type="dxa"/>
            <w:tcMar>
              <w:top w:w="60" w:type="dxa"/>
              <w:left w:w="70" w:type="dxa"/>
              <w:bottom w:w="60" w:type="dxa"/>
              <w:right w:w="70" w:type="dxa"/>
            </w:tcMar>
          </w:tcPr>
          <w:p w14:paraId="245157E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1728" w:type="dxa"/>
            <w:tcMar>
              <w:top w:w="60" w:type="dxa"/>
              <w:left w:w="70" w:type="dxa"/>
              <w:bottom w:w="60" w:type="dxa"/>
              <w:right w:w="70" w:type="dxa"/>
            </w:tcMar>
          </w:tcPr>
          <w:p w14:paraId="5FA6006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Big-data SCM review</w:t>
            </w:r>
          </w:p>
        </w:tc>
        <w:tc>
          <w:tcPr>
            <w:tcW w:w="2592" w:type="dxa"/>
            <w:tcMar>
              <w:top w:w="60" w:type="dxa"/>
              <w:left w:w="70" w:type="dxa"/>
              <w:bottom w:w="60" w:type="dxa"/>
              <w:right w:w="70" w:type="dxa"/>
            </w:tcMar>
          </w:tcPr>
          <w:p w14:paraId="7E6A2DD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Data science and SCM - Useful precursor to AI-enabled forecasting architectures.</w:t>
            </w:r>
          </w:p>
        </w:tc>
        <w:tc>
          <w:tcPr>
            <w:tcW w:w="1512" w:type="dxa"/>
            <w:tcMar>
              <w:top w:w="60" w:type="dxa"/>
              <w:left w:w="70" w:type="dxa"/>
              <w:bottom w:w="60" w:type="dxa"/>
              <w:right w:w="70" w:type="dxa"/>
            </w:tcMar>
          </w:tcPr>
          <w:p w14:paraId="4A6D29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w:t>
            </w:r>
          </w:p>
        </w:tc>
        <w:tc>
          <w:tcPr>
            <w:tcW w:w="3024" w:type="dxa"/>
            <w:tcMar>
              <w:top w:w="60" w:type="dxa"/>
              <w:left w:w="70" w:type="dxa"/>
              <w:bottom w:w="60" w:type="dxa"/>
              <w:right w:w="70" w:type="dxa"/>
            </w:tcMar>
          </w:tcPr>
          <w:p w14:paraId="58F067B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Argues that big-data capabilities alter supply-chain decision structures.</w:t>
            </w:r>
          </w:p>
        </w:tc>
        <w:tc>
          <w:tcPr>
            <w:tcW w:w="2304" w:type="dxa"/>
            <w:tcMar>
              <w:top w:w="60" w:type="dxa"/>
              <w:left w:w="70" w:type="dxa"/>
              <w:bottom w:w="60" w:type="dxa"/>
              <w:right w:w="70" w:type="dxa"/>
            </w:tcMar>
          </w:tcPr>
          <w:p w14:paraId="19C78FA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Early in the analytics wave, but still influential.</w:t>
            </w:r>
          </w:p>
        </w:tc>
        <w:tc>
          <w:tcPr>
            <w:tcW w:w="1584" w:type="dxa"/>
            <w:tcMar>
              <w:top w:w="60" w:type="dxa"/>
              <w:left w:w="70" w:type="dxa"/>
              <w:bottom w:w="60" w:type="dxa"/>
              <w:right w:w="70" w:type="dxa"/>
            </w:tcMar>
          </w:tcPr>
          <w:p w14:paraId="17DFC28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digital-transition framing.</w:t>
            </w:r>
          </w:p>
        </w:tc>
        <w:tc>
          <w:tcPr>
            <w:tcW w:w="3024" w:type="dxa"/>
            <w:tcMar>
              <w:top w:w="60" w:type="dxa"/>
              <w:left w:w="70" w:type="dxa"/>
              <w:bottom w:w="60" w:type="dxa"/>
              <w:right w:w="70" w:type="dxa"/>
            </w:tcMar>
          </w:tcPr>
          <w:p w14:paraId="7E36975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Argues that big-data capabilities alter supply-chain decision structures. Useful precursor to AI-enabled forecasting </w:t>
            </w:r>
            <w:r w:rsidRPr="00B3149D">
              <w:rPr>
                <w:rFonts w:ascii="Arial" w:hAnsi="Arial" w:cs="Arial"/>
                <w:sz w:val="20"/>
                <w:szCs w:val="20"/>
              </w:rPr>
              <w:lastRenderedPageBreak/>
              <w:t>architectures.</w:t>
            </w:r>
          </w:p>
        </w:tc>
      </w:tr>
      <w:tr w:rsidR="00794E6A" w:rsidRPr="00B3149D" w14:paraId="070F8FAD" w14:textId="77777777" w:rsidTr="00556F41">
        <w:tc>
          <w:tcPr>
            <w:tcW w:w="1944" w:type="dxa"/>
            <w:tcMar>
              <w:top w:w="60" w:type="dxa"/>
              <w:left w:w="70" w:type="dxa"/>
              <w:bottom w:w="60" w:type="dxa"/>
              <w:right w:w="70" w:type="dxa"/>
            </w:tcMar>
          </w:tcPr>
          <w:p w14:paraId="67DA540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Min (2010)</w:t>
            </w:r>
          </w:p>
        </w:tc>
        <w:tc>
          <w:tcPr>
            <w:tcW w:w="1440" w:type="dxa"/>
            <w:tcMar>
              <w:top w:w="60" w:type="dxa"/>
              <w:left w:w="70" w:type="dxa"/>
              <w:bottom w:w="60" w:type="dxa"/>
              <w:right w:w="70" w:type="dxa"/>
            </w:tcMar>
          </w:tcPr>
          <w:p w14:paraId="3DD6DCC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Conceptual/review</w:t>
            </w:r>
          </w:p>
        </w:tc>
        <w:tc>
          <w:tcPr>
            <w:tcW w:w="1728" w:type="dxa"/>
            <w:tcMar>
              <w:top w:w="60" w:type="dxa"/>
              <w:left w:w="70" w:type="dxa"/>
              <w:bottom w:w="60" w:type="dxa"/>
              <w:right w:w="70" w:type="dxa"/>
            </w:tcMar>
          </w:tcPr>
          <w:p w14:paraId="76E15DC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Technology review</w:t>
            </w:r>
          </w:p>
        </w:tc>
        <w:tc>
          <w:tcPr>
            <w:tcW w:w="2592" w:type="dxa"/>
            <w:tcMar>
              <w:top w:w="60" w:type="dxa"/>
              <w:left w:w="70" w:type="dxa"/>
              <w:bottom w:w="60" w:type="dxa"/>
              <w:right w:w="70" w:type="dxa"/>
            </w:tcMar>
          </w:tcPr>
          <w:p w14:paraId="3ED80CD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Artificial intelligence in SCM - Valuable as an early overview of AI’s SCM promise.</w:t>
            </w:r>
          </w:p>
        </w:tc>
        <w:tc>
          <w:tcPr>
            <w:tcW w:w="1512" w:type="dxa"/>
            <w:tcMar>
              <w:top w:w="60" w:type="dxa"/>
              <w:left w:w="70" w:type="dxa"/>
              <w:bottom w:w="60" w:type="dxa"/>
              <w:right w:w="70" w:type="dxa"/>
            </w:tcMar>
          </w:tcPr>
          <w:p w14:paraId="0172452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3024" w:type="dxa"/>
            <w:tcMar>
              <w:top w:w="60" w:type="dxa"/>
              <w:left w:w="70" w:type="dxa"/>
              <w:bottom w:w="60" w:type="dxa"/>
              <w:right w:w="70" w:type="dxa"/>
            </w:tcMar>
          </w:tcPr>
          <w:p w14:paraId="17D33B2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Discusses AI applications across supply-chain activities.</w:t>
            </w:r>
          </w:p>
        </w:tc>
        <w:tc>
          <w:tcPr>
            <w:tcW w:w="2304" w:type="dxa"/>
            <w:tcMar>
              <w:top w:w="60" w:type="dxa"/>
              <w:left w:w="70" w:type="dxa"/>
              <w:bottom w:w="60" w:type="dxa"/>
              <w:right w:w="70" w:type="dxa"/>
            </w:tcMar>
          </w:tcPr>
          <w:p w14:paraId="1D917FD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Older and pre-deep-learning, but historically important.</w:t>
            </w:r>
          </w:p>
        </w:tc>
        <w:tc>
          <w:tcPr>
            <w:tcW w:w="1584" w:type="dxa"/>
            <w:tcMar>
              <w:top w:w="60" w:type="dxa"/>
              <w:left w:w="70" w:type="dxa"/>
              <w:bottom w:w="60" w:type="dxa"/>
              <w:right w:w="70" w:type="dxa"/>
            </w:tcMar>
          </w:tcPr>
          <w:p w14:paraId="71E3432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longitudinal evolution of the field.</w:t>
            </w:r>
          </w:p>
        </w:tc>
        <w:tc>
          <w:tcPr>
            <w:tcW w:w="3024" w:type="dxa"/>
            <w:tcMar>
              <w:top w:w="60" w:type="dxa"/>
              <w:left w:w="70" w:type="dxa"/>
              <w:bottom w:w="60" w:type="dxa"/>
              <w:right w:w="70" w:type="dxa"/>
            </w:tcMar>
          </w:tcPr>
          <w:p w14:paraId="3694D72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Discusses AI applications across supply-chain activities. Valuable as an early overview of AI’s SCM promise.</w:t>
            </w:r>
          </w:p>
        </w:tc>
      </w:tr>
      <w:tr w:rsidR="00794E6A" w:rsidRPr="00B3149D" w14:paraId="1F7020BA" w14:textId="77777777" w:rsidTr="00556F41">
        <w:tc>
          <w:tcPr>
            <w:tcW w:w="1944" w:type="dxa"/>
            <w:tcMar>
              <w:top w:w="60" w:type="dxa"/>
              <w:left w:w="70" w:type="dxa"/>
              <w:bottom w:w="60" w:type="dxa"/>
              <w:right w:w="70" w:type="dxa"/>
            </w:tcMar>
          </w:tcPr>
          <w:p w14:paraId="7B07876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Choi, Wallace and Wang (2018)</w:t>
            </w:r>
          </w:p>
        </w:tc>
        <w:tc>
          <w:tcPr>
            <w:tcW w:w="1440" w:type="dxa"/>
            <w:tcMar>
              <w:top w:w="60" w:type="dxa"/>
              <w:left w:w="70" w:type="dxa"/>
              <w:bottom w:w="60" w:type="dxa"/>
              <w:right w:w="70" w:type="dxa"/>
            </w:tcMar>
          </w:tcPr>
          <w:p w14:paraId="6AE29D6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12BCBB8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Narrative review</w:t>
            </w:r>
          </w:p>
        </w:tc>
        <w:tc>
          <w:tcPr>
            <w:tcW w:w="2592" w:type="dxa"/>
            <w:tcMar>
              <w:top w:w="60" w:type="dxa"/>
              <w:left w:w="70" w:type="dxa"/>
              <w:bottom w:w="60" w:type="dxa"/>
              <w:right w:w="70" w:type="dxa"/>
            </w:tcMar>
          </w:tcPr>
          <w:p w14:paraId="6D7203E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Big data analytics in operations and SCM - Useful for linking forecasting to broader analytics capability.</w:t>
            </w:r>
          </w:p>
        </w:tc>
        <w:tc>
          <w:tcPr>
            <w:tcW w:w="1512" w:type="dxa"/>
            <w:tcMar>
              <w:top w:w="60" w:type="dxa"/>
              <w:left w:w="70" w:type="dxa"/>
              <w:bottom w:w="60" w:type="dxa"/>
              <w:right w:w="70" w:type="dxa"/>
            </w:tcMar>
          </w:tcPr>
          <w:p w14:paraId="4A0D808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3024" w:type="dxa"/>
            <w:tcMar>
              <w:top w:w="60" w:type="dxa"/>
              <w:left w:w="70" w:type="dxa"/>
              <w:bottom w:w="60" w:type="dxa"/>
              <w:right w:w="70" w:type="dxa"/>
            </w:tcMar>
          </w:tcPr>
          <w:p w14:paraId="030978F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analytics reshape decision quality across operations and SCM contexts.</w:t>
            </w:r>
          </w:p>
        </w:tc>
        <w:tc>
          <w:tcPr>
            <w:tcW w:w="2304" w:type="dxa"/>
            <w:tcMar>
              <w:top w:w="60" w:type="dxa"/>
              <w:left w:w="70" w:type="dxa"/>
              <w:bottom w:w="60" w:type="dxa"/>
              <w:right w:w="70" w:type="dxa"/>
            </w:tcMar>
          </w:tcPr>
          <w:p w14:paraId="1D726A1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Broader than retail forecasting, but strategically relevant.</w:t>
            </w:r>
          </w:p>
        </w:tc>
        <w:tc>
          <w:tcPr>
            <w:tcW w:w="1584" w:type="dxa"/>
            <w:tcMar>
              <w:top w:w="60" w:type="dxa"/>
              <w:left w:w="70" w:type="dxa"/>
              <w:bottom w:w="60" w:type="dxa"/>
              <w:right w:w="70" w:type="dxa"/>
            </w:tcMar>
          </w:tcPr>
          <w:p w14:paraId="495D678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emerging-trends mapping.</w:t>
            </w:r>
          </w:p>
        </w:tc>
        <w:tc>
          <w:tcPr>
            <w:tcW w:w="3024" w:type="dxa"/>
            <w:tcMar>
              <w:top w:w="60" w:type="dxa"/>
              <w:left w:w="70" w:type="dxa"/>
              <w:bottom w:w="60" w:type="dxa"/>
              <w:right w:w="70" w:type="dxa"/>
            </w:tcMar>
          </w:tcPr>
          <w:p w14:paraId="1F58743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how analytics reshape decision quality across operations and SCM contexts. Useful for linking forecasting to broader </w:t>
            </w:r>
            <w:r w:rsidRPr="00B3149D">
              <w:rPr>
                <w:rFonts w:ascii="Arial" w:hAnsi="Arial" w:cs="Arial"/>
                <w:sz w:val="20"/>
                <w:szCs w:val="20"/>
              </w:rPr>
              <w:lastRenderedPageBreak/>
              <w:t>analytics capability.</w:t>
            </w:r>
          </w:p>
        </w:tc>
      </w:tr>
      <w:tr w:rsidR="00794E6A" w:rsidRPr="00B3149D" w14:paraId="477E53BB" w14:textId="77777777" w:rsidTr="00556F41">
        <w:tc>
          <w:tcPr>
            <w:tcW w:w="1944" w:type="dxa"/>
            <w:tcMar>
              <w:top w:w="60" w:type="dxa"/>
              <w:left w:w="70" w:type="dxa"/>
              <w:bottom w:w="60" w:type="dxa"/>
              <w:right w:w="70" w:type="dxa"/>
            </w:tcMar>
          </w:tcPr>
          <w:p w14:paraId="2BA44DD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Ivanov and </w:t>
            </w:r>
            <w:proofErr w:type="spellStart"/>
            <w:r w:rsidRPr="00B3149D">
              <w:rPr>
                <w:rFonts w:ascii="Arial" w:hAnsi="Arial" w:cs="Arial"/>
                <w:sz w:val="20"/>
                <w:szCs w:val="20"/>
              </w:rPr>
              <w:t>Dolgui</w:t>
            </w:r>
            <w:proofErr w:type="spellEnd"/>
            <w:r w:rsidRPr="00B3149D">
              <w:rPr>
                <w:rFonts w:ascii="Arial" w:hAnsi="Arial" w:cs="Arial"/>
                <w:sz w:val="20"/>
                <w:szCs w:val="20"/>
              </w:rPr>
              <w:t xml:space="preserve"> (2020)</w:t>
            </w:r>
          </w:p>
        </w:tc>
        <w:tc>
          <w:tcPr>
            <w:tcW w:w="1440" w:type="dxa"/>
            <w:tcMar>
              <w:top w:w="60" w:type="dxa"/>
              <w:left w:w="70" w:type="dxa"/>
              <w:bottom w:w="60" w:type="dxa"/>
              <w:right w:w="70" w:type="dxa"/>
            </w:tcMar>
          </w:tcPr>
          <w:p w14:paraId="594C36B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1728" w:type="dxa"/>
            <w:tcMar>
              <w:top w:w="60" w:type="dxa"/>
              <w:left w:w="70" w:type="dxa"/>
              <w:bottom w:w="60" w:type="dxa"/>
              <w:right w:w="70" w:type="dxa"/>
            </w:tcMar>
          </w:tcPr>
          <w:p w14:paraId="5BDC922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Digital operations review</w:t>
            </w:r>
          </w:p>
        </w:tc>
        <w:tc>
          <w:tcPr>
            <w:tcW w:w="2592" w:type="dxa"/>
            <w:tcMar>
              <w:top w:w="60" w:type="dxa"/>
              <w:left w:w="70" w:type="dxa"/>
              <w:bottom w:w="60" w:type="dxa"/>
              <w:right w:w="70" w:type="dxa"/>
            </w:tcMar>
          </w:tcPr>
          <w:p w14:paraId="37DFC36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Viability and resilience in digital supply chains - Useful for connecting forecasting visibility to broader performance outcomes.</w:t>
            </w:r>
          </w:p>
        </w:tc>
        <w:tc>
          <w:tcPr>
            <w:tcW w:w="1512" w:type="dxa"/>
            <w:tcMar>
              <w:top w:w="60" w:type="dxa"/>
              <w:left w:w="70" w:type="dxa"/>
              <w:bottom w:w="60" w:type="dxa"/>
              <w:right w:w="70" w:type="dxa"/>
            </w:tcMar>
          </w:tcPr>
          <w:p w14:paraId="1E58FD9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w:t>
            </w:r>
          </w:p>
        </w:tc>
        <w:tc>
          <w:tcPr>
            <w:tcW w:w="3024" w:type="dxa"/>
            <w:tcMar>
              <w:top w:w="60" w:type="dxa"/>
              <w:left w:w="70" w:type="dxa"/>
              <w:bottom w:w="60" w:type="dxa"/>
              <w:right w:w="70" w:type="dxa"/>
            </w:tcMar>
          </w:tcPr>
          <w:p w14:paraId="5705979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digital technologies alter control, resilience and adaptation.</w:t>
            </w:r>
          </w:p>
        </w:tc>
        <w:tc>
          <w:tcPr>
            <w:tcW w:w="2304" w:type="dxa"/>
            <w:tcMar>
              <w:top w:w="60" w:type="dxa"/>
              <w:left w:w="70" w:type="dxa"/>
              <w:bottom w:w="60" w:type="dxa"/>
              <w:right w:w="70" w:type="dxa"/>
            </w:tcMar>
          </w:tcPr>
          <w:p w14:paraId="0C967BB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Less directly forecasting-centred, but very relevant contextually.</w:t>
            </w:r>
          </w:p>
        </w:tc>
        <w:tc>
          <w:tcPr>
            <w:tcW w:w="1584" w:type="dxa"/>
            <w:tcMar>
              <w:top w:w="60" w:type="dxa"/>
              <w:left w:w="70" w:type="dxa"/>
              <w:bottom w:w="60" w:type="dxa"/>
              <w:right w:w="70" w:type="dxa"/>
            </w:tcMar>
          </w:tcPr>
          <w:p w14:paraId="0414E3D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dynamic-performance perspective.</w:t>
            </w:r>
          </w:p>
        </w:tc>
        <w:tc>
          <w:tcPr>
            <w:tcW w:w="3024" w:type="dxa"/>
            <w:tcMar>
              <w:top w:w="60" w:type="dxa"/>
              <w:left w:w="70" w:type="dxa"/>
              <w:bottom w:w="60" w:type="dxa"/>
              <w:right w:w="70" w:type="dxa"/>
            </w:tcMar>
          </w:tcPr>
          <w:p w14:paraId="30765A9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digital technologies alter control, resilience and adaptation. Useful for connecting forecasting visibility to broader performance outcomes.</w:t>
            </w:r>
          </w:p>
        </w:tc>
      </w:tr>
      <w:tr w:rsidR="00794E6A" w:rsidRPr="00B3149D" w14:paraId="0300BA0C" w14:textId="77777777" w:rsidTr="00556F41">
        <w:tc>
          <w:tcPr>
            <w:tcW w:w="1944" w:type="dxa"/>
            <w:tcMar>
              <w:top w:w="60" w:type="dxa"/>
              <w:left w:w="70" w:type="dxa"/>
              <w:bottom w:w="60" w:type="dxa"/>
              <w:right w:w="70" w:type="dxa"/>
            </w:tcMar>
          </w:tcPr>
          <w:p w14:paraId="545F16F5"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Belhadi</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5F008FA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339464B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Systematic review</w:t>
            </w:r>
          </w:p>
        </w:tc>
        <w:tc>
          <w:tcPr>
            <w:tcW w:w="2592" w:type="dxa"/>
            <w:tcMar>
              <w:top w:w="60" w:type="dxa"/>
              <w:left w:w="70" w:type="dxa"/>
              <w:bottom w:w="60" w:type="dxa"/>
              <w:right w:w="70" w:type="dxa"/>
            </w:tcMar>
          </w:tcPr>
          <w:p w14:paraId="5EE8B94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AI and big data in supply chains - Useful for locating forecasting within a wider capability stack.</w:t>
            </w:r>
          </w:p>
        </w:tc>
        <w:tc>
          <w:tcPr>
            <w:tcW w:w="1512" w:type="dxa"/>
            <w:tcMar>
              <w:top w:w="60" w:type="dxa"/>
              <w:left w:w="70" w:type="dxa"/>
              <w:bottom w:w="60" w:type="dxa"/>
              <w:right w:w="70" w:type="dxa"/>
            </w:tcMar>
          </w:tcPr>
          <w:p w14:paraId="2118380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Systematic review</w:t>
            </w:r>
          </w:p>
        </w:tc>
        <w:tc>
          <w:tcPr>
            <w:tcW w:w="3024" w:type="dxa"/>
            <w:tcMar>
              <w:top w:w="60" w:type="dxa"/>
              <w:left w:w="70" w:type="dxa"/>
              <w:bottom w:w="60" w:type="dxa"/>
              <w:right w:w="70" w:type="dxa"/>
            </w:tcMar>
          </w:tcPr>
          <w:p w14:paraId="392B161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Synthesises how AI and analytics improve supply-chain processes and </w:t>
            </w:r>
            <w:r w:rsidRPr="00B3149D">
              <w:rPr>
                <w:rFonts w:ascii="Arial" w:hAnsi="Arial" w:cs="Arial"/>
                <w:sz w:val="20"/>
                <w:szCs w:val="20"/>
              </w:rPr>
              <w:lastRenderedPageBreak/>
              <w:t>identifies implementation barriers.</w:t>
            </w:r>
          </w:p>
        </w:tc>
        <w:tc>
          <w:tcPr>
            <w:tcW w:w="2304" w:type="dxa"/>
            <w:tcMar>
              <w:top w:w="60" w:type="dxa"/>
              <w:left w:w="70" w:type="dxa"/>
              <w:bottom w:w="60" w:type="dxa"/>
              <w:right w:w="70" w:type="dxa"/>
            </w:tcMar>
          </w:tcPr>
          <w:p w14:paraId="44FBB2F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Breadth can dilute retail specificity.</w:t>
            </w:r>
          </w:p>
        </w:tc>
        <w:tc>
          <w:tcPr>
            <w:tcW w:w="1584" w:type="dxa"/>
            <w:tcMar>
              <w:top w:w="60" w:type="dxa"/>
              <w:left w:w="70" w:type="dxa"/>
              <w:bottom w:w="60" w:type="dxa"/>
              <w:right w:w="70" w:type="dxa"/>
            </w:tcMar>
          </w:tcPr>
          <w:p w14:paraId="070CBD0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technology-integration analysis.</w:t>
            </w:r>
          </w:p>
        </w:tc>
        <w:tc>
          <w:tcPr>
            <w:tcW w:w="3024" w:type="dxa"/>
            <w:tcMar>
              <w:top w:w="60" w:type="dxa"/>
              <w:left w:w="70" w:type="dxa"/>
              <w:bottom w:w="60" w:type="dxa"/>
              <w:right w:w="70" w:type="dxa"/>
            </w:tcMar>
          </w:tcPr>
          <w:p w14:paraId="0EBCFB4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Synthesises how AI and analytics improve supply-chain processes and </w:t>
            </w:r>
            <w:r w:rsidRPr="00B3149D">
              <w:rPr>
                <w:rFonts w:ascii="Arial" w:hAnsi="Arial" w:cs="Arial"/>
                <w:sz w:val="20"/>
                <w:szCs w:val="20"/>
              </w:rPr>
              <w:lastRenderedPageBreak/>
              <w:t>identifies implementation barriers. Useful for locating forecasting within a wider capability stack.</w:t>
            </w:r>
          </w:p>
        </w:tc>
      </w:tr>
      <w:tr w:rsidR="00794E6A" w:rsidRPr="00B3149D" w14:paraId="79F7D95C" w14:textId="77777777" w:rsidTr="00556F41">
        <w:tc>
          <w:tcPr>
            <w:tcW w:w="1944" w:type="dxa"/>
            <w:tcMar>
              <w:top w:w="60" w:type="dxa"/>
              <w:left w:w="70" w:type="dxa"/>
              <w:bottom w:w="60" w:type="dxa"/>
              <w:right w:w="70" w:type="dxa"/>
            </w:tcMar>
          </w:tcPr>
          <w:p w14:paraId="4DEE1D60"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Alicke</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42E9BC8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Industry/report literature</w:t>
            </w:r>
          </w:p>
        </w:tc>
        <w:tc>
          <w:tcPr>
            <w:tcW w:w="1728" w:type="dxa"/>
            <w:tcMar>
              <w:top w:w="60" w:type="dxa"/>
              <w:left w:w="70" w:type="dxa"/>
              <w:bottom w:w="60" w:type="dxa"/>
              <w:right w:w="70" w:type="dxa"/>
            </w:tcMar>
          </w:tcPr>
          <w:p w14:paraId="1BF1561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Managerial report</w:t>
            </w:r>
          </w:p>
        </w:tc>
        <w:tc>
          <w:tcPr>
            <w:tcW w:w="2592" w:type="dxa"/>
            <w:tcMar>
              <w:top w:w="60" w:type="dxa"/>
              <w:left w:w="70" w:type="dxa"/>
              <w:bottom w:w="60" w:type="dxa"/>
              <w:right w:w="70" w:type="dxa"/>
            </w:tcMar>
          </w:tcPr>
          <w:p w14:paraId="147F7C4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Digital supply chains and AI - Useful for practitioner relevance and current managerial discourse.</w:t>
            </w:r>
          </w:p>
        </w:tc>
        <w:tc>
          <w:tcPr>
            <w:tcW w:w="1512" w:type="dxa"/>
            <w:tcMar>
              <w:top w:w="60" w:type="dxa"/>
              <w:left w:w="70" w:type="dxa"/>
              <w:bottom w:w="60" w:type="dxa"/>
              <w:right w:w="70" w:type="dxa"/>
            </w:tcMar>
          </w:tcPr>
          <w:p w14:paraId="79D083A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Industry report</w:t>
            </w:r>
          </w:p>
        </w:tc>
        <w:tc>
          <w:tcPr>
            <w:tcW w:w="3024" w:type="dxa"/>
            <w:tcMar>
              <w:top w:w="60" w:type="dxa"/>
              <w:left w:w="70" w:type="dxa"/>
              <w:bottom w:w="60" w:type="dxa"/>
              <w:right w:w="70" w:type="dxa"/>
            </w:tcMar>
          </w:tcPr>
          <w:p w14:paraId="4F580DF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firms pursue AI in planning for service and cost benefits.</w:t>
            </w:r>
          </w:p>
        </w:tc>
        <w:tc>
          <w:tcPr>
            <w:tcW w:w="2304" w:type="dxa"/>
            <w:tcMar>
              <w:top w:w="60" w:type="dxa"/>
              <w:left w:w="70" w:type="dxa"/>
              <w:bottom w:w="60" w:type="dxa"/>
              <w:right w:w="70" w:type="dxa"/>
            </w:tcMar>
          </w:tcPr>
          <w:p w14:paraId="001C844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peer-reviewed; should supplement, not replace, academic evidence.</w:t>
            </w:r>
          </w:p>
        </w:tc>
        <w:tc>
          <w:tcPr>
            <w:tcW w:w="1584" w:type="dxa"/>
            <w:tcMar>
              <w:top w:w="60" w:type="dxa"/>
              <w:left w:w="70" w:type="dxa"/>
              <w:bottom w:w="60" w:type="dxa"/>
              <w:right w:w="70" w:type="dxa"/>
            </w:tcMar>
          </w:tcPr>
          <w:p w14:paraId="610BD04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Adds practitioner context.</w:t>
            </w:r>
          </w:p>
        </w:tc>
        <w:tc>
          <w:tcPr>
            <w:tcW w:w="3024" w:type="dxa"/>
            <w:tcMar>
              <w:top w:w="60" w:type="dxa"/>
              <w:left w:w="70" w:type="dxa"/>
              <w:bottom w:w="60" w:type="dxa"/>
              <w:right w:w="70" w:type="dxa"/>
            </w:tcMar>
          </w:tcPr>
          <w:p w14:paraId="1D41A23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firms pursue AI in planning for service and cost benefits. Useful for practitioner relevance and current managerial discourse.</w:t>
            </w:r>
          </w:p>
        </w:tc>
      </w:tr>
      <w:tr w:rsidR="00794E6A" w:rsidRPr="00B3149D" w14:paraId="549357C7" w14:textId="77777777" w:rsidTr="00556F41">
        <w:tc>
          <w:tcPr>
            <w:tcW w:w="1944" w:type="dxa"/>
            <w:tcMar>
              <w:top w:w="60" w:type="dxa"/>
              <w:left w:w="70" w:type="dxa"/>
              <w:bottom w:w="60" w:type="dxa"/>
              <w:right w:w="70" w:type="dxa"/>
            </w:tcMar>
          </w:tcPr>
          <w:p w14:paraId="345A9B0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NVIDIA (2024)</w:t>
            </w:r>
          </w:p>
        </w:tc>
        <w:tc>
          <w:tcPr>
            <w:tcW w:w="1440" w:type="dxa"/>
            <w:tcMar>
              <w:top w:w="60" w:type="dxa"/>
              <w:left w:w="70" w:type="dxa"/>
              <w:bottom w:w="60" w:type="dxa"/>
              <w:right w:w="70" w:type="dxa"/>
            </w:tcMar>
          </w:tcPr>
          <w:p w14:paraId="12FA381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Industry/report literature</w:t>
            </w:r>
          </w:p>
        </w:tc>
        <w:tc>
          <w:tcPr>
            <w:tcW w:w="1728" w:type="dxa"/>
            <w:tcMar>
              <w:top w:w="60" w:type="dxa"/>
              <w:left w:w="70" w:type="dxa"/>
              <w:bottom w:w="60" w:type="dxa"/>
              <w:right w:w="70" w:type="dxa"/>
            </w:tcMar>
          </w:tcPr>
          <w:p w14:paraId="24463D9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Industry survey</w:t>
            </w:r>
          </w:p>
        </w:tc>
        <w:tc>
          <w:tcPr>
            <w:tcW w:w="2592" w:type="dxa"/>
            <w:tcMar>
              <w:top w:w="60" w:type="dxa"/>
              <w:left w:w="70" w:type="dxa"/>
              <w:bottom w:w="60" w:type="dxa"/>
              <w:right w:w="70" w:type="dxa"/>
            </w:tcMar>
          </w:tcPr>
          <w:p w14:paraId="35B6B4E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State of AI in retail - Useful for signalling </w:t>
            </w:r>
            <w:r w:rsidRPr="00B3149D">
              <w:rPr>
                <w:rFonts w:ascii="Arial" w:hAnsi="Arial" w:cs="Arial"/>
                <w:sz w:val="20"/>
                <w:szCs w:val="20"/>
              </w:rPr>
              <w:lastRenderedPageBreak/>
              <w:t>practitioner momentum.</w:t>
            </w:r>
          </w:p>
        </w:tc>
        <w:tc>
          <w:tcPr>
            <w:tcW w:w="1512" w:type="dxa"/>
            <w:tcMar>
              <w:top w:w="60" w:type="dxa"/>
              <w:left w:w="70" w:type="dxa"/>
              <w:bottom w:w="60" w:type="dxa"/>
              <w:right w:w="70" w:type="dxa"/>
            </w:tcMar>
          </w:tcPr>
          <w:p w14:paraId="3D461DD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Industry report</w:t>
            </w:r>
          </w:p>
        </w:tc>
        <w:tc>
          <w:tcPr>
            <w:tcW w:w="3024" w:type="dxa"/>
            <w:tcMar>
              <w:top w:w="60" w:type="dxa"/>
              <w:left w:w="70" w:type="dxa"/>
              <w:bottom w:w="60" w:type="dxa"/>
              <w:right w:w="70" w:type="dxa"/>
            </w:tcMar>
          </w:tcPr>
          <w:p w14:paraId="45F29AF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Reports rising retail </w:t>
            </w:r>
            <w:r w:rsidRPr="00B3149D">
              <w:rPr>
                <w:rFonts w:ascii="Arial" w:hAnsi="Arial" w:cs="Arial"/>
                <w:sz w:val="20"/>
                <w:szCs w:val="20"/>
              </w:rPr>
              <w:lastRenderedPageBreak/>
              <w:t>investment in AI for forecasting and operational decisions.</w:t>
            </w:r>
          </w:p>
        </w:tc>
        <w:tc>
          <w:tcPr>
            <w:tcW w:w="2304" w:type="dxa"/>
            <w:tcMar>
              <w:top w:w="60" w:type="dxa"/>
              <w:left w:w="70" w:type="dxa"/>
              <w:bottom w:w="60" w:type="dxa"/>
              <w:right w:w="70" w:type="dxa"/>
            </w:tcMar>
          </w:tcPr>
          <w:p w14:paraId="0730C15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Survey-based and </w:t>
            </w:r>
            <w:r w:rsidRPr="00B3149D">
              <w:rPr>
                <w:rFonts w:ascii="Arial" w:hAnsi="Arial" w:cs="Arial"/>
                <w:sz w:val="20"/>
                <w:szCs w:val="20"/>
              </w:rPr>
              <w:lastRenderedPageBreak/>
              <w:t>vendor-produced, so critical distance is needed.</w:t>
            </w:r>
          </w:p>
        </w:tc>
        <w:tc>
          <w:tcPr>
            <w:tcW w:w="1584" w:type="dxa"/>
            <w:tcMar>
              <w:top w:w="60" w:type="dxa"/>
              <w:left w:w="70" w:type="dxa"/>
              <w:bottom w:w="60" w:type="dxa"/>
              <w:right w:w="70" w:type="dxa"/>
            </w:tcMar>
          </w:tcPr>
          <w:p w14:paraId="7476E46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Adds current retail </w:t>
            </w:r>
            <w:r w:rsidRPr="00B3149D">
              <w:rPr>
                <w:rFonts w:ascii="Arial" w:hAnsi="Arial" w:cs="Arial"/>
                <w:sz w:val="20"/>
                <w:szCs w:val="20"/>
              </w:rPr>
              <w:lastRenderedPageBreak/>
              <w:t>practice context.</w:t>
            </w:r>
          </w:p>
        </w:tc>
        <w:tc>
          <w:tcPr>
            <w:tcW w:w="3024" w:type="dxa"/>
            <w:tcMar>
              <w:top w:w="60" w:type="dxa"/>
              <w:left w:w="70" w:type="dxa"/>
              <w:bottom w:w="60" w:type="dxa"/>
              <w:right w:w="70" w:type="dxa"/>
            </w:tcMar>
          </w:tcPr>
          <w:p w14:paraId="10241DA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Reports rising retail </w:t>
            </w:r>
            <w:r w:rsidRPr="00B3149D">
              <w:rPr>
                <w:rFonts w:ascii="Arial" w:hAnsi="Arial" w:cs="Arial"/>
                <w:sz w:val="20"/>
                <w:szCs w:val="20"/>
              </w:rPr>
              <w:lastRenderedPageBreak/>
              <w:t>investment in AI for forecasting and operational decisions. Useful for signalling practitioner momentum.</w:t>
            </w:r>
          </w:p>
        </w:tc>
      </w:tr>
      <w:tr w:rsidR="00794E6A" w:rsidRPr="00B3149D" w14:paraId="0BDF7690" w14:textId="77777777" w:rsidTr="00556F41">
        <w:tc>
          <w:tcPr>
            <w:tcW w:w="1944" w:type="dxa"/>
            <w:tcMar>
              <w:top w:w="60" w:type="dxa"/>
              <w:left w:w="70" w:type="dxa"/>
              <w:bottom w:w="60" w:type="dxa"/>
              <w:right w:w="70" w:type="dxa"/>
            </w:tcMar>
          </w:tcPr>
          <w:p w14:paraId="339B56A5"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Ransbotham</w:t>
            </w:r>
            <w:proofErr w:type="spellEnd"/>
            <w:r w:rsidRPr="00B3149D">
              <w:rPr>
                <w:rFonts w:ascii="Arial" w:hAnsi="Arial" w:cs="Arial"/>
                <w:sz w:val="20"/>
                <w:szCs w:val="20"/>
              </w:rPr>
              <w:t xml:space="preserve"> et al. (2020)</w:t>
            </w:r>
          </w:p>
        </w:tc>
        <w:tc>
          <w:tcPr>
            <w:tcW w:w="1440" w:type="dxa"/>
            <w:tcMar>
              <w:top w:w="60" w:type="dxa"/>
              <w:left w:w="70" w:type="dxa"/>
              <w:bottom w:w="60" w:type="dxa"/>
              <w:right w:w="70" w:type="dxa"/>
            </w:tcMar>
          </w:tcPr>
          <w:p w14:paraId="6957BA4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Industry/research report</w:t>
            </w:r>
          </w:p>
        </w:tc>
        <w:tc>
          <w:tcPr>
            <w:tcW w:w="1728" w:type="dxa"/>
            <w:tcMar>
              <w:top w:w="60" w:type="dxa"/>
              <w:left w:w="70" w:type="dxa"/>
              <w:bottom w:w="60" w:type="dxa"/>
              <w:right w:w="70" w:type="dxa"/>
            </w:tcMar>
          </w:tcPr>
          <w:p w14:paraId="65911FE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Survey study</w:t>
            </w:r>
          </w:p>
        </w:tc>
        <w:tc>
          <w:tcPr>
            <w:tcW w:w="2592" w:type="dxa"/>
            <w:tcMar>
              <w:top w:w="60" w:type="dxa"/>
              <w:left w:w="70" w:type="dxa"/>
              <w:bottom w:w="60" w:type="dxa"/>
              <w:right w:w="70" w:type="dxa"/>
            </w:tcMar>
          </w:tcPr>
          <w:p w14:paraId="0B83093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Expanding AI’s impact with organisational learning - Useful for explaining why technical capability alone does not ensure performance.</w:t>
            </w:r>
          </w:p>
        </w:tc>
        <w:tc>
          <w:tcPr>
            <w:tcW w:w="1512" w:type="dxa"/>
            <w:tcMar>
              <w:top w:w="60" w:type="dxa"/>
              <w:left w:w="70" w:type="dxa"/>
              <w:bottom w:w="60" w:type="dxa"/>
              <w:right w:w="70" w:type="dxa"/>
            </w:tcMar>
          </w:tcPr>
          <w:p w14:paraId="3D0634D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Survey/report</w:t>
            </w:r>
          </w:p>
        </w:tc>
        <w:tc>
          <w:tcPr>
            <w:tcW w:w="3024" w:type="dxa"/>
            <w:tcMar>
              <w:top w:w="60" w:type="dxa"/>
              <w:left w:w="70" w:type="dxa"/>
              <w:bottom w:w="60" w:type="dxa"/>
              <w:right w:w="70" w:type="dxa"/>
            </w:tcMar>
          </w:tcPr>
          <w:p w14:paraId="3225E11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organisational learning and change management affect AI value capture.</w:t>
            </w:r>
          </w:p>
        </w:tc>
        <w:tc>
          <w:tcPr>
            <w:tcW w:w="2304" w:type="dxa"/>
            <w:tcMar>
              <w:top w:w="60" w:type="dxa"/>
              <w:left w:w="70" w:type="dxa"/>
              <w:bottom w:w="60" w:type="dxa"/>
              <w:right w:w="70" w:type="dxa"/>
            </w:tcMar>
          </w:tcPr>
          <w:p w14:paraId="7239FA8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Survey evidence is indicative rather than causal.</w:t>
            </w:r>
          </w:p>
        </w:tc>
        <w:tc>
          <w:tcPr>
            <w:tcW w:w="1584" w:type="dxa"/>
            <w:tcMar>
              <w:top w:w="60" w:type="dxa"/>
              <w:left w:w="70" w:type="dxa"/>
              <w:bottom w:w="60" w:type="dxa"/>
              <w:right w:w="70" w:type="dxa"/>
            </w:tcMar>
          </w:tcPr>
          <w:p w14:paraId="354D544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implementation insights.</w:t>
            </w:r>
          </w:p>
        </w:tc>
        <w:tc>
          <w:tcPr>
            <w:tcW w:w="3024" w:type="dxa"/>
            <w:tcMar>
              <w:top w:w="60" w:type="dxa"/>
              <w:left w:w="70" w:type="dxa"/>
              <w:bottom w:w="60" w:type="dxa"/>
              <w:right w:w="70" w:type="dxa"/>
            </w:tcMar>
          </w:tcPr>
          <w:p w14:paraId="72A7010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Shows that organisational learning and change management affect AI value capture. Useful for explaining why technical capability alone does not </w:t>
            </w:r>
            <w:r w:rsidRPr="00B3149D">
              <w:rPr>
                <w:rFonts w:ascii="Arial" w:hAnsi="Arial" w:cs="Arial"/>
                <w:sz w:val="20"/>
                <w:szCs w:val="20"/>
              </w:rPr>
              <w:lastRenderedPageBreak/>
              <w:t>ensure performance.</w:t>
            </w:r>
          </w:p>
        </w:tc>
      </w:tr>
      <w:tr w:rsidR="00794E6A" w:rsidRPr="00B3149D" w14:paraId="1612042E" w14:textId="77777777" w:rsidTr="00556F41">
        <w:tc>
          <w:tcPr>
            <w:tcW w:w="1944" w:type="dxa"/>
            <w:tcMar>
              <w:top w:w="60" w:type="dxa"/>
              <w:left w:w="70" w:type="dxa"/>
              <w:bottom w:w="60" w:type="dxa"/>
              <w:right w:w="70" w:type="dxa"/>
            </w:tcMar>
          </w:tcPr>
          <w:p w14:paraId="16D42019"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Jöhnk</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62E011E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491AEAC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Systematic review</w:t>
            </w:r>
          </w:p>
        </w:tc>
        <w:tc>
          <w:tcPr>
            <w:tcW w:w="2592" w:type="dxa"/>
            <w:tcMar>
              <w:top w:w="60" w:type="dxa"/>
              <w:left w:w="70" w:type="dxa"/>
              <w:bottom w:w="60" w:type="dxa"/>
              <w:right w:w="70" w:type="dxa"/>
            </w:tcMar>
          </w:tcPr>
          <w:p w14:paraId="28ADF92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Decision support and AI adoption - Useful for the adoption and decision-governance dimension.</w:t>
            </w:r>
          </w:p>
        </w:tc>
        <w:tc>
          <w:tcPr>
            <w:tcW w:w="1512" w:type="dxa"/>
            <w:tcMar>
              <w:top w:w="60" w:type="dxa"/>
              <w:left w:w="70" w:type="dxa"/>
              <w:bottom w:w="60" w:type="dxa"/>
              <w:right w:w="70" w:type="dxa"/>
            </w:tcMar>
          </w:tcPr>
          <w:p w14:paraId="353B7E9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Systematic review</w:t>
            </w:r>
          </w:p>
        </w:tc>
        <w:tc>
          <w:tcPr>
            <w:tcW w:w="3024" w:type="dxa"/>
            <w:tcMar>
              <w:top w:w="60" w:type="dxa"/>
              <w:left w:w="70" w:type="dxa"/>
              <w:bottom w:w="60" w:type="dxa"/>
              <w:right w:w="70" w:type="dxa"/>
            </w:tcMar>
          </w:tcPr>
          <w:p w14:paraId="46736C1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Synthesises organisational antecedents of AI adoption and deployment.</w:t>
            </w:r>
          </w:p>
        </w:tc>
        <w:tc>
          <w:tcPr>
            <w:tcW w:w="2304" w:type="dxa"/>
            <w:tcMar>
              <w:top w:w="60" w:type="dxa"/>
              <w:left w:w="70" w:type="dxa"/>
              <w:bottom w:w="60" w:type="dxa"/>
              <w:right w:w="70" w:type="dxa"/>
            </w:tcMar>
          </w:tcPr>
          <w:p w14:paraId="5507CD3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Broader than SCM, but conceptually relevant.</w:t>
            </w:r>
          </w:p>
        </w:tc>
        <w:tc>
          <w:tcPr>
            <w:tcW w:w="1584" w:type="dxa"/>
            <w:tcMar>
              <w:top w:w="60" w:type="dxa"/>
              <w:left w:w="70" w:type="dxa"/>
              <w:bottom w:w="60" w:type="dxa"/>
              <w:right w:w="70" w:type="dxa"/>
            </w:tcMar>
          </w:tcPr>
          <w:p w14:paraId="275946D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managerial implications.</w:t>
            </w:r>
          </w:p>
        </w:tc>
        <w:tc>
          <w:tcPr>
            <w:tcW w:w="3024" w:type="dxa"/>
            <w:tcMar>
              <w:top w:w="60" w:type="dxa"/>
              <w:left w:w="70" w:type="dxa"/>
              <w:bottom w:w="60" w:type="dxa"/>
              <w:right w:w="70" w:type="dxa"/>
            </w:tcMar>
          </w:tcPr>
          <w:p w14:paraId="26FEBFD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Synthesises organisational antecedents of AI adoption and deployment. Useful for the adoption and decision-governance dimension.</w:t>
            </w:r>
          </w:p>
        </w:tc>
      </w:tr>
      <w:tr w:rsidR="00794E6A" w:rsidRPr="00B3149D" w14:paraId="631D7601" w14:textId="77777777" w:rsidTr="00556F41">
        <w:tc>
          <w:tcPr>
            <w:tcW w:w="1944" w:type="dxa"/>
            <w:tcMar>
              <w:top w:w="60" w:type="dxa"/>
              <w:left w:w="70" w:type="dxa"/>
              <w:bottom w:w="60" w:type="dxa"/>
              <w:right w:w="70" w:type="dxa"/>
            </w:tcMar>
          </w:tcPr>
          <w:p w14:paraId="4C371C39"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Ammirato</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7942836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07B9132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Systematic review</w:t>
            </w:r>
          </w:p>
        </w:tc>
        <w:tc>
          <w:tcPr>
            <w:tcW w:w="2592" w:type="dxa"/>
            <w:tcMar>
              <w:top w:w="60" w:type="dxa"/>
              <w:left w:w="70" w:type="dxa"/>
              <w:bottom w:w="60" w:type="dxa"/>
              <w:right w:w="70" w:type="dxa"/>
            </w:tcMar>
          </w:tcPr>
          <w:p w14:paraId="6221040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AI in retailing - Useful for retail-specific context beyond forecasting alone.</w:t>
            </w:r>
          </w:p>
        </w:tc>
        <w:tc>
          <w:tcPr>
            <w:tcW w:w="1512" w:type="dxa"/>
            <w:tcMar>
              <w:top w:w="60" w:type="dxa"/>
              <w:left w:w="70" w:type="dxa"/>
              <w:bottom w:w="60" w:type="dxa"/>
              <w:right w:w="70" w:type="dxa"/>
            </w:tcMar>
          </w:tcPr>
          <w:p w14:paraId="27A37AB9"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Systematic review</w:t>
            </w:r>
          </w:p>
        </w:tc>
        <w:tc>
          <w:tcPr>
            <w:tcW w:w="3024" w:type="dxa"/>
            <w:tcMar>
              <w:top w:w="60" w:type="dxa"/>
              <w:left w:w="70" w:type="dxa"/>
              <w:bottom w:w="60" w:type="dxa"/>
              <w:right w:w="70" w:type="dxa"/>
            </w:tcMar>
          </w:tcPr>
          <w:p w14:paraId="45A7D55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how AI is changing retail operations and customer-facing processes.</w:t>
            </w:r>
          </w:p>
        </w:tc>
        <w:tc>
          <w:tcPr>
            <w:tcW w:w="2304" w:type="dxa"/>
            <w:tcMar>
              <w:top w:w="60" w:type="dxa"/>
              <w:left w:w="70" w:type="dxa"/>
              <w:bottom w:w="60" w:type="dxa"/>
              <w:right w:w="70" w:type="dxa"/>
            </w:tcMar>
          </w:tcPr>
          <w:p w14:paraId="52AF2A3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May foreground customer analytics more than replenishment.</w:t>
            </w:r>
          </w:p>
        </w:tc>
        <w:tc>
          <w:tcPr>
            <w:tcW w:w="1584" w:type="dxa"/>
            <w:tcMar>
              <w:top w:w="60" w:type="dxa"/>
              <w:left w:w="70" w:type="dxa"/>
              <w:bottom w:w="60" w:type="dxa"/>
              <w:right w:w="70" w:type="dxa"/>
            </w:tcMar>
          </w:tcPr>
          <w:p w14:paraId="24F2624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the retail transformation backdrop.</w:t>
            </w:r>
          </w:p>
        </w:tc>
        <w:tc>
          <w:tcPr>
            <w:tcW w:w="3024" w:type="dxa"/>
            <w:tcMar>
              <w:top w:w="60" w:type="dxa"/>
              <w:left w:w="70" w:type="dxa"/>
              <w:bottom w:w="60" w:type="dxa"/>
              <w:right w:w="70" w:type="dxa"/>
            </w:tcMar>
          </w:tcPr>
          <w:p w14:paraId="01B04A4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Reviews how AI is changing retail operations and customer-facing processes. Useful for retail-</w:t>
            </w:r>
            <w:r w:rsidRPr="00B3149D">
              <w:rPr>
                <w:rFonts w:ascii="Arial" w:hAnsi="Arial" w:cs="Arial"/>
                <w:sz w:val="20"/>
                <w:szCs w:val="20"/>
              </w:rPr>
              <w:lastRenderedPageBreak/>
              <w:t>specific context beyond forecasting alone.</w:t>
            </w:r>
          </w:p>
        </w:tc>
      </w:tr>
      <w:tr w:rsidR="00794E6A" w:rsidRPr="00B3149D" w14:paraId="4444E711" w14:textId="77777777" w:rsidTr="00556F41">
        <w:tc>
          <w:tcPr>
            <w:tcW w:w="1944" w:type="dxa"/>
            <w:tcMar>
              <w:top w:w="60" w:type="dxa"/>
              <w:left w:w="70" w:type="dxa"/>
              <w:bottom w:w="60" w:type="dxa"/>
              <w:right w:w="70" w:type="dxa"/>
            </w:tcMar>
          </w:tcPr>
          <w:p w14:paraId="7C44EEC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Modgil et al. (2022)</w:t>
            </w:r>
          </w:p>
        </w:tc>
        <w:tc>
          <w:tcPr>
            <w:tcW w:w="1440" w:type="dxa"/>
            <w:tcMar>
              <w:top w:w="60" w:type="dxa"/>
              <w:left w:w="70" w:type="dxa"/>
              <w:bottom w:w="60" w:type="dxa"/>
              <w:right w:w="70" w:type="dxa"/>
            </w:tcMar>
          </w:tcPr>
          <w:p w14:paraId="7B889CF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42FB49F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2592" w:type="dxa"/>
            <w:tcMar>
              <w:top w:w="60" w:type="dxa"/>
              <w:left w:w="70" w:type="dxa"/>
              <w:bottom w:w="60" w:type="dxa"/>
              <w:right w:w="70" w:type="dxa"/>
            </w:tcMar>
          </w:tcPr>
          <w:p w14:paraId="3D522BA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AI-enabled supply chain sustainability/performance - Useful for seeing how performance is theorised in adjacent work.</w:t>
            </w:r>
          </w:p>
        </w:tc>
        <w:tc>
          <w:tcPr>
            <w:tcW w:w="1512" w:type="dxa"/>
            <w:tcMar>
              <w:top w:w="60" w:type="dxa"/>
              <w:left w:w="70" w:type="dxa"/>
              <w:bottom w:w="60" w:type="dxa"/>
              <w:right w:w="70" w:type="dxa"/>
            </w:tcMar>
          </w:tcPr>
          <w:p w14:paraId="1462719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article</w:t>
            </w:r>
          </w:p>
        </w:tc>
        <w:tc>
          <w:tcPr>
            <w:tcW w:w="3024" w:type="dxa"/>
            <w:tcMar>
              <w:top w:w="60" w:type="dxa"/>
              <w:left w:w="70" w:type="dxa"/>
              <w:bottom w:w="60" w:type="dxa"/>
              <w:right w:w="70" w:type="dxa"/>
            </w:tcMar>
          </w:tcPr>
          <w:p w14:paraId="1FACEE0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AI research often emphasises efficiency, sustainability and performance outcomes.</w:t>
            </w:r>
          </w:p>
        </w:tc>
        <w:tc>
          <w:tcPr>
            <w:tcW w:w="2304" w:type="dxa"/>
            <w:tcMar>
              <w:top w:w="60" w:type="dxa"/>
              <w:left w:w="70" w:type="dxa"/>
              <w:bottom w:w="60" w:type="dxa"/>
              <w:right w:w="70" w:type="dxa"/>
            </w:tcMar>
          </w:tcPr>
          <w:p w14:paraId="483518A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limited to forecasting, but helpful for broad synthesis.</w:t>
            </w:r>
          </w:p>
        </w:tc>
        <w:tc>
          <w:tcPr>
            <w:tcW w:w="1584" w:type="dxa"/>
            <w:tcMar>
              <w:top w:w="60" w:type="dxa"/>
              <w:left w:w="70" w:type="dxa"/>
              <w:bottom w:w="60" w:type="dxa"/>
              <w:right w:w="70" w:type="dxa"/>
            </w:tcMar>
          </w:tcPr>
          <w:p w14:paraId="3800884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cross-field linkage.</w:t>
            </w:r>
          </w:p>
        </w:tc>
        <w:tc>
          <w:tcPr>
            <w:tcW w:w="3024" w:type="dxa"/>
            <w:tcMar>
              <w:top w:w="60" w:type="dxa"/>
              <w:left w:w="70" w:type="dxa"/>
              <w:bottom w:w="60" w:type="dxa"/>
              <w:right w:w="70" w:type="dxa"/>
            </w:tcMar>
          </w:tcPr>
          <w:p w14:paraId="0778E70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AI research often emphasises efficiency, sustainability and performance outcomes. Useful for seeing how performance is theorised in adjacent work.</w:t>
            </w:r>
          </w:p>
        </w:tc>
      </w:tr>
      <w:tr w:rsidR="00794E6A" w:rsidRPr="00B3149D" w14:paraId="19BAB2CC" w14:textId="77777777" w:rsidTr="00556F41">
        <w:tc>
          <w:tcPr>
            <w:tcW w:w="1944" w:type="dxa"/>
            <w:tcMar>
              <w:top w:w="60" w:type="dxa"/>
              <w:left w:w="70" w:type="dxa"/>
              <w:bottom w:w="60" w:type="dxa"/>
              <w:right w:w="70" w:type="dxa"/>
            </w:tcMar>
          </w:tcPr>
          <w:p w14:paraId="22614EFE"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Mikalef</w:t>
            </w:r>
            <w:proofErr w:type="spellEnd"/>
            <w:r w:rsidRPr="00B3149D">
              <w:rPr>
                <w:rFonts w:ascii="Arial" w:hAnsi="Arial" w:cs="Arial"/>
                <w:sz w:val="20"/>
                <w:szCs w:val="20"/>
              </w:rPr>
              <w:t xml:space="preserve"> and Gupta (2021)</w:t>
            </w:r>
          </w:p>
        </w:tc>
        <w:tc>
          <w:tcPr>
            <w:tcW w:w="1440" w:type="dxa"/>
            <w:tcMar>
              <w:top w:w="60" w:type="dxa"/>
              <w:left w:w="70" w:type="dxa"/>
              <w:bottom w:w="60" w:type="dxa"/>
              <w:right w:w="70" w:type="dxa"/>
            </w:tcMar>
          </w:tcPr>
          <w:p w14:paraId="0A203B9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1728" w:type="dxa"/>
            <w:tcMar>
              <w:top w:w="60" w:type="dxa"/>
              <w:left w:w="70" w:type="dxa"/>
              <w:bottom w:w="60" w:type="dxa"/>
              <w:right w:w="70" w:type="dxa"/>
            </w:tcMar>
          </w:tcPr>
          <w:p w14:paraId="119BF1F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Capability study</w:t>
            </w:r>
          </w:p>
        </w:tc>
        <w:tc>
          <w:tcPr>
            <w:tcW w:w="2592" w:type="dxa"/>
            <w:tcMar>
              <w:top w:w="60" w:type="dxa"/>
              <w:left w:w="70" w:type="dxa"/>
              <w:bottom w:w="60" w:type="dxa"/>
              <w:right w:w="70" w:type="dxa"/>
            </w:tcMar>
          </w:tcPr>
          <w:p w14:paraId="269E7B3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AI capability and business value - Useful because it explains why model quality alone is insufficient.</w:t>
            </w:r>
          </w:p>
        </w:tc>
        <w:tc>
          <w:tcPr>
            <w:tcW w:w="1512" w:type="dxa"/>
            <w:tcMar>
              <w:top w:w="60" w:type="dxa"/>
              <w:left w:w="70" w:type="dxa"/>
              <w:bottom w:w="60" w:type="dxa"/>
              <w:right w:w="70" w:type="dxa"/>
            </w:tcMar>
          </w:tcPr>
          <w:p w14:paraId="28E9580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3024" w:type="dxa"/>
            <w:tcMar>
              <w:top w:w="60" w:type="dxa"/>
              <w:left w:w="70" w:type="dxa"/>
              <w:bottom w:w="60" w:type="dxa"/>
              <w:right w:w="70" w:type="dxa"/>
            </w:tcMar>
          </w:tcPr>
          <w:p w14:paraId="1AE1D73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data, technology and managerial capabilit</w:t>
            </w:r>
            <w:r w:rsidRPr="00B3149D">
              <w:rPr>
                <w:rFonts w:ascii="Arial" w:hAnsi="Arial" w:cs="Arial"/>
                <w:sz w:val="20"/>
                <w:szCs w:val="20"/>
              </w:rPr>
              <w:lastRenderedPageBreak/>
              <w:t>ies jointly shape AI value creation.</w:t>
            </w:r>
          </w:p>
        </w:tc>
        <w:tc>
          <w:tcPr>
            <w:tcW w:w="2304" w:type="dxa"/>
            <w:tcMar>
              <w:top w:w="60" w:type="dxa"/>
              <w:left w:w="70" w:type="dxa"/>
              <w:bottom w:w="60" w:type="dxa"/>
              <w:right w:w="70" w:type="dxa"/>
            </w:tcMar>
          </w:tcPr>
          <w:p w14:paraId="650AED7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Not retail-specific, but highly relevant to capabilit</w:t>
            </w:r>
            <w:r w:rsidRPr="00B3149D">
              <w:rPr>
                <w:rFonts w:ascii="Arial" w:hAnsi="Arial" w:cs="Arial"/>
                <w:sz w:val="20"/>
                <w:szCs w:val="20"/>
              </w:rPr>
              <w:lastRenderedPageBreak/>
              <w:t>y mediators.</w:t>
            </w:r>
          </w:p>
        </w:tc>
        <w:tc>
          <w:tcPr>
            <w:tcW w:w="1584" w:type="dxa"/>
            <w:tcMar>
              <w:top w:w="60" w:type="dxa"/>
              <w:left w:w="70" w:type="dxa"/>
              <w:bottom w:w="60" w:type="dxa"/>
              <w:right w:w="70" w:type="dxa"/>
            </w:tcMar>
          </w:tcPr>
          <w:p w14:paraId="6F44D1C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Supports the mediated-performance argument.</w:t>
            </w:r>
          </w:p>
        </w:tc>
        <w:tc>
          <w:tcPr>
            <w:tcW w:w="3024" w:type="dxa"/>
            <w:tcMar>
              <w:top w:w="60" w:type="dxa"/>
              <w:left w:w="70" w:type="dxa"/>
              <w:bottom w:w="60" w:type="dxa"/>
              <w:right w:w="70" w:type="dxa"/>
            </w:tcMar>
          </w:tcPr>
          <w:p w14:paraId="3E31DB6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data, technology and managerial capabilit</w:t>
            </w:r>
            <w:r w:rsidRPr="00B3149D">
              <w:rPr>
                <w:rFonts w:ascii="Arial" w:hAnsi="Arial" w:cs="Arial"/>
                <w:sz w:val="20"/>
                <w:szCs w:val="20"/>
              </w:rPr>
              <w:lastRenderedPageBreak/>
              <w:t>ies jointly shape AI value creation. Useful because it explains why model quality alone is insufficient.</w:t>
            </w:r>
          </w:p>
        </w:tc>
      </w:tr>
      <w:tr w:rsidR="00794E6A" w:rsidRPr="00B3149D" w14:paraId="4A72CCD6" w14:textId="77777777" w:rsidTr="00556F41">
        <w:tc>
          <w:tcPr>
            <w:tcW w:w="1944" w:type="dxa"/>
            <w:tcMar>
              <w:top w:w="60" w:type="dxa"/>
              <w:left w:w="70" w:type="dxa"/>
              <w:bottom w:w="60" w:type="dxa"/>
              <w:right w:w="70" w:type="dxa"/>
            </w:tcMar>
          </w:tcPr>
          <w:p w14:paraId="2A69EE5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Keding (2020)</w:t>
            </w:r>
          </w:p>
        </w:tc>
        <w:tc>
          <w:tcPr>
            <w:tcW w:w="1440" w:type="dxa"/>
            <w:tcMar>
              <w:top w:w="60" w:type="dxa"/>
              <w:left w:w="70" w:type="dxa"/>
              <w:bottom w:w="60" w:type="dxa"/>
              <w:right w:w="70" w:type="dxa"/>
            </w:tcMar>
          </w:tcPr>
          <w:p w14:paraId="3CE8415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1728" w:type="dxa"/>
            <w:tcMar>
              <w:top w:w="60" w:type="dxa"/>
              <w:left w:w="70" w:type="dxa"/>
              <w:bottom w:w="60" w:type="dxa"/>
              <w:right w:w="70" w:type="dxa"/>
            </w:tcMar>
          </w:tcPr>
          <w:p w14:paraId="35205F8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Ethics/governance review</w:t>
            </w:r>
          </w:p>
        </w:tc>
        <w:tc>
          <w:tcPr>
            <w:tcW w:w="2592" w:type="dxa"/>
            <w:tcMar>
              <w:top w:w="60" w:type="dxa"/>
              <w:left w:w="70" w:type="dxa"/>
              <w:bottom w:w="60" w:type="dxa"/>
              <w:right w:w="70" w:type="dxa"/>
            </w:tcMar>
          </w:tcPr>
          <w:p w14:paraId="35FCC61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Understanding AI adoption and ethics - Useful for broadening Part 2 beyond technical performance.</w:t>
            </w:r>
          </w:p>
        </w:tc>
        <w:tc>
          <w:tcPr>
            <w:tcW w:w="1512" w:type="dxa"/>
            <w:tcMar>
              <w:top w:w="60" w:type="dxa"/>
              <w:left w:w="70" w:type="dxa"/>
              <w:bottom w:w="60" w:type="dxa"/>
              <w:right w:w="70" w:type="dxa"/>
            </w:tcMar>
          </w:tcPr>
          <w:p w14:paraId="3D47F4E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Conceptual/review</w:t>
            </w:r>
          </w:p>
        </w:tc>
        <w:tc>
          <w:tcPr>
            <w:tcW w:w="3024" w:type="dxa"/>
            <w:tcMar>
              <w:top w:w="60" w:type="dxa"/>
              <w:left w:w="70" w:type="dxa"/>
              <w:bottom w:w="60" w:type="dxa"/>
              <w:right w:w="70" w:type="dxa"/>
            </w:tcMar>
          </w:tcPr>
          <w:p w14:paraId="0C8A797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ethical and organisational issues intersect in AI adoption.</w:t>
            </w:r>
          </w:p>
        </w:tc>
        <w:tc>
          <w:tcPr>
            <w:tcW w:w="2304" w:type="dxa"/>
            <w:tcMar>
              <w:top w:w="60" w:type="dxa"/>
              <w:left w:w="70" w:type="dxa"/>
              <w:bottom w:w="60" w:type="dxa"/>
              <w:right w:w="70" w:type="dxa"/>
            </w:tcMar>
          </w:tcPr>
          <w:p w14:paraId="37628B4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Abstract, but relevant to responsible implementation.</w:t>
            </w:r>
          </w:p>
        </w:tc>
        <w:tc>
          <w:tcPr>
            <w:tcW w:w="1584" w:type="dxa"/>
            <w:tcMar>
              <w:top w:w="60" w:type="dxa"/>
              <w:left w:w="70" w:type="dxa"/>
              <w:bottom w:w="60" w:type="dxa"/>
              <w:right w:w="70" w:type="dxa"/>
            </w:tcMar>
          </w:tcPr>
          <w:p w14:paraId="5A85A30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governance critique.</w:t>
            </w:r>
          </w:p>
        </w:tc>
        <w:tc>
          <w:tcPr>
            <w:tcW w:w="3024" w:type="dxa"/>
            <w:tcMar>
              <w:top w:w="60" w:type="dxa"/>
              <w:left w:w="70" w:type="dxa"/>
              <w:bottom w:w="60" w:type="dxa"/>
              <w:right w:w="70" w:type="dxa"/>
            </w:tcMar>
          </w:tcPr>
          <w:p w14:paraId="53CBBF3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how ethical and organisational issues intersect in AI adoption. Useful for broadening Part 2 beyond technical performance.</w:t>
            </w:r>
          </w:p>
        </w:tc>
      </w:tr>
      <w:tr w:rsidR="00794E6A" w:rsidRPr="00B3149D" w14:paraId="7E88B0B4" w14:textId="77777777" w:rsidTr="00556F41">
        <w:tc>
          <w:tcPr>
            <w:tcW w:w="1944" w:type="dxa"/>
            <w:tcMar>
              <w:top w:w="60" w:type="dxa"/>
              <w:left w:w="70" w:type="dxa"/>
              <w:bottom w:w="60" w:type="dxa"/>
              <w:right w:w="70" w:type="dxa"/>
            </w:tcMar>
          </w:tcPr>
          <w:p w14:paraId="3129084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Davenport and </w:t>
            </w:r>
            <w:proofErr w:type="spellStart"/>
            <w:r w:rsidRPr="00B3149D">
              <w:rPr>
                <w:rFonts w:ascii="Arial" w:hAnsi="Arial" w:cs="Arial"/>
                <w:sz w:val="20"/>
                <w:szCs w:val="20"/>
              </w:rPr>
              <w:lastRenderedPageBreak/>
              <w:t>Ronanki</w:t>
            </w:r>
            <w:proofErr w:type="spellEnd"/>
            <w:r w:rsidRPr="00B3149D">
              <w:rPr>
                <w:rFonts w:ascii="Arial" w:hAnsi="Arial" w:cs="Arial"/>
                <w:sz w:val="20"/>
                <w:szCs w:val="20"/>
              </w:rPr>
              <w:t xml:space="preserve"> (2018)</w:t>
            </w:r>
          </w:p>
        </w:tc>
        <w:tc>
          <w:tcPr>
            <w:tcW w:w="1440" w:type="dxa"/>
            <w:tcMar>
              <w:top w:w="60" w:type="dxa"/>
              <w:left w:w="70" w:type="dxa"/>
              <w:bottom w:w="60" w:type="dxa"/>
              <w:right w:w="70" w:type="dxa"/>
            </w:tcMar>
          </w:tcPr>
          <w:p w14:paraId="0E2E8FA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Managerial article</w:t>
            </w:r>
          </w:p>
        </w:tc>
        <w:tc>
          <w:tcPr>
            <w:tcW w:w="1728" w:type="dxa"/>
            <w:tcMar>
              <w:top w:w="60" w:type="dxa"/>
              <w:left w:w="70" w:type="dxa"/>
              <w:bottom w:w="60" w:type="dxa"/>
              <w:right w:w="70" w:type="dxa"/>
            </w:tcMar>
          </w:tcPr>
          <w:p w14:paraId="2B493AE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Practice review</w:t>
            </w:r>
          </w:p>
        </w:tc>
        <w:tc>
          <w:tcPr>
            <w:tcW w:w="2592" w:type="dxa"/>
            <w:tcMar>
              <w:top w:w="60" w:type="dxa"/>
              <w:left w:w="70" w:type="dxa"/>
              <w:bottom w:w="60" w:type="dxa"/>
              <w:right w:w="70" w:type="dxa"/>
            </w:tcMar>
          </w:tcPr>
          <w:p w14:paraId="33649B5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AI for the real world - Useful because it </w:t>
            </w:r>
            <w:r w:rsidRPr="00B3149D">
              <w:rPr>
                <w:rFonts w:ascii="Arial" w:hAnsi="Arial" w:cs="Arial"/>
                <w:sz w:val="20"/>
                <w:szCs w:val="20"/>
              </w:rPr>
              <w:lastRenderedPageBreak/>
              <w:t>tempers AI hype with implementation realism.</w:t>
            </w:r>
          </w:p>
        </w:tc>
        <w:tc>
          <w:tcPr>
            <w:tcW w:w="1512" w:type="dxa"/>
            <w:tcMar>
              <w:top w:w="60" w:type="dxa"/>
              <w:left w:w="70" w:type="dxa"/>
              <w:bottom w:w="60" w:type="dxa"/>
              <w:right w:w="70" w:type="dxa"/>
            </w:tcMar>
          </w:tcPr>
          <w:p w14:paraId="35A804A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Managerial review</w:t>
            </w:r>
          </w:p>
        </w:tc>
        <w:tc>
          <w:tcPr>
            <w:tcW w:w="3024" w:type="dxa"/>
            <w:tcMar>
              <w:top w:w="60" w:type="dxa"/>
              <w:left w:w="70" w:type="dxa"/>
              <w:bottom w:w="60" w:type="dxa"/>
              <w:right w:w="70" w:type="dxa"/>
            </w:tcMar>
          </w:tcPr>
          <w:p w14:paraId="09C7C01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Argues that many AI </w:t>
            </w:r>
            <w:r w:rsidRPr="00B3149D">
              <w:rPr>
                <w:rFonts w:ascii="Arial" w:hAnsi="Arial" w:cs="Arial"/>
                <w:sz w:val="20"/>
                <w:szCs w:val="20"/>
              </w:rPr>
              <w:lastRenderedPageBreak/>
              <w:t>projects create value only when aligned to operational processes.</w:t>
            </w:r>
          </w:p>
        </w:tc>
        <w:tc>
          <w:tcPr>
            <w:tcW w:w="2304" w:type="dxa"/>
            <w:tcMar>
              <w:top w:w="60" w:type="dxa"/>
              <w:left w:w="70" w:type="dxa"/>
              <w:bottom w:w="60" w:type="dxa"/>
              <w:right w:w="70" w:type="dxa"/>
            </w:tcMar>
          </w:tcPr>
          <w:p w14:paraId="4F21973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Managerial rather </w:t>
            </w:r>
            <w:r w:rsidRPr="00B3149D">
              <w:rPr>
                <w:rFonts w:ascii="Arial" w:hAnsi="Arial" w:cs="Arial"/>
                <w:sz w:val="20"/>
                <w:szCs w:val="20"/>
              </w:rPr>
              <w:lastRenderedPageBreak/>
              <w:t>than scholarly, so should be used selectively.</w:t>
            </w:r>
          </w:p>
        </w:tc>
        <w:tc>
          <w:tcPr>
            <w:tcW w:w="1584" w:type="dxa"/>
            <w:tcMar>
              <w:top w:w="60" w:type="dxa"/>
              <w:left w:w="70" w:type="dxa"/>
              <w:bottom w:w="60" w:type="dxa"/>
              <w:right w:w="70" w:type="dxa"/>
            </w:tcMar>
          </w:tcPr>
          <w:p w14:paraId="56B1DBE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Adds practitioner-</w:t>
            </w:r>
            <w:r w:rsidRPr="00B3149D">
              <w:rPr>
                <w:rFonts w:ascii="Arial" w:hAnsi="Arial" w:cs="Arial"/>
                <w:sz w:val="20"/>
                <w:szCs w:val="20"/>
              </w:rPr>
              <w:lastRenderedPageBreak/>
              <w:t>oriented realism.</w:t>
            </w:r>
          </w:p>
        </w:tc>
        <w:tc>
          <w:tcPr>
            <w:tcW w:w="3024" w:type="dxa"/>
            <w:tcMar>
              <w:top w:w="60" w:type="dxa"/>
              <w:left w:w="70" w:type="dxa"/>
              <w:bottom w:w="60" w:type="dxa"/>
              <w:right w:w="70" w:type="dxa"/>
            </w:tcMar>
          </w:tcPr>
          <w:p w14:paraId="004F555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 xml:space="preserve">Argues that many AI </w:t>
            </w:r>
            <w:r w:rsidRPr="00B3149D">
              <w:rPr>
                <w:rFonts w:ascii="Arial" w:hAnsi="Arial" w:cs="Arial"/>
                <w:sz w:val="20"/>
                <w:szCs w:val="20"/>
              </w:rPr>
              <w:lastRenderedPageBreak/>
              <w:t>projects create value only when aligned to operational processes. Useful because it tempers AI hype with implementation realism.</w:t>
            </w:r>
          </w:p>
        </w:tc>
      </w:tr>
      <w:tr w:rsidR="00794E6A" w:rsidRPr="00B3149D" w14:paraId="6DD9F653" w14:textId="77777777" w:rsidTr="00556F41">
        <w:tc>
          <w:tcPr>
            <w:tcW w:w="1944" w:type="dxa"/>
            <w:tcMar>
              <w:top w:w="60" w:type="dxa"/>
              <w:left w:w="70" w:type="dxa"/>
              <w:bottom w:w="60" w:type="dxa"/>
              <w:right w:w="70" w:type="dxa"/>
            </w:tcMar>
          </w:tcPr>
          <w:p w14:paraId="5CEFF701"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Saghafian</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7CE3D520"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1728" w:type="dxa"/>
            <w:tcMar>
              <w:top w:w="60" w:type="dxa"/>
              <w:left w:w="70" w:type="dxa"/>
              <w:bottom w:w="60" w:type="dxa"/>
              <w:right w:w="70" w:type="dxa"/>
            </w:tcMar>
          </w:tcPr>
          <w:p w14:paraId="4B741ED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Operations and analytics study</w:t>
            </w:r>
          </w:p>
        </w:tc>
        <w:tc>
          <w:tcPr>
            <w:tcW w:w="2592" w:type="dxa"/>
            <w:tcMar>
              <w:top w:w="60" w:type="dxa"/>
              <w:left w:w="70" w:type="dxa"/>
              <w:bottom w:w="60" w:type="dxa"/>
              <w:right w:w="70" w:type="dxa"/>
            </w:tcMar>
          </w:tcPr>
          <w:p w14:paraId="40CF0AD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Human-algorithm collaboration - Useful for bridging governance and decision quality.</w:t>
            </w:r>
          </w:p>
        </w:tc>
        <w:tc>
          <w:tcPr>
            <w:tcW w:w="1512" w:type="dxa"/>
            <w:tcMar>
              <w:top w:w="60" w:type="dxa"/>
              <w:left w:w="70" w:type="dxa"/>
              <w:bottom w:w="60" w:type="dxa"/>
              <w:right w:w="70" w:type="dxa"/>
            </w:tcMar>
          </w:tcPr>
          <w:p w14:paraId="61E0E9C5"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Empirical/conceptual</w:t>
            </w:r>
          </w:p>
        </w:tc>
        <w:tc>
          <w:tcPr>
            <w:tcW w:w="3024" w:type="dxa"/>
            <w:tcMar>
              <w:top w:w="60" w:type="dxa"/>
              <w:left w:w="70" w:type="dxa"/>
              <w:bottom w:w="60" w:type="dxa"/>
              <w:right w:w="70" w:type="dxa"/>
            </w:tcMar>
          </w:tcPr>
          <w:p w14:paraId="0C7525D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Examines how organisations can combine analytics with human expertise for better operational decisions.</w:t>
            </w:r>
          </w:p>
        </w:tc>
        <w:tc>
          <w:tcPr>
            <w:tcW w:w="2304" w:type="dxa"/>
            <w:tcMar>
              <w:top w:w="60" w:type="dxa"/>
              <w:left w:w="70" w:type="dxa"/>
              <w:bottom w:w="60" w:type="dxa"/>
              <w:right w:w="70" w:type="dxa"/>
            </w:tcMar>
          </w:tcPr>
          <w:p w14:paraId="0538E1C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Broader than forecasting, but transferable.</w:t>
            </w:r>
          </w:p>
        </w:tc>
        <w:tc>
          <w:tcPr>
            <w:tcW w:w="1584" w:type="dxa"/>
            <w:tcMar>
              <w:top w:w="60" w:type="dxa"/>
              <w:left w:w="70" w:type="dxa"/>
              <w:bottom w:w="60" w:type="dxa"/>
              <w:right w:w="70" w:type="dxa"/>
            </w:tcMar>
          </w:tcPr>
          <w:p w14:paraId="723A45C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collaborative-intelligence framing.</w:t>
            </w:r>
          </w:p>
        </w:tc>
        <w:tc>
          <w:tcPr>
            <w:tcW w:w="3024" w:type="dxa"/>
            <w:tcMar>
              <w:top w:w="60" w:type="dxa"/>
              <w:left w:w="70" w:type="dxa"/>
              <w:bottom w:w="60" w:type="dxa"/>
              <w:right w:w="70" w:type="dxa"/>
            </w:tcMar>
          </w:tcPr>
          <w:p w14:paraId="40934C11"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Examines how organisations can combine analytics with human expertise for better operational decisions. Useful for </w:t>
            </w:r>
            <w:r w:rsidRPr="00B3149D">
              <w:rPr>
                <w:rFonts w:ascii="Arial" w:hAnsi="Arial" w:cs="Arial"/>
                <w:sz w:val="20"/>
                <w:szCs w:val="20"/>
              </w:rPr>
              <w:lastRenderedPageBreak/>
              <w:t>bridging governance and decision quality.</w:t>
            </w:r>
          </w:p>
        </w:tc>
      </w:tr>
      <w:tr w:rsidR="00794E6A" w:rsidRPr="00B3149D" w14:paraId="3D7EF85D" w14:textId="77777777" w:rsidTr="00556F41">
        <w:tc>
          <w:tcPr>
            <w:tcW w:w="1944" w:type="dxa"/>
            <w:tcMar>
              <w:top w:w="60" w:type="dxa"/>
              <w:left w:w="70" w:type="dxa"/>
              <w:bottom w:w="60" w:type="dxa"/>
              <w:right w:w="70" w:type="dxa"/>
            </w:tcMar>
          </w:tcPr>
          <w:p w14:paraId="5DCBB94C"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lastRenderedPageBreak/>
              <w:t>Benbya</w:t>
            </w:r>
            <w:proofErr w:type="spellEnd"/>
            <w:r w:rsidRPr="00B3149D">
              <w:rPr>
                <w:rFonts w:ascii="Arial" w:hAnsi="Arial" w:cs="Arial"/>
                <w:sz w:val="20"/>
                <w:szCs w:val="20"/>
              </w:rPr>
              <w:t xml:space="preserve"> et al. (2021)</w:t>
            </w:r>
          </w:p>
        </w:tc>
        <w:tc>
          <w:tcPr>
            <w:tcW w:w="1440" w:type="dxa"/>
            <w:tcMar>
              <w:top w:w="60" w:type="dxa"/>
              <w:left w:w="70" w:type="dxa"/>
              <w:bottom w:w="60" w:type="dxa"/>
              <w:right w:w="70" w:type="dxa"/>
            </w:tcMar>
          </w:tcPr>
          <w:p w14:paraId="6B908F3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 paper</w:t>
            </w:r>
          </w:p>
        </w:tc>
        <w:tc>
          <w:tcPr>
            <w:tcW w:w="1728" w:type="dxa"/>
            <w:tcMar>
              <w:top w:w="60" w:type="dxa"/>
              <w:left w:w="70" w:type="dxa"/>
              <w:bottom w:w="60" w:type="dxa"/>
              <w:right w:w="70" w:type="dxa"/>
            </w:tcMar>
          </w:tcPr>
          <w:p w14:paraId="23D345CA"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Digital transformation review</w:t>
            </w:r>
          </w:p>
        </w:tc>
        <w:tc>
          <w:tcPr>
            <w:tcW w:w="2592" w:type="dxa"/>
            <w:tcMar>
              <w:top w:w="60" w:type="dxa"/>
              <w:left w:w="70" w:type="dxa"/>
              <w:bottom w:w="60" w:type="dxa"/>
              <w:right w:w="70" w:type="dxa"/>
            </w:tcMar>
          </w:tcPr>
          <w:p w14:paraId="7B29265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AI, data and organisational design - Useful for explaining why replenishment benefits vary across organisations.</w:t>
            </w:r>
          </w:p>
        </w:tc>
        <w:tc>
          <w:tcPr>
            <w:tcW w:w="1512" w:type="dxa"/>
            <w:tcMar>
              <w:top w:w="60" w:type="dxa"/>
              <w:left w:w="70" w:type="dxa"/>
              <w:bottom w:w="60" w:type="dxa"/>
              <w:right w:w="70" w:type="dxa"/>
            </w:tcMar>
          </w:tcPr>
          <w:p w14:paraId="74B05D72"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Conceptual/review</w:t>
            </w:r>
          </w:p>
        </w:tc>
        <w:tc>
          <w:tcPr>
            <w:tcW w:w="3024" w:type="dxa"/>
            <w:tcMar>
              <w:top w:w="60" w:type="dxa"/>
              <w:left w:w="70" w:type="dxa"/>
              <w:bottom w:w="60" w:type="dxa"/>
              <w:right w:w="70" w:type="dxa"/>
            </w:tcMar>
          </w:tcPr>
          <w:p w14:paraId="2CFDE536"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digital value depends on organisational adaptation, not only tool deployment.</w:t>
            </w:r>
          </w:p>
        </w:tc>
        <w:tc>
          <w:tcPr>
            <w:tcW w:w="2304" w:type="dxa"/>
            <w:tcMar>
              <w:top w:w="60" w:type="dxa"/>
              <w:left w:w="70" w:type="dxa"/>
              <w:bottom w:w="60" w:type="dxa"/>
              <w:right w:w="70" w:type="dxa"/>
            </w:tcMar>
          </w:tcPr>
          <w:p w14:paraId="234F19C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Not retail-specific, but highly relevant to DBA framing.</w:t>
            </w:r>
          </w:p>
        </w:tc>
        <w:tc>
          <w:tcPr>
            <w:tcW w:w="1584" w:type="dxa"/>
            <w:tcMar>
              <w:top w:w="60" w:type="dxa"/>
              <w:left w:w="70" w:type="dxa"/>
              <w:bottom w:w="60" w:type="dxa"/>
              <w:right w:w="70" w:type="dxa"/>
            </w:tcMar>
          </w:tcPr>
          <w:p w14:paraId="2C9C432E"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Supports organisational-context explanations.</w:t>
            </w:r>
          </w:p>
        </w:tc>
        <w:tc>
          <w:tcPr>
            <w:tcW w:w="3024" w:type="dxa"/>
            <w:tcMar>
              <w:top w:w="60" w:type="dxa"/>
              <w:left w:w="70" w:type="dxa"/>
              <w:bottom w:w="60" w:type="dxa"/>
              <w:right w:w="70" w:type="dxa"/>
            </w:tcMar>
          </w:tcPr>
          <w:p w14:paraId="01CA006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Shows that digital value depends on organisational adaptation, not only tool deployment. Useful for explaining why replenishment benefits vary across organisations.</w:t>
            </w:r>
          </w:p>
        </w:tc>
      </w:tr>
      <w:tr w:rsidR="00794E6A" w:rsidRPr="00B3149D" w14:paraId="26E2D24A" w14:textId="77777777" w:rsidTr="00556F41">
        <w:tc>
          <w:tcPr>
            <w:tcW w:w="1944" w:type="dxa"/>
            <w:tcMar>
              <w:top w:w="60" w:type="dxa"/>
              <w:left w:w="70" w:type="dxa"/>
              <w:bottom w:w="60" w:type="dxa"/>
              <w:right w:w="70" w:type="dxa"/>
            </w:tcMar>
          </w:tcPr>
          <w:p w14:paraId="4B0AEC6A" w14:textId="77777777" w:rsidR="00794E6A" w:rsidRPr="00B3149D" w:rsidRDefault="00794E6A" w:rsidP="0062377A">
            <w:pPr>
              <w:spacing w:line="360" w:lineRule="auto"/>
              <w:rPr>
                <w:rFonts w:ascii="Arial" w:hAnsi="Arial" w:cs="Arial"/>
                <w:sz w:val="20"/>
                <w:szCs w:val="20"/>
              </w:rPr>
            </w:pPr>
            <w:proofErr w:type="spellStart"/>
            <w:r w:rsidRPr="00B3149D">
              <w:rPr>
                <w:rFonts w:ascii="Arial" w:hAnsi="Arial" w:cs="Arial"/>
                <w:sz w:val="20"/>
                <w:szCs w:val="20"/>
              </w:rPr>
              <w:t>Boute</w:t>
            </w:r>
            <w:proofErr w:type="spellEnd"/>
            <w:r w:rsidRPr="00B3149D">
              <w:rPr>
                <w:rFonts w:ascii="Arial" w:hAnsi="Arial" w:cs="Arial"/>
                <w:sz w:val="20"/>
                <w:szCs w:val="20"/>
              </w:rPr>
              <w:t xml:space="preserve"> et al. (2022)</w:t>
            </w:r>
          </w:p>
        </w:tc>
        <w:tc>
          <w:tcPr>
            <w:tcW w:w="1440" w:type="dxa"/>
            <w:tcMar>
              <w:top w:w="60" w:type="dxa"/>
              <w:left w:w="70" w:type="dxa"/>
              <w:bottom w:w="60" w:type="dxa"/>
              <w:right w:w="70" w:type="dxa"/>
            </w:tcMar>
          </w:tcPr>
          <w:p w14:paraId="7D1C8D2C"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Review paper</w:t>
            </w:r>
          </w:p>
        </w:tc>
        <w:tc>
          <w:tcPr>
            <w:tcW w:w="1728" w:type="dxa"/>
            <w:tcMar>
              <w:top w:w="60" w:type="dxa"/>
              <w:left w:w="70" w:type="dxa"/>
              <w:bottom w:w="60" w:type="dxa"/>
              <w:right w:w="70" w:type="dxa"/>
            </w:tcMar>
          </w:tcPr>
          <w:p w14:paraId="4B60DC0D"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Roadmap review</w:t>
            </w:r>
          </w:p>
        </w:tc>
        <w:tc>
          <w:tcPr>
            <w:tcW w:w="2592" w:type="dxa"/>
            <w:tcMar>
              <w:top w:w="60" w:type="dxa"/>
              <w:left w:w="70" w:type="dxa"/>
              <w:bottom w:w="60" w:type="dxa"/>
              <w:right w:w="70" w:type="dxa"/>
            </w:tcMar>
          </w:tcPr>
          <w:p w14:paraId="5DE6BD5B"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 xml:space="preserve">Deep reinforcement learning for inventory control - Useful as an emerging-trends source at the </w:t>
            </w:r>
            <w:r w:rsidRPr="00B3149D">
              <w:rPr>
                <w:rFonts w:ascii="Arial" w:hAnsi="Arial" w:cs="Arial"/>
                <w:sz w:val="20"/>
                <w:szCs w:val="20"/>
              </w:rPr>
              <w:lastRenderedPageBreak/>
              <w:t>forecasting–inventory interface.</w:t>
            </w:r>
          </w:p>
        </w:tc>
        <w:tc>
          <w:tcPr>
            <w:tcW w:w="1512" w:type="dxa"/>
            <w:tcMar>
              <w:top w:w="60" w:type="dxa"/>
              <w:left w:w="70" w:type="dxa"/>
              <w:bottom w:w="60" w:type="dxa"/>
              <w:right w:w="70" w:type="dxa"/>
            </w:tcMar>
          </w:tcPr>
          <w:p w14:paraId="77FB35B4"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Review article</w:t>
            </w:r>
          </w:p>
        </w:tc>
        <w:tc>
          <w:tcPr>
            <w:tcW w:w="3024" w:type="dxa"/>
            <w:tcMar>
              <w:top w:w="60" w:type="dxa"/>
              <w:left w:w="70" w:type="dxa"/>
              <w:bottom w:w="60" w:type="dxa"/>
              <w:right w:w="70" w:type="dxa"/>
            </w:tcMar>
          </w:tcPr>
          <w:p w14:paraId="7B483EEF"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Maps how advanced AI methods are entering inventory-</w:t>
            </w:r>
            <w:r w:rsidRPr="00B3149D">
              <w:rPr>
                <w:rFonts w:ascii="Arial" w:hAnsi="Arial" w:cs="Arial"/>
                <w:sz w:val="20"/>
                <w:szCs w:val="20"/>
              </w:rPr>
              <w:lastRenderedPageBreak/>
              <w:t>control research.</w:t>
            </w:r>
          </w:p>
        </w:tc>
        <w:tc>
          <w:tcPr>
            <w:tcW w:w="2304" w:type="dxa"/>
            <w:tcMar>
              <w:top w:w="60" w:type="dxa"/>
              <w:left w:w="70" w:type="dxa"/>
              <w:bottom w:w="60" w:type="dxa"/>
              <w:right w:w="70" w:type="dxa"/>
            </w:tcMar>
          </w:tcPr>
          <w:p w14:paraId="1DA36378"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Roadmap work is prospective rather than impleme</w:t>
            </w:r>
            <w:r w:rsidRPr="00B3149D">
              <w:rPr>
                <w:rFonts w:ascii="Arial" w:hAnsi="Arial" w:cs="Arial"/>
                <w:sz w:val="20"/>
                <w:szCs w:val="20"/>
              </w:rPr>
              <w:lastRenderedPageBreak/>
              <w:t>ntation proof.</w:t>
            </w:r>
          </w:p>
        </w:tc>
        <w:tc>
          <w:tcPr>
            <w:tcW w:w="1584" w:type="dxa"/>
            <w:tcMar>
              <w:top w:w="60" w:type="dxa"/>
              <w:left w:w="70" w:type="dxa"/>
              <w:bottom w:w="60" w:type="dxa"/>
              <w:right w:w="70" w:type="dxa"/>
            </w:tcMar>
          </w:tcPr>
          <w:p w14:paraId="202BA3D3"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lastRenderedPageBreak/>
              <w:t>Supports the emerging-trends theme.</w:t>
            </w:r>
          </w:p>
        </w:tc>
        <w:tc>
          <w:tcPr>
            <w:tcW w:w="3024" w:type="dxa"/>
            <w:tcMar>
              <w:top w:w="60" w:type="dxa"/>
              <w:left w:w="70" w:type="dxa"/>
              <w:bottom w:w="60" w:type="dxa"/>
              <w:right w:w="70" w:type="dxa"/>
            </w:tcMar>
          </w:tcPr>
          <w:p w14:paraId="45389617" w14:textId="77777777" w:rsidR="00794E6A" w:rsidRPr="00B3149D" w:rsidRDefault="00794E6A" w:rsidP="0062377A">
            <w:pPr>
              <w:spacing w:line="360" w:lineRule="auto"/>
              <w:rPr>
                <w:rFonts w:ascii="Arial" w:hAnsi="Arial" w:cs="Arial"/>
                <w:sz w:val="20"/>
                <w:szCs w:val="20"/>
              </w:rPr>
            </w:pPr>
            <w:r w:rsidRPr="00B3149D">
              <w:rPr>
                <w:rFonts w:ascii="Arial" w:hAnsi="Arial" w:cs="Arial"/>
                <w:sz w:val="20"/>
                <w:szCs w:val="20"/>
              </w:rPr>
              <w:t>Maps how advanced AI methods are entering inventory-</w:t>
            </w:r>
            <w:r w:rsidRPr="00B3149D">
              <w:rPr>
                <w:rFonts w:ascii="Arial" w:hAnsi="Arial" w:cs="Arial"/>
                <w:sz w:val="20"/>
                <w:szCs w:val="20"/>
              </w:rPr>
              <w:lastRenderedPageBreak/>
              <w:t>control research. Useful as an emerging-trends source at the forecasting–inventory interface.</w:t>
            </w:r>
          </w:p>
        </w:tc>
      </w:tr>
    </w:tbl>
    <w:p w14:paraId="5E15D5DD" w14:textId="43718905" w:rsidR="00794E6A" w:rsidRPr="00B3149D" w:rsidRDefault="00794E6A" w:rsidP="0062377A">
      <w:pPr>
        <w:spacing w:line="360" w:lineRule="auto"/>
        <w:rPr>
          <w:rFonts w:ascii="Arial" w:hAnsi="Arial" w:cs="Arial"/>
        </w:rPr>
      </w:pPr>
      <w:r w:rsidRPr="00B3149D">
        <w:rPr>
          <w:rFonts w:ascii="Arial" w:hAnsi="Arial" w:cs="Arial"/>
        </w:rPr>
        <w:lastRenderedPageBreak/>
        <w:br/>
      </w:r>
    </w:p>
    <w:sectPr w:rsidR="00794E6A" w:rsidRPr="00B3149D">
      <w:footerReference w:type="even" r:id="rId213"/>
      <w:footerReference w:type="default" r:id="rId2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DA956" w14:textId="77777777" w:rsidR="00853AF8" w:rsidRDefault="00853AF8" w:rsidP="00173F4D">
      <w:r>
        <w:separator/>
      </w:r>
    </w:p>
  </w:endnote>
  <w:endnote w:type="continuationSeparator" w:id="0">
    <w:p w14:paraId="7CD54E23" w14:textId="77777777" w:rsidR="00853AF8" w:rsidRDefault="00853AF8" w:rsidP="0017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1975277"/>
      <w:docPartObj>
        <w:docPartGallery w:val="Page Numbers (Bottom of Page)"/>
        <w:docPartUnique/>
      </w:docPartObj>
    </w:sdtPr>
    <w:sdtContent>
      <w:p w14:paraId="7A4E2EB3" w14:textId="72EF917C" w:rsidR="00173F4D" w:rsidRDefault="00173F4D" w:rsidP="00E130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C90EEB" w14:textId="77777777" w:rsidR="00173F4D" w:rsidRDefault="00173F4D" w:rsidP="00173F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7012043"/>
      <w:docPartObj>
        <w:docPartGallery w:val="Page Numbers (Bottom of Page)"/>
        <w:docPartUnique/>
      </w:docPartObj>
    </w:sdtPr>
    <w:sdtContent>
      <w:p w14:paraId="19410B21" w14:textId="1CB8945D" w:rsidR="00173F4D" w:rsidRDefault="00173F4D" w:rsidP="00E130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4B2E6F" w14:textId="77777777" w:rsidR="00173F4D" w:rsidRDefault="00173F4D" w:rsidP="00173F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DAD2B" w14:textId="77777777" w:rsidR="00853AF8" w:rsidRDefault="00853AF8" w:rsidP="00173F4D">
      <w:r>
        <w:separator/>
      </w:r>
    </w:p>
  </w:footnote>
  <w:footnote w:type="continuationSeparator" w:id="0">
    <w:p w14:paraId="1325A85F" w14:textId="77777777" w:rsidR="00853AF8" w:rsidRDefault="00853AF8" w:rsidP="00173F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1"/>
    <w:multiLevelType w:val="multilevel"/>
    <w:tmpl w:val="D764CC1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28825"/>
    <w:multiLevelType w:val="multilevel"/>
    <w:tmpl w:val="30F6DE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04DD3ADD"/>
    <w:multiLevelType w:val="multilevel"/>
    <w:tmpl w:val="578291C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706170424">
    <w:abstractNumId w:val="0"/>
  </w:num>
  <w:num w:numId="2" w16cid:durableId="19231777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9910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98"/>
    <w:rsid w:val="0013791E"/>
    <w:rsid w:val="00173F4D"/>
    <w:rsid w:val="00191E5C"/>
    <w:rsid w:val="001C6315"/>
    <w:rsid w:val="002D68B1"/>
    <w:rsid w:val="00375298"/>
    <w:rsid w:val="00486A83"/>
    <w:rsid w:val="0062377A"/>
    <w:rsid w:val="00642B6B"/>
    <w:rsid w:val="00664DCB"/>
    <w:rsid w:val="006E36B0"/>
    <w:rsid w:val="00721932"/>
    <w:rsid w:val="00730539"/>
    <w:rsid w:val="00794E6A"/>
    <w:rsid w:val="00853AF8"/>
    <w:rsid w:val="008B4F19"/>
    <w:rsid w:val="00960EBE"/>
    <w:rsid w:val="00973F30"/>
    <w:rsid w:val="009C0603"/>
    <w:rsid w:val="00A7358E"/>
    <w:rsid w:val="00AB109D"/>
    <w:rsid w:val="00AF5446"/>
    <w:rsid w:val="00B10008"/>
    <w:rsid w:val="00B3149D"/>
    <w:rsid w:val="00BF48CB"/>
    <w:rsid w:val="00C51596"/>
    <w:rsid w:val="00D80F53"/>
    <w:rsid w:val="00E63C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61CAE"/>
  <w15:chartTrackingRefBased/>
  <w15:docId w15:val="{A7CF02D3-FD7B-314A-9CEB-8D002491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uiPriority w:val="9"/>
    <w:qFormat/>
    <w:rsid w:val="00375298"/>
    <w:pPr>
      <w:keepNext/>
      <w:keepLines/>
      <w:spacing w:before="360" w:after="80"/>
      <w:outlineLvl w:val="0"/>
    </w:pPr>
    <w:rPr>
      <w:rFonts w:asciiTheme="majorHAnsi" w:eastAsiaTheme="majorEastAsia" w:hAnsiTheme="majorHAnsi" w:cstheme="majorBidi"/>
      <w:color w:val="2F5496" w:themeColor="accent1" w:themeShade="BF"/>
      <w:sz w:val="40"/>
      <w:szCs w:val="40"/>
      <w:lang w:val="en"/>
    </w:rPr>
  </w:style>
  <w:style w:type="paragraph" w:styleId="Heading2">
    <w:name w:val="heading 2"/>
    <w:basedOn w:val="Normal"/>
    <w:next w:val="Normal"/>
    <w:link w:val="Heading2Char"/>
    <w:uiPriority w:val="9"/>
    <w:unhideWhenUsed/>
    <w:qFormat/>
    <w:rsid w:val="003752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63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298"/>
    <w:rPr>
      <w:rFonts w:asciiTheme="majorHAnsi" w:eastAsiaTheme="majorEastAsia" w:hAnsiTheme="majorHAnsi" w:cstheme="majorBidi"/>
      <w:color w:val="2F5496" w:themeColor="accent1" w:themeShade="BF"/>
      <w:sz w:val="40"/>
      <w:szCs w:val="40"/>
      <w:lang w:val="en"/>
    </w:rPr>
  </w:style>
  <w:style w:type="paragraph" w:styleId="BodyText">
    <w:name w:val="Body Text"/>
    <w:basedOn w:val="Normal"/>
    <w:link w:val="BodyTextChar"/>
    <w:uiPriority w:val="99"/>
    <w:unhideWhenUsed/>
    <w:rsid w:val="00375298"/>
    <w:pPr>
      <w:spacing w:after="120"/>
    </w:pPr>
  </w:style>
  <w:style w:type="character" w:customStyle="1" w:styleId="BodyTextChar">
    <w:name w:val="Body Text Char"/>
    <w:basedOn w:val="DefaultParagraphFont"/>
    <w:link w:val="BodyText"/>
    <w:uiPriority w:val="99"/>
    <w:rsid w:val="00375298"/>
  </w:style>
  <w:style w:type="character" w:customStyle="1" w:styleId="Heading2Char">
    <w:name w:val="Heading 2 Char"/>
    <w:basedOn w:val="DefaultParagraphFont"/>
    <w:link w:val="Heading2"/>
    <w:uiPriority w:val="9"/>
    <w:rsid w:val="00375298"/>
    <w:rPr>
      <w:rFonts w:asciiTheme="majorHAnsi" w:eastAsiaTheme="majorEastAsia" w:hAnsiTheme="majorHAnsi" w:cstheme="majorBidi"/>
      <w:color w:val="2F5496" w:themeColor="accent1" w:themeShade="BF"/>
      <w:sz w:val="26"/>
      <w:szCs w:val="26"/>
    </w:rPr>
  </w:style>
  <w:style w:type="paragraph" w:customStyle="1" w:styleId="FirstParagraph">
    <w:name w:val="First Paragraph"/>
    <w:basedOn w:val="BodyText"/>
    <w:next w:val="BodyText"/>
    <w:qFormat/>
    <w:rsid w:val="00375298"/>
    <w:pPr>
      <w:spacing w:before="180" w:after="180"/>
    </w:pPr>
    <w:rPr>
      <w:lang w:val="en"/>
    </w:rPr>
  </w:style>
  <w:style w:type="paragraph" w:customStyle="1" w:styleId="Compact">
    <w:name w:val="Compact"/>
    <w:basedOn w:val="BodyText"/>
    <w:qFormat/>
    <w:rsid w:val="00375298"/>
    <w:pPr>
      <w:spacing w:before="36" w:after="36"/>
    </w:pPr>
    <w:rPr>
      <w:lang w:val="en"/>
    </w:rPr>
  </w:style>
  <w:style w:type="table" w:customStyle="1" w:styleId="Table">
    <w:name w:val="Table"/>
    <w:semiHidden/>
    <w:unhideWhenUsed/>
    <w:qFormat/>
    <w:rsid w:val="00375298"/>
    <w:pPr>
      <w:spacing w:after="200"/>
    </w:pPr>
    <w:rPr>
      <w:sz w:val="20"/>
      <w:szCs w:val="20"/>
      <w:lang w:val="en" w:eastAsia="en-GB"/>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VerbatimChar">
    <w:name w:val="Verbatim Char"/>
    <w:basedOn w:val="DefaultParagraphFont"/>
    <w:link w:val="SourceCode"/>
    <w:rsid w:val="00375298"/>
    <w:rPr>
      <w:rFonts w:ascii="Consolas" w:hAnsi="Consolas"/>
      <w:sz w:val="22"/>
    </w:rPr>
  </w:style>
  <w:style w:type="character" w:styleId="Hyperlink">
    <w:name w:val="Hyperlink"/>
    <w:basedOn w:val="DefaultParagraphFont"/>
    <w:uiPriority w:val="99"/>
    <w:rsid w:val="00375298"/>
    <w:rPr>
      <w:color w:val="4472C4" w:themeColor="accent1"/>
    </w:rPr>
  </w:style>
  <w:style w:type="paragraph" w:customStyle="1" w:styleId="SourceCode">
    <w:name w:val="Source Code"/>
    <w:basedOn w:val="Normal"/>
    <w:link w:val="VerbatimChar"/>
    <w:rsid w:val="00375298"/>
    <w:pPr>
      <w:wordWrap w:val="0"/>
      <w:spacing w:after="200"/>
    </w:pPr>
    <w:rPr>
      <w:rFonts w:ascii="Consolas" w:hAnsi="Consolas"/>
      <w:sz w:val="22"/>
    </w:rPr>
  </w:style>
  <w:style w:type="paragraph" w:styleId="NormalWeb">
    <w:name w:val="Normal (Web)"/>
    <w:basedOn w:val="Normal"/>
    <w:uiPriority w:val="99"/>
    <w:unhideWhenUsed/>
    <w:rsid w:val="0037529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375298"/>
    <w:rPr>
      <w:b/>
      <w:bCs/>
    </w:rPr>
  </w:style>
  <w:style w:type="character" w:styleId="Emphasis">
    <w:name w:val="Emphasis"/>
    <w:basedOn w:val="DefaultParagraphFont"/>
    <w:uiPriority w:val="20"/>
    <w:qFormat/>
    <w:rsid w:val="00375298"/>
    <w:rPr>
      <w:i/>
      <w:iCs/>
    </w:rPr>
  </w:style>
  <w:style w:type="character" w:styleId="FollowedHyperlink">
    <w:name w:val="FollowedHyperlink"/>
    <w:basedOn w:val="DefaultParagraphFont"/>
    <w:uiPriority w:val="99"/>
    <w:semiHidden/>
    <w:unhideWhenUsed/>
    <w:rsid w:val="00375298"/>
    <w:rPr>
      <w:color w:val="954F72" w:themeColor="followedHyperlink"/>
      <w:u w:val="single"/>
    </w:rPr>
  </w:style>
  <w:style w:type="paragraph" w:styleId="Title">
    <w:name w:val="Title"/>
    <w:basedOn w:val="Normal"/>
    <w:next w:val="Normal"/>
    <w:link w:val="TitleChar"/>
    <w:uiPriority w:val="10"/>
    <w:qFormat/>
    <w:rsid w:val="0037529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298"/>
    <w:rPr>
      <w:rFonts w:asciiTheme="majorHAnsi" w:eastAsiaTheme="majorEastAsia" w:hAnsiTheme="majorHAnsi" w:cstheme="majorBidi"/>
      <w:spacing w:val="-10"/>
      <w:kern w:val="28"/>
      <w:sz w:val="56"/>
      <w:szCs w:val="56"/>
    </w:rPr>
  </w:style>
  <w:style w:type="table" w:styleId="PlainTable2">
    <w:name w:val="Plain Table 2"/>
    <w:basedOn w:val="TableNormal"/>
    <w:uiPriority w:val="42"/>
    <w:rsid w:val="0037529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664DCB"/>
    <w:pPr>
      <w:spacing w:after="200"/>
    </w:pPr>
    <w:rPr>
      <w:i/>
      <w:iCs/>
      <w:color w:val="44546A" w:themeColor="text2"/>
      <w:sz w:val="18"/>
      <w:szCs w:val="18"/>
    </w:rPr>
  </w:style>
  <w:style w:type="table" w:styleId="TableGrid">
    <w:name w:val="Table Grid"/>
    <w:basedOn w:val="TableNormal"/>
    <w:uiPriority w:val="59"/>
    <w:rsid w:val="00664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1C631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C6315"/>
    <w:rPr>
      <w:rFonts w:eastAsiaTheme="minorEastAsia"/>
      <w:color w:val="5A5A5A" w:themeColor="text1" w:themeTint="A5"/>
      <w:spacing w:val="15"/>
      <w:sz w:val="22"/>
      <w:szCs w:val="22"/>
    </w:rPr>
  </w:style>
  <w:style w:type="character" w:customStyle="1" w:styleId="Heading3Char">
    <w:name w:val="Heading 3 Char"/>
    <w:basedOn w:val="DefaultParagraphFont"/>
    <w:link w:val="Heading3"/>
    <w:uiPriority w:val="9"/>
    <w:rsid w:val="001C6315"/>
    <w:rPr>
      <w:rFonts w:asciiTheme="majorHAnsi" w:eastAsiaTheme="majorEastAsia" w:hAnsiTheme="majorHAnsi" w:cstheme="majorBidi"/>
      <w:color w:val="1F3763" w:themeColor="accent1" w:themeShade="7F"/>
    </w:rPr>
  </w:style>
  <w:style w:type="table" w:styleId="GridTable1Light">
    <w:name w:val="Grid Table 1 Light"/>
    <w:basedOn w:val="TableNormal"/>
    <w:rsid w:val="001C6315"/>
    <w:rPr>
      <w:lang w:val="e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13791E"/>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13791E"/>
    <w:pPr>
      <w:spacing w:before="120"/>
    </w:pPr>
    <w:rPr>
      <w:rFonts w:cstheme="minorHAnsi"/>
      <w:b/>
      <w:bCs/>
      <w:i/>
      <w:iCs/>
    </w:rPr>
  </w:style>
  <w:style w:type="paragraph" w:styleId="TOC2">
    <w:name w:val="toc 2"/>
    <w:basedOn w:val="Normal"/>
    <w:next w:val="Normal"/>
    <w:autoRedefine/>
    <w:uiPriority w:val="39"/>
    <w:unhideWhenUsed/>
    <w:rsid w:val="0013791E"/>
    <w:pPr>
      <w:spacing w:before="120"/>
      <w:ind w:left="240"/>
    </w:pPr>
    <w:rPr>
      <w:rFonts w:cstheme="minorHAnsi"/>
      <w:b/>
      <w:bCs/>
      <w:sz w:val="22"/>
      <w:szCs w:val="22"/>
    </w:rPr>
  </w:style>
  <w:style w:type="paragraph" w:styleId="TOC3">
    <w:name w:val="toc 3"/>
    <w:basedOn w:val="Normal"/>
    <w:next w:val="Normal"/>
    <w:autoRedefine/>
    <w:uiPriority w:val="39"/>
    <w:unhideWhenUsed/>
    <w:rsid w:val="0013791E"/>
    <w:pPr>
      <w:ind w:left="480"/>
    </w:pPr>
    <w:rPr>
      <w:rFonts w:cstheme="minorHAnsi"/>
      <w:sz w:val="20"/>
      <w:szCs w:val="20"/>
    </w:rPr>
  </w:style>
  <w:style w:type="paragraph" w:styleId="TOC4">
    <w:name w:val="toc 4"/>
    <w:basedOn w:val="Normal"/>
    <w:next w:val="Normal"/>
    <w:autoRedefine/>
    <w:uiPriority w:val="39"/>
    <w:semiHidden/>
    <w:unhideWhenUsed/>
    <w:rsid w:val="0013791E"/>
    <w:pPr>
      <w:ind w:left="720"/>
    </w:pPr>
    <w:rPr>
      <w:rFonts w:cstheme="minorHAnsi"/>
      <w:sz w:val="20"/>
      <w:szCs w:val="20"/>
    </w:rPr>
  </w:style>
  <w:style w:type="paragraph" w:styleId="TOC5">
    <w:name w:val="toc 5"/>
    <w:basedOn w:val="Normal"/>
    <w:next w:val="Normal"/>
    <w:autoRedefine/>
    <w:uiPriority w:val="39"/>
    <w:semiHidden/>
    <w:unhideWhenUsed/>
    <w:rsid w:val="0013791E"/>
    <w:pPr>
      <w:ind w:left="960"/>
    </w:pPr>
    <w:rPr>
      <w:rFonts w:cstheme="minorHAnsi"/>
      <w:sz w:val="20"/>
      <w:szCs w:val="20"/>
    </w:rPr>
  </w:style>
  <w:style w:type="paragraph" w:styleId="TOC6">
    <w:name w:val="toc 6"/>
    <w:basedOn w:val="Normal"/>
    <w:next w:val="Normal"/>
    <w:autoRedefine/>
    <w:uiPriority w:val="39"/>
    <w:semiHidden/>
    <w:unhideWhenUsed/>
    <w:rsid w:val="0013791E"/>
    <w:pPr>
      <w:ind w:left="1200"/>
    </w:pPr>
    <w:rPr>
      <w:rFonts w:cstheme="minorHAnsi"/>
      <w:sz w:val="20"/>
      <w:szCs w:val="20"/>
    </w:rPr>
  </w:style>
  <w:style w:type="paragraph" w:styleId="TOC7">
    <w:name w:val="toc 7"/>
    <w:basedOn w:val="Normal"/>
    <w:next w:val="Normal"/>
    <w:autoRedefine/>
    <w:uiPriority w:val="39"/>
    <w:semiHidden/>
    <w:unhideWhenUsed/>
    <w:rsid w:val="0013791E"/>
    <w:pPr>
      <w:ind w:left="1440"/>
    </w:pPr>
    <w:rPr>
      <w:rFonts w:cstheme="minorHAnsi"/>
      <w:sz w:val="20"/>
      <w:szCs w:val="20"/>
    </w:rPr>
  </w:style>
  <w:style w:type="paragraph" w:styleId="TOC8">
    <w:name w:val="toc 8"/>
    <w:basedOn w:val="Normal"/>
    <w:next w:val="Normal"/>
    <w:autoRedefine/>
    <w:uiPriority w:val="39"/>
    <w:semiHidden/>
    <w:unhideWhenUsed/>
    <w:rsid w:val="0013791E"/>
    <w:pPr>
      <w:ind w:left="1680"/>
    </w:pPr>
    <w:rPr>
      <w:rFonts w:cstheme="minorHAnsi"/>
      <w:sz w:val="20"/>
      <w:szCs w:val="20"/>
    </w:rPr>
  </w:style>
  <w:style w:type="paragraph" w:styleId="TOC9">
    <w:name w:val="toc 9"/>
    <w:basedOn w:val="Normal"/>
    <w:next w:val="Normal"/>
    <w:autoRedefine/>
    <w:uiPriority w:val="39"/>
    <w:semiHidden/>
    <w:unhideWhenUsed/>
    <w:rsid w:val="0013791E"/>
    <w:pPr>
      <w:ind w:left="1920"/>
    </w:pPr>
    <w:rPr>
      <w:rFonts w:cstheme="minorHAnsi"/>
      <w:sz w:val="20"/>
      <w:szCs w:val="20"/>
    </w:rPr>
  </w:style>
  <w:style w:type="table" w:styleId="TableGridLight">
    <w:name w:val="Grid Table Light"/>
    <w:basedOn w:val="TableNormal"/>
    <w:uiPriority w:val="40"/>
    <w:rsid w:val="00486A8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unhideWhenUsed/>
    <w:rsid w:val="00486A83"/>
  </w:style>
  <w:style w:type="paragraph" w:styleId="Footer">
    <w:name w:val="footer"/>
    <w:basedOn w:val="Normal"/>
    <w:link w:val="FooterChar"/>
    <w:uiPriority w:val="99"/>
    <w:unhideWhenUsed/>
    <w:rsid w:val="00173F4D"/>
    <w:pPr>
      <w:tabs>
        <w:tab w:val="center" w:pos="4513"/>
        <w:tab w:val="right" w:pos="9026"/>
      </w:tabs>
    </w:pPr>
  </w:style>
  <w:style w:type="character" w:customStyle="1" w:styleId="FooterChar">
    <w:name w:val="Footer Char"/>
    <w:basedOn w:val="DefaultParagraphFont"/>
    <w:link w:val="Footer"/>
    <w:uiPriority w:val="99"/>
    <w:rsid w:val="00173F4D"/>
  </w:style>
  <w:style w:type="character" w:styleId="PageNumber">
    <w:name w:val="page number"/>
    <w:basedOn w:val="DefaultParagraphFont"/>
    <w:uiPriority w:val="99"/>
    <w:semiHidden/>
    <w:unhideWhenUsed/>
    <w:rsid w:val="00173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4102">
      <w:bodyDiv w:val="1"/>
      <w:marLeft w:val="0"/>
      <w:marRight w:val="0"/>
      <w:marTop w:val="0"/>
      <w:marBottom w:val="0"/>
      <w:divBdr>
        <w:top w:val="none" w:sz="0" w:space="0" w:color="auto"/>
        <w:left w:val="none" w:sz="0" w:space="0" w:color="auto"/>
        <w:bottom w:val="none" w:sz="0" w:space="0" w:color="auto"/>
        <w:right w:val="none" w:sz="0" w:space="0" w:color="auto"/>
      </w:divBdr>
    </w:div>
    <w:div w:id="451555727">
      <w:bodyDiv w:val="1"/>
      <w:marLeft w:val="0"/>
      <w:marRight w:val="0"/>
      <w:marTop w:val="0"/>
      <w:marBottom w:val="0"/>
      <w:divBdr>
        <w:top w:val="none" w:sz="0" w:space="0" w:color="auto"/>
        <w:left w:val="none" w:sz="0" w:space="0" w:color="auto"/>
        <w:bottom w:val="none" w:sz="0" w:space="0" w:color="auto"/>
        <w:right w:val="none" w:sz="0" w:space="0" w:color="auto"/>
      </w:divBdr>
    </w:div>
    <w:div w:id="90630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ublication/284232644_Supply_Chain_Forecasting_Theory_Practice_their_Gap_and_the_Future" TargetMode="External"/><Relationship Id="rId21" Type="http://schemas.openxmlformats.org/officeDocument/2006/relationships/hyperlink" Target="https://www.prisma-statement.org/?utm_source=chatgpt.com" TargetMode="External"/><Relationship Id="rId42"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63" Type="http://schemas.openxmlformats.org/officeDocument/2006/relationships/hyperlink" Target="https://www.researchgate.net/publication/284232644_Supply_Chain_Forecasting_Theory_Practice_their_Gap_and_the_Future" TargetMode="External"/><Relationship Id="rId84" Type="http://schemas.openxmlformats.org/officeDocument/2006/relationships/hyperlink" Target="https://www.nature.com/articles/s41598-025-23352-w?error=cookies_not_supported&amp;code=2c05d5a9-ad89-4b03-bb9f-12303f067370" TargetMode="External"/><Relationship Id="rId138" Type="http://schemas.openxmlformats.org/officeDocument/2006/relationships/hyperlink" Target="https://www.relexsolutions.com/resources/demand-forecasting/" TargetMode="External"/><Relationship Id="rId159" Type="http://schemas.openxmlformats.org/officeDocument/2006/relationships/hyperlink" Target="https://demand-planning.com/2021/02/16/beware-the-pitfalls-of-ai-in-demand-planning/" TargetMode="External"/><Relationship Id="rId170" Type="http://schemas.openxmlformats.org/officeDocument/2006/relationships/hyperlink" Target="https://scholarsarchive.byu.edu/facpub/8669/" TargetMode="External"/><Relationship Id="rId191" Type="http://schemas.openxmlformats.org/officeDocument/2006/relationships/hyperlink" Target="https://www.researchgate.net/publication/360880056_Review_and_analysis_of_artificial_intelligence_methods_for_demand_forecasting_in_supply_chain_management" TargetMode="External"/><Relationship Id="rId205" Type="http://schemas.openxmlformats.org/officeDocument/2006/relationships/hyperlink" Target="https://mobiosolutions.com/ai-demand-forecasting-inventory-optimization-retail/" TargetMode="External"/><Relationship Id="rId107" Type="http://schemas.openxmlformats.org/officeDocument/2006/relationships/hyperlink" Target="https://www.scmr.com/article/the-future-of-forecast-value-add-transforming-e-commerce-forecasting" TargetMode="External"/><Relationship Id="rId11" Type="http://schemas.openxmlformats.org/officeDocument/2006/relationships/hyperlink" Target="https://www.sciencedirect.com/science/article/pii/S0148296319304564" TargetMode="External"/><Relationship Id="rId32" Type="http://schemas.openxmlformats.org/officeDocument/2006/relationships/hyperlink" Target="https://www.researchgate.net/publication/284232644_Supply_Chain_Forecasting_Theory_Practice_their_Gap_and_the_Future" TargetMode="External"/><Relationship Id="rId53" Type="http://schemas.openxmlformats.org/officeDocument/2006/relationships/hyperlink" Target="https://www.researchgate.net/publication/341904756_A_REVIEW_ON_DEMAND_AND_FORECASTING_IN_SUPPLY_CHAIN_MANAGEMENT" TargetMode="External"/><Relationship Id="rId74" Type="http://schemas.openxmlformats.org/officeDocument/2006/relationships/hyperlink" Target="https://www.researchgate.net/publication/284232644_Supply_Chain_Forecasting_Theory_Practice_their_Gap_and_the_Future" TargetMode="External"/><Relationship Id="rId128"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49" Type="http://schemas.openxmlformats.org/officeDocument/2006/relationships/hyperlink" Target="https://www.researchgate.net/publication/360880056_Review_and_analysis_of_artificial_intelligence_methods_for_demand_forecasting_in_supply_chain_management" TargetMode="External"/><Relationship Id="rId5" Type="http://schemas.openxmlformats.org/officeDocument/2006/relationships/webSettings" Target="webSettings.xml"/><Relationship Id="rId95" Type="http://schemas.openxmlformats.org/officeDocument/2006/relationships/hyperlink" Target="https://www.sciencedirect.com/science/article/pii/S0925527324002998" TargetMode="External"/><Relationship Id="rId160" Type="http://schemas.openxmlformats.org/officeDocument/2006/relationships/hyperlink" Target="https://demand-planning.com/2021/02/16/beware-the-pitfalls-of-ai-in-demand-planning/" TargetMode="External"/><Relationship Id="rId181" Type="http://schemas.openxmlformats.org/officeDocument/2006/relationships/hyperlink" Target="https://demand-planning.com/2021/02/16/beware-the-pitfalls-of-ai-in-demand-planning/" TargetMode="External"/><Relationship Id="rId216" Type="http://schemas.openxmlformats.org/officeDocument/2006/relationships/theme" Target="theme/theme1.xml"/><Relationship Id="rId22" Type="http://schemas.openxmlformats.org/officeDocument/2006/relationships/hyperlink" Target="https://scholar.google.com/intl/en/scholar/about.html" TargetMode="External"/><Relationship Id="rId43" Type="http://schemas.openxmlformats.org/officeDocument/2006/relationships/hyperlink" Target="https://www.researchgate.net/publication/284232644_Supply_Chain_Forecasting_Theory_Practice_their_Gap_and_the_Future" TargetMode="External"/><Relationship Id="rId64"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18" Type="http://schemas.openxmlformats.org/officeDocument/2006/relationships/hyperlink" Target="https://www.sciencedirect.com/science/article/pii/S0925527324002998" TargetMode="External"/><Relationship Id="rId139" Type="http://schemas.openxmlformats.org/officeDocument/2006/relationships/hyperlink" Target="https://www.relexsolutions.com/resources/demand-forecasting/" TargetMode="External"/><Relationship Id="rId85"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50" Type="http://schemas.openxmlformats.org/officeDocument/2006/relationships/hyperlink" Target="https://www.researchgate.net/publication/360880056_Review_and_analysis_of_artificial_intelligence_methods_for_demand_forecasting_in_supply_chain_management" TargetMode="External"/><Relationship Id="rId171" Type="http://schemas.openxmlformats.org/officeDocument/2006/relationships/hyperlink" Target="https://www.researchgate.net/publication/360880056_Review_and_analysis_of_artificial_intelligence_methods_for_demand_forecasting_in_supply_chain_management" TargetMode="External"/><Relationship Id="rId192" Type="http://schemas.openxmlformats.org/officeDocument/2006/relationships/hyperlink" Target="https://osuva.uwasa.fi/bitstreams/a3299c6d-8eaa-47b3-8cf4-fa4d5417fad2/download" TargetMode="External"/><Relationship Id="rId206" Type="http://schemas.openxmlformats.org/officeDocument/2006/relationships/hyperlink" Target="https://demand-planning.com/2021/02/16/beware-the-pitfalls-of-ai-in-demand-planning/" TargetMode="External"/><Relationship Id="rId12" Type="http://schemas.openxmlformats.org/officeDocument/2006/relationships/hyperlink" Target="https://www.prisma-statement.org/?utm_source=chatgpt.com" TargetMode="External"/><Relationship Id="rId33"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08" Type="http://schemas.openxmlformats.org/officeDocument/2006/relationships/hyperlink" Target="https://www.unesco.org/en/artificial-intelligence/recommendation-ethics" TargetMode="External"/><Relationship Id="rId129" Type="http://schemas.openxmlformats.org/officeDocument/2006/relationships/hyperlink" Target="https://www.nature.com/articles/s41598-025-23352-w" TargetMode="External"/><Relationship Id="rId54" Type="http://schemas.openxmlformats.org/officeDocument/2006/relationships/hyperlink" Target="https://www.researchgate.net/publication/284232644_Supply_Chain_Forecasting_Theory_Practice_their_Gap_and_the_Future" TargetMode="External"/><Relationship Id="rId75" Type="http://schemas.openxmlformats.org/officeDocument/2006/relationships/hyperlink" Target="https://www.sciencedirect.com/science/article/abs/pii/S0377221724009755" TargetMode="External"/><Relationship Id="rId96" Type="http://schemas.openxmlformats.org/officeDocument/2006/relationships/hyperlink" Target="https://www.sciencedirect.com/science/article/pii/S0925527324002998" TargetMode="External"/><Relationship Id="rId140" Type="http://schemas.openxmlformats.org/officeDocument/2006/relationships/hyperlink" Target="https://mobiosolutions.com/ai-demand-forecasting-inventory-optimization-retail/" TargetMode="External"/><Relationship Id="rId161" Type="http://schemas.openxmlformats.org/officeDocument/2006/relationships/hyperlink" Target="https://demand-planning.com/2021/02/16/beware-the-pitfalls-of-ai-in-demand-planning/" TargetMode="External"/><Relationship Id="rId182" Type="http://schemas.openxmlformats.org/officeDocument/2006/relationships/hyperlink" Target="https://demand-planning.com/2021/02/16/beware-the-pitfalls-of-ai-in-demand-planning/" TargetMode="External"/><Relationship Id="rId6" Type="http://schemas.openxmlformats.org/officeDocument/2006/relationships/footnotes" Target="footnotes.xml"/><Relationship Id="rId23" Type="http://schemas.openxmlformats.org/officeDocument/2006/relationships/hyperlink" Target="https://www.prisma-statement.org/?utm_source=chatgpt.com" TargetMode="External"/><Relationship Id="rId119" Type="http://schemas.openxmlformats.org/officeDocument/2006/relationships/hyperlink" Target="https://www.sciencedirect.com/science/article/pii/S0925527324002998" TargetMode="External"/><Relationship Id="rId44" Type="http://schemas.openxmlformats.org/officeDocument/2006/relationships/hyperlink" Target="https://www.nature.com/articles/s41598-025-23352-w?error=cookies_not_supported&amp;code=2c05d5a9-ad89-4b03-bb9f-12303f067370" TargetMode="External"/><Relationship Id="rId65" Type="http://schemas.openxmlformats.org/officeDocument/2006/relationships/hyperlink" Target="https://www.researchgate.net/publication/284232644_Supply_Chain_Forecasting_Theory_Practice_their_Gap_and_the_Future" TargetMode="External"/><Relationship Id="rId86" Type="http://schemas.openxmlformats.org/officeDocument/2006/relationships/hyperlink" Target="https://www.researchgate.net/publication/284232644_Supply_Chain_Forecasting_Theory_Practice_their_Gap_and_the_Future" TargetMode="External"/><Relationship Id="rId130" Type="http://schemas.openxmlformats.org/officeDocument/2006/relationships/hyperlink" Target="https://www.sciencedirect.com/science/article/pii/S0169207024001018" TargetMode="External"/><Relationship Id="rId151" Type="http://schemas.openxmlformats.org/officeDocument/2006/relationships/hyperlink" Target="https://jmsr-online.com/article/optimizing-supply-chain-management-through-machine-learning-applications-in-e-commerce-380/" TargetMode="External"/><Relationship Id="rId172" Type="http://schemas.openxmlformats.org/officeDocument/2006/relationships/hyperlink" Target="https://www.relexsolutions.com/resources/demand-forecasting/" TargetMode="External"/><Relationship Id="rId193" Type="http://schemas.openxmlformats.org/officeDocument/2006/relationships/hyperlink" Target="https://jmsr-online.com/article/optimizing-supply-chain-management-through-machine-learning-applications-in-e-commerce-380/" TargetMode="External"/><Relationship Id="rId207" Type="http://schemas.openxmlformats.org/officeDocument/2006/relationships/hyperlink" Target="https://osuva.uwasa.fi/bitstreams/a3299c6d-8eaa-47b3-8cf4-fa4d5417fad2/download" TargetMode="External"/><Relationship Id="rId13" Type="http://schemas.openxmlformats.org/officeDocument/2006/relationships/hyperlink" Target="https://www.sciencedirect.com/science/article/pii/S0148296319304564" TargetMode="External"/><Relationship Id="rId109" Type="http://schemas.openxmlformats.org/officeDocument/2006/relationships/hyperlink" Target="https://www.scmr.com/article/the-future-of-forecast-value-add-transforming-e-commerce-forecasting" TargetMode="External"/><Relationship Id="rId34" Type="http://schemas.openxmlformats.org/officeDocument/2006/relationships/hyperlink" Target="https://www.nature.com/articles/s41598-025-23352-w" TargetMode="External"/><Relationship Id="rId55" Type="http://schemas.openxmlformats.org/officeDocument/2006/relationships/hyperlink" Target="https://en.wikipedia.org/wiki/Bullwhip_effect" TargetMode="External"/><Relationship Id="rId76" Type="http://schemas.openxmlformats.org/officeDocument/2006/relationships/hyperlink" Target="https://www.researchgate.net/publication/284232644_Supply_Chain_Forecasting_Theory_Practice_their_Gap_and_the_Future" TargetMode="External"/><Relationship Id="rId97" Type="http://schemas.openxmlformats.org/officeDocument/2006/relationships/hyperlink" Target="https://www.scmr.com/article/the-future-of-forecast-value-add-transforming-e-commerce-forecasting" TargetMode="External"/><Relationship Id="rId120" Type="http://schemas.openxmlformats.org/officeDocument/2006/relationships/hyperlink" Target="https://www.sciencedirect.com/science/article/pii/S0169207024001018" TargetMode="External"/><Relationship Id="rId141" Type="http://schemas.openxmlformats.org/officeDocument/2006/relationships/hyperlink" Target="https://demand-planning.com/2021/02/16/beware-the-pitfalls-of-ai-in-demand-planning/" TargetMode="External"/><Relationship Id="rId7" Type="http://schemas.openxmlformats.org/officeDocument/2006/relationships/endnotes" Target="endnotes.xml"/><Relationship Id="rId162" Type="http://schemas.openxmlformats.org/officeDocument/2006/relationships/hyperlink" Target="https://demand-planning.com/2021/02/16/beware-the-pitfalls-of-ai-in-demand-planning/" TargetMode="External"/><Relationship Id="rId183" Type="http://schemas.openxmlformats.org/officeDocument/2006/relationships/hyperlink" Target="https://demand-planning.com/2021/02/16/beware-the-pitfalls-of-ai-in-demand-planning/" TargetMode="External"/><Relationship Id="rId24" Type="http://schemas.openxmlformats.org/officeDocument/2006/relationships/hyperlink" Target="https://www.sciencedirect.com/science/article/pii/S0148296319304564" TargetMode="External"/><Relationship Id="rId45" Type="http://schemas.openxmlformats.org/officeDocument/2006/relationships/hyperlink" Target="https://www.nature.com/articles/s41598-025-23352-w?error=cookies_not_supported&amp;code=2c05d5a9-ad89-4b03-bb9f-12303f067370" TargetMode="External"/><Relationship Id="rId66" Type="http://schemas.openxmlformats.org/officeDocument/2006/relationships/hyperlink" Target="https://www.researchgate.net/publication/284232644_Supply_Chain_Forecasting_Theory_Practice_their_Gap_and_the_Future" TargetMode="External"/><Relationship Id="rId87" Type="http://schemas.openxmlformats.org/officeDocument/2006/relationships/hyperlink" Target="https://www.nature.com/articles/s41598-025-23352-w?error=cookies_not_supported&amp;code=2c05d5a9-ad89-4b03-bb9f-12303f067370" TargetMode="External"/><Relationship Id="rId110" Type="http://schemas.openxmlformats.org/officeDocument/2006/relationships/hyperlink" Target="https://www.scmr.com/article/the-future-of-forecast-value-add-transforming-e-commerce-forecasting" TargetMode="External"/><Relationship Id="rId131" Type="http://schemas.openxmlformats.org/officeDocument/2006/relationships/hyperlink" Target="https://www.sciencedirect.com/science/article/pii/S0925527324002998" TargetMode="External"/><Relationship Id="rId152" Type="http://schemas.openxmlformats.org/officeDocument/2006/relationships/hyperlink" Target="https://osuva.uwasa.fi/bitstreams/a3299c6d-8eaa-47b3-8cf4-fa4d5417fad2/download" TargetMode="External"/><Relationship Id="rId173" Type="http://schemas.openxmlformats.org/officeDocument/2006/relationships/hyperlink" Target="https://mobiosolutions.com/ai-demand-forecasting-inventory-optimization-retail/" TargetMode="External"/><Relationship Id="rId194" Type="http://schemas.openxmlformats.org/officeDocument/2006/relationships/hyperlink" Target="https://mobiosolutions.com/ai-demand-forecasting-inventory-optimization-retail/" TargetMode="External"/><Relationship Id="rId208" Type="http://schemas.openxmlformats.org/officeDocument/2006/relationships/hyperlink" Target="https://scholarsarchive.byu.edu/facpub/8669/" TargetMode="External"/><Relationship Id="rId19" Type="http://schemas.openxmlformats.org/officeDocument/2006/relationships/hyperlink" Target="https://journals.aom.org/doi/10.5465/amr.2009.0188?utm_source=chatgpt.com" TargetMode="External"/><Relationship Id="rId14" Type="http://schemas.openxmlformats.org/officeDocument/2006/relationships/hyperlink" Target="https://www.prisma-statement.org/?utm_source=chatgpt.com" TargetMode="External"/><Relationship Id="rId30" Type="http://schemas.openxmlformats.org/officeDocument/2006/relationships/hyperlink" Target="https://www.researchgate.net/publication/341904756_A_REVIEW_ON_DEMAND_AND_FORECASTING_IN_SUPPLY_CHAIN_MANAGEMENT" TargetMode="External"/><Relationship Id="rId35" Type="http://schemas.openxmlformats.org/officeDocument/2006/relationships/hyperlink" Target="https://www.sciencedirect.com/science/article/pii/S0169207024001018" TargetMode="External"/><Relationship Id="rId56" Type="http://schemas.openxmlformats.org/officeDocument/2006/relationships/hyperlink" Target="https://www.sciencedirect.com/science/article/abs/pii/S0377221724009755" TargetMode="External"/><Relationship Id="rId77" Type="http://schemas.openxmlformats.org/officeDocument/2006/relationships/hyperlink" Target="https://www.nature.com/articles/s41598-025-23352-w?error=cookies_not_supported&amp;code=2c05d5a9-ad89-4b03-bb9f-12303f067370" TargetMode="External"/><Relationship Id="rId100" Type="http://schemas.openxmlformats.org/officeDocument/2006/relationships/hyperlink" Target="https://www.sciencedirect.com/science/article/pii/S0169207024001018" TargetMode="External"/><Relationship Id="rId105" Type="http://schemas.openxmlformats.org/officeDocument/2006/relationships/hyperlink" Target="https://www.researchgate.net/publication/284232644_Supply_Chain_Forecasting_Theory_Practice_their_Gap_and_the_Future" TargetMode="External"/><Relationship Id="rId126" Type="http://schemas.openxmlformats.org/officeDocument/2006/relationships/hyperlink" Target="https://www.sciencedirect.com/science/article/abs/pii/S0377221724009755" TargetMode="External"/><Relationship Id="rId147" Type="http://schemas.openxmlformats.org/officeDocument/2006/relationships/hyperlink" Target="https://courses.ie.bilkent.edu.tr/ie460/wp-content/uploads/sites/12/2019/02/Lee-Padmanabhan-Whang-1997-MS.pdf" TargetMode="External"/><Relationship Id="rId168" Type="http://schemas.openxmlformats.org/officeDocument/2006/relationships/hyperlink" Target="https://mobiosolutions.com/ai-demand-forecasting-inventory-optimization-retail/" TargetMode="External"/><Relationship Id="rId8" Type="http://schemas.openxmlformats.org/officeDocument/2006/relationships/hyperlink" Target="https://www.sciencedirect.com/science/article/pii/S0148296319304564" TargetMode="External"/><Relationship Id="rId51" Type="http://schemas.openxmlformats.org/officeDocument/2006/relationships/hyperlink" Target="https://www.unesco.org/en/artificial-intelligence/recommendation-ethics" TargetMode="External"/><Relationship Id="rId72" Type="http://schemas.openxmlformats.org/officeDocument/2006/relationships/hyperlink" Target="https://www.sciencedirect.com/science/article/abs/pii/S0377221724009755" TargetMode="External"/><Relationship Id="rId93" Type="http://schemas.openxmlformats.org/officeDocument/2006/relationships/hyperlink" Target="https://www.nature.com/articles/s41598-025-23352-w?error=cookies_not_supported&amp;code=2c05d5a9-ad89-4b03-bb9f-12303f067370" TargetMode="External"/><Relationship Id="rId98" Type="http://schemas.openxmlformats.org/officeDocument/2006/relationships/hyperlink" Target="https://www.sciencedirect.com/science/article/pii/S0169207024001018" TargetMode="External"/><Relationship Id="rId121" Type="http://schemas.openxmlformats.org/officeDocument/2006/relationships/hyperlink" Target="https://www.sciencedirect.com/science/article/pii/S0169207024001018" TargetMode="External"/><Relationship Id="rId142" Type="http://schemas.openxmlformats.org/officeDocument/2006/relationships/hyperlink" Target="https://demand-planning.com/2021/02/16/beware-the-pitfalls-of-ai-in-demand-planning/" TargetMode="External"/><Relationship Id="rId163" Type="http://schemas.openxmlformats.org/officeDocument/2006/relationships/hyperlink" Target="https://demand-planning.com/2021/02/16/beware-the-pitfalls-of-ai-in-demand-planning/" TargetMode="External"/><Relationship Id="rId184" Type="http://schemas.openxmlformats.org/officeDocument/2006/relationships/hyperlink" Target="https://demand-planning.com/2021/02/16/beware-the-pitfalls-of-ai-in-demand-planning/" TargetMode="External"/><Relationship Id="rId189" Type="http://schemas.openxmlformats.org/officeDocument/2006/relationships/hyperlink" Target="https://demand-planning.com/2021/02/16/beware-the-pitfalls-of-ai-in-demand-planning/" TargetMode="External"/><Relationship Id="rId3" Type="http://schemas.openxmlformats.org/officeDocument/2006/relationships/styles" Target="styles.xml"/><Relationship Id="rId214" Type="http://schemas.openxmlformats.org/officeDocument/2006/relationships/footer" Target="footer2.xml"/><Relationship Id="rId25" Type="http://schemas.openxmlformats.org/officeDocument/2006/relationships/hyperlink" Target="https://cran.r-project.org/web/packages/forecast/vignettes/JSS2008.pdf" TargetMode="External"/><Relationship Id="rId46" Type="http://schemas.openxmlformats.org/officeDocument/2006/relationships/hyperlink" Target="https://www.researchgate.net/publication/284232644_Supply_Chain_Forecasting_Theory_Practice_their_Gap_and_the_Future" TargetMode="External"/><Relationship Id="rId67"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16" Type="http://schemas.openxmlformats.org/officeDocument/2006/relationships/hyperlink" Target="https://www.researchgate.net/publication/284232644_Supply_Chain_Forecasting_Theory_Practice_their_Gap_and_the_Future" TargetMode="External"/><Relationship Id="rId137" Type="http://schemas.openxmlformats.org/officeDocument/2006/relationships/hyperlink" Target="https://www.researchgate.net/publication/360880056_Review_and_analysis_of_artificial_intelligence_methods_for_demand_forecasting_in_supply_chain_management" TargetMode="External"/><Relationship Id="rId158" Type="http://schemas.openxmlformats.org/officeDocument/2006/relationships/hyperlink" Target="https://demand-planning.com/2021/02/16/beware-the-pitfalls-of-ai-in-demand-planning/" TargetMode="External"/><Relationship Id="rId20" Type="http://schemas.openxmlformats.org/officeDocument/2006/relationships/hyperlink" Target="https://www.sciencedirect.com/science/article/pii/S0169207024000748" TargetMode="External"/><Relationship Id="rId41" Type="http://schemas.openxmlformats.org/officeDocument/2006/relationships/hyperlink" Target="https://www.researchgate.net/publication/284232644_Supply_Chain_Forecasting_Theory_Practice_their_Gap_and_the_Future" TargetMode="External"/><Relationship Id="rId62" Type="http://schemas.openxmlformats.org/officeDocument/2006/relationships/hyperlink" Target="https://www.researchgate.net/publication/284232644_Supply_Chain_Forecasting_Theory_Practice_their_Gap_and_the_Future" TargetMode="External"/><Relationship Id="rId83" Type="http://schemas.openxmlformats.org/officeDocument/2006/relationships/hyperlink" Target="https://www.nature.com/articles/s41598-025-23352-w?error=cookies_not_supported&amp;code=2c05d5a9-ad89-4b03-bb9f-12303f067370" TargetMode="External"/><Relationship Id="rId88" Type="http://schemas.openxmlformats.org/officeDocument/2006/relationships/hyperlink" Target="https://www.nature.com/articles/s41598-025-23352-w?error=cookies_not_supported&amp;code=2c05d5a9-ad89-4b03-bb9f-12303f067370" TargetMode="External"/><Relationship Id="rId111" Type="http://schemas.openxmlformats.org/officeDocument/2006/relationships/hyperlink" Target="https://www.scmr.com/article/the-future-of-forecast-value-add-transforming-e-commerce-forecasting" TargetMode="External"/><Relationship Id="rId132" Type="http://schemas.openxmlformats.org/officeDocument/2006/relationships/hyperlink" Target="https://www.scmr.com/article/the-future-of-forecast-value-add-transforming-e-commerce-forecasting" TargetMode="External"/><Relationship Id="rId153" Type="http://schemas.openxmlformats.org/officeDocument/2006/relationships/hyperlink" Target="https://mobiosolutions.com/ai-demand-forecasting-inventory-optimization-retail/" TargetMode="External"/><Relationship Id="rId174" Type="http://schemas.openxmlformats.org/officeDocument/2006/relationships/hyperlink" Target="https://mobiosolutions.com/ai-demand-forecasting-inventory-optimization-retail/" TargetMode="External"/><Relationship Id="rId179" Type="http://schemas.openxmlformats.org/officeDocument/2006/relationships/hyperlink" Target="https://thesai.org/Downloads/Volume16No10/Paper_90-A_Review_of_Artificial_Intelligence_in_Inventory_Management.pdf" TargetMode="External"/><Relationship Id="rId195" Type="http://schemas.openxmlformats.org/officeDocument/2006/relationships/hyperlink" Target="https://scholarsarchive.byu.edu/facpub/8669/" TargetMode="External"/><Relationship Id="rId209" Type="http://schemas.openxmlformats.org/officeDocument/2006/relationships/hyperlink" Target="https://courses.ie.bilkent.edu.tr/ie460/wp-content/uploads/sites/12/2019/02/Lee-Padmanabhan-Whang-1997-MS.pdf" TargetMode="External"/><Relationship Id="rId190" Type="http://schemas.openxmlformats.org/officeDocument/2006/relationships/hyperlink" Target="https://courses.ie.bilkent.edu.tr/ie460/wp-content/uploads/sites/12/2019/02/Lee-Padmanabhan-Whang-1997-MS.pdf" TargetMode="External"/><Relationship Id="rId204" Type="http://schemas.openxmlformats.org/officeDocument/2006/relationships/hyperlink" Target="https://www.researchgate.net/publication/360880056_Review_and_analysis_of_artificial_intelligence_methods_for_demand_forecasting_in_supply_chain_management" TargetMode="External"/><Relationship Id="rId15" Type="http://schemas.openxmlformats.org/officeDocument/2006/relationships/hyperlink" Target="https://journals.aom.org/doi/10.5465/amr.2009.0188?utm_source=chatgpt.com" TargetMode="External"/><Relationship Id="rId36" Type="http://schemas.openxmlformats.org/officeDocument/2006/relationships/hyperlink" Target="https://www.sciencedirect.com/science/article/pii/S0925527324002998" TargetMode="External"/><Relationship Id="rId57" Type="http://schemas.openxmlformats.org/officeDocument/2006/relationships/hyperlink" Target="https://www.researchgate.net/publication/341904756_A_REVIEW_ON_DEMAND_AND_FORECASTING_IN_SUPPLY_CHAIN_MANAGEMENT" TargetMode="External"/><Relationship Id="rId106" Type="http://schemas.openxmlformats.org/officeDocument/2006/relationships/hyperlink" Target="https://www.scmr.com/article/the-future-of-forecast-value-add-transforming-e-commerce-forecasting" TargetMode="External"/><Relationship Id="rId127" Type="http://schemas.openxmlformats.org/officeDocument/2006/relationships/hyperlink" Target="https://www.researchgate.net/publication/284232644_Supply_Chain_Forecasting_Theory_Practice_their_Gap_and_the_Future" TargetMode="External"/><Relationship Id="rId10" Type="http://schemas.openxmlformats.org/officeDocument/2006/relationships/hyperlink" Target="https://www.sciencedirect.com/science/article/abs/pii/S0169207020300224" TargetMode="External"/><Relationship Id="rId31" Type="http://schemas.openxmlformats.org/officeDocument/2006/relationships/hyperlink" Target="https://www.sciencedirect.com/science/article/abs/pii/S0377221724009755" TargetMode="External"/><Relationship Id="rId52" Type="http://schemas.openxmlformats.org/officeDocument/2006/relationships/hyperlink" Target="https://www.sciencedirect.com/science/article/abs/pii/S0377221724009755" TargetMode="External"/><Relationship Id="rId73"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78" Type="http://schemas.openxmlformats.org/officeDocument/2006/relationships/hyperlink" Target="https://www.nature.com/articles/s41598-025-23352-w?error=cookies_not_supported&amp;code=2c05d5a9-ad89-4b03-bb9f-12303f067370" TargetMode="External"/><Relationship Id="rId94" Type="http://schemas.openxmlformats.org/officeDocument/2006/relationships/hyperlink" Target="https://www.sciencedirect.com/science/article/pii/S0169207024001018" TargetMode="External"/><Relationship Id="rId99" Type="http://schemas.openxmlformats.org/officeDocument/2006/relationships/hyperlink" Target="https://www.sciencedirect.com/science/article/pii/S0169207024001018" TargetMode="External"/><Relationship Id="rId101" Type="http://schemas.openxmlformats.org/officeDocument/2006/relationships/hyperlink" Target="https://www.sciencedirect.com/science/article/pii/S0925527324002998" TargetMode="External"/><Relationship Id="rId122"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43" Type="http://schemas.openxmlformats.org/officeDocument/2006/relationships/hyperlink" Target="https://osuva.uwasa.fi/bitstreams/a3299c6d-8eaa-47b3-8cf4-fa4d5417fad2/download" TargetMode="External"/><Relationship Id="rId148" Type="http://schemas.openxmlformats.org/officeDocument/2006/relationships/hyperlink" Target="https://courses.ie.bilkent.edu.tr/ie460/wp-content/uploads/sites/12/2019/02/Lee-Padmanabhan-Whang-1997-MS.pdf" TargetMode="External"/><Relationship Id="rId164" Type="http://schemas.openxmlformats.org/officeDocument/2006/relationships/hyperlink" Target="https://link.springer.com/article/10.1007/s10479-024-06348-z" TargetMode="External"/><Relationship Id="rId169" Type="http://schemas.openxmlformats.org/officeDocument/2006/relationships/hyperlink" Target="https://osuva.uwasa.fi/bitstreams/a3299c6d-8eaa-47b3-8cf4-fa4d5417fad2/download" TargetMode="External"/><Relationship Id="rId185" Type="http://schemas.openxmlformats.org/officeDocument/2006/relationships/hyperlink" Target="https://demand-planning.com/2021/02/16/beware-the-pitfalls-of-ai-in-demand-planning/" TargetMode="External"/><Relationship Id="rId4" Type="http://schemas.openxmlformats.org/officeDocument/2006/relationships/settings" Target="settings.xml"/><Relationship Id="rId9" Type="http://schemas.openxmlformats.org/officeDocument/2006/relationships/hyperlink" Target="https://www.sciencedirect.com/science/article/pii/S0148296319304564" TargetMode="External"/><Relationship Id="rId180" Type="http://schemas.openxmlformats.org/officeDocument/2006/relationships/hyperlink" Target="https://osuva.uwasa.fi/bitstreams/a3299c6d-8eaa-47b3-8cf4-fa4d5417fad2/download" TargetMode="External"/><Relationship Id="rId210" Type="http://schemas.openxmlformats.org/officeDocument/2006/relationships/hyperlink" Target="https://jmsr-online.com/article/optimizing-supply-chain-management-through-machine-learning-applications-in-e-commerce-380/" TargetMode="External"/><Relationship Id="rId215" Type="http://schemas.openxmlformats.org/officeDocument/2006/relationships/fontTable" Target="fontTable.xml"/><Relationship Id="rId26" Type="http://schemas.openxmlformats.org/officeDocument/2006/relationships/hyperlink" Target="https://www.sciencedirect.com/science/article/abs/pii/S0957417424005931" TargetMode="External"/><Relationship Id="rId47" Type="http://schemas.openxmlformats.org/officeDocument/2006/relationships/hyperlink" Target="https://www.sciencedirect.com/science/article/pii/S0169207024001018" TargetMode="External"/><Relationship Id="rId68"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89" Type="http://schemas.openxmlformats.org/officeDocument/2006/relationships/hyperlink" Target="https://www.nature.com/articles/s41598-025-23352-w?error=cookies_not_supported&amp;code=2c05d5a9-ad89-4b03-bb9f-12303f067370" TargetMode="External"/><Relationship Id="rId112" Type="http://schemas.openxmlformats.org/officeDocument/2006/relationships/hyperlink" Target="https://www.sciencedirect.com/science/article/abs/pii/S0377221724009755" TargetMode="External"/><Relationship Id="rId133" Type="http://schemas.openxmlformats.org/officeDocument/2006/relationships/hyperlink" Target="https://www.unesco.org/en/artificial-intelligence/recommendation-ethics" TargetMode="External"/><Relationship Id="rId154" Type="http://schemas.openxmlformats.org/officeDocument/2006/relationships/hyperlink" Target="https://osuva.uwasa.fi/bitstreams/a3299c6d-8eaa-47b3-8cf4-fa4d5417fad2/download" TargetMode="External"/><Relationship Id="rId175" Type="http://schemas.openxmlformats.org/officeDocument/2006/relationships/hyperlink" Target="https://demand-planning.com/2021/02/16/beware-the-pitfalls-of-ai-in-demand-planning/" TargetMode="External"/><Relationship Id="rId196" Type="http://schemas.openxmlformats.org/officeDocument/2006/relationships/hyperlink" Target="https://demand-planning.com/2021/02/16/beware-the-pitfalls-of-ai-in-demand-planning/" TargetMode="External"/><Relationship Id="rId200" Type="http://schemas.openxmlformats.org/officeDocument/2006/relationships/hyperlink" Target="https://thesai.org/Downloads/Volume16No10/Paper_90-A_Review_of_Artificial_Intelligence_in_Inventory_Management.pdf" TargetMode="External"/><Relationship Id="rId16" Type="http://schemas.openxmlformats.org/officeDocument/2006/relationships/hyperlink" Target="https://www.sciencedirect.com/science/article/abs/pii/S0957417424005931" TargetMode="External"/><Relationship Id="rId37" Type="http://schemas.openxmlformats.org/officeDocument/2006/relationships/hyperlink" Target="https://www.scmr.com/article/the-future-of-forecast-value-add-transforming-e-commerce-forecasting" TargetMode="External"/><Relationship Id="rId58" Type="http://schemas.openxmlformats.org/officeDocument/2006/relationships/hyperlink" Target="https://www.sciencedirect.com/science/article/abs/pii/S0377221724009755" TargetMode="External"/><Relationship Id="rId79" Type="http://schemas.openxmlformats.org/officeDocument/2006/relationships/hyperlink" Target="https://www.researchgate.net/publication/284232644_Supply_Chain_Forecasting_Theory_Practice_their_Gap_and_the_Future" TargetMode="External"/><Relationship Id="rId102" Type="http://schemas.openxmlformats.org/officeDocument/2006/relationships/hyperlink" Target="https://www.scmr.com/article/the-future-of-forecast-value-add-transforming-e-commerce-forecasting" TargetMode="External"/><Relationship Id="rId123"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44" Type="http://schemas.openxmlformats.org/officeDocument/2006/relationships/hyperlink" Target="https://osuva.uwasa.fi/bitstreams/a3299c6d-8eaa-47b3-8cf4-fa4d5417fad2/download" TargetMode="External"/><Relationship Id="rId90" Type="http://schemas.openxmlformats.org/officeDocument/2006/relationships/hyperlink" Target="https://www.researchgate.net/publication/284232644_Supply_Chain_Forecasting_Theory_Practice_their_Gap_and_the_Future" TargetMode="External"/><Relationship Id="rId165" Type="http://schemas.openxmlformats.org/officeDocument/2006/relationships/hyperlink" Target="https://thesai.org/Downloads/Volume16No10/Paper_90-A_Review_of_Artificial_Intelligence_in_Inventory_Management.pdf" TargetMode="External"/><Relationship Id="rId186" Type="http://schemas.openxmlformats.org/officeDocument/2006/relationships/hyperlink" Target="https://osuva.uwasa.fi/bitstreams/a3299c6d-8eaa-47b3-8cf4-fa4d5417fad2/download" TargetMode="External"/><Relationship Id="rId211" Type="http://schemas.openxmlformats.org/officeDocument/2006/relationships/hyperlink" Target="https://thesai.org/Downloads/Volume16No10/Paper_90-A_Review_of_Artificial_Intelligence_in_Inventory_Management.pdf" TargetMode="External"/><Relationship Id="rId27" Type="http://schemas.openxmlformats.org/officeDocument/2006/relationships/image" Target="media/image1.png"/><Relationship Id="rId48" Type="http://schemas.openxmlformats.org/officeDocument/2006/relationships/hyperlink" Target="https://www.sciencedirect.com/science/article/pii/S0925527324002998" TargetMode="External"/><Relationship Id="rId69" Type="http://schemas.openxmlformats.org/officeDocument/2006/relationships/hyperlink" Target="https://www.researchgate.net/publication/284232644_Supply_Chain_Forecasting_Theory_Practice_their_Gap_and_the_Future" TargetMode="External"/><Relationship Id="rId113" Type="http://schemas.openxmlformats.org/officeDocument/2006/relationships/hyperlink" Target="https://www.sciencedirect.com/science/article/abs/pii/S0377221724009755" TargetMode="External"/><Relationship Id="rId134" Type="http://schemas.openxmlformats.org/officeDocument/2006/relationships/hyperlink" Target="https://www.relexsolutions.com/resources/demand-forecasting/" TargetMode="External"/><Relationship Id="rId80" Type="http://schemas.openxmlformats.org/officeDocument/2006/relationships/hyperlink" Target="https://www.nature.com/articles/s41598-025-23352-w?error=cookies_not_supported&amp;code=2c05d5a9-ad89-4b03-bb9f-12303f067370" TargetMode="External"/><Relationship Id="rId155" Type="http://schemas.openxmlformats.org/officeDocument/2006/relationships/hyperlink" Target="https://thesai.org/Downloads/Volume16No10/Paper_90-A_Review_of_Artificial_Intelligence_in_Inventory_Management.pdf" TargetMode="External"/><Relationship Id="rId176" Type="http://schemas.openxmlformats.org/officeDocument/2006/relationships/hyperlink" Target="https://osuva.uwasa.fi/bitstreams/a3299c6d-8eaa-47b3-8cf4-fa4d5417fad2/download" TargetMode="External"/><Relationship Id="rId197" Type="http://schemas.openxmlformats.org/officeDocument/2006/relationships/hyperlink" Target="https://demand-planning.com/2021/02/16/beware-the-pitfalls-of-ai-in-demand-planning/" TargetMode="External"/><Relationship Id="rId201" Type="http://schemas.openxmlformats.org/officeDocument/2006/relationships/hyperlink" Target="https://thesai.org/Downloads/Volume16No10/Paper_90-A_Review_of_Artificial_Intelligence_in_Inventory_Management.pdf" TargetMode="External"/><Relationship Id="rId17" Type="http://schemas.openxmlformats.org/officeDocument/2006/relationships/hyperlink" Target="https://www.sciencedirect.com/science/article/pii/S0148296319304564" TargetMode="External"/><Relationship Id="rId38" Type="http://schemas.openxmlformats.org/officeDocument/2006/relationships/hyperlink" Target="https://www.unesco.org/en/artificial-intelligence/recommendation-ethics" TargetMode="External"/><Relationship Id="rId59" Type="http://schemas.openxmlformats.org/officeDocument/2006/relationships/hyperlink" Target="https://www.researchgate.net/publication/341904756_A_REVIEW_ON_DEMAND_AND_FORECASTING_IN_SUPPLY_CHAIN_MANAGEMENT" TargetMode="External"/><Relationship Id="rId103" Type="http://schemas.openxmlformats.org/officeDocument/2006/relationships/hyperlink" Target="https://www.unesco.org/en/artificial-intelligence/recommendation-ethics" TargetMode="External"/><Relationship Id="rId124" Type="http://schemas.openxmlformats.org/officeDocument/2006/relationships/image" Target="media/image2.png"/><Relationship Id="rId70" Type="http://schemas.openxmlformats.org/officeDocument/2006/relationships/hyperlink" Target="https://www.researchgate.net/publication/284232644_Supply_Chain_Forecasting_Theory_Practice_their_Gap_and_the_Future" TargetMode="External"/><Relationship Id="rId91" Type="http://schemas.openxmlformats.org/officeDocument/2006/relationships/hyperlink" Target="https://www.nature.com/articles/s41598-025-23352-w?error=cookies_not_supported&amp;code=2c05d5a9-ad89-4b03-bb9f-12303f067370" TargetMode="External"/><Relationship Id="rId145" Type="http://schemas.openxmlformats.org/officeDocument/2006/relationships/hyperlink" Target="https://osuva.uwasa.fi/bitstreams/a3299c6d-8eaa-47b3-8cf4-fa4d5417fad2/download" TargetMode="External"/><Relationship Id="rId166" Type="http://schemas.openxmlformats.org/officeDocument/2006/relationships/hyperlink" Target="https://osuva.uwasa.fi/bitstreams/a3299c6d-8eaa-47b3-8cf4-fa4d5417fad2/download" TargetMode="External"/><Relationship Id="rId187" Type="http://schemas.openxmlformats.org/officeDocument/2006/relationships/hyperlink" Target="https://mobiosolutions.com/ai-demand-forecasting-inventory-optimization-retail/" TargetMode="External"/><Relationship Id="rId1" Type="http://schemas.openxmlformats.org/officeDocument/2006/relationships/customXml" Target="../customXml/item1.xml"/><Relationship Id="rId212" Type="http://schemas.openxmlformats.org/officeDocument/2006/relationships/hyperlink" Target="https://link.springer.com/article/10.1007/s10479-024-06348-z" TargetMode="External"/><Relationship Id="rId28" Type="http://schemas.openxmlformats.org/officeDocument/2006/relationships/hyperlink" Target="https://www.sciencedirect.com/science/article/abs/pii/S0957417424005931" TargetMode="External"/><Relationship Id="rId49" Type="http://schemas.openxmlformats.org/officeDocument/2006/relationships/hyperlink" Target="https://www.scmr.com/article/the-future-of-forecast-value-add-transforming-e-commerce-forecasting" TargetMode="External"/><Relationship Id="rId114" Type="http://schemas.openxmlformats.org/officeDocument/2006/relationships/hyperlink" Target="https://www.researchgate.net/publication/284232644_Supply_Chain_Forecasting_Theory_Practice_their_Gap_and_the_Future" TargetMode="External"/><Relationship Id="rId60" Type="http://schemas.openxmlformats.org/officeDocument/2006/relationships/hyperlink" Target="https://www.sciencedirect.com/science/article/abs/pii/S0377221724009755" TargetMode="External"/><Relationship Id="rId81" Type="http://schemas.openxmlformats.org/officeDocument/2006/relationships/hyperlink" Target="https://www.nature.com/articles/s41598-025-23352-w?error=cookies_not_supported&amp;code=2c05d5a9-ad89-4b03-bb9f-12303f067370" TargetMode="External"/><Relationship Id="rId135" Type="http://schemas.openxmlformats.org/officeDocument/2006/relationships/hyperlink" Target="https://www.researchgate.net/publication/383560175_AI-driven_demand_forecasting_Enhancing_inventory_management_and_customer_satisfaction" TargetMode="External"/><Relationship Id="rId156" Type="http://schemas.openxmlformats.org/officeDocument/2006/relationships/hyperlink" Target="https://scholarsarchive.byu.edu/facpub/8669/" TargetMode="External"/><Relationship Id="rId177" Type="http://schemas.openxmlformats.org/officeDocument/2006/relationships/hyperlink" Target="https://scholarsarchive.byu.edu/facpub/8669/" TargetMode="External"/><Relationship Id="rId198" Type="http://schemas.openxmlformats.org/officeDocument/2006/relationships/hyperlink" Target="https://demand-planning.com/2021/02/16/beware-the-pitfalls-of-ai-in-demand-planning/" TargetMode="External"/><Relationship Id="rId202" Type="http://schemas.openxmlformats.org/officeDocument/2006/relationships/hyperlink" Target="https://www.relexsolutions.com/resources/demand-forecasting/" TargetMode="External"/><Relationship Id="rId18" Type="http://schemas.openxmlformats.org/officeDocument/2006/relationships/hyperlink" Target="https://journals.aom.org/doi/10.5465/amr.2009.0188?utm_source=chatgpt.com" TargetMode="External"/><Relationship Id="rId39" Type="http://schemas.openxmlformats.org/officeDocument/2006/relationships/hyperlink" Target="https://www.researchgate.net/publication/341904756_A_REVIEW_ON_DEMAND_AND_FORECASTING_IN_SUPPLY_CHAIN_MANAGEMENT" TargetMode="External"/><Relationship Id="rId50"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04" Type="http://schemas.openxmlformats.org/officeDocument/2006/relationships/hyperlink" Target="https://www.researchgate.net/publication/390792073_Multi-Agent_Deep_Reinforcement_Learning_for_Integrated_Demand_Forecasting_and_Inventory_Optimization_in_Sensor-Enabled_Retail_Supply_Chains" TargetMode="External"/><Relationship Id="rId125" Type="http://schemas.openxmlformats.org/officeDocument/2006/relationships/hyperlink" Target="https://www.researchgate.net/publication/341904756_A_REVIEW_ON_DEMAND_AND_FORECASTING_IN_SUPPLY_CHAIN_MANAGEMENT" TargetMode="External"/><Relationship Id="rId146" Type="http://schemas.openxmlformats.org/officeDocument/2006/relationships/hyperlink" Target="https://scholarsarchive.byu.edu/facpub/8669/" TargetMode="External"/><Relationship Id="rId167" Type="http://schemas.openxmlformats.org/officeDocument/2006/relationships/hyperlink" Target="https://thesai.org/Downloads/Volume16No10/Paper_90-A_Review_of_Artificial_Intelligence_in_Inventory_Management.pdf" TargetMode="External"/><Relationship Id="rId188" Type="http://schemas.openxmlformats.org/officeDocument/2006/relationships/hyperlink" Target="https://demand-planning.com/2021/02/16/beware-the-pitfalls-of-ai-in-demand-planning/" TargetMode="External"/><Relationship Id="rId71" Type="http://schemas.openxmlformats.org/officeDocument/2006/relationships/hyperlink" Target="https://www.sciencedirect.com/science/article/abs/pii/S0377221724009755" TargetMode="External"/><Relationship Id="rId92" Type="http://schemas.openxmlformats.org/officeDocument/2006/relationships/hyperlink" Target="https://www.nature.com/articles/s41598-025-23352-w?error=cookies_not_supported&amp;code=2c05d5a9-ad89-4b03-bb9f-12303f067370" TargetMode="External"/><Relationship Id="rId213"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www.prisma-statement.org/?utm_source=chatgpt.com" TargetMode="External"/><Relationship Id="rId40" Type="http://schemas.openxmlformats.org/officeDocument/2006/relationships/hyperlink" Target="https://www.sciencedirect.com/science/article/abs/pii/S0377221724009755" TargetMode="External"/><Relationship Id="rId115" Type="http://schemas.openxmlformats.org/officeDocument/2006/relationships/hyperlink" Target="https://www.researchgate.net/publication/284232644_Supply_Chain_Forecasting_Theory_Practice_their_Gap_and_the_Future" TargetMode="External"/><Relationship Id="rId136" Type="http://schemas.openxmlformats.org/officeDocument/2006/relationships/hyperlink" Target="https://www.researchgate.net/publication/383560175_AI-driven_demand_forecasting_Enhancing_inventory_management_and_customer_satisfaction" TargetMode="External"/><Relationship Id="rId157" Type="http://schemas.openxmlformats.org/officeDocument/2006/relationships/hyperlink" Target="https://demand-planning.com/2021/02/16/beware-the-pitfalls-of-ai-in-demand-planning/" TargetMode="External"/><Relationship Id="rId178" Type="http://schemas.openxmlformats.org/officeDocument/2006/relationships/hyperlink" Target="https://osuva.uwasa.fi/bitstreams/a3299c6d-8eaa-47b3-8cf4-fa4d5417fad2/download" TargetMode="External"/><Relationship Id="rId61" Type="http://schemas.openxmlformats.org/officeDocument/2006/relationships/hyperlink" Target="https://www.researchgate.net/publication/284232644_Supply_Chain_Forecasting_Theory_Practice_their_Gap_and_the_Future" TargetMode="External"/><Relationship Id="rId82" Type="http://schemas.openxmlformats.org/officeDocument/2006/relationships/hyperlink" Target="https://www.nature.com/articles/s41598-025-23352-w?error=cookies_not_supported&amp;code=2c05d5a9-ad89-4b03-bb9f-12303f067370" TargetMode="External"/><Relationship Id="rId199" Type="http://schemas.openxmlformats.org/officeDocument/2006/relationships/hyperlink" Target="https://link.springer.com/article/10.1007/s10479-024-06348-z" TargetMode="External"/><Relationship Id="rId203" Type="http://schemas.openxmlformats.org/officeDocument/2006/relationships/hyperlink" Target="https://www.researchgate.net/publication/383560175_AI-driven_demand_forecasting_Enhancing_inventory_management_and_customer_satisf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216F2-1B9B-444E-98D0-AE378D2D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24572</Words>
  <Characters>140067</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Bitto Xavier XAVIER</dc:creator>
  <cp:keywords/>
  <dc:description/>
  <cp:lastModifiedBy>Bitto Xavier XAVIER</cp:lastModifiedBy>
  <cp:revision>2</cp:revision>
  <dcterms:created xsi:type="dcterms:W3CDTF">2026-04-22T12:07:00Z</dcterms:created>
  <dcterms:modified xsi:type="dcterms:W3CDTF">2026-04-22T12:07:00Z</dcterms:modified>
</cp:coreProperties>
</file>