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E1C0A" w14:textId="77777777" w:rsidR="00B66A05" w:rsidRPr="00707D13" w:rsidRDefault="00B66A05" w:rsidP="00953F90">
      <w:pPr>
        <w:spacing w:line="240" w:lineRule="auto"/>
        <w:jc w:val="center"/>
        <w:rPr>
          <w:rFonts w:ascii="Arial" w:hAnsi="Arial" w:cs="Arial"/>
          <w:b/>
          <w:bCs/>
          <w:color w:val="000000" w:themeColor="text1"/>
          <w:sz w:val="32"/>
          <w:szCs w:val="32"/>
        </w:rPr>
      </w:pPr>
    </w:p>
    <w:p w14:paraId="5ABD48CE" w14:textId="74B6288A" w:rsidR="001D67CE" w:rsidRPr="00707D13" w:rsidRDefault="004321B1" w:rsidP="00953F90">
      <w:pPr>
        <w:spacing w:line="240" w:lineRule="auto"/>
        <w:jc w:val="center"/>
        <w:rPr>
          <w:rFonts w:ascii="Arial" w:hAnsi="Arial" w:cs="Arial"/>
          <w:b/>
          <w:bCs/>
          <w:color w:val="000000" w:themeColor="text1"/>
          <w:sz w:val="32"/>
          <w:szCs w:val="32"/>
        </w:rPr>
      </w:pPr>
      <w:r w:rsidRPr="00707D13">
        <w:rPr>
          <w:rFonts w:ascii="Arial" w:hAnsi="Arial" w:cs="Arial"/>
          <w:b/>
          <w:bCs/>
          <w:color w:val="000000" w:themeColor="text1"/>
          <w:sz w:val="32"/>
          <w:szCs w:val="32"/>
        </w:rPr>
        <w:t>Health Care System Organisation and Leadership</w:t>
      </w:r>
    </w:p>
    <w:p w14:paraId="729E12F4" w14:textId="5CF7F88E" w:rsidR="006A2F7D" w:rsidRPr="00707D13" w:rsidRDefault="006A2F7D" w:rsidP="00953F90">
      <w:pPr>
        <w:spacing w:line="240" w:lineRule="auto"/>
        <w:jc w:val="center"/>
        <w:rPr>
          <w:rFonts w:ascii="Arial" w:hAnsi="Arial" w:cs="Arial"/>
          <w:b/>
          <w:bCs/>
          <w:color w:val="000000" w:themeColor="text1"/>
          <w:sz w:val="32"/>
          <w:szCs w:val="32"/>
        </w:rPr>
      </w:pPr>
      <w:r w:rsidRPr="00707D13">
        <w:rPr>
          <w:rFonts w:ascii="Arial" w:hAnsi="Arial" w:cs="Arial"/>
          <w:b/>
          <w:bCs/>
          <w:color w:val="000000" w:themeColor="text1"/>
          <w:sz w:val="32"/>
          <w:szCs w:val="32"/>
        </w:rPr>
        <w:t>LCHS7002_LON</w:t>
      </w:r>
    </w:p>
    <w:p w14:paraId="7A0D5DFA" w14:textId="0CCC7D3A" w:rsidR="006A2F7D" w:rsidRPr="00707D13" w:rsidRDefault="00C60D94" w:rsidP="00953F90">
      <w:pPr>
        <w:spacing w:line="240" w:lineRule="auto"/>
        <w:jc w:val="center"/>
        <w:rPr>
          <w:rFonts w:ascii="Arial" w:hAnsi="Arial" w:cs="Arial"/>
          <w:b/>
          <w:bCs/>
          <w:color w:val="000000" w:themeColor="text1"/>
          <w:sz w:val="32"/>
          <w:szCs w:val="32"/>
          <w:lang w:val="it-IT"/>
        </w:rPr>
      </w:pPr>
      <w:r w:rsidRPr="00707D13">
        <w:rPr>
          <w:rFonts w:ascii="Arial" w:hAnsi="Arial" w:cs="Arial"/>
          <w:b/>
          <w:bCs/>
          <w:color w:val="000000" w:themeColor="text1"/>
          <w:sz w:val="32"/>
          <w:szCs w:val="32"/>
          <w:lang w:val="it-IT"/>
        </w:rPr>
        <w:t>Module Leader</w:t>
      </w:r>
      <w:r w:rsidR="00712ED9" w:rsidRPr="00707D13">
        <w:rPr>
          <w:rFonts w:ascii="Arial" w:hAnsi="Arial" w:cs="Arial"/>
          <w:b/>
          <w:bCs/>
          <w:color w:val="000000" w:themeColor="text1"/>
          <w:sz w:val="32"/>
          <w:szCs w:val="32"/>
          <w:lang w:val="it-IT"/>
        </w:rPr>
        <w:t>:</w:t>
      </w:r>
      <w:r w:rsidRPr="00707D13">
        <w:rPr>
          <w:rFonts w:ascii="Arial" w:hAnsi="Arial" w:cs="Arial"/>
          <w:b/>
          <w:bCs/>
          <w:color w:val="000000" w:themeColor="text1"/>
          <w:sz w:val="32"/>
          <w:szCs w:val="32"/>
          <w:lang w:val="it-IT"/>
        </w:rPr>
        <w:tab/>
      </w:r>
      <w:r w:rsidR="00BF4AFE" w:rsidRPr="00707D13">
        <w:rPr>
          <w:rFonts w:ascii="Arial" w:hAnsi="Arial" w:cs="Arial"/>
          <w:b/>
          <w:bCs/>
          <w:color w:val="000000" w:themeColor="text1"/>
          <w:sz w:val="32"/>
          <w:szCs w:val="32"/>
          <w:lang w:val="it-IT"/>
        </w:rPr>
        <w:t>Dr Pascal Navelle</w:t>
      </w:r>
    </w:p>
    <w:p w14:paraId="5FEE161E" w14:textId="77777777" w:rsidR="00D61453" w:rsidRPr="00707D13" w:rsidRDefault="00D61453" w:rsidP="00CD5150">
      <w:pPr>
        <w:spacing w:line="360" w:lineRule="auto"/>
        <w:rPr>
          <w:rFonts w:ascii="Arial" w:hAnsi="Arial" w:cs="Arial"/>
          <w:b/>
          <w:bCs/>
          <w:color w:val="000000" w:themeColor="text1"/>
          <w:lang w:val="it-IT"/>
        </w:rPr>
      </w:pPr>
    </w:p>
    <w:p w14:paraId="04D0D1F9" w14:textId="44DD9826" w:rsidR="00FD715D" w:rsidRPr="00707D13" w:rsidRDefault="00FB39CC" w:rsidP="00FB39CC">
      <w:pPr>
        <w:spacing w:line="360" w:lineRule="auto"/>
        <w:jc w:val="center"/>
        <w:rPr>
          <w:rFonts w:ascii="Arial" w:hAnsi="Arial" w:cs="Arial"/>
          <w:b/>
          <w:bCs/>
          <w:color w:val="000000" w:themeColor="text1"/>
          <w:lang w:val="it-IT"/>
        </w:rPr>
      </w:pPr>
      <w:r w:rsidRPr="00707D13">
        <w:rPr>
          <w:rFonts w:ascii="Arial" w:hAnsi="Arial" w:cs="Arial"/>
          <w:noProof/>
          <w:color w:val="000000" w:themeColor="text1"/>
        </w:rPr>
        <w:drawing>
          <wp:inline distT="0" distB="0" distL="0" distR="0" wp14:anchorId="5E23EBB7" wp14:editId="002446F5">
            <wp:extent cx="2174631" cy="2281875"/>
            <wp:effectExtent l="0" t="0" r="0" b="4445"/>
            <wp:docPr id="2132837286" name="Picture 1" descr="Excellent healthcare leadership requires systems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cellent healthcare leadership requires systems thinking"/>
                    <pic:cNvPicPr>
                      <a:picLocks noChangeAspect="1" noChangeArrowheads="1"/>
                    </pic:cNvPicPr>
                  </pic:nvPicPr>
                  <pic:blipFill rotWithShape="1">
                    <a:blip r:embed="rId7">
                      <a:extLst>
                        <a:ext uri="{28A0092B-C50C-407E-A947-70E740481C1C}">
                          <a14:useLocalDpi xmlns:a14="http://schemas.microsoft.com/office/drawing/2010/main" val="0"/>
                        </a:ext>
                      </a:extLst>
                    </a:blip>
                    <a:srcRect b="9417"/>
                    <a:stretch>
                      <a:fillRect/>
                    </a:stretch>
                  </pic:blipFill>
                  <pic:spPr bwMode="auto">
                    <a:xfrm>
                      <a:off x="0" y="0"/>
                      <a:ext cx="2209366" cy="2318323"/>
                    </a:xfrm>
                    <a:prstGeom prst="rect">
                      <a:avLst/>
                    </a:prstGeom>
                    <a:noFill/>
                    <a:ln>
                      <a:noFill/>
                    </a:ln>
                    <a:extLst>
                      <a:ext uri="{53640926-AAD7-44D8-BBD7-CCE9431645EC}">
                        <a14:shadowObscured xmlns:a14="http://schemas.microsoft.com/office/drawing/2010/main"/>
                      </a:ext>
                    </a:extLst>
                  </pic:spPr>
                </pic:pic>
              </a:graphicData>
            </a:graphic>
          </wp:inline>
        </w:drawing>
      </w:r>
    </w:p>
    <w:p w14:paraId="49DDF4B2" w14:textId="77777777" w:rsidR="00FD715D" w:rsidRPr="00707D13" w:rsidRDefault="00FD715D" w:rsidP="00CD5150">
      <w:pPr>
        <w:spacing w:line="360" w:lineRule="auto"/>
        <w:rPr>
          <w:rFonts w:ascii="Arial" w:hAnsi="Arial" w:cs="Arial"/>
          <w:b/>
          <w:bCs/>
          <w:color w:val="000000" w:themeColor="text1"/>
          <w:lang w:val="it-IT"/>
        </w:rPr>
      </w:pPr>
    </w:p>
    <w:p w14:paraId="5B1BB465" w14:textId="083DBFAD" w:rsidR="001B420B" w:rsidRPr="00707D13" w:rsidRDefault="001B420B" w:rsidP="00C726A6">
      <w:pPr>
        <w:spacing w:after="0" w:line="240" w:lineRule="auto"/>
        <w:jc w:val="both"/>
        <w:rPr>
          <w:rStyle w:val="Strong"/>
          <w:rFonts w:ascii="Arial" w:hAnsi="Arial" w:cs="Arial"/>
          <w:color w:val="000000" w:themeColor="text1"/>
          <w:sz w:val="24"/>
          <w:szCs w:val="24"/>
        </w:rPr>
      </w:pPr>
      <w:r w:rsidRPr="00707D13">
        <w:rPr>
          <w:rFonts w:ascii="Arial" w:hAnsi="Arial" w:cs="Arial"/>
          <w:b/>
          <w:bCs/>
          <w:color w:val="000000" w:themeColor="text1"/>
          <w:sz w:val="24"/>
          <w:szCs w:val="24"/>
        </w:rPr>
        <w:t>Written Assignment</w:t>
      </w:r>
      <w:r w:rsidR="004C0002" w:rsidRPr="00707D13">
        <w:rPr>
          <w:rFonts w:ascii="Arial" w:hAnsi="Arial" w:cs="Arial"/>
          <w:b/>
          <w:bCs/>
          <w:color w:val="000000" w:themeColor="text1"/>
          <w:sz w:val="24"/>
          <w:szCs w:val="24"/>
        </w:rPr>
        <w:t>:</w:t>
      </w:r>
      <w:r w:rsidR="004C0002" w:rsidRPr="00707D13">
        <w:rPr>
          <w:rFonts w:ascii="Arial" w:hAnsi="Arial" w:cs="Arial"/>
          <w:b/>
          <w:bCs/>
          <w:color w:val="000000" w:themeColor="text1"/>
          <w:sz w:val="24"/>
          <w:szCs w:val="24"/>
        </w:rPr>
        <w:tab/>
      </w:r>
      <w:r w:rsidR="00F84BD1" w:rsidRPr="00707D13">
        <w:rPr>
          <w:rFonts w:ascii="Arial" w:hAnsi="Arial" w:cs="Arial"/>
          <w:b/>
          <w:bCs/>
          <w:color w:val="000000" w:themeColor="text1"/>
          <w:sz w:val="24"/>
          <w:szCs w:val="24"/>
        </w:rPr>
        <w:t xml:space="preserve">Case </w:t>
      </w:r>
      <w:r w:rsidR="002E2844" w:rsidRPr="00707D13">
        <w:rPr>
          <w:rFonts w:ascii="Arial" w:hAnsi="Arial" w:cs="Arial"/>
          <w:b/>
          <w:bCs/>
          <w:color w:val="000000" w:themeColor="text1"/>
          <w:sz w:val="24"/>
          <w:szCs w:val="24"/>
        </w:rPr>
        <w:t>S</w:t>
      </w:r>
      <w:r w:rsidR="00F84BD1" w:rsidRPr="00707D13">
        <w:rPr>
          <w:rFonts w:ascii="Arial" w:hAnsi="Arial" w:cs="Arial"/>
          <w:b/>
          <w:bCs/>
          <w:color w:val="000000" w:themeColor="text1"/>
          <w:sz w:val="24"/>
          <w:szCs w:val="24"/>
        </w:rPr>
        <w:t>tudy</w:t>
      </w:r>
      <w:r w:rsidR="005D3739" w:rsidRPr="00707D13">
        <w:rPr>
          <w:rFonts w:ascii="Arial" w:hAnsi="Arial" w:cs="Arial"/>
          <w:b/>
          <w:bCs/>
          <w:color w:val="000000" w:themeColor="text1"/>
          <w:sz w:val="24"/>
          <w:szCs w:val="24"/>
        </w:rPr>
        <w:t xml:space="preserve"> </w:t>
      </w:r>
      <w:r w:rsidR="00155F43">
        <w:rPr>
          <w:rFonts w:ascii="Arial" w:hAnsi="Arial" w:cs="Arial"/>
          <w:b/>
          <w:bCs/>
          <w:color w:val="000000" w:themeColor="text1"/>
          <w:sz w:val="24"/>
          <w:szCs w:val="24"/>
        </w:rPr>
        <w:t>Analytical Report</w:t>
      </w:r>
    </w:p>
    <w:p w14:paraId="50E46327" w14:textId="77777777" w:rsidR="001B420B" w:rsidRPr="00707D13" w:rsidRDefault="001B420B" w:rsidP="00C726A6">
      <w:pPr>
        <w:spacing w:after="0" w:line="240" w:lineRule="auto"/>
        <w:jc w:val="both"/>
        <w:rPr>
          <w:rStyle w:val="Strong"/>
          <w:rFonts w:ascii="Arial" w:hAnsi="Arial" w:cs="Arial"/>
          <w:color w:val="000000" w:themeColor="text1"/>
          <w:sz w:val="24"/>
          <w:szCs w:val="24"/>
        </w:rPr>
      </w:pPr>
      <w:r w:rsidRPr="00707D13">
        <w:rPr>
          <w:rStyle w:val="Strong"/>
          <w:rFonts w:ascii="Arial" w:hAnsi="Arial" w:cs="Arial"/>
          <w:color w:val="000000" w:themeColor="text1"/>
          <w:sz w:val="24"/>
          <w:szCs w:val="24"/>
        </w:rPr>
        <w:t xml:space="preserve">Student name: </w:t>
      </w:r>
      <w:r w:rsidRPr="00707D13">
        <w:rPr>
          <w:rStyle w:val="Strong"/>
          <w:rFonts w:ascii="Arial" w:hAnsi="Arial" w:cs="Arial"/>
          <w:color w:val="000000" w:themeColor="text1"/>
          <w:sz w:val="24"/>
          <w:szCs w:val="24"/>
        </w:rPr>
        <w:tab/>
      </w:r>
      <w:r w:rsidRPr="00707D13">
        <w:rPr>
          <w:rStyle w:val="Strong"/>
          <w:rFonts w:ascii="Arial" w:hAnsi="Arial" w:cs="Arial"/>
          <w:color w:val="000000" w:themeColor="text1"/>
          <w:sz w:val="24"/>
          <w:szCs w:val="24"/>
        </w:rPr>
        <w:tab/>
        <w:t>Rehana Intisar</w:t>
      </w:r>
    </w:p>
    <w:p w14:paraId="64BCAE8D" w14:textId="77777777" w:rsidR="001B420B" w:rsidRPr="00707D13" w:rsidRDefault="001B420B" w:rsidP="00C726A6">
      <w:pPr>
        <w:spacing w:after="0" w:line="240" w:lineRule="auto"/>
        <w:jc w:val="both"/>
        <w:rPr>
          <w:rStyle w:val="Strong"/>
          <w:rFonts w:ascii="Arial" w:hAnsi="Arial" w:cs="Arial"/>
          <w:color w:val="000000" w:themeColor="text1"/>
          <w:sz w:val="24"/>
          <w:szCs w:val="24"/>
        </w:rPr>
      </w:pPr>
      <w:r w:rsidRPr="00707D13">
        <w:rPr>
          <w:rStyle w:val="Strong"/>
          <w:rFonts w:ascii="Arial" w:hAnsi="Arial" w:cs="Arial"/>
          <w:color w:val="000000" w:themeColor="text1"/>
          <w:sz w:val="24"/>
          <w:szCs w:val="24"/>
        </w:rPr>
        <w:t>Student number:</w:t>
      </w:r>
      <w:r w:rsidRPr="00707D13">
        <w:rPr>
          <w:rStyle w:val="Strong"/>
          <w:rFonts w:ascii="Arial" w:hAnsi="Arial" w:cs="Arial"/>
          <w:color w:val="000000" w:themeColor="text1"/>
          <w:sz w:val="24"/>
          <w:szCs w:val="24"/>
        </w:rPr>
        <w:tab/>
      </w:r>
      <w:r w:rsidRPr="00707D13">
        <w:rPr>
          <w:rStyle w:val="Strong"/>
          <w:rFonts w:ascii="Arial" w:hAnsi="Arial" w:cs="Arial"/>
          <w:color w:val="000000" w:themeColor="text1"/>
          <w:sz w:val="24"/>
          <w:szCs w:val="24"/>
        </w:rPr>
        <w:tab/>
        <w:t xml:space="preserve">2234706 </w:t>
      </w:r>
    </w:p>
    <w:p w14:paraId="096914DC" w14:textId="77777777" w:rsidR="00FD715D" w:rsidRPr="00707D13" w:rsidRDefault="00FD715D" w:rsidP="00CD5150">
      <w:pPr>
        <w:spacing w:line="360" w:lineRule="auto"/>
        <w:rPr>
          <w:rFonts w:ascii="Arial" w:hAnsi="Arial" w:cs="Arial"/>
          <w:b/>
          <w:bCs/>
          <w:color w:val="000000" w:themeColor="text1"/>
        </w:rPr>
      </w:pPr>
    </w:p>
    <w:p w14:paraId="27623652" w14:textId="517CD887" w:rsidR="00DA5244" w:rsidRPr="00707D13" w:rsidRDefault="00DA5244">
      <w:pPr>
        <w:rPr>
          <w:rFonts w:ascii="Arial" w:hAnsi="Arial" w:cs="Arial"/>
          <w:b/>
          <w:bCs/>
          <w:color w:val="000000" w:themeColor="text1"/>
        </w:rPr>
      </w:pPr>
      <w:r w:rsidRPr="00707D13">
        <w:rPr>
          <w:rFonts w:ascii="Arial" w:hAnsi="Arial" w:cs="Arial"/>
          <w:b/>
          <w:bCs/>
          <w:color w:val="000000" w:themeColor="text1"/>
        </w:rPr>
        <w:br w:type="page"/>
      </w:r>
    </w:p>
    <w:p w14:paraId="3D8B956D" w14:textId="77777777" w:rsidR="00FD715D" w:rsidRPr="00707D13" w:rsidRDefault="00FD715D" w:rsidP="00CD5150">
      <w:pPr>
        <w:spacing w:line="360" w:lineRule="auto"/>
        <w:rPr>
          <w:rFonts w:ascii="Arial" w:hAnsi="Arial" w:cs="Arial"/>
          <w:b/>
          <w:bCs/>
          <w:color w:val="000000" w:themeColor="text1"/>
          <w:sz w:val="32"/>
          <w:szCs w:val="32"/>
        </w:rPr>
      </w:pPr>
    </w:p>
    <w:p w14:paraId="293ECB56" w14:textId="3BD1E80F" w:rsidR="005E1C34" w:rsidRPr="00707D13" w:rsidRDefault="004C2D25" w:rsidP="005C1758">
      <w:pPr>
        <w:spacing w:line="360" w:lineRule="auto"/>
        <w:jc w:val="center"/>
        <w:rPr>
          <w:rFonts w:ascii="Arial" w:hAnsi="Arial" w:cs="Arial"/>
          <w:b/>
          <w:bCs/>
          <w:color w:val="000000" w:themeColor="text1"/>
          <w:sz w:val="32"/>
          <w:szCs w:val="32"/>
        </w:rPr>
      </w:pPr>
      <w:r w:rsidRPr="00707D13">
        <w:rPr>
          <w:rFonts w:ascii="Arial" w:hAnsi="Arial" w:cs="Arial"/>
          <w:b/>
          <w:bCs/>
          <w:color w:val="000000" w:themeColor="text1"/>
          <w:sz w:val="32"/>
          <w:szCs w:val="32"/>
        </w:rPr>
        <w:t>Leading Organisational Transformation Following an</w:t>
      </w:r>
      <w:r w:rsidR="005C1758" w:rsidRPr="00707D13">
        <w:rPr>
          <w:rFonts w:ascii="Arial" w:hAnsi="Arial" w:cs="Arial"/>
          <w:b/>
          <w:bCs/>
          <w:color w:val="000000" w:themeColor="text1"/>
          <w:sz w:val="32"/>
          <w:szCs w:val="32"/>
        </w:rPr>
        <w:t xml:space="preserve"> </w:t>
      </w:r>
      <w:r w:rsidRPr="00707D13">
        <w:rPr>
          <w:rFonts w:ascii="Arial" w:hAnsi="Arial" w:cs="Arial"/>
          <w:b/>
          <w:bCs/>
          <w:color w:val="000000" w:themeColor="text1"/>
          <w:sz w:val="32"/>
          <w:szCs w:val="32"/>
        </w:rPr>
        <w:t>Unintentional Morphine Overdose</w:t>
      </w:r>
      <w:r w:rsidR="0028193C" w:rsidRPr="00707D13">
        <w:rPr>
          <w:rFonts w:ascii="Arial" w:hAnsi="Arial" w:cs="Arial"/>
          <w:b/>
          <w:bCs/>
          <w:color w:val="000000" w:themeColor="text1"/>
          <w:sz w:val="32"/>
          <w:szCs w:val="32"/>
        </w:rPr>
        <w:t xml:space="preserve"> </w:t>
      </w:r>
      <w:r w:rsidR="00DC15F4" w:rsidRPr="00707D13">
        <w:rPr>
          <w:rFonts w:ascii="Arial" w:hAnsi="Arial" w:cs="Arial"/>
          <w:b/>
          <w:bCs/>
          <w:color w:val="000000" w:themeColor="text1"/>
          <w:sz w:val="32"/>
          <w:szCs w:val="32"/>
        </w:rPr>
        <w:t xml:space="preserve">that caused the </w:t>
      </w:r>
      <w:r w:rsidR="0028193C" w:rsidRPr="00707D13">
        <w:rPr>
          <w:rFonts w:ascii="Arial" w:hAnsi="Arial" w:cs="Arial"/>
          <w:b/>
          <w:bCs/>
          <w:color w:val="000000" w:themeColor="text1"/>
          <w:sz w:val="32"/>
          <w:szCs w:val="32"/>
        </w:rPr>
        <w:t>death of Len</w:t>
      </w:r>
      <w:r w:rsidR="00DC15F4" w:rsidRPr="00707D13">
        <w:rPr>
          <w:rFonts w:ascii="Arial" w:hAnsi="Arial" w:cs="Arial"/>
          <w:b/>
          <w:bCs/>
          <w:color w:val="000000" w:themeColor="text1"/>
          <w:sz w:val="32"/>
          <w:szCs w:val="32"/>
        </w:rPr>
        <w:t xml:space="preserve"> (</w:t>
      </w:r>
      <w:r w:rsidR="0028193C" w:rsidRPr="00707D13">
        <w:rPr>
          <w:rFonts w:ascii="Arial" w:hAnsi="Arial" w:cs="Arial"/>
          <w:b/>
          <w:bCs/>
          <w:color w:val="000000" w:themeColor="text1"/>
          <w:sz w:val="32"/>
          <w:szCs w:val="32"/>
        </w:rPr>
        <w:t>an 89-year-old man)</w:t>
      </w:r>
    </w:p>
    <w:p w14:paraId="2139C44A" w14:textId="6CCED953" w:rsidR="00EE766B" w:rsidRPr="00707D13" w:rsidRDefault="00EE766B" w:rsidP="005C1758">
      <w:pPr>
        <w:spacing w:line="360" w:lineRule="auto"/>
        <w:jc w:val="center"/>
        <w:rPr>
          <w:rFonts w:ascii="Arial" w:hAnsi="Arial" w:cs="Arial"/>
          <w:b/>
          <w:bCs/>
          <w:color w:val="000000" w:themeColor="text1"/>
          <w:sz w:val="32"/>
          <w:szCs w:val="32"/>
        </w:rPr>
      </w:pPr>
      <w:r w:rsidRPr="00707D13">
        <w:rPr>
          <w:rFonts w:ascii="Arial" w:hAnsi="Arial" w:cs="Arial"/>
          <w:noProof/>
          <w:color w:val="000000" w:themeColor="text1"/>
        </w:rPr>
        <w:drawing>
          <wp:inline distT="0" distB="0" distL="0" distR="0" wp14:anchorId="29F79326" wp14:editId="5619C036">
            <wp:extent cx="2958276" cy="1983874"/>
            <wp:effectExtent l="0" t="0" r="0" b="0"/>
            <wp:docPr id="1993896891" name="Picture 2" descr="Photos of Morphine sulfate liquid bottle packaging and lab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otos of Morphine sulfate liquid bottle packaging and labell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4897" cy="1995020"/>
                    </a:xfrm>
                    <a:prstGeom prst="rect">
                      <a:avLst/>
                    </a:prstGeom>
                    <a:noFill/>
                    <a:ln>
                      <a:noFill/>
                    </a:ln>
                  </pic:spPr>
                </pic:pic>
              </a:graphicData>
            </a:graphic>
          </wp:inline>
        </w:drawing>
      </w:r>
    </w:p>
    <w:p w14:paraId="76AD9962" w14:textId="06E81CC0" w:rsidR="004C2D25" w:rsidRPr="00707D13" w:rsidRDefault="004C2D25" w:rsidP="005E1C34">
      <w:pPr>
        <w:spacing w:line="360" w:lineRule="auto"/>
        <w:jc w:val="center"/>
        <w:rPr>
          <w:rFonts w:ascii="Arial" w:hAnsi="Arial" w:cs="Arial"/>
          <w:b/>
          <w:bCs/>
          <w:color w:val="000000" w:themeColor="text1"/>
          <w:sz w:val="32"/>
          <w:szCs w:val="32"/>
        </w:rPr>
      </w:pPr>
      <w:r w:rsidRPr="00707D13">
        <w:rPr>
          <w:rFonts w:ascii="Arial" w:hAnsi="Arial" w:cs="Arial"/>
          <w:b/>
          <w:bCs/>
          <w:color w:val="000000" w:themeColor="text1"/>
          <w:sz w:val="32"/>
          <w:szCs w:val="32"/>
        </w:rPr>
        <w:t>A Critical Analysis of Leadership, Governance and Systems Thinking in the Healthcare Safety Investigation Branch (HSSIB) Investigation</w:t>
      </w:r>
      <w:r w:rsidR="00545085" w:rsidRPr="00707D13">
        <w:rPr>
          <w:rFonts w:ascii="Arial" w:hAnsi="Arial" w:cs="Arial"/>
          <w:b/>
          <w:bCs/>
          <w:color w:val="000000" w:themeColor="text1"/>
          <w:sz w:val="32"/>
          <w:szCs w:val="32"/>
        </w:rPr>
        <w:t>.</w:t>
      </w:r>
    </w:p>
    <w:p w14:paraId="35D12946" w14:textId="77777777" w:rsidR="00DA5244" w:rsidRPr="00707D13" w:rsidRDefault="00DA5244" w:rsidP="00CD5150">
      <w:pPr>
        <w:spacing w:line="360" w:lineRule="auto"/>
        <w:rPr>
          <w:rFonts w:ascii="Arial" w:hAnsi="Arial" w:cs="Arial"/>
          <w:b/>
          <w:bCs/>
          <w:color w:val="000000" w:themeColor="text1"/>
        </w:rPr>
      </w:pPr>
    </w:p>
    <w:p w14:paraId="2992FBED" w14:textId="17FF5D3A" w:rsidR="00DA5244" w:rsidRPr="00707D13" w:rsidRDefault="00DA5244">
      <w:pPr>
        <w:rPr>
          <w:rFonts w:ascii="Arial" w:hAnsi="Arial" w:cs="Arial"/>
          <w:b/>
          <w:bCs/>
          <w:color w:val="000000" w:themeColor="text1"/>
        </w:rPr>
      </w:pPr>
      <w:r w:rsidRPr="00707D13">
        <w:rPr>
          <w:rFonts w:ascii="Arial" w:hAnsi="Arial" w:cs="Arial"/>
          <w:b/>
          <w:bCs/>
          <w:color w:val="000000" w:themeColor="text1"/>
        </w:rPr>
        <w:br w:type="page"/>
      </w:r>
    </w:p>
    <w:p w14:paraId="227F6E90" w14:textId="77777777" w:rsidR="00300999" w:rsidRPr="00707D13" w:rsidRDefault="00300999" w:rsidP="00CD5150">
      <w:pPr>
        <w:spacing w:line="360" w:lineRule="auto"/>
        <w:rPr>
          <w:rFonts w:ascii="Arial" w:hAnsi="Arial" w:cs="Arial"/>
          <w:b/>
          <w:bCs/>
          <w:color w:val="000000" w:themeColor="text1"/>
        </w:rPr>
      </w:pPr>
    </w:p>
    <w:p w14:paraId="4AD94FA1" w14:textId="77777777" w:rsidR="00300999" w:rsidRPr="00707D13" w:rsidRDefault="00300999" w:rsidP="00CD5150">
      <w:pPr>
        <w:spacing w:line="360" w:lineRule="auto"/>
        <w:rPr>
          <w:rFonts w:ascii="Arial" w:hAnsi="Arial" w:cs="Arial"/>
          <w:b/>
          <w:bCs/>
          <w:color w:val="000000" w:themeColor="text1"/>
        </w:rPr>
      </w:pPr>
    </w:p>
    <w:p w14:paraId="0D1C98F0" w14:textId="77777777" w:rsidR="00C26182" w:rsidRPr="00707D13" w:rsidRDefault="00C26182" w:rsidP="00C26182">
      <w:pPr>
        <w:spacing w:line="360" w:lineRule="auto"/>
        <w:jc w:val="center"/>
        <w:rPr>
          <w:rFonts w:ascii="Arial" w:hAnsi="Arial" w:cs="Arial"/>
          <w:b/>
          <w:color w:val="000000" w:themeColor="text1"/>
          <w:sz w:val="36"/>
          <w:szCs w:val="36"/>
        </w:rPr>
      </w:pPr>
      <w:r w:rsidRPr="00707D13">
        <w:rPr>
          <w:rFonts w:ascii="Arial" w:hAnsi="Arial" w:cs="Arial"/>
          <w:b/>
          <w:color w:val="000000" w:themeColor="text1"/>
          <w:sz w:val="36"/>
          <w:szCs w:val="36"/>
        </w:rPr>
        <w:t>Acknowledgement</w:t>
      </w:r>
    </w:p>
    <w:p w14:paraId="1D23EFB4" w14:textId="77777777" w:rsidR="00C26182" w:rsidRPr="00707D13" w:rsidRDefault="00C26182" w:rsidP="00C26182">
      <w:pPr>
        <w:spacing w:line="360" w:lineRule="auto"/>
        <w:jc w:val="both"/>
        <w:rPr>
          <w:rFonts w:ascii="Arial" w:hAnsi="Arial" w:cs="Arial"/>
          <w:color w:val="000000" w:themeColor="text1"/>
        </w:rPr>
      </w:pPr>
    </w:p>
    <w:p w14:paraId="06AF8EEE" w14:textId="77777777" w:rsidR="00C26182" w:rsidRPr="00707D13" w:rsidRDefault="00C26182" w:rsidP="00C26182">
      <w:pPr>
        <w:spacing w:line="360" w:lineRule="auto"/>
        <w:jc w:val="both"/>
        <w:rPr>
          <w:rFonts w:ascii="Arial" w:hAnsi="Arial" w:cs="Arial"/>
          <w:color w:val="000000" w:themeColor="text1"/>
          <w:sz w:val="28"/>
          <w:szCs w:val="28"/>
        </w:rPr>
      </w:pPr>
      <w:r w:rsidRPr="00707D13">
        <w:rPr>
          <w:rFonts w:ascii="Arial" w:hAnsi="Arial" w:cs="Arial"/>
          <w:color w:val="000000" w:themeColor="text1"/>
          <w:sz w:val="28"/>
          <w:szCs w:val="28"/>
        </w:rPr>
        <w:t>I confirm that I did not use any AI technologies throughout the research and preparation of this assignment. I confirm that I did not offer any AI-generated items as my own. I confirm that I have copies of my drafts, notes, and other resources that I may be required to provide as proof.</w:t>
      </w:r>
    </w:p>
    <w:p w14:paraId="5C7EF227" w14:textId="77777777" w:rsidR="00C26182" w:rsidRPr="00707D13" w:rsidRDefault="00C26182" w:rsidP="00CD5150">
      <w:pPr>
        <w:spacing w:line="360" w:lineRule="auto"/>
        <w:rPr>
          <w:rFonts w:ascii="Arial" w:hAnsi="Arial" w:cs="Arial"/>
          <w:b/>
          <w:bCs/>
          <w:color w:val="000000" w:themeColor="text1"/>
        </w:rPr>
      </w:pPr>
    </w:p>
    <w:p w14:paraId="5234D8BF" w14:textId="506BF08D" w:rsidR="00C26182" w:rsidRPr="00707D13" w:rsidRDefault="00C26182">
      <w:pPr>
        <w:rPr>
          <w:rFonts w:ascii="Arial" w:hAnsi="Arial" w:cs="Arial"/>
          <w:b/>
          <w:bCs/>
          <w:color w:val="000000" w:themeColor="text1"/>
        </w:rPr>
      </w:pPr>
      <w:r w:rsidRPr="00707D13">
        <w:rPr>
          <w:rFonts w:ascii="Arial" w:hAnsi="Arial" w:cs="Arial"/>
          <w:b/>
          <w:bCs/>
          <w:color w:val="000000" w:themeColor="text1"/>
        </w:rPr>
        <w:br w:type="page"/>
      </w:r>
    </w:p>
    <w:p w14:paraId="4E9CB747" w14:textId="77777777" w:rsidR="00A231C8" w:rsidRPr="00707D13" w:rsidRDefault="00A231C8" w:rsidP="00A231C8">
      <w:pPr>
        <w:spacing w:line="360" w:lineRule="auto"/>
        <w:ind w:right="100"/>
        <w:jc w:val="both"/>
        <w:rPr>
          <w:rFonts w:ascii="Arial" w:hAnsi="Arial" w:cs="Arial"/>
          <w:b/>
          <w:bCs/>
          <w:color w:val="000000" w:themeColor="text1"/>
          <w:sz w:val="32"/>
          <w:szCs w:val="32"/>
        </w:rPr>
      </w:pPr>
    </w:p>
    <w:p w14:paraId="6D2FF52F" w14:textId="77777777" w:rsidR="00A231C8" w:rsidRDefault="00A231C8" w:rsidP="00A231C8">
      <w:pPr>
        <w:spacing w:line="360" w:lineRule="auto"/>
        <w:ind w:right="100"/>
        <w:jc w:val="both"/>
        <w:rPr>
          <w:rFonts w:ascii="Arial" w:hAnsi="Arial" w:cs="Arial"/>
          <w:b/>
          <w:bCs/>
          <w:color w:val="000000" w:themeColor="text1"/>
          <w:sz w:val="32"/>
          <w:szCs w:val="32"/>
        </w:rPr>
      </w:pPr>
      <w:r w:rsidRPr="00707D13">
        <w:rPr>
          <w:rFonts w:ascii="Arial" w:hAnsi="Arial" w:cs="Arial"/>
          <w:b/>
          <w:bCs/>
          <w:color w:val="000000" w:themeColor="text1"/>
          <w:sz w:val="32"/>
          <w:szCs w:val="32"/>
        </w:rPr>
        <w:t>Table of Contents:</w:t>
      </w:r>
    </w:p>
    <w:p w14:paraId="794BEB54" w14:textId="56731888" w:rsidR="00841719" w:rsidRPr="00707D13" w:rsidRDefault="00841719" w:rsidP="00841719">
      <w:pPr>
        <w:spacing w:line="360" w:lineRule="auto"/>
        <w:ind w:right="100"/>
        <w:jc w:val="right"/>
        <w:rPr>
          <w:rFonts w:ascii="Arial" w:hAnsi="Arial" w:cs="Arial"/>
          <w:b/>
          <w:bCs/>
          <w:color w:val="000000" w:themeColor="text1"/>
          <w:sz w:val="32"/>
          <w:szCs w:val="32"/>
        </w:rPr>
      </w:pPr>
      <w:r>
        <w:rPr>
          <w:rFonts w:ascii="Arial" w:hAnsi="Arial" w:cs="Arial"/>
          <w:b/>
          <w:bCs/>
          <w:color w:val="000000" w:themeColor="text1"/>
          <w:sz w:val="32"/>
          <w:szCs w:val="32"/>
        </w:rPr>
        <w:t>Pages</w:t>
      </w:r>
    </w:p>
    <w:p w14:paraId="57F830E8" w14:textId="6A82D27B" w:rsidR="00C26182" w:rsidRDefault="00043422" w:rsidP="00252B67">
      <w:pPr>
        <w:spacing w:after="120" w:line="360" w:lineRule="auto"/>
        <w:rPr>
          <w:rFonts w:ascii="Arial" w:hAnsi="Arial" w:cs="Arial"/>
          <w:b/>
          <w:bCs/>
          <w:color w:val="000000" w:themeColor="text1"/>
        </w:rPr>
      </w:pPr>
      <w:r>
        <w:rPr>
          <w:rFonts w:ascii="Arial" w:hAnsi="Arial" w:cs="Arial"/>
          <w:b/>
          <w:bCs/>
          <w:color w:val="000000" w:themeColor="text1"/>
        </w:rPr>
        <w:t>Introduction:</w:t>
      </w:r>
      <w:r w:rsidR="00841719">
        <w:rPr>
          <w:rFonts w:ascii="Arial" w:hAnsi="Arial" w:cs="Arial"/>
          <w:b/>
          <w:bCs/>
          <w:color w:val="000000" w:themeColor="text1"/>
        </w:rPr>
        <w:tab/>
      </w:r>
      <w:r w:rsidR="00841719">
        <w:rPr>
          <w:rFonts w:ascii="Arial" w:hAnsi="Arial" w:cs="Arial"/>
          <w:b/>
          <w:bCs/>
          <w:color w:val="000000" w:themeColor="text1"/>
        </w:rPr>
        <w:tab/>
      </w:r>
      <w:r w:rsidR="00841719">
        <w:rPr>
          <w:rFonts w:ascii="Arial" w:hAnsi="Arial" w:cs="Arial"/>
          <w:b/>
          <w:bCs/>
          <w:color w:val="000000" w:themeColor="text1"/>
        </w:rPr>
        <w:tab/>
      </w:r>
      <w:r w:rsidR="00841719">
        <w:rPr>
          <w:rFonts w:ascii="Arial" w:hAnsi="Arial" w:cs="Arial"/>
          <w:b/>
          <w:bCs/>
          <w:color w:val="000000" w:themeColor="text1"/>
        </w:rPr>
        <w:tab/>
      </w:r>
      <w:r w:rsidR="00841719">
        <w:rPr>
          <w:rFonts w:ascii="Arial" w:hAnsi="Arial" w:cs="Arial"/>
          <w:b/>
          <w:bCs/>
          <w:color w:val="000000" w:themeColor="text1"/>
        </w:rPr>
        <w:tab/>
      </w:r>
      <w:r w:rsidR="00841719">
        <w:rPr>
          <w:rFonts w:ascii="Arial" w:hAnsi="Arial" w:cs="Arial"/>
          <w:b/>
          <w:bCs/>
          <w:color w:val="000000" w:themeColor="text1"/>
        </w:rPr>
        <w:tab/>
      </w:r>
      <w:r w:rsidR="00841719">
        <w:rPr>
          <w:rFonts w:ascii="Arial" w:hAnsi="Arial" w:cs="Arial"/>
          <w:b/>
          <w:bCs/>
          <w:color w:val="000000" w:themeColor="text1"/>
        </w:rPr>
        <w:tab/>
      </w:r>
      <w:r w:rsidR="00841719">
        <w:rPr>
          <w:rFonts w:ascii="Arial" w:hAnsi="Arial" w:cs="Arial"/>
          <w:b/>
          <w:bCs/>
          <w:color w:val="000000" w:themeColor="text1"/>
        </w:rPr>
        <w:tab/>
      </w:r>
      <w:r w:rsidR="00841719">
        <w:rPr>
          <w:rFonts w:ascii="Arial" w:hAnsi="Arial" w:cs="Arial"/>
          <w:b/>
          <w:bCs/>
          <w:color w:val="000000" w:themeColor="text1"/>
        </w:rPr>
        <w:tab/>
      </w:r>
      <w:r w:rsidR="00841719">
        <w:rPr>
          <w:rFonts w:ascii="Arial" w:hAnsi="Arial" w:cs="Arial"/>
          <w:b/>
          <w:bCs/>
          <w:color w:val="000000" w:themeColor="text1"/>
        </w:rPr>
        <w:tab/>
      </w:r>
      <w:r w:rsidR="005A7F9B">
        <w:rPr>
          <w:rFonts w:ascii="Arial" w:hAnsi="Arial" w:cs="Arial"/>
          <w:b/>
          <w:bCs/>
          <w:color w:val="000000" w:themeColor="text1"/>
        </w:rPr>
        <w:t>5</w:t>
      </w:r>
    </w:p>
    <w:p w14:paraId="7F7E7E5F" w14:textId="005FA846" w:rsidR="005A7F9B" w:rsidRDefault="00996FC2" w:rsidP="00252B67">
      <w:pPr>
        <w:spacing w:after="120" w:line="360" w:lineRule="auto"/>
        <w:rPr>
          <w:rFonts w:ascii="Arial" w:hAnsi="Arial" w:cs="Arial"/>
          <w:b/>
          <w:bCs/>
          <w:color w:val="000000" w:themeColor="text1"/>
        </w:rPr>
      </w:pPr>
      <w:r w:rsidRPr="00707D13">
        <w:rPr>
          <w:rFonts w:ascii="Arial" w:hAnsi="Arial" w:cs="Arial"/>
          <w:b/>
          <w:bCs/>
          <w:color w:val="000000" w:themeColor="text1"/>
        </w:rPr>
        <w:t>Identifying the Problem and Setting the System</w:t>
      </w:r>
      <w:r>
        <w:rPr>
          <w:rFonts w:ascii="Arial" w:hAnsi="Arial" w:cs="Arial"/>
          <w:b/>
          <w:bCs/>
          <w:color w:val="000000" w:themeColor="text1"/>
        </w:rPr>
        <w:t>:</w:t>
      </w:r>
      <w:r w:rsidR="006C0EEE">
        <w:rPr>
          <w:rFonts w:ascii="Arial" w:hAnsi="Arial" w:cs="Arial"/>
          <w:b/>
          <w:bCs/>
          <w:color w:val="000000" w:themeColor="text1"/>
        </w:rPr>
        <w:tab/>
      </w:r>
      <w:r w:rsidR="006C0EEE">
        <w:rPr>
          <w:rFonts w:ascii="Arial" w:hAnsi="Arial" w:cs="Arial"/>
          <w:b/>
          <w:bCs/>
          <w:color w:val="000000" w:themeColor="text1"/>
        </w:rPr>
        <w:tab/>
      </w:r>
      <w:r w:rsidR="006C0EEE">
        <w:rPr>
          <w:rFonts w:ascii="Arial" w:hAnsi="Arial" w:cs="Arial"/>
          <w:b/>
          <w:bCs/>
          <w:color w:val="000000" w:themeColor="text1"/>
        </w:rPr>
        <w:tab/>
      </w:r>
      <w:r w:rsidR="006C0EEE">
        <w:rPr>
          <w:rFonts w:ascii="Arial" w:hAnsi="Arial" w:cs="Arial"/>
          <w:b/>
          <w:bCs/>
          <w:color w:val="000000" w:themeColor="text1"/>
        </w:rPr>
        <w:tab/>
      </w:r>
      <w:r w:rsidR="006C0EEE">
        <w:rPr>
          <w:rFonts w:ascii="Arial" w:hAnsi="Arial" w:cs="Arial"/>
          <w:b/>
          <w:bCs/>
          <w:color w:val="000000" w:themeColor="text1"/>
        </w:rPr>
        <w:tab/>
        <w:t>6</w:t>
      </w:r>
    </w:p>
    <w:p w14:paraId="310A986A" w14:textId="29274EAA" w:rsidR="001A775C" w:rsidRDefault="00E949FA" w:rsidP="00252B67">
      <w:pPr>
        <w:spacing w:after="120" w:line="360" w:lineRule="auto"/>
        <w:rPr>
          <w:rFonts w:ascii="Arial" w:hAnsi="Arial" w:cs="Arial"/>
          <w:b/>
          <w:bCs/>
          <w:color w:val="000000" w:themeColor="text1"/>
        </w:rPr>
      </w:pPr>
      <w:r>
        <w:rPr>
          <w:rFonts w:ascii="Arial" w:hAnsi="Arial" w:cs="Arial"/>
          <w:b/>
          <w:bCs/>
          <w:color w:val="000000" w:themeColor="text1"/>
        </w:rPr>
        <w:t>Rich Picture:</w:t>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sidR="00AA77BC">
        <w:rPr>
          <w:rFonts w:ascii="Arial" w:hAnsi="Arial" w:cs="Arial"/>
          <w:b/>
          <w:bCs/>
          <w:color w:val="000000" w:themeColor="text1"/>
        </w:rPr>
        <w:t>7</w:t>
      </w:r>
    </w:p>
    <w:p w14:paraId="2E8BBE8C" w14:textId="41E78B09" w:rsidR="00FE7F7C" w:rsidRDefault="00FE7F7C" w:rsidP="00252B67">
      <w:pPr>
        <w:spacing w:after="120" w:line="360" w:lineRule="auto"/>
        <w:rPr>
          <w:rFonts w:ascii="Arial" w:hAnsi="Arial" w:cs="Arial"/>
          <w:b/>
          <w:bCs/>
          <w:color w:val="000000" w:themeColor="text1"/>
        </w:rPr>
      </w:pPr>
      <w:r w:rsidRPr="00707D13">
        <w:rPr>
          <w:rFonts w:ascii="Arial" w:hAnsi="Arial" w:cs="Arial"/>
          <w:b/>
          <w:bCs/>
          <w:color w:val="000000" w:themeColor="text1"/>
        </w:rPr>
        <w:t>Centralisation and Decentralisation</w:t>
      </w:r>
      <w:r>
        <w:rPr>
          <w:rFonts w:ascii="Arial" w:hAnsi="Arial" w:cs="Arial"/>
          <w:b/>
          <w:bCs/>
          <w:color w:val="000000" w:themeColor="text1"/>
        </w:rPr>
        <w:t>:</w:t>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Pr>
          <w:rFonts w:ascii="Arial" w:hAnsi="Arial" w:cs="Arial"/>
          <w:b/>
          <w:bCs/>
          <w:color w:val="000000" w:themeColor="text1"/>
        </w:rPr>
        <w:tab/>
      </w:r>
      <w:r w:rsidR="0029759C">
        <w:rPr>
          <w:rFonts w:ascii="Arial" w:hAnsi="Arial" w:cs="Arial"/>
          <w:b/>
          <w:bCs/>
          <w:color w:val="000000" w:themeColor="text1"/>
        </w:rPr>
        <w:t>9</w:t>
      </w:r>
    </w:p>
    <w:p w14:paraId="6F5C37AC" w14:textId="7A3166AD" w:rsidR="0029759C" w:rsidRPr="009A3451" w:rsidRDefault="0029759C" w:rsidP="00252B67">
      <w:pPr>
        <w:spacing w:after="120" w:line="360" w:lineRule="auto"/>
        <w:rPr>
          <w:rFonts w:ascii="Arial" w:hAnsi="Arial" w:cs="Arial"/>
          <w:b/>
          <w:bCs/>
          <w:color w:val="000000" w:themeColor="text1"/>
        </w:rPr>
      </w:pPr>
      <w:r w:rsidRPr="009A3451">
        <w:rPr>
          <w:rFonts w:ascii="Arial" w:hAnsi="Arial" w:cs="Arial"/>
          <w:b/>
          <w:bCs/>
          <w:color w:val="000000" w:themeColor="text1"/>
        </w:rPr>
        <w:t>Leadership Theories:</w:t>
      </w:r>
      <w:r w:rsidRPr="009A3451">
        <w:rPr>
          <w:rFonts w:ascii="Arial" w:hAnsi="Arial" w:cs="Arial"/>
          <w:b/>
          <w:bCs/>
          <w:color w:val="000000" w:themeColor="text1"/>
        </w:rPr>
        <w:tab/>
      </w:r>
      <w:r w:rsidRPr="009A3451">
        <w:rPr>
          <w:rFonts w:ascii="Arial" w:hAnsi="Arial" w:cs="Arial"/>
          <w:b/>
          <w:bCs/>
          <w:color w:val="000000" w:themeColor="text1"/>
        </w:rPr>
        <w:tab/>
      </w:r>
      <w:r w:rsidRPr="009A3451">
        <w:rPr>
          <w:rFonts w:ascii="Arial" w:hAnsi="Arial" w:cs="Arial"/>
          <w:b/>
          <w:bCs/>
          <w:color w:val="000000" w:themeColor="text1"/>
        </w:rPr>
        <w:tab/>
      </w:r>
      <w:r w:rsidRPr="009A3451">
        <w:rPr>
          <w:rFonts w:ascii="Arial" w:hAnsi="Arial" w:cs="Arial"/>
          <w:b/>
          <w:bCs/>
          <w:color w:val="000000" w:themeColor="text1"/>
        </w:rPr>
        <w:tab/>
      </w:r>
      <w:r w:rsidRPr="009A3451">
        <w:rPr>
          <w:rFonts w:ascii="Arial" w:hAnsi="Arial" w:cs="Arial"/>
          <w:b/>
          <w:bCs/>
          <w:color w:val="000000" w:themeColor="text1"/>
        </w:rPr>
        <w:tab/>
      </w:r>
      <w:r w:rsidRPr="009A3451">
        <w:rPr>
          <w:rFonts w:ascii="Arial" w:hAnsi="Arial" w:cs="Arial"/>
          <w:b/>
          <w:bCs/>
          <w:color w:val="000000" w:themeColor="text1"/>
        </w:rPr>
        <w:tab/>
      </w:r>
      <w:r w:rsidRPr="009A3451">
        <w:rPr>
          <w:rFonts w:ascii="Arial" w:hAnsi="Arial" w:cs="Arial"/>
          <w:b/>
          <w:bCs/>
          <w:color w:val="000000" w:themeColor="text1"/>
        </w:rPr>
        <w:tab/>
      </w:r>
      <w:r w:rsidRPr="009A3451">
        <w:rPr>
          <w:rFonts w:ascii="Arial" w:hAnsi="Arial" w:cs="Arial"/>
          <w:b/>
          <w:bCs/>
          <w:color w:val="000000" w:themeColor="text1"/>
        </w:rPr>
        <w:tab/>
      </w:r>
      <w:r w:rsidR="009A3451" w:rsidRPr="009A3451">
        <w:rPr>
          <w:rFonts w:ascii="Arial" w:hAnsi="Arial" w:cs="Arial"/>
          <w:b/>
          <w:bCs/>
          <w:color w:val="000000" w:themeColor="text1"/>
        </w:rPr>
        <w:t>12</w:t>
      </w:r>
    </w:p>
    <w:p w14:paraId="40CE869C" w14:textId="7E45A386" w:rsidR="009A3451" w:rsidRPr="00707D13" w:rsidRDefault="000E5CA2" w:rsidP="00252B67">
      <w:pPr>
        <w:spacing w:after="120" w:line="360" w:lineRule="auto"/>
        <w:jc w:val="both"/>
        <w:rPr>
          <w:rFonts w:ascii="Arial" w:hAnsi="Arial" w:cs="Arial"/>
          <w:b/>
          <w:bCs/>
          <w:color w:val="000000" w:themeColor="text1"/>
        </w:rPr>
      </w:pPr>
      <w:r w:rsidRPr="00707D13">
        <w:rPr>
          <w:rFonts w:ascii="Arial" w:hAnsi="Arial" w:cs="Arial"/>
          <w:b/>
          <w:bCs/>
          <w:color w:val="000000" w:themeColor="text1"/>
        </w:rPr>
        <w:t>Improvement and Lessons Learned</w:t>
      </w:r>
      <w:r w:rsidR="00B5478D">
        <w:rPr>
          <w:rFonts w:ascii="Arial" w:hAnsi="Arial" w:cs="Arial"/>
          <w:b/>
          <w:bCs/>
          <w:color w:val="000000" w:themeColor="text1"/>
        </w:rPr>
        <w:t>:</w:t>
      </w:r>
      <w:r w:rsidR="00B5478D">
        <w:rPr>
          <w:rFonts w:ascii="Arial" w:hAnsi="Arial" w:cs="Arial"/>
          <w:b/>
          <w:bCs/>
          <w:color w:val="000000" w:themeColor="text1"/>
        </w:rPr>
        <w:tab/>
      </w:r>
      <w:r w:rsidR="00B5478D">
        <w:rPr>
          <w:rFonts w:ascii="Arial" w:hAnsi="Arial" w:cs="Arial"/>
          <w:b/>
          <w:bCs/>
          <w:color w:val="000000" w:themeColor="text1"/>
        </w:rPr>
        <w:tab/>
      </w:r>
      <w:r w:rsidR="00B5478D">
        <w:rPr>
          <w:rFonts w:ascii="Arial" w:hAnsi="Arial" w:cs="Arial"/>
          <w:b/>
          <w:bCs/>
          <w:color w:val="000000" w:themeColor="text1"/>
        </w:rPr>
        <w:tab/>
      </w:r>
      <w:r w:rsidR="00B5478D">
        <w:rPr>
          <w:rFonts w:ascii="Arial" w:hAnsi="Arial" w:cs="Arial"/>
          <w:b/>
          <w:bCs/>
          <w:color w:val="000000" w:themeColor="text1"/>
        </w:rPr>
        <w:tab/>
      </w:r>
      <w:r w:rsidR="00B5478D">
        <w:rPr>
          <w:rFonts w:ascii="Arial" w:hAnsi="Arial" w:cs="Arial"/>
          <w:b/>
          <w:bCs/>
          <w:color w:val="000000" w:themeColor="text1"/>
        </w:rPr>
        <w:tab/>
      </w:r>
      <w:r w:rsidR="00B5478D">
        <w:rPr>
          <w:rFonts w:ascii="Arial" w:hAnsi="Arial" w:cs="Arial"/>
          <w:b/>
          <w:bCs/>
          <w:color w:val="000000" w:themeColor="text1"/>
        </w:rPr>
        <w:tab/>
        <w:t>15</w:t>
      </w:r>
    </w:p>
    <w:p w14:paraId="3B9B507D" w14:textId="5782D9A5" w:rsidR="002F6823" w:rsidRPr="002F6823" w:rsidRDefault="002F6823" w:rsidP="00252B67">
      <w:pPr>
        <w:spacing w:after="120" w:line="360" w:lineRule="auto"/>
        <w:jc w:val="both"/>
        <w:rPr>
          <w:rFonts w:ascii="Arial" w:hAnsi="Arial" w:cs="Arial"/>
          <w:b/>
          <w:bCs/>
          <w:color w:val="000000" w:themeColor="text1"/>
        </w:rPr>
      </w:pPr>
      <w:r w:rsidRPr="002F6823">
        <w:rPr>
          <w:rFonts w:ascii="Arial" w:hAnsi="Arial" w:cs="Arial"/>
          <w:b/>
          <w:bCs/>
          <w:color w:val="000000" w:themeColor="text1"/>
        </w:rPr>
        <w:t>Recommendations</w:t>
      </w:r>
      <w:r>
        <w:rPr>
          <w:rFonts w:ascii="Arial" w:hAnsi="Arial" w:cs="Arial"/>
          <w:b/>
          <w:bCs/>
          <w:color w:val="000000" w:themeColor="text1"/>
        </w:rPr>
        <w:t>:</w:t>
      </w:r>
      <w:r w:rsidR="003F742F">
        <w:rPr>
          <w:rFonts w:ascii="Arial" w:hAnsi="Arial" w:cs="Arial"/>
          <w:b/>
          <w:bCs/>
          <w:color w:val="000000" w:themeColor="text1"/>
        </w:rPr>
        <w:tab/>
      </w:r>
      <w:r w:rsidR="003F742F">
        <w:rPr>
          <w:rFonts w:ascii="Arial" w:hAnsi="Arial" w:cs="Arial"/>
          <w:b/>
          <w:bCs/>
          <w:color w:val="000000" w:themeColor="text1"/>
        </w:rPr>
        <w:tab/>
      </w:r>
      <w:r w:rsidR="003F742F">
        <w:rPr>
          <w:rFonts w:ascii="Arial" w:hAnsi="Arial" w:cs="Arial"/>
          <w:b/>
          <w:bCs/>
          <w:color w:val="000000" w:themeColor="text1"/>
        </w:rPr>
        <w:tab/>
      </w:r>
      <w:r w:rsidR="003F742F">
        <w:rPr>
          <w:rFonts w:ascii="Arial" w:hAnsi="Arial" w:cs="Arial"/>
          <w:b/>
          <w:bCs/>
          <w:color w:val="000000" w:themeColor="text1"/>
        </w:rPr>
        <w:tab/>
      </w:r>
      <w:r w:rsidR="003F742F">
        <w:rPr>
          <w:rFonts w:ascii="Arial" w:hAnsi="Arial" w:cs="Arial"/>
          <w:b/>
          <w:bCs/>
          <w:color w:val="000000" w:themeColor="text1"/>
        </w:rPr>
        <w:tab/>
      </w:r>
      <w:r w:rsidR="003F742F">
        <w:rPr>
          <w:rFonts w:ascii="Arial" w:hAnsi="Arial" w:cs="Arial"/>
          <w:b/>
          <w:bCs/>
          <w:color w:val="000000" w:themeColor="text1"/>
        </w:rPr>
        <w:tab/>
      </w:r>
      <w:r w:rsidR="003F742F">
        <w:rPr>
          <w:rFonts w:ascii="Arial" w:hAnsi="Arial" w:cs="Arial"/>
          <w:b/>
          <w:bCs/>
          <w:color w:val="000000" w:themeColor="text1"/>
        </w:rPr>
        <w:tab/>
      </w:r>
      <w:r w:rsidR="003F742F">
        <w:rPr>
          <w:rFonts w:ascii="Arial" w:hAnsi="Arial" w:cs="Arial"/>
          <w:b/>
          <w:bCs/>
          <w:color w:val="000000" w:themeColor="text1"/>
        </w:rPr>
        <w:tab/>
      </w:r>
      <w:r w:rsidR="003F742F">
        <w:rPr>
          <w:rFonts w:ascii="Arial" w:hAnsi="Arial" w:cs="Arial"/>
          <w:b/>
          <w:bCs/>
          <w:color w:val="000000" w:themeColor="text1"/>
        </w:rPr>
        <w:tab/>
        <w:t>18</w:t>
      </w:r>
    </w:p>
    <w:p w14:paraId="290CED7D" w14:textId="48DD620D" w:rsidR="003D185C" w:rsidRDefault="00D36C34" w:rsidP="00252B67">
      <w:pPr>
        <w:spacing w:after="120" w:line="360" w:lineRule="auto"/>
        <w:rPr>
          <w:rFonts w:ascii="Arial" w:hAnsi="Arial" w:cs="Arial"/>
          <w:b/>
          <w:bCs/>
          <w:color w:val="000000" w:themeColor="text1"/>
        </w:rPr>
      </w:pPr>
      <w:r>
        <w:rPr>
          <w:rFonts w:ascii="Arial" w:hAnsi="Arial" w:cs="Arial"/>
          <w:b/>
          <w:bCs/>
          <w:color w:val="000000" w:themeColor="text1"/>
        </w:rPr>
        <w:t>Conclusion:</w:t>
      </w:r>
      <w:r w:rsidR="00874F66">
        <w:rPr>
          <w:rFonts w:ascii="Arial" w:hAnsi="Arial" w:cs="Arial"/>
          <w:b/>
          <w:bCs/>
          <w:color w:val="000000" w:themeColor="text1"/>
        </w:rPr>
        <w:tab/>
      </w:r>
      <w:r w:rsidR="00874F66">
        <w:rPr>
          <w:rFonts w:ascii="Arial" w:hAnsi="Arial" w:cs="Arial"/>
          <w:b/>
          <w:bCs/>
          <w:color w:val="000000" w:themeColor="text1"/>
        </w:rPr>
        <w:tab/>
      </w:r>
      <w:r w:rsidR="00874F66">
        <w:rPr>
          <w:rFonts w:ascii="Arial" w:hAnsi="Arial" w:cs="Arial"/>
          <w:b/>
          <w:bCs/>
          <w:color w:val="000000" w:themeColor="text1"/>
        </w:rPr>
        <w:tab/>
      </w:r>
      <w:r w:rsidR="00874F66">
        <w:rPr>
          <w:rFonts w:ascii="Arial" w:hAnsi="Arial" w:cs="Arial"/>
          <w:b/>
          <w:bCs/>
          <w:color w:val="000000" w:themeColor="text1"/>
        </w:rPr>
        <w:tab/>
      </w:r>
      <w:r w:rsidR="00874F66">
        <w:rPr>
          <w:rFonts w:ascii="Arial" w:hAnsi="Arial" w:cs="Arial"/>
          <w:b/>
          <w:bCs/>
          <w:color w:val="000000" w:themeColor="text1"/>
        </w:rPr>
        <w:tab/>
      </w:r>
      <w:r w:rsidR="00874F66">
        <w:rPr>
          <w:rFonts w:ascii="Arial" w:hAnsi="Arial" w:cs="Arial"/>
          <w:b/>
          <w:bCs/>
          <w:color w:val="000000" w:themeColor="text1"/>
        </w:rPr>
        <w:tab/>
      </w:r>
      <w:r w:rsidR="00874F66">
        <w:rPr>
          <w:rFonts w:ascii="Arial" w:hAnsi="Arial" w:cs="Arial"/>
          <w:b/>
          <w:bCs/>
          <w:color w:val="000000" w:themeColor="text1"/>
        </w:rPr>
        <w:tab/>
      </w:r>
      <w:r w:rsidR="00874F66">
        <w:rPr>
          <w:rFonts w:ascii="Arial" w:hAnsi="Arial" w:cs="Arial"/>
          <w:b/>
          <w:bCs/>
          <w:color w:val="000000" w:themeColor="text1"/>
        </w:rPr>
        <w:tab/>
      </w:r>
      <w:r w:rsidR="00874F66">
        <w:rPr>
          <w:rFonts w:ascii="Arial" w:hAnsi="Arial" w:cs="Arial"/>
          <w:b/>
          <w:bCs/>
          <w:color w:val="000000" w:themeColor="text1"/>
        </w:rPr>
        <w:tab/>
      </w:r>
      <w:r w:rsidR="00874F66">
        <w:rPr>
          <w:rFonts w:ascii="Arial" w:hAnsi="Arial" w:cs="Arial"/>
          <w:b/>
          <w:bCs/>
          <w:color w:val="000000" w:themeColor="text1"/>
        </w:rPr>
        <w:tab/>
      </w:r>
      <w:r w:rsidR="00E957D9">
        <w:rPr>
          <w:rFonts w:ascii="Arial" w:hAnsi="Arial" w:cs="Arial"/>
          <w:b/>
          <w:bCs/>
          <w:color w:val="000000" w:themeColor="text1"/>
        </w:rPr>
        <w:t>20</w:t>
      </w:r>
    </w:p>
    <w:p w14:paraId="6BBB1B93" w14:textId="5C8F592C" w:rsidR="00CF7ADD" w:rsidRPr="00707D13" w:rsidRDefault="003D185C" w:rsidP="00252B67">
      <w:pPr>
        <w:spacing w:after="120" w:line="360" w:lineRule="auto"/>
        <w:rPr>
          <w:rFonts w:ascii="Arial" w:hAnsi="Arial" w:cs="Arial"/>
          <w:b/>
          <w:bCs/>
          <w:color w:val="000000" w:themeColor="text1"/>
        </w:rPr>
      </w:pPr>
      <w:r>
        <w:rPr>
          <w:rFonts w:ascii="Arial" w:hAnsi="Arial" w:cs="Arial"/>
          <w:b/>
          <w:bCs/>
          <w:color w:val="000000" w:themeColor="text1"/>
        </w:rPr>
        <w:t>References:</w:t>
      </w:r>
      <w:r>
        <w:rPr>
          <w:rFonts w:ascii="Arial" w:hAnsi="Arial" w:cs="Arial"/>
          <w:b/>
          <w:bCs/>
          <w:color w:val="000000" w:themeColor="text1"/>
        </w:rPr>
        <w:tab/>
      </w:r>
      <w:r>
        <w:rPr>
          <w:rFonts w:ascii="Arial" w:hAnsi="Arial" w:cs="Arial"/>
          <w:b/>
          <w:bCs/>
          <w:color w:val="000000" w:themeColor="text1"/>
        </w:rPr>
        <w:tab/>
      </w:r>
      <w:r w:rsidR="000E32FC">
        <w:rPr>
          <w:rFonts w:ascii="Arial" w:hAnsi="Arial" w:cs="Arial"/>
          <w:b/>
          <w:bCs/>
          <w:color w:val="000000" w:themeColor="text1"/>
        </w:rPr>
        <w:tab/>
      </w:r>
      <w:r w:rsidR="000E32FC">
        <w:rPr>
          <w:rFonts w:ascii="Arial" w:hAnsi="Arial" w:cs="Arial"/>
          <w:b/>
          <w:bCs/>
          <w:color w:val="000000" w:themeColor="text1"/>
        </w:rPr>
        <w:tab/>
      </w:r>
      <w:r w:rsidR="000E32FC">
        <w:rPr>
          <w:rFonts w:ascii="Arial" w:hAnsi="Arial" w:cs="Arial"/>
          <w:b/>
          <w:bCs/>
          <w:color w:val="000000" w:themeColor="text1"/>
        </w:rPr>
        <w:tab/>
      </w:r>
      <w:r w:rsidR="000E32FC">
        <w:rPr>
          <w:rFonts w:ascii="Arial" w:hAnsi="Arial" w:cs="Arial"/>
          <w:b/>
          <w:bCs/>
          <w:color w:val="000000" w:themeColor="text1"/>
        </w:rPr>
        <w:tab/>
      </w:r>
      <w:r w:rsidR="000E32FC">
        <w:rPr>
          <w:rFonts w:ascii="Arial" w:hAnsi="Arial" w:cs="Arial"/>
          <w:b/>
          <w:bCs/>
          <w:color w:val="000000" w:themeColor="text1"/>
        </w:rPr>
        <w:tab/>
      </w:r>
      <w:r w:rsidR="000E32FC">
        <w:rPr>
          <w:rFonts w:ascii="Arial" w:hAnsi="Arial" w:cs="Arial"/>
          <w:b/>
          <w:bCs/>
          <w:color w:val="000000" w:themeColor="text1"/>
        </w:rPr>
        <w:tab/>
      </w:r>
      <w:r w:rsidR="000E32FC">
        <w:rPr>
          <w:rFonts w:ascii="Arial" w:hAnsi="Arial" w:cs="Arial"/>
          <w:b/>
          <w:bCs/>
          <w:color w:val="000000" w:themeColor="text1"/>
        </w:rPr>
        <w:tab/>
      </w:r>
      <w:r w:rsidR="000E32FC">
        <w:rPr>
          <w:rFonts w:ascii="Arial" w:hAnsi="Arial" w:cs="Arial"/>
          <w:b/>
          <w:bCs/>
          <w:color w:val="000000" w:themeColor="text1"/>
        </w:rPr>
        <w:tab/>
        <w:t>22</w:t>
      </w:r>
    </w:p>
    <w:p w14:paraId="04914E95" w14:textId="77777777" w:rsidR="00CF7ADD" w:rsidRPr="00707D13" w:rsidRDefault="00CF7ADD" w:rsidP="00252B67">
      <w:pPr>
        <w:spacing w:after="120" w:line="360" w:lineRule="auto"/>
        <w:rPr>
          <w:rFonts w:ascii="Arial" w:hAnsi="Arial" w:cs="Arial"/>
          <w:b/>
          <w:bCs/>
          <w:color w:val="000000" w:themeColor="text1"/>
        </w:rPr>
      </w:pPr>
    </w:p>
    <w:p w14:paraId="3ACFDB3F" w14:textId="77777777" w:rsidR="00CF7ADD" w:rsidRPr="00707D13" w:rsidRDefault="00CF7ADD" w:rsidP="00CD5150">
      <w:pPr>
        <w:spacing w:line="360" w:lineRule="auto"/>
        <w:rPr>
          <w:rFonts w:ascii="Arial" w:hAnsi="Arial" w:cs="Arial"/>
          <w:b/>
          <w:bCs/>
          <w:color w:val="000000" w:themeColor="text1"/>
        </w:rPr>
      </w:pPr>
    </w:p>
    <w:p w14:paraId="45E37FFA" w14:textId="24127B1F" w:rsidR="00CF7ADD" w:rsidRPr="00707D13" w:rsidRDefault="00CF7ADD">
      <w:pPr>
        <w:rPr>
          <w:rFonts w:ascii="Arial" w:hAnsi="Arial" w:cs="Arial"/>
          <w:b/>
          <w:bCs/>
          <w:color w:val="000000" w:themeColor="text1"/>
        </w:rPr>
      </w:pPr>
      <w:r w:rsidRPr="00707D13">
        <w:rPr>
          <w:rFonts w:ascii="Arial" w:hAnsi="Arial" w:cs="Arial"/>
          <w:b/>
          <w:bCs/>
          <w:color w:val="000000" w:themeColor="text1"/>
        </w:rPr>
        <w:br w:type="page"/>
      </w:r>
    </w:p>
    <w:p w14:paraId="53822053" w14:textId="639CFAE8" w:rsidR="00B57FC7" w:rsidRPr="00707D13" w:rsidRDefault="00B57FC7" w:rsidP="004D3CEE">
      <w:pPr>
        <w:spacing w:line="360" w:lineRule="auto"/>
        <w:jc w:val="both"/>
        <w:rPr>
          <w:rFonts w:ascii="Arial" w:hAnsi="Arial" w:cs="Arial"/>
          <w:b/>
          <w:bCs/>
          <w:color w:val="000000" w:themeColor="text1"/>
          <w:sz w:val="28"/>
          <w:szCs w:val="28"/>
        </w:rPr>
      </w:pPr>
      <w:r w:rsidRPr="00707D13">
        <w:rPr>
          <w:rFonts w:ascii="Arial" w:hAnsi="Arial" w:cs="Arial"/>
          <w:b/>
          <w:bCs/>
          <w:color w:val="000000" w:themeColor="text1"/>
          <w:sz w:val="28"/>
          <w:szCs w:val="28"/>
        </w:rPr>
        <w:lastRenderedPageBreak/>
        <w:t>Introduction</w:t>
      </w:r>
      <w:r w:rsidR="00303D9A" w:rsidRPr="00707D13">
        <w:rPr>
          <w:rFonts w:ascii="Arial" w:hAnsi="Arial" w:cs="Arial"/>
          <w:b/>
          <w:bCs/>
          <w:color w:val="000000" w:themeColor="text1"/>
          <w:sz w:val="28"/>
          <w:szCs w:val="28"/>
        </w:rPr>
        <w:t>.</w:t>
      </w:r>
    </w:p>
    <w:p w14:paraId="421EF5E8" w14:textId="648FA9E0" w:rsidR="00B57FC7" w:rsidRPr="00707D13" w:rsidRDefault="00B57FC7" w:rsidP="00C02D60">
      <w:pPr>
        <w:spacing w:line="360" w:lineRule="auto"/>
        <w:jc w:val="both"/>
        <w:rPr>
          <w:rFonts w:ascii="Arial" w:hAnsi="Arial" w:cs="Arial"/>
          <w:color w:val="000000" w:themeColor="text1"/>
        </w:rPr>
      </w:pPr>
      <w:r w:rsidRPr="00707D13">
        <w:rPr>
          <w:rFonts w:ascii="Arial" w:hAnsi="Arial" w:cs="Arial"/>
          <w:color w:val="000000" w:themeColor="text1"/>
        </w:rPr>
        <w:t>Healthcare organisations operate within increasingly complex systems where effective leadership, governance and collaborative decision-making are essential to ensuring safe, high-quality patient care</w:t>
      </w:r>
      <w:r w:rsidR="0019347A" w:rsidRPr="00707D13">
        <w:rPr>
          <w:rFonts w:ascii="Arial" w:hAnsi="Arial" w:cs="Arial"/>
          <w:color w:val="000000" w:themeColor="text1"/>
        </w:rPr>
        <w:t xml:space="preserve"> </w:t>
      </w:r>
      <w:r w:rsidR="009C4DAA" w:rsidRPr="00707D13">
        <w:rPr>
          <w:rFonts w:ascii="Arial" w:hAnsi="Arial" w:cs="Arial"/>
          <w:color w:val="000000" w:themeColor="text1"/>
        </w:rPr>
        <w:t xml:space="preserve">(Rosen </w:t>
      </w:r>
      <w:r w:rsidR="009C4DAA" w:rsidRPr="00707D13">
        <w:rPr>
          <w:rFonts w:ascii="Arial" w:hAnsi="Arial" w:cs="Arial"/>
          <w:i/>
          <w:iCs/>
          <w:color w:val="000000" w:themeColor="text1"/>
        </w:rPr>
        <w:t>et al.</w:t>
      </w:r>
      <w:r w:rsidR="009C4DAA" w:rsidRPr="00707D13">
        <w:rPr>
          <w:rFonts w:ascii="Arial" w:hAnsi="Arial" w:cs="Arial"/>
          <w:color w:val="000000" w:themeColor="text1"/>
        </w:rPr>
        <w:t xml:space="preserve"> 2018)</w:t>
      </w:r>
      <w:r w:rsidRPr="00707D13">
        <w:rPr>
          <w:rFonts w:ascii="Arial" w:hAnsi="Arial" w:cs="Arial"/>
          <w:color w:val="000000" w:themeColor="text1"/>
        </w:rPr>
        <w:t xml:space="preserve">. </w:t>
      </w:r>
      <w:r w:rsidR="00F10A8E" w:rsidRPr="00707D13">
        <w:rPr>
          <w:rFonts w:ascii="Arial" w:hAnsi="Arial" w:cs="Arial"/>
          <w:color w:val="000000" w:themeColor="text1"/>
        </w:rPr>
        <w:t xml:space="preserve">Health care harms approximately </w:t>
      </w:r>
      <w:r w:rsidR="000525C4" w:rsidRPr="00707D13">
        <w:rPr>
          <w:rFonts w:ascii="Arial" w:hAnsi="Arial" w:cs="Arial"/>
          <w:color w:val="000000" w:themeColor="text1"/>
        </w:rPr>
        <w:t>1</w:t>
      </w:r>
      <w:r w:rsidR="00F10A8E" w:rsidRPr="00707D13">
        <w:rPr>
          <w:rFonts w:ascii="Arial" w:hAnsi="Arial" w:cs="Arial"/>
          <w:color w:val="000000" w:themeColor="text1"/>
        </w:rPr>
        <w:t xml:space="preserve"> in </w:t>
      </w:r>
      <w:r w:rsidR="000525C4" w:rsidRPr="00707D13">
        <w:rPr>
          <w:rFonts w:ascii="Arial" w:hAnsi="Arial" w:cs="Arial"/>
          <w:color w:val="000000" w:themeColor="text1"/>
        </w:rPr>
        <w:t>10</w:t>
      </w:r>
      <w:r w:rsidR="00F10A8E" w:rsidRPr="00707D13">
        <w:rPr>
          <w:rFonts w:ascii="Arial" w:hAnsi="Arial" w:cs="Arial"/>
          <w:color w:val="000000" w:themeColor="text1"/>
        </w:rPr>
        <w:t xml:space="preserve"> patients, resulting in over 3 million deaths annually</w:t>
      </w:r>
      <w:r w:rsidR="00321C87" w:rsidRPr="00707D13">
        <w:rPr>
          <w:rFonts w:ascii="Arial" w:hAnsi="Arial" w:cs="Arial"/>
          <w:color w:val="000000" w:themeColor="text1"/>
        </w:rPr>
        <w:t> (World Health Organization</w:t>
      </w:r>
      <w:r w:rsidR="00321C87" w:rsidRPr="00EF2F1A">
        <w:rPr>
          <w:rFonts w:ascii="Arial" w:hAnsi="Arial" w:cs="Arial"/>
          <w:color w:val="000000" w:themeColor="text1"/>
        </w:rPr>
        <w:t>, 2023)</w:t>
      </w:r>
      <w:r w:rsidR="00F10A8E" w:rsidRPr="00EF2F1A">
        <w:rPr>
          <w:rFonts w:ascii="Arial" w:hAnsi="Arial" w:cs="Arial"/>
          <w:color w:val="000000" w:themeColor="text1"/>
        </w:rPr>
        <w:t>.</w:t>
      </w:r>
      <w:r w:rsidR="00F10A8E" w:rsidRPr="00707D13">
        <w:rPr>
          <w:rFonts w:ascii="Arial" w:hAnsi="Arial" w:cs="Arial"/>
          <w:color w:val="000000" w:themeColor="text1"/>
        </w:rPr>
        <w:t xml:space="preserve"> In low- to middle-income countries, up to four in every hundred individuals die from inadequate care. Notably, more than half of these injuries are preventable, with medications being responsible for half of the cases</w:t>
      </w:r>
      <w:r w:rsidRPr="00707D13">
        <w:rPr>
          <w:rFonts w:ascii="Arial" w:hAnsi="Arial" w:cs="Arial"/>
          <w:color w:val="000000" w:themeColor="text1"/>
        </w:rPr>
        <w:t xml:space="preserve"> (WHO, 202</w:t>
      </w:r>
      <w:r w:rsidR="00CF49C6" w:rsidRPr="00707D13">
        <w:rPr>
          <w:rFonts w:ascii="Arial" w:hAnsi="Arial" w:cs="Arial"/>
          <w:color w:val="000000" w:themeColor="text1"/>
        </w:rPr>
        <w:t>3</w:t>
      </w:r>
      <w:r w:rsidRPr="00707D13">
        <w:rPr>
          <w:rFonts w:ascii="Arial" w:hAnsi="Arial" w:cs="Arial"/>
          <w:color w:val="000000" w:themeColor="text1"/>
        </w:rPr>
        <w:t xml:space="preserve">). </w:t>
      </w:r>
      <w:r w:rsidR="004C2AFC" w:rsidRPr="00707D13">
        <w:rPr>
          <w:rFonts w:ascii="Arial" w:hAnsi="Arial" w:cs="Arial"/>
          <w:color w:val="000000" w:themeColor="text1"/>
        </w:rPr>
        <w:t xml:space="preserve">The ageing population and </w:t>
      </w:r>
      <w:r w:rsidR="003C120D" w:rsidRPr="00707D13">
        <w:rPr>
          <w:rFonts w:ascii="Arial" w:hAnsi="Arial" w:cs="Arial"/>
          <w:color w:val="000000" w:themeColor="text1"/>
        </w:rPr>
        <w:t>the rise in long-term conditions have intensified challenges in healthcare, necessitating that leaders</w:t>
      </w:r>
      <w:r w:rsidR="004C2AFC" w:rsidRPr="00707D13">
        <w:rPr>
          <w:rFonts w:ascii="Arial" w:hAnsi="Arial" w:cs="Arial"/>
          <w:color w:val="000000" w:themeColor="text1"/>
        </w:rPr>
        <w:t xml:space="preserve"> adopt systems-based approaches focused on learning, accountability, and continuous quality improvement</w:t>
      </w:r>
      <w:r w:rsidR="00D574F4" w:rsidRPr="00707D13">
        <w:rPr>
          <w:rFonts w:ascii="Arial" w:hAnsi="Arial" w:cs="Arial"/>
          <w:color w:val="000000" w:themeColor="text1"/>
        </w:rPr>
        <w:t xml:space="preserve"> </w:t>
      </w:r>
      <w:r w:rsidRPr="00707D13">
        <w:rPr>
          <w:rFonts w:ascii="Arial" w:hAnsi="Arial" w:cs="Arial"/>
          <w:color w:val="000000" w:themeColor="text1"/>
        </w:rPr>
        <w:t>(NHS England, 2022).</w:t>
      </w:r>
    </w:p>
    <w:p w14:paraId="02444560" w14:textId="4BE91AA7" w:rsidR="00DE33E0" w:rsidRPr="00707D13" w:rsidRDefault="00B57FC7" w:rsidP="004D3CEE">
      <w:pPr>
        <w:spacing w:line="360" w:lineRule="auto"/>
        <w:jc w:val="both"/>
        <w:rPr>
          <w:rFonts w:ascii="Arial" w:hAnsi="Arial" w:cs="Arial"/>
          <w:color w:val="000000" w:themeColor="text1"/>
        </w:rPr>
      </w:pPr>
      <w:r w:rsidRPr="00707D13">
        <w:rPr>
          <w:rFonts w:ascii="Arial" w:hAnsi="Arial" w:cs="Arial"/>
          <w:color w:val="000000" w:themeColor="text1"/>
        </w:rPr>
        <w:t xml:space="preserve">This report critically analyses the Healthcare Safety Investigation Branch (HSSIB) investigation into the death of Len, an 89-year-old man with Charcot–Marie–Tooth (CMT) disease, who died following an unintentional overdose of morphine oral solution after he and his wife misunderstood the prescribed dosage (HSSIB, 2024). </w:t>
      </w:r>
      <w:r w:rsidR="0011756A" w:rsidRPr="00707D13">
        <w:rPr>
          <w:rFonts w:ascii="Arial" w:hAnsi="Arial" w:cs="Arial"/>
          <w:color w:val="000000" w:themeColor="text1"/>
        </w:rPr>
        <w:t xml:space="preserve">Despite initially </w:t>
      </w:r>
      <w:r w:rsidR="00975695" w:rsidRPr="00707D13">
        <w:rPr>
          <w:rFonts w:ascii="Arial" w:hAnsi="Arial" w:cs="Arial"/>
          <w:color w:val="000000" w:themeColor="text1"/>
        </w:rPr>
        <w:t>appearing to be a medication administration error, the HSSIB investigation revealed broader issues, including organizational failures, communication gaps, inadequate medication</w:t>
      </w:r>
      <w:r w:rsidR="0011756A" w:rsidRPr="00707D13">
        <w:rPr>
          <w:rFonts w:ascii="Arial" w:hAnsi="Arial" w:cs="Arial"/>
          <w:color w:val="000000" w:themeColor="text1"/>
        </w:rPr>
        <w:t xml:space="preserve"> optimization, insufficient patient education, and governance problems. The emphasis was placed on systemic learning and organizational transformation to improve medication safety in health and social care, avoiding individual blame. Leadership plays a crucial role in influencing teams to achieve common goals while ensuring safe, effective, and </w:t>
      </w:r>
      <w:r w:rsidR="003D61EB" w:rsidRPr="00707D13">
        <w:rPr>
          <w:rFonts w:ascii="Arial" w:hAnsi="Arial" w:cs="Arial"/>
          <w:color w:val="000000" w:themeColor="text1"/>
        </w:rPr>
        <w:t>person-centred</w:t>
      </w:r>
      <w:r w:rsidR="0011756A" w:rsidRPr="00707D13">
        <w:rPr>
          <w:rFonts w:ascii="Arial" w:hAnsi="Arial" w:cs="Arial"/>
          <w:color w:val="000000" w:themeColor="text1"/>
        </w:rPr>
        <w:t xml:space="preserve"> care</w:t>
      </w:r>
      <w:r w:rsidR="0040466A" w:rsidRPr="00707D13">
        <w:rPr>
          <w:rFonts w:ascii="Arial" w:hAnsi="Arial" w:cs="Arial"/>
          <w:color w:val="000000" w:themeColor="text1"/>
        </w:rPr>
        <w:t xml:space="preserve"> </w:t>
      </w:r>
      <w:r w:rsidRPr="00707D13">
        <w:rPr>
          <w:rFonts w:ascii="Arial" w:hAnsi="Arial" w:cs="Arial"/>
          <w:color w:val="000000" w:themeColor="text1"/>
        </w:rPr>
        <w:t xml:space="preserve">(Northouse, 2022). </w:t>
      </w:r>
      <w:r w:rsidR="002E4399" w:rsidRPr="00707D13">
        <w:rPr>
          <w:rFonts w:ascii="Arial" w:hAnsi="Arial" w:cs="Arial"/>
          <w:color w:val="000000" w:themeColor="text1"/>
        </w:rPr>
        <w:t>Effective leadership in health and social care involves not only staff direction but also fostering collaboration, creating a positive safety culture, supporting innovation, and ensuring continuous learning from adverse events</w:t>
      </w:r>
      <w:r w:rsidR="007E4D3B" w:rsidRPr="00707D13">
        <w:rPr>
          <w:rFonts w:ascii="Arial" w:hAnsi="Arial" w:cs="Arial"/>
          <w:color w:val="000000" w:themeColor="text1"/>
        </w:rPr>
        <w:t xml:space="preserve"> </w:t>
      </w:r>
      <w:r w:rsidRPr="00707D13">
        <w:rPr>
          <w:rFonts w:ascii="Arial" w:hAnsi="Arial" w:cs="Arial"/>
          <w:color w:val="000000" w:themeColor="text1"/>
        </w:rPr>
        <w:t>(West et al., 201</w:t>
      </w:r>
      <w:r w:rsidR="00A12CBD" w:rsidRPr="00707D13">
        <w:rPr>
          <w:rFonts w:ascii="Arial" w:hAnsi="Arial" w:cs="Arial"/>
          <w:color w:val="000000" w:themeColor="text1"/>
        </w:rPr>
        <w:t>7</w:t>
      </w:r>
      <w:r w:rsidRPr="00707D13">
        <w:rPr>
          <w:rFonts w:ascii="Arial" w:hAnsi="Arial" w:cs="Arial"/>
          <w:color w:val="000000" w:themeColor="text1"/>
        </w:rPr>
        <w:t xml:space="preserve">). </w:t>
      </w:r>
      <w:r w:rsidR="00601CD9" w:rsidRPr="00707D13">
        <w:rPr>
          <w:rFonts w:ascii="Arial" w:hAnsi="Arial" w:cs="Arial"/>
          <w:color w:val="000000" w:themeColor="text1"/>
        </w:rPr>
        <w:t>Leadership is crucial during organisational change or crises, requiring quick decisions that prioritize patient safety and staff engagement. Various leadership styles</w:t>
      </w:r>
      <w:r w:rsidR="0037393F" w:rsidRPr="00707D13">
        <w:rPr>
          <w:rFonts w:ascii="Arial" w:hAnsi="Arial" w:cs="Arial"/>
          <w:color w:val="000000" w:themeColor="text1"/>
        </w:rPr>
        <w:t xml:space="preserve"> </w:t>
      </w:r>
      <w:r w:rsidR="00601CD9" w:rsidRPr="00707D13">
        <w:rPr>
          <w:rFonts w:ascii="Arial" w:hAnsi="Arial" w:cs="Arial"/>
          <w:color w:val="000000" w:themeColor="text1"/>
        </w:rPr>
        <w:t>transformational, transactional, situational, and distributed</w:t>
      </w:r>
      <w:r w:rsidR="0037393F" w:rsidRPr="00707D13">
        <w:rPr>
          <w:rFonts w:ascii="Arial" w:hAnsi="Arial" w:cs="Arial"/>
          <w:color w:val="000000" w:themeColor="text1"/>
        </w:rPr>
        <w:t xml:space="preserve"> </w:t>
      </w:r>
      <w:r w:rsidR="00892D33" w:rsidRPr="00707D13">
        <w:rPr>
          <w:rFonts w:ascii="Arial" w:hAnsi="Arial" w:cs="Arial"/>
          <w:color w:val="000000" w:themeColor="text1"/>
        </w:rPr>
        <w:t>offer distinct strengths depending</w:t>
      </w:r>
      <w:r w:rsidR="00601CD9" w:rsidRPr="00707D13">
        <w:rPr>
          <w:rFonts w:ascii="Arial" w:hAnsi="Arial" w:cs="Arial"/>
          <w:color w:val="000000" w:themeColor="text1"/>
        </w:rPr>
        <w:t xml:space="preserve"> on the context and complexity of the challenges faced </w:t>
      </w:r>
      <w:r w:rsidRPr="00707D13">
        <w:rPr>
          <w:rFonts w:ascii="Arial" w:hAnsi="Arial" w:cs="Arial"/>
          <w:color w:val="000000" w:themeColor="text1"/>
        </w:rPr>
        <w:t>(</w:t>
      </w:r>
      <w:r w:rsidR="001732EC" w:rsidRPr="00707D13">
        <w:rPr>
          <w:rFonts w:ascii="Arial" w:hAnsi="Arial" w:cs="Arial"/>
          <w:color w:val="000000" w:themeColor="text1"/>
        </w:rPr>
        <w:t>Wilder, Austin, and Casella, 2009</w:t>
      </w:r>
      <w:r w:rsidR="0052344D" w:rsidRPr="00707D13">
        <w:rPr>
          <w:rFonts w:ascii="Arial" w:hAnsi="Arial" w:cs="Arial"/>
          <w:color w:val="000000" w:themeColor="text1"/>
        </w:rPr>
        <w:t>;</w:t>
      </w:r>
      <w:r w:rsidR="005957B1" w:rsidRPr="00707D13">
        <w:rPr>
          <w:rFonts w:ascii="Arial" w:hAnsi="Arial" w:cs="Arial"/>
          <w:color w:val="000000" w:themeColor="text1"/>
        </w:rPr>
        <w:t xml:space="preserve"> </w:t>
      </w:r>
      <w:r w:rsidR="00DE33E0" w:rsidRPr="00707D13">
        <w:rPr>
          <w:rFonts w:ascii="Arial" w:hAnsi="Arial" w:cs="Arial"/>
          <w:color w:val="000000" w:themeColor="text1"/>
        </w:rPr>
        <w:t>Ghasabeh, Soosay, and Reaiche, 2015)</w:t>
      </w:r>
      <w:r w:rsidR="0052344D" w:rsidRPr="00707D13">
        <w:rPr>
          <w:rFonts w:ascii="Arial" w:hAnsi="Arial" w:cs="Arial"/>
          <w:color w:val="000000" w:themeColor="text1"/>
        </w:rPr>
        <w:t>.</w:t>
      </w:r>
      <w:r w:rsidR="00DE33E0" w:rsidRPr="00707D13">
        <w:rPr>
          <w:rFonts w:ascii="Arial" w:hAnsi="Arial" w:cs="Arial"/>
          <w:color w:val="000000" w:themeColor="text1"/>
        </w:rPr>
        <w:t xml:space="preserve"> </w:t>
      </w:r>
    </w:p>
    <w:p w14:paraId="38090BF5" w14:textId="7795BB5F" w:rsidR="00F40FF5" w:rsidRPr="00707D13" w:rsidRDefault="006D7149" w:rsidP="00567F3D">
      <w:pPr>
        <w:spacing w:line="360" w:lineRule="auto"/>
        <w:jc w:val="both"/>
        <w:rPr>
          <w:rFonts w:ascii="Arial" w:hAnsi="Arial" w:cs="Arial"/>
          <w:color w:val="000000" w:themeColor="text1"/>
        </w:rPr>
      </w:pPr>
      <w:r w:rsidRPr="00707D13">
        <w:rPr>
          <w:rFonts w:ascii="Arial" w:hAnsi="Arial" w:cs="Arial"/>
          <w:color w:val="000000" w:themeColor="text1"/>
        </w:rPr>
        <w:t>The structure of healthcare organizations affects leadership effectiveness</w:t>
      </w:r>
      <w:r w:rsidR="0030431E" w:rsidRPr="00707D13">
        <w:rPr>
          <w:rFonts w:ascii="Arial" w:hAnsi="Arial" w:cs="Arial"/>
          <w:color w:val="000000" w:themeColor="text1"/>
        </w:rPr>
        <w:t>: centralized systems promote consistency by concentrating authority in senior management, whereas</w:t>
      </w:r>
      <w:r w:rsidRPr="00707D13">
        <w:rPr>
          <w:rFonts w:ascii="Arial" w:hAnsi="Arial" w:cs="Arial"/>
          <w:color w:val="000000" w:themeColor="text1"/>
        </w:rPr>
        <w:t xml:space="preserve"> decentralized systems foster flexibility and local innovation by distributing authority among </w:t>
      </w:r>
      <w:r w:rsidRPr="00707D13">
        <w:rPr>
          <w:rFonts w:ascii="Arial" w:hAnsi="Arial" w:cs="Arial"/>
          <w:color w:val="000000" w:themeColor="text1"/>
        </w:rPr>
        <w:lastRenderedPageBreak/>
        <w:t xml:space="preserve">frontline teams </w:t>
      </w:r>
      <w:r w:rsidR="00B57FC7" w:rsidRPr="00707D13">
        <w:rPr>
          <w:rFonts w:ascii="Arial" w:hAnsi="Arial" w:cs="Arial"/>
          <w:color w:val="000000" w:themeColor="text1"/>
        </w:rPr>
        <w:t xml:space="preserve">(OECD, 2023). Achieving an appropriate balance between these approaches is particularly important </w:t>
      </w:r>
      <w:r w:rsidR="00176927" w:rsidRPr="00707D13">
        <w:rPr>
          <w:rFonts w:ascii="Arial" w:hAnsi="Arial" w:cs="Arial"/>
          <w:color w:val="000000" w:themeColor="text1"/>
        </w:rPr>
        <w:t>for patient</w:t>
      </w:r>
      <w:r w:rsidR="00B57FC7" w:rsidRPr="00707D13">
        <w:rPr>
          <w:rFonts w:ascii="Arial" w:hAnsi="Arial" w:cs="Arial"/>
          <w:color w:val="000000" w:themeColor="text1"/>
        </w:rPr>
        <w:t xml:space="preserve"> safety, where national governance frameworks must be effectively integrated with local clinical decision-making.</w:t>
      </w:r>
      <w:r w:rsidR="00254A40" w:rsidRPr="00707D13">
        <w:rPr>
          <w:rFonts w:ascii="Arial" w:hAnsi="Arial" w:cs="Arial"/>
          <w:color w:val="000000" w:themeColor="text1"/>
        </w:rPr>
        <w:t xml:space="preserve"> </w:t>
      </w:r>
      <w:r w:rsidR="00B57FC7" w:rsidRPr="00707D13">
        <w:rPr>
          <w:rFonts w:ascii="Arial" w:hAnsi="Arial" w:cs="Arial"/>
          <w:color w:val="000000" w:themeColor="text1"/>
        </w:rPr>
        <w:t>Th</w:t>
      </w:r>
      <w:r w:rsidR="00497AF8" w:rsidRPr="00707D13">
        <w:rPr>
          <w:rFonts w:ascii="Arial" w:hAnsi="Arial" w:cs="Arial"/>
          <w:color w:val="000000" w:themeColor="text1"/>
        </w:rPr>
        <w:t>e</w:t>
      </w:r>
      <w:r w:rsidR="00B57FC7" w:rsidRPr="00707D13">
        <w:rPr>
          <w:rFonts w:ascii="Arial" w:hAnsi="Arial" w:cs="Arial"/>
          <w:color w:val="000000" w:themeColor="text1"/>
        </w:rPr>
        <w:t xml:space="preserve"> report applies systems thinking, leadership theory and governance principles to critically </w:t>
      </w:r>
      <w:r w:rsidR="008A455D" w:rsidRPr="00707D13">
        <w:rPr>
          <w:rFonts w:ascii="Arial" w:hAnsi="Arial" w:cs="Arial"/>
          <w:color w:val="000000" w:themeColor="text1"/>
        </w:rPr>
        <w:t xml:space="preserve">and </w:t>
      </w:r>
      <w:r w:rsidR="008C0793" w:rsidRPr="00707D13">
        <w:rPr>
          <w:rFonts w:ascii="Arial" w:hAnsi="Arial" w:cs="Arial"/>
          <w:color w:val="000000" w:themeColor="text1"/>
        </w:rPr>
        <w:t xml:space="preserve">analytically </w:t>
      </w:r>
      <w:r w:rsidR="00B57FC7" w:rsidRPr="00707D13">
        <w:rPr>
          <w:rFonts w:ascii="Arial" w:hAnsi="Arial" w:cs="Arial"/>
          <w:color w:val="000000" w:themeColor="text1"/>
        </w:rPr>
        <w:t xml:space="preserve">evaluate Len's case. </w:t>
      </w:r>
    </w:p>
    <w:p w14:paraId="144CAF92" w14:textId="3A72AD37" w:rsidR="00953931" w:rsidRPr="00707D13" w:rsidRDefault="00953931" w:rsidP="00CD5150">
      <w:pPr>
        <w:spacing w:line="360" w:lineRule="auto"/>
        <w:rPr>
          <w:rFonts w:ascii="Arial" w:hAnsi="Arial" w:cs="Arial"/>
          <w:b/>
          <w:bCs/>
          <w:color w:val="000000" w:themeColor="text1"/>
        </w:rPr>
      </w:pPr>
      <w:r w:rsidRPr="00707D13">
        <w:rPr>
          <w:rFonts w:ascii="Arial" w:hAnsi="Arial" w:cs="Arial"/>
          <w:b/>
          <w:bCs/>
          <w:color w:val="000000" w:themeColor="text1"/>
        </w:rPr>
        <w:t>Identifying the Problem and Setting the System Context: Applying Systems Thinking</w:t>
      </w:r>
      <w:r w:rsidR="00372F74" w:rsidRPr="00707D13">
        <w:rPr>
          <w:rFonts w:ascii="Arial" w:hAnsi="Arial" w:cs="Arial"/>
          <w:b/>
          <w:bCs/>
          <w:color w:val="000000" w:themeColor="text1"/>
        </w:rPr>
        <w:t>.</w:t>
      </w:r>
    </w:p>
    <w:p w14:paraId="2864E917" w14:textId="2A8D29E6" w:rsidR="00181D3E" w:rsidRPr="00707D13" w:rsidRDefault="00953931" w:rsidP="00001597">
      <w:pPr>
        <w:spacing w:line="360" w:lineRule="auto"/>
        <w:jc w:val="both"/>
        <w:rPr>
          <w:rFonts w:ascii="Arial" w:hAnsi="Arial" w:cs="Arial"/>
          <w:color w:val="000000" w:themeColor="text1"/>
        </w:rPr>
      </w:pPr>
      <w:r w:rsidRPr="00707D13">
        <w:rPr>
          <w:rFonts w:ascii="Arial" w:hAnsi="Arial" w:cs="Arial"/>
          <w:color w:val="000000" w:themeColor="text1"/>
        </w:rPr>
        <w:t>The World Health Organization</w:t>
      </w:r>
      <w:r w:rsidR="00E72705" w:rsidRPr="00707D13">
        <w:rPr>
          <w:rFonts w:ascii="Arial" w:hAnsi="Arial" w:cs="Arial"/>
          <w:color w:val="000000" w:themeColor="text1"/>
        </w:rPr>
        <w:t xml:space="preserve"> (2023)</w:t>
      </w:r>
      <w:r w:rsidRPr="00707D13">
        <w:rPr>
          <w:rFonts w:ascii="Arial" w:hAnsi="Arial" w:cs="Arial"/>
          <w:color w:val="000000" w:themeColor="text1"/>
        </w:rPr>
        <w:t xml:space="preserve"> identifies</w:t>
      </w:r>
      <w:r w:rsidR="00FC4C8A" w:rsidRPr="00707D13">
        <w:rPr>
          <w:rFonts w:ascii="Arial" w:hAnsi="Arial" w:cs="Arial"/>
          <w:color w:val="000000" w:themeColor="text1"/>
        </w:rPr>
        <w:t xml:space="preserve"> that more than 3 million people die each year due to unsafe healthcare, while around half of all preventable patient harm is associated with medication errors</w:t>
      </w:r>
      <w:r w:rsidR="00A67E1E" w:rsidRPr="00707D13">
        <w:rPr>
          <w:rFonts w:ascii="Arial" w:hAnsi="Arial" w:cs="Arial"/>
          <w:color w:val="000000" w:themeColor="text1"/>
        </w:rPr>
        <w:t xml:space="preserve">. It </w:t>
      </w:r>
      <w:r w:rsidR="00BB02A7" w:rsidRPr="00707D13">
        <w:rPr>
          <w:rFonts w:ascii="Arial" w:hAnsi="Arial" w:cs="Arial"/>
          <w:color w:val="000000" w:themeColor="text1"/>
        </w:rPr>
        <w:t>is estimated</w:t>
      </w:r>
      <w:r w:rsidRPr="00707D13">
        <w:rPr>
          <w:rFonts w:ascii="Arial" w:hAnsi="Arial" w:cs="Arial"/>
          <w:color w:val="000000" w:themeColor="text1"/>
        </w:rPr>
        <w:t xml:space="preserve"> that unsafe medication </w:t>
      </w:r>
      <w:r w:rsidR="009712A3" w:rsidRPr="00707D13">
        <w:rPr>
          <w:rFonts w:ascii="Arial" w:hAnsi="Arial" w:cs="Arial"/>
          <w:color w:val="000000" w:themeColor="text1"/>
        </w:rPr>
        <w:t>costs</w:t>
      </w:r>
      <w:r w:rsidRPr="00707D13">
        <w:rPr>
          <w:rFonts w:ascii="Arial" w:hAnsi="Arial" w:cs="Arial"/>
          <w:color w:val="000000" w:themeColor="text1"/>
        </w:rPr>
        <w:t xml:space="preserve"> approximately US$42 billion globally each year</w:t>
      </w:r>
      <w:r w:rsidR="00451C29" w:rsidRPr="00707D13">
        <w:rPr>
          <w:rFonts w:ascii="Arial" w:hAnsi="Arial" w:cs="Arial"/>
          <w:color w:val="000000" w:themeColor="text1"/>
        </w:rPr>
        <w:t xml:space="preserve"> (Manias </w:t>
      </w:r>
      <w:r w:rsidR="00451C29" w:rsidRPr="00707D13">
        <w:rPr>
          <w:rFonts w:ascii="Arial" w:hAnsi="Arial" w:cs="Arial"/>
          <w:i/>
          <w:iCs/>
          <w:color w:val="000000" w:themeColor="text1"/>
        </w:rPr>
        <w:t>et al</w:t>
      </w:r>
      <w:r w:rsidR="00451C29" w:rsidRPr="00707D13">
        <w:rPr>
          <w:rFonts w:ascii="Arial" w:hAnsi="Arial" w:cs="Arial"/>
          <w:color w:val="000000" w:themeColor="text1"/>
        </w:rPr>
        <w:t>., 2020)</w:t>
      </w:r>
      <w:r w:rsidRPr="00707D13">
        <w:rPr>
          <w:rFonts w:ascii="Arial" w:hAnsi="Arial" w:cs="Arial"/>
          <w:color w:val="000000" w:themeColor="text1"/>
        </w:rPr>
        <w:t xml:space="preserve">, prompting the launch of the global Medication </w:t>
      </w:r>
      <w:r w:rsidR="00A67E1E" w:rsidRPr="00707D13">
        <w:rPr>
          <w:rFonts w:ascii="Arial" w:hAnsi="Arial" w:cs="Arial"/>
          <w:color w:val="000000" w:themeColor="text1"/>
        </w:rPr>
        <w:t>w</w:t>
      </w:r>
      <w:r w:rsidRPr="00707D13">
        <w:rPr>
          <w:rFonts w:ascii="Arial" w:hAnsi="Arial" w:cs="Arial"/>
          <w:color w:val="000000" w:themeColor="text1"/>
        </w:rPr>
        <w:t xml:space="preserve">ithout </w:t>
      </w:r>
      <w:r w:rsidR="00A67E1E" w:rsidRPr="00707D13">
        <w:rPr>
          <w:rFonts w:ascii="Arial" w:hAnsi="Arial" w:cs="Arial"/>
          <w:color w:val="000000" w:themeColor="text1"/>
        </w:rPr>
        <w:t>h</w:t>
      </w:r>
      <w:r w:rsidRPr="00707D13">
        <w:rPr>
          <w:rFonts w:ascii="Arial" w:hAnsi="Arial" w:cs="Arial"/>
          <w:color w:val="000000" w:themeColor="text1"/>
        </w:rPr>
        <w:t>arm</w:t>
      </w:r>
      <w:r w:rsidR="00D45A2F" w:rsidRPr="00707D13">
        <w:rPr>
          <w:rFonts w:ascii="Arial" w:hAnsi="Arial" w:cs="Arial"/>
          <w:color w:val="000000" w:themeColor="text1"/>
        </w:rPr>
        <w:t xml:space="preserve">. </w:t>
      </w:r>
      <w:r w:rsidR="003E7289" w:rsidRPr="00707D13">
        <w:rPr>
          <w:rFonts w:ascii="Arial" w:hAnsi="Arial" w:cs="Arial"/>
          <w:color w:val="000000" w:themeColor="text1"/>
        </w:rPr>
        <w:t xml:space="preserve">Medication-related harm </w:t>
      </w:r>
      <w:r w:rsidR="00CF29DC" w:rsidRPr="00707D13">
        <w:rPr>
          <w:rFonts w:ascii="Arial" w:hAnsi="Arial" w:cs="Arial"/>
          <w:color w:val="000000" w:themeColor="text1"/>
        </w:rPr>
        <w:t xml:space="preserve">also </w:t>
      </w:r>
      <w:r w:rsidR="003E7289" w:rsidRPr="00707D13">
        <w:rPr>
          <w:rFonts w:ascii="Arial" w:hAnsi="Arial" w:cs="Arial"/>
          <w:color w:val="000000" w:themeColor="text1"/>
        </w:rPr>
        <w:t xml:space="preserve">represents a major patient safety challenge in England. </w:t>
      </w:r>
      <w:r w:rsidR="00A67D7B" w:rsidRPr="00707D13">
        <w:rPr>
          <w:rFonts w:ascii="Arial" w:hAnsi="Arial" w:cs="Arial"/>
          <w:color w:val="000000" w:themeColor="text1"/>
        </w:rPr>
        <w:t>Research estimates that approximately 237 million medication errors occur annually, with around 66 million considered potentially clinically significant</w:t>
      </w:r>
      <w:r w:rsidR="00BC6C1E" w:rsidRPr="00707D13">
        <w:rPr>
          <w:rFonts w:ascii="Arial" w:hAnsi="Arial" w:cs="Arial"/>
          <w:color w:val="000000" w:themeColor="text1"/>
        </w:rPr>
        <w:t xml:space="preserve"> (Bolwell, 2025).</w:t>
      </w:r>
      <w:r w:rsidR="00A67D7B" w:rsidRPr="00707D13">
        <w:rPr>
          <w:rFonts w:ascii="Arial" w:hAnsi="Arial" w:cs="Arial"/>
          <w:color w:val="000000" w:themeColor="text1"/>
        </w:rPr>
        <w:t xml:space="preserve"> These errors are estimated to cause or contribute to approximately 1,708 deaths each year, highlighting the substantial burden of unsafe medication practices on patients and the NHS (NHS Resolution, 2024; Office for National Statistics, 2025). The figure of 1,708 deaths annually is particularly relevant to Len's case because it pertains specifically to medication errors within healthcare. </w:t>
      </w:r>
      <w:r w:rsidR="00287E52" w:rsidRPr="00707D13">
        <w:rPr>
          <w:rFonts w:ascii="Arial" w:hAnsi="Arial" w:cs="Arial"/>
          <w:color w:val="000000" w:themeColor="text1"/>
        </w:rPr>
        <w:t>These figures demonstrate that medication errors represent a major organisational issue requiring strategic leadership, robust governance and continuous quality improvement rather than isolated corrective actions after incidents occur (NHS England, 2019).</w:t>
      </w:r>
      <w:r w:rsidR="00EB4D80" w:rsidRPr="00707D13">
        <w:rPr>
          <w:rFonts w:ascii="Arial" w:hAnsi="Arial" w:cs="Arial"/>
          <w:color w:val="000000" w:themeColor="text1"/>
        </w:rPr>
        <w:t xml:space="preserve"> </w:t>
      </w:r>
    </w:p>
    <w:p w14:paraId="375B8143" w14:textId="0602871B" w:rsidR="00953931" w:rsidRPr="00707D13" w:rsidRDefault="00A67D7B" w:rsidP="00001597">
      <w:pPr>
        <w:spacing w:line="360" w:lineRule="auto"/>
        <w:jc w:val="both"/>
        <w:rPr>
          <w:rFonts w:ascii="Arial" w:hAnsi="Arial" w:cs="Arial"/>
          <w:color w:val="000000" w:themeColor="text1"/>
        </w:rPr>
      </w:pPr>
      <w:r w:rsidRPr="00707D13">
        <w:rPr>
          <w:rFonts w:ascii="Arial" w:hAnsi="Arial" w:cs="Arial"/>
          <w:color w:val="000000" w:themeColor="text1"/>
        </w:rPr>
        <w:t xml:space="preserve">The HSSIB investigation involving Mr. Len, an 89-year-old man with Charcot–Marie–Tooth (CMT) disease, provides a valuable example of how multiple </w:t>
      </w:r>
      <w:r w:rsidR="00CA6BB1" w:rsidRPr="00707D13">
        <w:rPr>
          <w:rFonts w:ascii="Arial" w:hAnsi="Arial" w:cs="Arial"/>
          <w:color w:val="000000" w:themeColor="text1"/>
        </w:rPr>
        <w:t>organisational</w:t>
      </w:r>
      <w:r w:rsidRPr="00707D13">
        <w:rPr>
          <w:rFonts w:ascii="Arial" w:hAnsi="Arial" w:cs="Arial"/>
          <w:color w:val="000000" w:themeColor="text1"/>
        </w:rPr>
        <w:t xml:space="preserve"> and system failures can combine to produce disastrous outcomes (NHS, 2019). After a fall,</w:t>
      </w:r>
      <w:r w:rsidR="00D60A4A" w:rsidRPr="00707D13">
        <w:rPr>
          <w:rFonts w:ascii="Arial" w:hAnsi="Arial" w:cs="Arial"/>
          <w:color w:val="000000" w:themeColor="text1"/>
        </w:rPr>
        <w:t xml:space="preserve"> </w:t>
      </w:r>
      <w:r w:rsidR="00E4593C" w:rsidRPr="00707D13">
        <w:rPr>
          <w:rFonts w:ascii="Arial" w:hAnsi="Arial" w:cs="Arial"/>
          <w:color w:val="000000" w:themeColor="text1"/>
        </w:rPr>
        <w:t>Mr</w:t>
      </w:r>
      <w:r w:rsidR="00D60A4A" w:rsidRPr="00707D13">
        <w:rPr>
          <w:rFonts w:ascii="Arial" w:hAnsi="Arial" w:cs="Arial"/>
          <w:color w:val="000000" w:themeColor="text1"/>
        </w:rPr>
        <w:t xml:space="preserve">. </w:t>
      </w:r>
      <w:r w:rsidRPr="00707D13">
        <w:rPr>
          <w:rFonts w:ascii="Arial" w:hAnsi="Arial" w:cs="Arial"/>
          <w:color w:val="000000" w:themeColor="text1"/>
        </w:rPr>
        <w:t xml:space="preserve"> Len experienced chest pain and breathlessness and was prescribed oral morphine solution for pain management. </w:t>
      </w:r>
      <w:r w:rsidR="00D60A4A" w:rsidRPr="00707D13">
        <w:rPr>
          <w:rFonts w:ascii="Arial" w:hAnsi="Arial" w:cs="Arial"/>
          <w:color w:val="000000" w:themeColor="text1"/>
        </w:rPr>
        <w:t xml:space="preserve">Mr. </w:t>
      </w:r>
      <w:r w:rsidRPr="00707D13">
        <w:rPr>
          <w:rFonts w:ascii="Arial" w:hAnsi="Arial" w:cs="Arial"/>
          <w:color w:val="000000" w:themeColor="text1"/>
        </w:rPr>
        <w:t>Len and his wife misunderstood the manufacturer's bottle label, believing that the medicine strength (10 mg in 5 ml) represented the prescribed dose. Consequently, Len took repeated doses that were two to four times greater than expected. He was admitted to the hospital with a suspected accidental morphine overdose, pneumonia, and worsening neurological disease, and later died. Following his death, the family discovered that the dispensing label on the outer packaging instructed him to take only 1.25–2.5 ml, a label they had not seen.</w:t>
      </w:r>
    </w:p>
    <w:p w14:paraId="4C7AC8AC" w14:textId="3A71E4DA" w:rsidR="00953931" w:rsidRPr="00707D13" w:rsidRDefault="00953931" w:rsidP="00F756CF">
      <w:pPr>
        <w:spacing w:line="360" w:lineRule="auto"/>
        <w:jc w:val="both"/>
        <w:rPr>
          <w:rFonts w:ascii="Arial" w:hAnsi="Arial" w:cs="Arial"/>
          <w:color w:val="000000" w:themeColor="text1"/>
        </w:rPr>
      </w:pPr>
      <w:r w:rsidRPr="00707D13">
        <w:rPr>
          <w:rFonts w:ascii="Arial" w:hAnsi="Arial" w:cs="Arial"/>
          <w:color w:val="000000" w:themeColor="text1"/>
        </w:rPr>
        <w:lastRenderedPageBreak/>
        <w:t>Although the overdose appeared to result from a patient misunderstanding, the HSSIB investigation concluded that the incident reflected interacting system factors rather than a single human error</w:t>
      </w:r>
      <w:r w:rsidR="00F72C14" w:rsidRPr="00707D13">
        <w:rPr>
          <w:rFonts w:ascii="Arial" w:hAnsi="Arial" w:cs="Arial"/>
          <w:color w:val="000000" w:themeColor="text1"/>
        </w:rPr>
        <w:t xml:space="preserve"> (Crompton </w:t>
      </w:r>
      <w:r w:rsidR="00F72C14" w:rsidRPr="00707D13">
        <w:rPr>
          <w:rFonts w:ascii="Arial" w:hAnsi="Arial" w:cs="Arial"/>
          <w:i/>
          <w:iCs/>
          <w:color w:val="000000" w:themeColor="text1"/>
        </w:rPr>
        <w:t>et al.</w:t>
      </w:r>
      <w:r w:rsidR="002C333A" w:rsidRPr="00707D13">
        <w:rPr>
          <w:rFonts w:ascii="Arial" w:hAnsi="Arial" w:cs="Arial"/>
          <w:i/>
          <w:iCs/>
          <w:color w:val="000000" w:themeColor="text1"/>
        </w:rPr>
        <w:t>,</w:t>
      </w:r>
      <w:r w:rsidR="00F72C14" w:rsidRPr="00707D13">
        <w:rPr>
          <w:rFonts w:ascii="Arial" w:hAnsi="Arial" w:cs="Arial"/>
          <w:color w:val="000000" w:themeColor="text1"/>
        </w:rPr>
        <w:t xml:space="preserve"> 2025)</w:t>
      </w:r>
      <w:r w:rsidRPr="00707D13">
        <w:rPr>
          <w:rFonts w:ascii="Arial" w:hAnsi="Arial" w:cs="Arial"/>
          <w:color w:val="000000" w:themeColor="text1"/>
        </w:rPr>
        <w:t>. These included medicine packaging and labelling, communication during prescribing and dispensing, limited verification of patient understanding, and weaknesses in the wider medicines safety system. This systems perspective is fundamental to</w:t>
      </w:r>
      <w:r w:rsidR="00571588" w:rsidRPr="00707D13">
        <w:rPr>
          <w:rFonts w:ascii="Arial" w:hAnsi="Arial" w:cs="Arial"/>
          <w:color w:val="000000" w:themeColor="text1"/>
        </w:rPr>
        <w:t xml:space="preserve"> </w:t>
      </w:r>
      <w:r w:rsidR="006361AE" w:rsidRPr="00707D13">
        <w:rPr>
          <w:rFonts w:ascii="Arial" w:hAnsi="Arial" w:cs="Arial"/>
          <w:color w:val="000000" w:themeColor="text1"/>
        </w:rPr>
        <w:t>present</w:t>
      </w:r>
      <w:r w:rsidRPr="00707D13">
        <w:rPr>
          <w:rFonts w:ascii="Arial" w:hAnsi="Arial" w:cs="Arial"/>
          <w:color w:val="000000" w:themeColor="text1"/>
        </w:rPr>
        <w:t xml:space="preserve"> patient safety science because it shifts attention from blaming individuals towards understanding how organisational conditions create opportunities for error</w:t>
      </w:r>
      <w:r w:rsidR="004602DF" w:rsidRPr="00707D13">
        <w:rPr>
          <w:rFonts w:ascii="Arial" w:hAnsi="Arial" w:cs="Arial"/>
          <w:color w:val="000000" w:themeColor="text1"/>
        </w:rPr>
        <w:t xml:space="preserve"> (Martin </w:t>
      </w:r>
      <w:r w:rsidR="004602DF" w:rsidRPr="00707D13">
        <w:rPr>
          <w:rFonts w:ascii="Arial" w:hAnsi="Arial" w:cs="Arial"/>
          <w:i/>
          <w:iCs/>
          <w:color w:val="000000" w:themeColor="text1"/>
        </w:rPr>
        <w:t>et al.</w:t>
      </w:r>
      <w:r w:rsidR="00C52D72" w:rsidRPr="00707D13">
        <w:rPr>
          <w:rFonts w:ascii="Arial" w:hAnsi="Arial" w:cs="Arial"/>
          <w:color w:val="000000" w:themeColor="text1"/>
        </w:rPr>
        <w:t xml:space="preserve">, </w:t>
      </w:r>
      <w:r w:rsidR="004602DF" w:rsidRPr="00707D13">
        <w:rPr>
          <w:rFonts w:ascii="Arial" w:hAnsi="Arial" w:cs="Arial"/>
          <w:color w:val="000000" w:themeColor="text1"/>
        </w:rPr>
        <w:t>2025)</w:t>
      </w:r>
      <w:r w:rsidRPr="00707D13">
        <w:rPr>
          <w:rFonts w:ascii="Arial" w:hAnsi="Arial" w:cs="Arial"/>
          <w:color w:val="000000" w:themeColor="text1"/>
        </w:rPr>
        <w:t>.</w:t>
      </w:r>
    </w:p>
    <w:p w14:paraId="50F7C0EF" w14:textId="7E6F5927" w:rsidR="00D95823" w:rsidRPr="00707D13" w:rsidRDefault="00D1708B" w:rsidP="00D95823">
      <w:pPr>
        <w:spacing w:line="360" w:lineRule="auto"/>
        <w:jc w:val="both"/>
        <w:rPr>
          <w:rFonts w:ascii="Arial" w:hAnsi="Arial" w:cs="Arial"/>
          <w:color w:val="000000" w:themeColor="text1"/>
        </w:rPr>
      </w:pPr>
      <w:r w:rsidRPr="00707D13">
        <w:rPr>
          <w:rFonts w:ascii="Arial" w:hAnsi="Arial" w:cs="Arial"/>
          <w:color w:val="000000" w:themeColor="text1"/>
        </w:rPr>
        <w:t xml:space="preserve">Len's advanced age, progressive neurological disease and dependence on his wife for medication administration placed him at high risk of medication-related </w:t>
      </w:r>
      <w:r w:rsidR="00956F2D" w:rsidRPr="00707D13">
        <w:rPr>
          <w:rFonts w:ascii="Arial" w:hAnsi="Arial" w:cs="Arial"/>
          <w:color w:val="000000" w:themeColor="text1"/>
        </w:rPr>
        <w:t>harm (Christopher et al., 2022).</w:t>
      </w:r>
      <w:r w:rsidRPr="00707D13">
        <w:rPr>
          <w:rFonts w:ascii="Arial" w:hAnsi="Arial" w:cs="Arial"/>
          <w:color w:val="000000" w:themeColor="text1"/>
        </w:rPr>
        <w:t xml:space="preserve"> Healthcare professionals should therefore have implemented additional safeguards, including structured medicines counselling, dose demonstration and the Teach-Back method to confirm understanding</w:t>
      </w:r>
      <w:r w:rsidR="00AC50F6" w:rsidRPr="00707D13">
        <w:rPr>
          <w:rFonts w:ascii="Arial" w:hAnsi="Arial" w:cs="Arial"/>
          <w:color w:val="000000" w:themeColor="text1"/>
        </w:rPr>
        <w:t xml:space="preserve"> (</w:t>
      </w:r>
      <w:r w:rsidR="003E24BE" w:rsidRPr="00707D13">
        <w:rPr>
          <w:rFonts w:ascii="Arial" w:hAnsi="Arial" w:cs="Arial"/>
          <w:color w:val="000000" w:themeColor="text1"/>
        </w:rPr>
        <w:t xml:space="preserve">Shersher </w:t>
      </w:r>
      <w:r w:rsidR="003E24BE" w:rsidRPr="00707D13">
        <w:rPr>
          <w:rFonts w:ascii="Arial" w:hAnsi="Arial" w:cs="Arial"/>
          <w:i/>
          <w:iCs/>
          <w:color w:val="000000" w:themeColor="text1"/>
        </w:rPr>
        <w:t>et al.</w:t>
      </w:r>
      <w:r w:rsidR="00457034" w:rsidRPr="00707D13">
        <w:rPr>
          <w:rFonts w:ascii="Arial" w:hAnsi="Arial" w:cs="Arial"/>
          <w:i/>
          <w:iCs/>
          <w:color w:val="000000" w:themeColor="text1"/>
        </w:rPr>
        <w:t>,</w:t>
      </w:r>
      <w:r w:rsidR="003E24BE" w:rsidRPr="00707D13">
        <w:rPr>
          <w:rFonts w:ascii="Arial" w:hAnsi="Arial" w:cs="Arial"/>
          <w:color w:val="000000" w:themeColor="text1"/>
        </w:rPr>
        <w:t xml:space="preserve"> 2021)</w:t>
      </w:r>
      <w:r w:rsidRPr="00707D13">
        <w:rPr>
          <w:rFonts w:ascii="Arial" w:hAnsi="Arial" w:cs="Arial"/>
          <w:color w:val="000000" w:themeColor="text1"/>
        </w:rPr>
        <w:t xml:space="preserve">. </w:t>
      </w:r>
      <w:r w:rsidR="00D95823" w:rsidRPr="00707D13">
        <w:rPr>
          <w:rFonts w:ascii="Arial" w:hAnsi="Arial" w:cs="Arial"/>
          <w:color w:val="000000" w:themeColor="text1"/>
        </w:rPr>
        <w:t>Governance functions at various levels, with local entities like GPs, hospitals, and communities involved in prescribing, dispensing, and patient education. Nationally, organizations such as NHS England, MHRA, and HSSIB provide policies and safety guidance</w:t>
      </w:r>
      <w:r w:rsidR="003C5D92" w:rsidRPr="00707D13">
        <w:rPr>
          <w:rFonts w:ascii="Arial" w:hAnsi="Arial" w:cs="Arial"/>
          <w:color w:val="000000" w:themeColor="text1"/>
        </w:rPr>
        <w:t xml:space="preserve"> (Macrae, 2025)</w:t>
      </w:r>
      <w:r w:rsidR="00D95823" w:rsidRPr="00707D13">
        <w:rPr>
          <w:rFonts w:ascii="Arial" w:hAnsi="Arial" w:cs="Arial"/>
          <w:color w:val="000000" w:themeColor="text1"/>
        </w:rPr>
        <w:t>. Len's case highlights that national guidance must be consistently applied in clinical practice to prevent harms.</w:t>
      </w:r>
      <w:r w:rsidR="003E24BE" w:rsidRPr="00707D13">
        <w:rPr>
          <w:rFonts w:ascii="Arial" w:hAnsi="Arial" w:cs="Arial"/>
          <w:color w:val="000000" w:themeColor="text1"/>
        </w:rPr>
        <w:t xml:space="preserve"> </w:t>
      </w:r>
    </w:p>
    <w:p w14:paraId="36737E4F" w14:textId="07C18095" w:rsidR="00293F19" w:rsidRPr="00707D13" w:rsidRDefault="00953931" w:rsidP="00293F19">
      <w:pPr>
        <w:spacing w:line="360" w:lineRule="auto"/>
        <w:jc w:val="both"/>
        <w:rPr>
          <w:rFonts w:ascii="Arial" w:hAnsi="Arial" w:cs="Arial"/>
          <w:color w:val="000000" w:themeColor="text1"/>
        </w:rPr>
      </w:pPr>
      <w:r w:rsidRPr="00707D13">
        <w:rPr>
          <w:rFonts w:ascii="Arial" w:hAnsi="Arial" w:cs="Arial"/>
          <w:color w:val="000000" w:themeColor="text1"/>
        </w:rPr>
        <w:t>A comparable example can be found in the Mid Staffordshire NHS Foundation Trust Public Inquiry, which concluded that poor leadership, weak governance and ineffective organisational culture contributed to avoidable patient harm</w:t>
      </w:r>
      <w:r w:rsidR="00273117" w:rsidRPr="00707D13">
        <w:rPr>
          <w:rFonts w:ascii="Arial" w:hAnsi="Arial" w:cs="Arial"/>
          <w:color w:val="000000" w:themeColor="text1"/>
        </w:rPr>
        <w:t xml:space="preserve"> </w:t>
      </w:r>
      <w:r w:rsidR="00AE2A8A" w:rsidRPr="00707D13">
        <w:rPr>
          <w:rFonts w:ascii="Arial" w:hAnsi="Arial" w:cs="Arial"/>
          <w:color w:val="000000" w:themeColor="text1"/>
        </w:rPr>
        <w:t>(Newdick and Danbury, 2015)</w:t>
      </w:r>
      <w:r w:rsidRPr="00707D13">
        <w:rPr>
          <w:rFonts w:ascii="Arial" w:hAnsi="Arial" w:cs="Arial"/>
          <w:color w:val="000000" w:themeColor="text1"/>
        </w:rPr>
        <w:t>. Although the circumstances differed from Len's case, both investigations demonstrate that patient safety failures rarely result from individual incompetence alone. Instead, they emerge when organisations fail to integrate effective leadership, communication, governance and continuous learning into everyday practice. The principal lesson from Len's case is therefore not simply that medicine labels should be clearer</w:t>
      </w:r>
      <w:r w:rsidR="0056776D" w:rsidRPr="00707D13">
        <w:rPr>
          <w:rFonts w:ascii="Arial" w:hAnsi="Arial" w:cs="Arial"/>
          <w:color w:val="000000" w:themeColor="text1"/>
        </w:rPr>
        <w:t>.</w:t>
      </w:r>
      <w:r w:rsidR="00273117" w:rsidRPr="00707D13">
        <w:rPr>
          <w:rFonts w:ascii="Arial" w:hAnsi="Arial" w:cs="Arial"/>
          <w:color w:val="000000" w:themeColor="text1"/>
        </w:rPr>
        <w:t xml:space="preserve"> </w:t>
      </w:r>
    </w:p>
    <w:p w14:paraId="5232BD67" w14:textId="2B7EB1B0" w:rsidR="00500B80" w:rsidRPr="00707D13" w:rsidRDefault="00500B80" w:rsidP="00293F19">
      <w:pPr>
        <w:spacing w:line="360" w:lineRule="auto"/>
        <w:jc w:val="both"/>
        <w:rPr>
          <w:rFonts w:ascii="Arial" w:hAnsi="Arial" w:cs="Arial"/>
          <w:b/>
          <w:bCs/>
          <w:color w:val="000000" w:themeColor="text1"/>
        </w:rPr>
      </w:pPr>
      <w:r w:rsidRPr="00707D13">
        <w:rPr>
          <w:rFonts w:ascii="Arial" w:hAnsi="Arial" w:cs="Arial"/>
          <w:b/>
          <w:bCs/>
          <w:color w:val="000000" w:themeColor="text1"/>
        </w:rPr>
        <w:t>Figure 1: Rich Picture</w:t>
      </w:r>
    </w:p>
    <w:tbl>
      <w:tblPr>
        <w:tblStyle w:val="TableGrid"/>
        <w:tblW w:w="0" w:type="auto"/>
        <w:tblLook w:val="04A0" w:firstRow="1" w:lastRow="0" w:firstColumn="1" w:lastColumn="0" w:noHBand="0" w:noVBand="1"/>
      </w:tblPr>
      <w:tblGrid>
        <w:gridCol w:w="9242"/>
      </w:tblGrid>
      <w:tr w:rsidR="00777E4B" w:rsidRPr="00707D13" w14:paraId="10AFB159" w14:textId="77777777" w:rsidTr="005102FE">
        <w:tc>
          <w:tcPr>
            <w:tcW w:w="9242" w:type="dxa"/>
            <w:tcBorders>
              <w:top w:val="single" w:sz="4" w:space="0" w:color="auto"/>
              <w:bottom w:val="single" w:sz="4" w:space="0" w:color="auto"/>
            </w:tcBorders>
          </w:tcPr>
          <w:p w14:paraId="4AAE07AD" w14:textId="77777777" w:rsidR="006C5486" w:rsidRPr="00707D13" w:rsidRDefault="006C5486" w:rsidP="004B7E1C">
            <w:pPr>
              <w:spacing w:line="360" w:lineRule="auto"/>
              <w:rPr>
                <w:rFonts w:ascii="Arial" w:hAnsi="Arial" w:cs="Arial"/>
                <w:color w:val="000000" w:themeColor="text1"/>
              </w:rPr>
            </w:pPr>
          </w:p>
          <w:p w14:paraId="239D27B8" w14:textId="1063407F" w:rsidR="00777E4B" w:rsidRPr="00707D13" w:rsidRDefault="00777E4B" w:rsidP="00777E4B">
            <w:pPr>
              <w:spacing w:line="360" w:lineRule="auto"/>
              <w:jc w:val="center"/>
              <w:rPr>
                <w:rFonts w:ascii="Arial" w:hAnsi="Arial" w:cs="Arial"/>
                <w:color w:val="000000" w:themeColor="text1"/>
              </w:rPr>
            </w:pPr>
            <w:r w:rsidRPr="00707D13">
              <w:rPr>
                <w:rFonts w:ascii="Arial" w:hAnsi="Arial" w:cs="Arial"/>
                <w:color w:val="000000" w:themeColor="text1"/>
              </w:rPr>
              <w:t>NATIONAL GOVERNANCE</w:t>
            </w:r>
          </w:p>
          <w:p w14:paraId="565184DF" w14:textId="77777777" w:rsidR="006C5486" w:rsidRPr="00707D13" w:rsidRDefault="006C5486" w:rsidP="00777E4B">
            <w:pPr>
              <w:spacing w:line="360" w:lineRule="auto"/>
              <w:jc w:val="center"/>
              <w:rPr>
                <w:rFonts w:ascii="Arial" w:hAnsi="Arial" w:cs="Arial"/>
                <w:color w:val="000000" w:themeColor="text1"/>
              </w:rPr>
            </w:pPr>
          </w:p>
          <w:p w14:paraId="0AE52A97" w14:textId="64002A44" w:rsidR="00777E4B" w:rsidRPr="00707D13" w:rsidRDefault="00027B26" w:rsidP="00182A7D">
            <w:pPr>
              <w:pBdr>
                <w:top w:val="single" w:sz="4" w:space="1" w:color="auto"/>
                <w:bottom w:val="single" w:sz="4" w:space="1" w:color="auto"/>
              </w:pBdr>
              <w:spacing w:line="360" w:lineRule="auto"/>
              <w:jc w:val="both"/>
              <w:rPr>
                <w:rFonts w:ascii="Arial" w:hAnsi="Arial" w:cs="Arial"/>
                <w:color w:val="000000" w:themeColor="text1"/>
              </w:rPr>
            </w:pPr>
            <w:r w:rsidRPr="00707D13">
              <w:rPr>
                <w:rFonts w:ascii="Arial" w:hAnsi="Arial" w:cs="Arial"/>
                <w:color w:val="000000" w:themeColor="text1"/>
              </w:rPr>
              <w:t xml:space="preserve">NHS England │ HSSIB │ NICE │ MHRA │ CQC │ Professional Guidance │ PSIRF │ WHO </w:t>
            </w:r>
          </w:p>
          <w:p w14:paraId="7E2E3852" w14:textId="57020853" w:rsidR="007B2037" w:rsidRPr="00707D13" w:rsidRDefault="005A32EA" w:rsidP="007B2037">
            <w:pPr>
              <w:pBdr>
                <w:top w:val="single" w:sz="4" w:space="1" w:color="auto"/>
              </w:pBdr>
              <w:spacing w:line="360" w:lineRule="auto"/>
              <w:jc w:val="both"/>
              <w:rPr>
                <w:rFonts w:ascii="Arial" w:hAnsi="Arial" w:cs="Arial"/>
                <w:color w:val="000000" w:themeColor="text1"/>
              </w:rPr>
            </w:pPr>
            <w:r w:rsidRPr="00707D13">
              <w:rPr>
                <w:rFonts w:ascii="Arial" w:hAnsi="Arial" w:cs="Arial"/>
                <w:color w:val="000000" w:themeColor="text1"/>
              </w:rPr>
              <w:lastRenderedPageBreak/>
              <w:tab/>
            </w:r>
            <w:r w:rsidRPr="00707D13">
              <w:rPr>
                <w:rFonts w:ascii="Arial" w:hAnsi="Arial" w:cs="Arial"/>
                <w:color w:val="000000" w:themeColor="text1"/>
              </w:rPr>
              <w:tab/>
            </w:r>
            <w:r w:rsidR="00F5295F" w:rsidRPr="00707D13">
              <w:rPr>
                <w:rFonts w:ascii="Arial" w:hAnsi="Arial" w:cs="Arial"/>
                <w:color w:val="000000" w:themeColor="text1"/>
              </w:rPr>
              <w:t>↓</w:t>
            </w:r>
            <w:r w:rsidR="00D21A1B" w:rsidRPr="00707D13">
              <w:rPr>
                <w:rFonts w:ascii="Arial" w:hAnsi="Arial" w:cs="Arial"/>
                <w:color w:val="000000" w:themeColor="text1"/>
              </w:rPr>
              <w:tab/>
            </w:r>
            <w:r w:rsidR="00D21A1B" w:rsidRPr="00707D13">
              <w:rPr>
                <w:rFonts w:ascii="Arial" w:hAnsi="Arial" w:cs="Arial"/>
                <w:color w:val="000000" w:themeColor="text1"/>
              </w:rPr>
              <w:tab/>
            </w:r>
            <w:r w:rsidR="00D21A1B" w:rsidRPr="00707D13">
              <w:rPr>
                <w:rFonts w:ascii="Arial" w:hAnsi="Arial" w:cs="Arial"/>
                <w:color w:val="000000" w:themeColor="text1"/>
              </w:rPr>
              <w:tab/>
            </w:r>
            <w:r w:rsidR="00D21A1B" w:rsidRPr="00707D13">
              <w:rPr>
                <w:rFonts w:ascii="Arial" w:hAnsi="Arial" w:cs="Arial"/>
                <w:color w:val="000000" w:themeColor="text1"/>
              </w:rPr>
              <w:tab/>
            </w:r>
            <w:r w:rsidR="00F5295F" w:rsidRPr="00707D13">
              <w:rPr>
                <w:rFonts w:ascii="Arial" w:hAnsi="Arial" w:cs="Arial"/>
                <w:color w:val="000000" w:themeColor="text1"/>
              </w:rPr>
              <w:t>↓</w:t>
            </w:r>
            <w:r w:rsidR="00F5295F" w:rsidRPr="00707D13">
              <w:rPr>
                <w:rFonts w:ascii="Arial" w:hAnsi="Arial" w:cs="Arial"/>
                <w:color w:val="000000" w:themeColor="text1"/>
              </w:rPr>
              <w:tab/>
            </w:r>
            <w:r w:rsidR="00F5295F" w:rsidRPr="00707D13">
              <w:rPr>
                <w:rFonts w:ascii="Arial" w:hAnsi="Arial" w:cs="Arial"/>
                <w:color w:val="000000" w:themeColor="text1"/>
              </w:rPr>
              <w:tab/>
            </w:r>
            <w:r w:rsidR="00F5295F" w:rsidRPr="00707D13">
              <w:rPr>
                <w:rFonts w:ascii="Arial" w:hAnsi="Arial" w:cs="Arial"/>
                <w:color w:val="000000" w:themeColor="text1"/>
              </w:rPr>
              <w:tab/>
            </w:r>
            <w:r w:rsidR="00F5295F" w:rsidRPr="00707D13">
              <w:rPr>
                <w:rFonts w:ascii="Arial" w:hAnsi="Arial" w:cs="Arial"/>
                <w:color w:val="000000" w:themeColor="text1"/>
              </w:rPr>
              <w:tab/>
              <w:t>↓</w:t>
            </w:r>
          </w:p>
          <w:p w14:paraId="15D3E773" w14:textId="6FE01BF3" w:rsidR="00777E4B" w:rsidRPr="00707D13" w:rsidRDefault="00AF0EA5" w:rsidP="001916EC">
            <w:pPr>
              <w:spacing w:line="360" w:lineRule="auto"/>
              <w:jc w:val="both"/>
              <w:rPr>
                <w:rFonts w:ascii="Arial" w:hAnsi="Arial" w:cs="Arial"/>
                <w:color w:val="000000" w:themeColor="text1"/>
              </w:rPr>
            </w:pPr>
            <w:r w:rsidRPr="00707D13">
              <w:rPr>
                <w:rFonts w:ascii="Arial" w:hAnsi="Arial" w:cs="Arial"/>
                <w:color w:val="000000" w:themeColor="text1"/>
                <w:bdr w:val="single" w:sz="4" w:space="0" w:color="auto"/>
              </w:rPr>
              <w:tab/>
            </w:r>
            <w:r w:rsidR="00692227" w:rsidRPr="00707D13">
              <w:rPr>
                <w:rFonts w:ascii="Arial" w:hAnsi="Arial" w:cs="Arial"/>
                <w:color w:val="000000" w:themeColor="text1"/>
                <w:bdr w:val="single" w:sz="4" w:space="0" w:color="auto"/>
              </w:rPr>
              <w:t xml:space="preserve">Policies </w:t>
            </w:r>
            <w:r w:rsidR="00170F06" w:rsidRPr="00707D13">
              <w:rPr>
                <w:rFonts w:ascii="Arial" w:hAnsi="Arial" w:cs="Arial"/>
                <w:color w:val="000000" w:themeColor="text1"/>
                <w:bdr w:val="single" w:sz="4" w:space="0" w:color="auto"/>
              </w:rPr>
              <w:tab/>
            </w:r>
            <w:r w:rsidR="004D6D77" w:rsidRPr="00707D13">
              <w:rPr>
                <w:rFonts w:ascii="Arial" w:hAnsi="Arial" w:cs="Arial"/>
                <w:color w:val="000000" w:themeColor="text1"/>
                <w:bdr w:val="single" w:sz="4" w:space="0" w:color="auto"/>
              </w:rPr>
              <w:tab/>
            </w:r>
            <w:r w:rsidR="00692227" w:rsidRPr="00707D13">
              <w:rPr>
                <w:rFonts w:ascii="Arial" w:hAnsi="Arial" w:cs="Arial"/>
                <w:color w:val="000000" w:themeColor="text1"/>
                <w:bdr w:val="single" w:sz="4" w:space="0" w:color="auto"/>
              </w:rPr>
              <w:t>│</w:t>
            </w:r>
            <w:r w:rsidR="00170F06" w:rsidRPr="00707D13">
              <w:rPr>
                <w:rFonts w:ascii="Arial" w:hAnsi="Arial" w:cs="Arial"/>
                <w:color w:val="000000" w:themeColor="text1"/>
                <w:bdr w:val="single" w:sz="4" w:space="0" w:color="auto"/>
              </w:rPr>
              <w:tab/>
            </w:r>
            <w:r w:rsidR="00692227" w:rsidRPr="00707D13">
              <w:rPr>
                <w:rFonts w:ascii="Arial" w:hAnsi="Arial" w:cs="Arial"/>
                <w:color w:val="000000" w:themeColor="text1"/>
                <w:bdr w:val="single" w:sz="4" w:space="0" w:color="auto"/>
              </w:rPr>
              <w:t xml:space="preserve"> Investigation </w:t>
            </w:r>
            <w:r w:rsidR="00170F06" w:rsidRPr="00707D13">
              <w:rPr>
                <w:rFonts w:ascii="Arial" w:hAnsi="Arial" w:cs="Arial"/>
                <w:color w:val="000000" w:themeColor="text1"/>
                <w:bdr w:val="single" w:sz="4" w:space="0" w:color="auto"/>
              </w:rPr>
              <w:tab/>
            </w:r>
            <w:r w:rsidR="00170F06" w:rsidRPr="00707D13">
              <w:rPr>
                <w:rFonts w:ascii="Arial" w:hAnsi="Arial" w:cs="Arial"/>
                <w:color w:val="000000" w:themeColor="text1"/>
                <w:bdr w:val="single" w:sz="4" w:space="0" w:color="auto"/>
              </w:rPr>
              <w:tab/>
            </w:r>
            <w:r w:rsidR="00692227" w:rsidRPr="00707D13">
              <w:rPr>
                <w:rFonts w:ascii="Arial" w:hAnsi="Arial" w:cs="Arial"/>
                <w:color w:val="000000" w:themeColor="text1"/>
                <w:bdr w:val="single" w:sz="4" w:space="0" w:color="auto"/>
              </w:rPr>
              <w:t>│</w:t>
            </w:r>
            <w:r w:rsidR="00170F06" w:rsidRPr="00707D13">
              <w:rPr>
                <w:rFonts w:ascii="Arial" w:hAnsi="Arial" w:cs="Arial"/>
                <w:color w:val="000000" w:themeColor="text1"/>
                <w:bdr w:val="single" w:sz="4" w:space="0" w:color="auto"/>
              </w:rPr>
              <w:tab/>
            </w:r>
            <w:r w:rsidR="00692227" w:rsidRPr="00707D13">
              <w:rPr>
                <w:rFonts w:ascii="Arial" w:hAnsi="Arial" w:cs="Arial"/>
                <w:color w:val="000000" w:themeColor="text1"/>
                <w:bdr w:val="single" w:sz="4" w:space="0" w:color="auto"/>
              </w:rPr>
              <w:t xml:space="preserve"> Regulation </w:t>
            </w:r>
            <w:r w:rsidR="00362420" w:rsidRPr="00707D13">
              <w:rPr>
                <w:rFonts w:ascii="Arial" w:hAnsi="Arial" w:cs="Arial"/>
                <w:color w:val="000000" w:themeColor="text1"/>
                <w:bdr w:val="single" w:sz="4" w:space="0" w:color="auto"/>
              </w:rPr>
              <w:tab/>
            </w:r>
            <w:r w:rsidR="00362420" w:rsidRPr="00707D13">
              <w:rPr>
                <w:rFonts w:ascii="Arial" w:hAnsi="Arial" w:cs="Arial"/>
                <w:color w:val="000000" w:themeColor="text1"/>
                <w:bdr w:val="single" w:sz="4" w:space="0" w:color="auto"/>
              </w:rPr>
              <w:tab/>
            </w:r>
          </w:p>
          <w:p w14:paraId="571641DC" w14:textId="1D30E76A" w:rsidR="00777E4B" w:rsidRPr="00707D13" w:rsidRDefault="00742720" w:rsidP="001916EC">
            <w:pPr>
              <w:spacing w:line="360" w:lineRule="auto"/>
              <w:jc w:val="both"/>
              <w:rPr>
                <w:rFonts w:ascii="Arial" w:hAnsi="Arial" w:cs="Arial"/>
                <w:color w:val="000000" w:themeColor="text1"/>
              </w:rPr>
            </w:pPr>
            <w:r w:rsidRPr="00707D13">
              <w:rPr>
                <w:rFonts w:ascii="Arial" w:hAnsi="Arial" w:cs="Arial"/>
                <w:color w:val="000000" w:themeColor="text1"/>
              </w:rPr>
              <w:tab/>
            </w:r>
            <w:r w:rsidRPr="00707D13">
              <w:rPr>
                <w:rFonts w:ascii="Arial" w:hAnsi="Arial" w:cs="Arial"/>
                <w:color w:val="000000" w:themeColor="text1"/>
              </w:rPr>
              <w:tab/>
            </w:r>
            <w:r w:rsidR="0060118F" w:rsidRPr="00707D13">
              <w:rPr>
                <w:rFonts w:ascii="Arial" w:hAnsi="Arial" w:cs="Arial"/>
                <w:color w:val="000000" w:themeColor="text1"/>
              </w:rPr>
              <w:t>↓</w:t>
            </w:r>
            <w:r w:rsidR="0060118F" w:rsidRPr="00707D13">
              <w:rPr>
                <w:rFonts w:ascii="Arial" w:hAnsi="Arial" w:cs="Arial"/>
                <w:color w:val="000000" w:themeColor="text1"/>
              </w:rPr>
              <w:tab/>
            </w:r>
            <w:r w:rsidR="0060118F" w:rsidRPr="00707D13">
              <w:rPr>
                <w:rFonts w:ascii="Arial" w:hAnsi="Arial" w:cs="Arial"/>
                <w:color w:val="000000" w:themeColor="text1"/>
              </w:rPr>
              <w:tab/>
            </w:r>
            <w:r w:rsidR="0060118F" w:rsidRPr="00707D13">
              <w:rPr>
                <w:rFonts w:ascii="Arial" w:hAnsi="Arial" w:cs="Arial"/>
                <w:color w:val="000000" w:themeColor="text1"/>
              </w:rPr>
              <w:tab/>
            </w:r>
            <w:r w:rsidR="0060118F" w:rsidRPr="00707D13">
              <w:rPr>
                <w:rFonts w:ascii="Arial" w:hAnsi="Arial" w:cs="Arial"/>
                <w:color w:val="000000" w:themeColor="text1"/>
              </w:rPr>
              <w:tab/>
              <w:t>↓</w:t>
            </w:r>
            <w:r w:rsidR="0060118F" w:rsidRPr="00707D13">
              <w:rPr>
                <w:rFonts w:ascii="Arial" w:hAnsi="Arial" w:cs="Arial"/>
                <w:color w:val="000000" w:themeColor="text1"/>
              </w:rPr>
              <w:tab/>
            </w:r>
            <w:r w:rsidR="0060118F" w:rsidRPr="00707D13">
              <w:rPr>
                <w:rFonts w:ascii="Arial" w:hAnsi="Arial" w:cs="Arial"/>
                <w:color w:val="000000" w:themeColor="text1"/>
              </w:rPr>
              <w:tab/>
            </w:r>
            <w:r w:rsidR="0060118F" w:rsidRPr="00707D13">
              <w:rPr>
                <w:rFonts w:ascii="Arial" w:hAnsi="Arial" w:cs="Arial"/>
                <w:color w:val="000000" w:themeColor="text1"/>
              </w:rPr>
              <w:tab/>
            </w:r>
            <w:r w:rsidR="0060118F" w:rsidRPr="00707D13">
              <w:rPr>
                <w:rFonts w:ascii="Arial" w:hAnsi="Arial" w:cs="Arial"/>
                <w:color w:val="000000" w:themeColor="text1"/>
              </w:rPr>
              <w:tab/>
              <w:t>↓</w:t>
            </w:r>
          </w:p>
          <w:tbl>
            <w:tblPr>
              <w:tblStyle w:val="TableGrid"/>
              <w:tblW w:w="0" w:type="auto"/>
              <w:tblLook w:val="04A0" w:firstRow="1" w:lastRow="0" w:firstColumn="1" w:lastColumn="0" w:noHBand="0" w:noVBand="1"/>
            </w:tblPr>
            <w:tblGrid>
              <w:gridCol w:w="9011"/>
            </w:tblGrid>
            <w:tr w:rsidR="00B55E5A" w:rsidRPr="00707D13" w14:paraId="4F958B1F" w14:textId="77777777" w:rsidTr="00B55E5A">
              <w:tc>
                <w:tcPr>
                  <w:tcW w:w="9011" w:type="dxa"/>
                </w:tcPr>
                <w:p w14:paraId="26A62992" w14:textId="7C8E5781" w:rsidR="00B55E5A" w:rsidRPr="00707D13" w:rsidRDefault="00B55E5A" w:rsidP="00B55E5A">
                  <w:pPr>
                    <w:spacing w:line="360" w:lineRule="auto"/>
                    <w:jc w:val="center"/>
                    <w:rPr>
                      <w:rFonts w:ascii="Arial" w:hAnsi="Arial" w:cs="Arial"/>
                      <w:color w:val="000000" w:themeColor="text1"/>
                    </w:rPr>
                  </w:pPr>
                  <w:r w:rsidRPr="00707D13">
                    <w:rPr>
                      <w:rFonts w:ascii="Arial" w:hAnsi="Arial" w:cs="Arial"/>
                      <w:color w:val="000000" w:themeColor="text1"/>
                    </w:rPr>
                    <w:t>HEALTHCARE ORGANISATION</w:t>
                  </w:r>
                </w:p>
              </w:tc>
            </w:tr>
          </w:tbl>
          <w:p w14:paraId="55BA09CE" w14:textId="77777777" w:rsidR="00F0763E" w:rsidRPr="00707D13" w:rsidRDefault="00F0763E" w:rsidP="001916EC">
            <w:pPr>
              <w:spacing w:line="360" w:lineRule="auto"/>
              <w:jc w:val="both"/>
              <w:rPr>
                <w:rFonts w:ascii="Arial" w:hAnsi="Arial" w:cs="Arial"/>
                <w:color w:val="000000" w:themeColor="text1"/>
              </w:rPr>
            </w:pPr>
          </w:p>
          <w:p w14:paraId="2A5A1A6D" w14:textId="4B0D19F6" w:rsidR="00217CC4" w:rsidRPr="00707D13" w:rsidRDefault="00D325B7" w:rsidP="001916EC">
            <w:pPr>
              <w:spacing w:line="360" w:lineRule="auto"/>
              <w:jc w:val="both"/>
              <w:rPr>
                <w:rFonts w:ascii="Arial" w:hAnsi="Arial" w:cs="Arial"/>
                <w:color w:val="000000" w:themeColor="text1"/>
              </w:rPr>
            </w:pPr>
            <w:r w:rsidRPr="00707D13">
              <w:rPr>
                <w:rFonts w:ascii="Arial" w:hAnsi="Arial" w:cs="Arial"/>
                <w:color w:val="000000" w:themeColor="text1"/>
              </w:rPr>
              <w:tab/>
            </w:r>
            <w:r w:rsidR="000405E8" w:rsidRPr="00707D13">
              <w:rPr>
                <w:rFonts w:ascii="Arial" w:hAnsi="Arial" w:cs="Arial"/>
                <w:color w:val="000000" w:themeColor="text1"/>
              </w:rPr>
              <w:t xml:space="preserve">GP ─────────────► Hospital ED ─────────────► Medical Ward </w:t>
            </w:r>
          </w:p>
          <w:p w14:paraId="570D0C09" w14:textId="06E21143" w:rsidR="00F0763E" w:rsidRPr="00707D13" w:rsidRDefault="00B6251B" w:rsidP="001916EC">
            <w:pPr>
              <w:spacing w:line="360" w:lineRule="auto"/>
              <w:jc w:val="both"/>
              <w:rPr>
                <w:rFonts w:ascii="Arial" w:hAnsi="Arial" w:cs="Arial"/>
                <w:color w:val="000000" w:themeColor="text1"/>
              </w:rPr>
            </w:pPr>
            <w:r w:rsidRPr="00707D13">
              <w:rPr>
                <w:rFonts w:ascii="Arial" w:hAnsi="Arial" w:cs="Arial"/>
                <w:color w:val="000000" w:themeColor="text1"/>
              </w:rPr>
              <w:tab/>
              <w:t>↓</w:t>
            </w:r>
            <w:r w:rsidRPr="00707D13">
              <w:rPr>
                <w:rFonts w:ascii="Arial" w:hAnsi="Arial" w:cs="Arial"/>
                <w:color w:val="000000" w:themeColor="text1"/>
              </w:rPr>
              <w:tab/>
            </w:r>
            <w:r w:rsidRPr="00707D13">
              <w:rPr>
                <w:rFonts w:ascii="Arial" w:hAnsi="Arial" w:cs="Arial"/>
                <w:color w:val="000000" w:themeColor="text1"/>
              </w:rPr>
              <w:tab/>
            </w:r>
            <w:r w:rsidRPr="00707D13">
              <w:rPr>
                <w:rFonts w:ascii="Arial" w:hAnsi="Arial" w:cs="Arial"/>
                <w:color w:val="000000" w:themeColor="text1"/>
              </w:rPr>
              <w:tab/>
            </w:r>
            <w:r w:rsidRPr="00707D13">
              <w:rPr>
                <w:rFonts w:ascii="Arial" w:hAnsi="Arial" w:cs="Arial"/>
                <w:color w:val="000000" w:themeColor="text1"/>
              </w:rPr>
              <w:tab/>
              <w:t>↓</w:t>
            </w:r>
            <w:r w:rsidRPr="00707D13">
              <w:rPr>
                <w:rFonts w:ascii="Arial" w:hAnsi="Arial" w:cs="Arial"/>
                <w:color w:val="000000" w:themeColor="text1"/>
              </w:rPr>
              <w:tab/>
            </w:r>
            <w:r w:rsidRPr="00707D13">
              <w:rPr>
                <w:rFonts w:ascii="Arial" w:hAnsi="Arial" w:cs="Arial"/>
                <w:color w:val="000000" w:themeColor="text1"/>
              </w:rPr>
              <w:tab/>
            </w:r>
            <w:r w:rsidRPr="00707D13">
              <w:rPr>
                <w:rFonts w:ascii="Arial" w:hAnsi="Arial" w:cs="Arial"/>
                <w:color w:val="000000" w:themeColor="text1"/>
              </w:rPr>
              <w:tab/>
            </w:r>
            <w:r w:rsidRPr="00707D13">
              <w:rPr>
                <w:rFonts w:ascii="Arial" w:hAnsi="Arial" w:cs="Arial"/>
                <w:color w:val="000000" w:themeColor="text1"/>
              </w:rPr>
              <w:tab/>
            </w:r>
            <w:r w:rsidRPr="00707D13">
              <w:rPr>
                <w:rFonts w:ascii="Arial" w:hAnsi="Arial" w:cs="Arial"/>
                <w:color w:val="000000" w:themeColor="text1"/>
              </w:rPr>
              <w:tab/>
              <w:t>↓</w:t>
            </w:r>
          </w:p>
          <w:p w14:paraId="7C24DCFA" w14:textId="12B594F1" w:rsidR="00F0763E" w:rsidRPr="00707D13" w:rsidRDefault="00494B66" w:rsidP="001916EC">
            <w:pPr>
              <w:spacing w:line="360" w:lineRule="auto"/>
              <w:jc w:val="both"/>
              <w:rPr>
                <w:rFonts w:ascii="Arial" w:hAnsi="Arial" w:cs="Arial"/>
                <w:color w:val="000000" w:themeColor="text1"/>
              </w:rPr>
            </w:pPr>
            <w:r w:rsidRPr="00707D13">
              <w:rPr>
                <w:rFonts w:ascii="Arial" w:hAnsi="Arial" w:cs="Arial"/>
                <w:color w:val="000000" w:themeColor="text1"/>
              </w:rPr>
              <w:t>Prescribed Medic</w:t>
            </w:r>
            <w:r w:rsidR="00F71C36" w:rsidRPr="00707D13">
              <w:rPr>
                <w:rFonts w:ascii="Arial" w:hAnsi="Arial" w:cs="Arial"/>
                <w:color w:val="000000" w:themeColor="text1"/>
              </w:rPr>
              <w:t>ation</w:t>
            </w:r>
            <w:r w:rsidR="00C849C9" w:rsidRPr="00707D13">
              <w:rPr>
                <w:rFonts w:ascii="Arial" w:hAnsi="Arial" w:cs="Arial"/>
                <w:color w:val="000000" w:themeColor="text1"/>
              </w:rPr>
              <w:tab/>
              <w:t>Assessment Diagnoses</w:t>
            </w:r>
            <w:r w:rsidR="00C849C9" w:rsidRPr="00707D13">
              <w:rPr>
                <w:rFonts w:ascii="Arial" w:hAnsi="Arial" w:cs="Arial"/>
                <w:color w:val="000000" w:themeColor="text1"/>
              </w:rPr>
              <w:tab/>
            </w:r>
            <w:r w:rsidR="00C849C9" w:rsidRPr="00707D13">
              <w:rPr>
                <w:rFonts w:ascii="Arial" w:hAnsi="Arial" w:cs="Arial"/>
                <w:color w:val="000000" w:themeColor="text1"/>
              </w:rPr>
              <w:tab/>
            </w:r>
            <w:r w:rsidR="00CC263E" w:rsidRPr="00707D13">
              <w:rPr>
                <w:rFonts w:ascii="Arial" w:hAnsi="Arial" w:cs="Arial"/>
                <w:color w:val="000000" w:themeColor="text1"/>
              </w:rPr>
              <w:t xml:space="preserve">Morphine </w:t>
            </w:r>
            <w:r w:rsidR="00A34C95" w:rsidRPr="00707D13">
              <w:rPr>
                <w:rFonts w:ascii="Arial" w:hAnsi="Arial" w:cs="Arial"/>
                <w:color w:val="000000" w:themeColor="text1"/>
              </w:rPr>
              <w:t>Prescribed</w:t>
            </w:r>
          </w:p>
          <w:p w14:paraId="58AF5B95" w14:textId="63AC0744" w:rsidR="00ED455A" w:rsidRPr="00707D13" w:rsidRDefault="00E91D8D" w:rsidP="001916EC">
            <w:pPr>
              <w:spacing w:line="360" w:lineRule="auto"/>
              <w:jc w:val="both"/>
              <w:rPr>
                <w:rFonts w:ascii="Arial" w:hAnsi="Arial" w:cs="Arial"/>
                <w:color w:val="000000" w:themeColor="text1"/>
              </w:rPr>
            </w:pPr>
            <w:r w:rsidRPr="00707D13">
              <w:rPr>
                <w:rFonts w:ascii="Arial" w:hAnsi="Arial" w:cs="Arial"/>
                <w:color w:val="000000" w:themeColor="text1"/>
              </w:rPr>
              <w:tab/>
              <w:t>↓</w:t>
            </w:r>
            <w:r w:rsidRPr="00707D13">
              <w:rPr>
                <w:rFonts w:ascii="Arial" w:hAnsi="Arial" w:cs="Arial"/>
                <w:color w:val="000000" w:themeColor="text1"/>
              </w:rPr>
              <w:tab/>
            </w:r>
            <w:r w:rsidRPr="00707D13">
              <w:rPr>
                <w:rFonts w:ascii="Arial" w:hAnsi="Arial" w:cs="Arial"/>
                <w:color w:val="000000" w:themeColor="text1"/>
              </w:rPr>
              <w:tab/>
            </w:r>
            <w:r w:rsidRPr="00707D13">
              <w:rPr>
                <w:rFonts w:ascii="Arial" w:hAnsi="Arial" w:cs="Arial"/>
                <w:color w:val="000000" w:themeColor="text1"/>
              </w:rPr>
              <w:tab/>
            </w:r>
            <w:r w:rsidRPr="00707D13">
              <w:rPr>
                <w:rFonts w:ascii="Arial" w:hAnsi="Arial" w:cs="Arial"/>
                <w:color w:val="000000" w:themeColor="text1"/>
              </w:rPr>
              <w:tab/>
            </w:r>
            <w:r w:rsidR="00942580" w:rsidRPr="00707D13">
              <w:rPr>
                <w:rFonts w:ascii="Arial" w:hAnsi="Arial" w:cs="Arial"/>
                <w:color w:val="000000" w:themeColor="text1"/>
              </w:rPr>
              <w:t>↓</w:t>
            </w:r>
            <w:r w:rsidR="00942580" w:rsidRPr="00707D13">
              <w:rPr>
                <w:rFonts w:ascii="Arial" w:hAnsi="Arial" w:cs="Arial"/>
                <w:color w:val="000000" w:themeColor="text1"/>
              </w:rPr>
              <w:tab/>
            </w:r>
            <w:r w:rsidR="00942580" w:rsidRPr="00707D13">
              <w:rPr>
                <w:rFonts w:ascii="Arial" w:hAnsi="Arial" w:cs="Arial"/>
                <w:color w:val="000000" w:themeColor="text1"/>
              </w:rPr>
              <w:tab/>
            </w:r>
            <w:r w:rsidR="00942580" w:rsidRPr="00707D13">
              <w:rPr>
                <w:rFonts w:ascii="Arial" w:hAnsi="Arial" w:cs="Arial"/>
                <w:color w:val="000000" w:themeColor="text1"/>
              </w:rPr>
              <w:tab/>
            </w:r>
            <w:r w:rsidR="00942580" w:rsidRPr="00707D13">
              <w:rPr>
                <w:rFonts w:ascii="Arial" w:hAnsi="Arial" w:cs="Arial"/>
                <w:color w:val="000000" w:themeColor="text1"/>
              </w:rPr>
              <w:tab/>
            </w:r>
            <w:r w:rsidR="00942580" w:rsidRPr="00707D13">
              <w:rPr>
                <w:rFonts w:ascii="Arial" w:hAnsi="Arial" w:cs="Arial"/>
                <w:color w:val="000000" w:themeColor="text1"/>
              </w:rPr>
              <w:tab/>
              <w:t>↓</w:t>
            </w:r>
          </w:p>
          <w:p w14:paraId="4A8F8FC6" w14:textId="08317591" w:rsidR="00F0763E" w:rsidRPr="00707D13" w:rsidRDefault="00A87ED3" w:rsidP="001916EC">
            <w:pPr>
              <w:spacing w:line="360" w:lineRule="auto"/>
              <w:jc w:val="both"/>
              <w:rPr>
                <w:rFonts w:ascii="Arial" w:hAnsi="Arial" w:cs="Arial"/>
                <w:color w:val="000000" w:themeColor="text1"/>
              </w:rPr>
            </w:pPr>
            <w:r w:rsidRPr="00707D13">
              <w:rPr>
                <w:rFonts w:ascii="Arial" w:hAnsi="Arial" w:cs="Arial"/>
                <w:color w:val="000000" w:themeColor="text1"/>
              </w:rPr>
              <w:tab/>
              <w:t>Community Pharmacy</w:t>
            </w:r>
            <w:r w:rsidR="008538B1" w:rsidRPr="00707D13">
              <w:rPr>
                <w:rFonts w:ascii="Arial" w:hAnsi="Arial" w:cs="Arial"/>
                <w:color w:val="000000" w:themeColor="text1"/>
              </w:rPr>
              <w:t xml:space="preserve">   </w:t>
            </w:r>
            <w:r w:rsidRPr="00707D13">
              <w:rPr>
                <w:rFonts w:ascii="Arial" w:hAnsi="Arial" w:cs="Arial"/>
                <w:color w:val="000000" w:themeColor="text1"/>
              </w:rPr>
              <w:t xml:space="preserve"> ─────────────►</w:t>
            </w:r>
            <w:r w:rsidR="008538B1" w:rsidRPr="00707D13">
              <w:rPr>
                <w:rFonts w:ascii="Arial" w:hAnsi="Arial" w:cs="Arial"/>
                <w:color w:val="000000" w:themeColor="text1"/>
              </w:rPr>
              <w:t xml:space="preserve">  </w:t>
            </w:r>
            <w:r w:rsidRPr="00707D13">
              <w:rPr>
                <w:rFonts w:ascii="Arial" w:hAnsi="Arial" w:cs="Arial"/>
                <w:color w:val="000000" w:themeColor="text1"/>
              </w:rPr>
              <w:t xml:space="preserve"> Dispensing Label</w:t>
            </w:r>
          </w:p>
          <w:p w14:paraId="52E2F191" w14:textId="2A0D93C9" w:rsidR="00291428" w:rsidRPr="00707D13" w:rsidRDefault="00DA1259" w:rsidP="001916EC">
            <w:pPr>
              <w:spacing w:line="360" w:lineRule="auto"/>
              <w:jc w:val="both"/>
              <w:rPr>
                <w:rFonts w:ascii="Arial" w:hAnsi="Arial" w:cs="Arial"/>
                <w:color w:val="000000" w:themeColor="text1"/>
              </w:rPr>
            </w:pPr>
            <w:r w:rsidRPr="00707D13">
              <w:rPr>
                <w:rFonts w:ascii="Arial" w:hAnsi="Arial" w:cs="Arial"/>
                <w:color w:val="000000" w:themeColor="text1"/>
              </w:rPr>
              <w:tab/>
            </w:r>
            <w:r w:rsidRPr="00707D13">
              <w:rPr>
                <w:rFonts w:ascii="Arial" w:hAnsi="Arial" w:cs="Arial"/>
                <w:color w:val="000000" w:themeColor="text1"/>
              </w:rPr>
              <w:tab/>
              <w:t>↓</w:t>
            </w:r>
            <w:r w:rsidRPr="00707D13">
              <w:rPr>
                <w:rFonts w:ascii="Arial" w:hAnsi="Arial" w:cs="Arial"/>
                <w:color w:val="000000" w:themeColor="text1"/>
              </w:rPr>
              <w:tab/>
            </w:r>
            <w:r w:rsidRPr="00707D13">
              <w:rPr>
                <w:rFonts w:ascii="Arial" w:hAnsi="Arial" w:cs="Arial"/>
                <w:color w:val="000000" w:themeColor="text1"/>
              </w:rPr>
              <w:tab/>
            </w:r>
            <w:r w:rsidRPr="00707D13">
              <w:rPr>
                <w:rFonts w:ascii="Arial" w:hAnsi="Arial" w:cs="Arial"/>
                <w:color w:val="000000" w:themeColor="text1"/>
              </w:rPr>
              <w:tab/>
            </w:r>
            <w:r w:rsidRPr="00707D13">
              <w:rPr>
                <w:rFonts w:ascii="Arial" w:hAnsi="Arial" w:cs="Arial"/>
                <w:color w:val="000000" w:themeColor="text1"/>
              </w:rPr>
              <w:tab/>
            </w:r>
            <w:r w:rsidRPr="00707D13">
              <w:rPr>
                <w:rFonts w:ascii="Arial" w:hAnsi="Arial" w:cs="Arial"/>
                <w:color w:val="000000" w:themeColor="text1"/>
              </w:rPr>
              <w:tab/>
            </w:r>
            <w:r w:rsidR="00191F8D" w:rsidRPr="00707D13">
              <w:rPr>
                <w:rFonts w:ascii="Arial" w:hAnsi="Arial" w:cs="Arial"/>
                <w:color w:val="000000" w:themeColor="text1"/>
              </w:rPr>
              <w:tab/>
            </w:r>
            <w:r w:rsidRPr="00707D13">
              <w:rPr>
                <w:rFonts w:ascii="Arial" w:hAnsi="Arial" w:cs="Arial"/>
                <w:color w:val="000000" w:themeColor="text1"/>
              </w:rPr>
              <w:tab/>
              <w:t>↓</w:t>
            </w:r>
          </w:p>
          <w:p w14:paraId="515F2A95" w14:textId="4FF2DC23" w:rsidR="00F74372" w:rsidRPr="00707D13" w:rsidRDefault="008E6A59" w:rsidP="001916EC">
            <w:pPr>
              <w:spacing w:line="360" w:lineRule="auto"/>
              <w:jc w:val="both"/>
              <w:rPr>
                <w:rFonts w:ascii="Arial" w:hAnsi="Arial" w:cs="Arial"/>
                <w:color w:val="000000" w:themeColor="text1"/>
              </w:rPr>
            </w:pPr>
            <w:r w:rsidRPr="00707D13">
              <w:rPr>
                <w:rFonts w:ascii="Arial" w:hAnsi="Arial" w:cs="Arial"/>
                <w:color w:val="000000" w:themeColor="text1"/>
              </w:rPr>
              <w:tab/>
              <w:t xml:space="preserve">Medicine supplied </w:t>
            </w:r>
            <w:r w:rsidR="00193E08" w:rsidRPr="00707D13">
              <w:rPr>
                <w:rFonts w:ascii="Arial" w:hAnsi="Arial" w:cs="Arial"/>
                <w:color w:val="000000" w:themeColor="text1"/>
              </w:rPr>
              <w:tab/>
            </w:r>
            <w:r w:rsidR="00193E08" w:rsidRPr="00707D13">
              <w:rPr>
                <w:rFonts w:ascii="Arial" w:hAnsi="Arial" w:cs="Arial"/>
                <w:color w:val="000000" w:themeColor="text1"/>
              </w:rPr>
              <w:tab/>
            </w:r>
            <w:r w:rsidR="00193E08" w:rsidRPr="00707D13">
              <w:rPr>
                <w:rFonts w:ascii="Arial" w:hAnsi="Arial" w:cs="Arial"/>
                <w:color w:val="000000" w:themeColor="text1"/>
              </w:rPr>
              <w:tab/>
            </w:r>
            <w:r w:rsidR="00193E08" w:rsidRPr="00707D13">
              <w:rPr>
                <w:rFonts w:ascii="Arial" w:hAnsi="Arial" w:cs="Arial"/>
                <w:color w:val="000000" w:themeColor="text1"/>
              </w:rPr>
              <w:tab/>
            </w:r>
            <w:r w:rsidR="00191F8D" w:rsidRPr="00707D13">
              <w:rPr>
                <w:rFonts w:ascii="Arial" w:hAnsi="Arial" w:cs="Arial"/>
                <w:color w:val="000000" w:themeColor="text1"/>
              </w:rPr>
              <w:t xml:space="preserve">   </w:t>
            </w:r>
            <w:r w:rsidRPr="00707D13">
              <w:rPr>
                <w:rFonts w:ascii="Arial" w:hAnsi="Arial" w:cs="Arial"/>
                <w:color w:val="000000" w:themeColor="text1"/>
              </w:rPr>
              <w:t>Label not fully understood</w:t>
            </w:r>
          </w:p>
          <w:p w14:paraId="3126F507" w14:textId="453A8348" w:rsidR="007F3CDE" w:rsidRPr="00707D13" w:rsidRDefault="00B74469" w:rsidP="001916EC">
            <w:pPr>
              <w:spacing w:line="360" w:lineRule="auto"/>
              <w:jc w:val="both"/>
              <w:rPr>
                <w:rFonts w:ascii="Arial" w:hAnsi="Arial" w:cs="Arial"/>
                <w:color w:val="000000" w:themeColor="text1"/>
              </w:rPr>
            </w:pPr>
            <w:r w:rsidRPr="00707D13">
              <w:rPr>
                <w:rFonts w:ascii="Arial" w:hAnsi="Arial" w:cs="Arial"/>
                <w:noProof/>
                <w:color w:val="000000" w:themeColor="text1"/>
              </w:rPr>
              <mc:AlternateContent>
                <mc:Choice Requires="wps">
                  <w:drawing>
                    <wp:anchor distT="0" distB="0" distL="114300" distR="114300" simplePos="0" relativeHeight="251657216" behindDoc="0" locked="0" layoutInCell="1" allowOverlap="1" wp14:anchorId="1FB2DE29" wp14:editId="70C33DD9">
                      <wp:simplePos x="0" y="0"/>
                      <wp:positionH relativeFrom="column">
                        <wp:posOffset>1459230</wp:posOffset>
                      </wp:positionH>
                      <wp:positionV relativeFrom="paragraph">
                        <wp:posOffset>213360</wp:posOffset>
                      </wp:positionV>
                      <wp:extent cx="2360930" cy="1404620"/>
                      <wp:effectExtent l="0" t="0" r="2032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2A16D07" w14:textId="782F5AEB" w:rsidR="00887DBE" w:rsidRPr="004C202C" w:rsidRDefault="00887DBE" w:rsidP="003212B7">
                                  <w:pPr>
                                    <w:spacing w:after="0" w:line="240" w:lineRule="auto"/>
                                    <w:jc w:val="center"/>
                                    <w:rPr>
                                      <w:rFonts w:ascii="Arial" w:hAnsi="Arial" w:cs="Arial"/>
                                      <w:b/>
                                      <w:bCs/>
                                    </w:rPr>
                                  </w:pPr>
                                  <w:r w:rsidRPr="004C202C">
                                    <w:rPr>
                                      <w:rFonts w:ascii="Arial" w:hAnsi="Arial" w:cs="Arial"/>
                                      <w:b/>
                                      <w:bCs/>
                                    </w:rPr>
                                    <w:t>LEN (89 YEARS)</w:t>
                                  </w:r>
                                </w:p>
                                <w:p w14:paraId="45E080A8" w14:textId="18712C31" w:rsidR="00887DBE" w:rsidRDefault="00887DBE" w:rsidP="003212B7">
                                  <w:pPr>
                                    <w:spacing w:after="0" w:line="240" w:lineRule="auto"/>
                                    <w:jc w:val="center"/>
                                    <w:rPr>
                                      <w:rFonts w:ascii="Arial" w:hAnsi="Arial" w:cs="Arial"/>
                                    </w:rPr>
                                  </w:pPr>
                                  <w:r w:rsidRPr="007F3CDE">
                                    <w:rPr>
                                      <w:rFonts w:ascii="Arial" w:hAnsi="Arial" w:cs="Arial"/>
                                    </w:rPr>
                                    <w:t>Charcot–Marie–Tooth Disease</w:t>
                                  </w:r>
                                </w:p>
                                <w:p w14:paraId="50B48213" w14:textId="7FB7852C" w:rsidR="00887DBE" w:rsidRDefault="00887DBE" w:rsidP="003212B7">
                                  <w:pPr>
                                    <w:spacing w:after="0" w:line="240" w:lineRule="auto"/>
                                    <w:jc w:val="center"/>
                                    <w:rPr>
                                      <w:rFonts w:ascii="Arial" w:hAnsi="Arial" w:cs="Arial"/>
                                    </w:rPr>
                                  </w:pPr>
                                  <w:r w:rsidRPr="007F3CDE">
                                    <w:rPr>
                                      <w:rFonts w:ascii="Arial" w:hAnsi="Arial" w:cs="Arial"/>
                                    </w:rPr>
                                    <w:t>Chest pain</w:t>
                                  </w:r>
                                </w:p>
                                <w:p w14:paraId="37EEF2F6" w14:textId="3E7CF58D" w:rsidR="00887DBE" w:rsidRDefault="00887DBE" w:rsidP="003212B7">
                                  <w:pPr>
                                    <w:spacing w:after="0" w:line="240" w:lineRule="auto"/>
                                    <w:jc w:val="center"/>
                                    <w:rPr>
                                      <w:rFonts w:ascii="Arial" w:hAnsi="Arial" w:cs="Arial"/>
                                    </w:rPr>
                                  </w:pPr>
                                  <w:r w:rsidRPr="007F3CDE">
                                    <w:rPr>
                                      <w:rFonts w:ascii="Arial" w:hAnsi="Arial" w:cs="Arial"/>
                                    </w:rPr>
                                    <w:t>Breathlessness</w:t>
                                  </w:r>
                                </w:p>
                                <w:p w14:paraId="5F2AC374" w14:textId="69CBCEC4" w:rsidR="008033C3" w:rsidRDefault="00887DBE" w:rsidP="003212B7">
                                  <w:pPr>
                                    <w:spacing w:after="0" w:line="240" w:lineRule="auto"/>
                                    <w:jc w:val="center"/>
                                  </w:pPr>
                                  <w:r w:rsidRPr="007F3CDE">
                                    <w:rPr>
                                      <w:rFonts w:ascii="Arial" w:hAnsi="Arial" w:cs="Arial"/>
                                    </w:rPr>
                                    <w:t>Frailty</w:t>
                                  </w:r>
                                </w:p>
                              </w:txbxContent>
                            </wps:txbx>
                            <wps:bodyPr rot="0" vert="horz" wrap="square" lIns="91440" tIns="45720" rIns="91440" bIns="45720" anchor="t" anchorCtr="0">
                              <a:spAutoFit/>
                            </wps:bodyPr>
                          </wps:wsp>
                        </a:graphicData>
                      </a:graphic>
                    </wp:anchor>
                  </w:drawing>
                </mc:Choice>
                <mc:Fallback>
                  <w:pict>
                    <v:shapetype w14:anchorId="1FB2DE29" id="_x0000_t202" coordsize="21600,21600" o:spt="202" path="m,l,21600r21600,l21600,xe">
                      <v:stroke joinstyle="miter"/>
                      <v:path gradientshapeok="t" o:connecttype="rect"/>
                    </v:shapetype>
                    <v:shape id="Text Box 2" o:spid="_x0000_s1026" type="#_x0000_t202" style="position:absolute;left:0;text-align:left;margin-left:114.9pt;margin-top:16.8pt;width:185.9pt;height:110.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">
                      <v:textbox style="mso-fit-shape-to-text:t">
                        <w:txbxContent>
                          <w:p w14:paraId="42A16D07" w14:textId="782F5AEB" w:rsidR="00887DBE" w:rsidRPr="004C202C" w:rsidRDefault="00887DBE" w:rsidP="003212B7">
                            <w:pPr>
                              <w:spacing w:after="0" w:line="240" w:lineRule="auto"/>
                              <w:jc w:val="center"/>
                              <w:rPr>
                                <w:rFonts w:ascii="Arial" w:hAnsi="Arial" w:cs="Arial"/>
                                <w:b/>
                                <w:bCs/>
                              </w:rPr>
                            </w:pPr>
                            <w:r w:rsidRPr="004C202C">
                              <w:rPr>
                                <w:rFonts w:ascii="Arial" w:hAnsi="Arial" w:cs="Arial"/>
                                <w:b/>
                                <w:bCs/>
                              </w:rPr>
                              <w:t>LEN (89 YEARS)</w:t>
                            </w:r>
                          </w:p>
                          <w:p w14:paraId="45E080A8" w14:textId="18712C31" w:rsidR="00887DBE" w:rsidRDefault="00887DBE" w:rsidP="003212B7">
                            <w:pPr>
                              <w:spacing w:after="0" w:line="240" w:lineRule="auto"/>
                              <w:jc w:val="center"/>
                              <w:rPr>
                                <w:rFonts w:ascii="Arial" w:hAnsi="Arial" w:cs="Arial"/>
                              </w:rPr>
                            </w:pPr>
                            <w:r w:rsidRPr="007F3CDE">
                              <w:rPr>
                                <w:rFonts w:ascii="Arial" w:hAnsi="Arial" w:cs="Arial"/>
                              </w:rPr>
                              <w:t>Charcot–Marie–Tooth Disease</w:t>
                            </w:r>
                          </w:p>
                          <w:p w14:paraId="50B48213" w14:textId="7FB7852C" w:rsidR="00887DBE" w:rsidRDefault="00887DBE" w:rsidP="003212B7">
                            <w:pPr>
                              <w:spacing w:after="0" w:line="240" w:lineRule="auto"/>
                              <w:jc w:val="center"/>
                              <w:rPr>
                                <w:rFonts w:ascii="Arial" w:hAnsi="Arial" w:cs="Arial"/>
                              </w:rPr>
                            </w:pPr>
                            <w:r w:rsidRPr="007F3CDE">
                              <w:rPr>
                                <w:rFonts w:ascii="Arial" w:hAnsi="Arial" w:cs="Arial"/>
                              </w:rPr>
                              <w:t>Chest pain</w:t>
                            </w:r>
                          </w:p>
                          <w:p w14:paraId="37EEF2F6" w14:textId="3E7CF58D" w:rsidR="00887DBE" w:rsidRDefault="00887DBE" w:rsidP="003212B7">
                            <w:pPr>
                              <w:spacing w:after="0" w:line="240" w:lineRule="auto"/>
                              <w:jc w:val="center"/>
                              <w:rPr>
                                <w:rFonts w:ascii="Arial" w:hAnsi="Arial" w:cs="Arial"/>
                              </w:rPr>
                            </w:pPr>
                            <w:r w:rsidRPr="007F3CDE">
                              <w:rPr>
                                <w:rFonts w:ascii="Arial" w:hAnsi="Arial" w:cs="Arial"/>
                              </w:rPr>
                              <w:t>Breathlessness</w:t>
                            </w:r>
                          </w:p>
                          <w:p w14:paraId="5F2AC374" w14:textId="69CBCEC4" w:rsidR="008033C3" w:rsidRDefault="00887DBE" w:rsidP="003212B7">
                            <w:pPr>
                              <w:spacing w:after="0" w:line="240" w:lineRule="auto"/>
                              <w:jc w:val="center"/>
                            </w:pPr>
                            <w:r w:rsidRPr="007F3CDE">
                              <w:rPr>
                                <w:rFonts w:ascii="Arial" w:hAnsi="Arial" w:cs="Arial"/>
                              </w:rPr>
                              <w:t>Frailty</w:t>
                            </w:r>
                          </w:p>
                        </w:txbxContent>
                      </v:textbox>
                      <w10:wrap type="square"/>
                    </v:shape>
                  </w:pict>
                </mc:Fallback>
              </mc:AlternateContent>
            </w:r>
          </w:p>
          <w:p w14:paraId="1E5CE0F9" w14:textId="0663FF01" w:rsidR="001D2C7B" w:rsidRPr="00707D13" w:rsidRDefault="001D2C7B" w:rsidP="001916EC">
            <w:pPr>
              <w:spacing w:line="360" w:lineRule="auto"/>
              <w:jc w:val="both"/>
              <w:rPr>
                <w:rFonts w:ascii="Arial" w:hAnsi="Arial" w:cs="Arial"/>
                <w:color w:val="000000" w:themeColor="text1"/>
              </w:rPr>
            </w:pPr>
          </w:p>
          <w:p w14:paraId="0699189A" w14:textId="04161C7C" w:rsidR="008033C3" w:rsidRPr="00707D13" w:rsidRDefault="008033C3" w:rsidP="00887DBE">
            <w:pPr>
              <w:jc w:val="both"/>
              <w:rPr>
                <w:rFonts w:ascii="Arial" w:hAnsi="Arial" w:cs="Arial"/>
                <w:color w:val="000000" w:themeColor="text1"/>
              </w:rPr>
            </w:pPr>
          </w:p>
          <w:p w14:paraId="5B9065D2" w14:textId="55666635" w:rsidR="00F74372" w:rsidRPr="00707D13" w:rsidRDefault="008033C3" w:rsidP="001D2C7B">
            <w:pPr>
              <w:spacing w:line="360" w:lineRule="auto"/>
              <w:jc w:val="both"/>
              <w:rPr>
                <w:rFonts w:ascii="Arial" w:hAnsi="Arial" w:cs="Arial"/>
                <w:color w:val="000000" w:themeColor="text1"/>
              </w:rPr>
            </w:pPr>
            <w:r w:rsidRPr="00707D13">
              <w:rPr>
                <w:rFonts w:ascii="Arial" w:hAnsi="Arial" w:cs="Arial"/>
                <w:color w:val="000000" w:themeColor="text1"/>
              </w:rPr>
              <w:t xml:space="preserve"> </w:t>
            </w:r>
          </w:p>
          <w:p w14:paraId="6AEE3C23" w14:textId="79039220" w:rsidR="00F74372" w:rsidRPr="00707D13" w:rsidRDefault="00B74469" w:rsidP="001916EC">
            <w:pPr>
              <w:spacing w:line="360" w:lineRule="auto"/>
              <w:jc w:val="both"/>
              <w:rPr>
                <w:rFonts w:ascii="Arial" w:hAnsi="Arial" w:cs="Arial"/>
                <w:color w:val="000000" w:themeColor="text1"/>
              </w:rPr>
            </w:pPr>
            <w:r w:rsidRPr="00707D13">
              <w:rPr>
                <w:rFonts w:ascii="Arial" w:hAnsi="Arial" w:cs="Arial"/>
                <w:noProof/>
                <w:color w:val="000000" w:themeColor="text1"/>
              </w:rPr>
              <mc:AlternateContent>
                <mc:Choice Requires="wps">
                  <w:drawing>
                    <wp:anchor distT="45720" distB="45720" distL="114300" distR="114300" simplePos="0" relativeHeight="251661312" behindDoc="0" locked="0" layoutInCell="1" allowOverlap="1" wp14:anchorId="764D2B7E" wp14:editId="52BFECDA">
                      <wp:simplePos x="0" y="0"/>
                      <wp:positionH relativeFrom="column">
                        <wp:posOffset>1494790</wp:posOffset>
                      </wp:positionH>
                      <wp:positionV relativeFrom="paragraph">
                        <wp:posOffset>233045</wp:posOffset>
                      </wp:positionV>
                      <wp:extent cx="2360930" cy="1404620"/>
                      <wp:effectExtent l="0" t="0" r="22860" b="11430"/>
                      <wp:wrapSquare wrapText="bothSides"/>
                      <wp:docPr id="12565446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917651B" w14:textId="180EB9FF" w:rsidR="007B394E" w:rsidRDefault="00A10685" w:rsidP="007B394E">
                                  <w:pPr>
                                    <w:spacing w:after="0" w:line="240" w:lineRule="auto"/>
                                    <w:jc w:val="center"/>
                                  </w:pPr>
                                  <w:r w:rsidRPr="00A10685">
                                    <w:rPr>
                                      <w:rFonts w:ascii="Arial" w:hAnsi="Arial" w:cs="Arial"/>
                                    </w:rPr>
                                    <w:t>▲</w:t>
                                  </w:r>
                                </w:p>
                                <w:p w14:paraId="2A2442CA" w14:textId="080231C6" w:rsidR="007B394E" w:rsidRDefault="00A10685" w:rsidP="007B394E">
                                  <w:pPr>
                                    <w:spacing w:after="0" w:line="240" w:lineRule="auto"/>
                                    <w:jc w:val="center"/>
                                  </w:pPr>
                                  <w:r w:rsidRPr="00A10685">
                                    <w:rPr>
                                      <w:rFonts w:ascii="Calibri" w:hAnsi="Calibri" w:cs="Calibri"/>
                                    </w:rPr>
                                    <w:t>│</w:t>
                                  </w:r>
                                </w:p>
                                <w:p w14:paraId="7715EDB3" w14:textId="573C2D01" w:rsidR="007B394E" w:rsidRDefault="00A10685" w:rsidP="007B394E">
                                  <w:pPr>
                                    <w:spacing w:after="0" w:line="240" w:lineRule="auto"/>
                                    <w:jc w:val="center"/>
                                  </w:pPr>
                                  <w:r w:rsidRPr="00A10685">
                                    <w:t>Wife administers medicine</w:t>
                                  </w:r>
                                </w:p>
                                <w:p w14:paraId="6243A575" w14:textId="3A97626B" w:rsidR="007B394E" w:rsidRDefault="00A10685" w:rsidP="007B394E">
                                  <w:pPr>
                                    <w:spacing w:after="0" w:line="240" w:lineRule="auto"/>
                                    <w:jc w:val="center"/>
                                  </w:pPr>
                                  <w:r w:rsidRPr="00A10685">
                                    <w:rPr>
                                      <w:rFonts w:ascii="Calibri" w:hAnsi="Calibri" w:cs="Calibri"/>
                                    </w:rPr>
                                    <w:t>│</w:t>
                                  </w:r>
                                </w:p>
                                <w:p w14:paraId="2B2FC20C" w14:textId="5CA781A7" w:rsidR="007B394E" w:rsidRDefault="00A10685" w:rsidP="007B394E">
                                  <w:pPr>
                                    <w:spacing w:after="0" w:line="240" w:lineRule="auto"/>
                                    <w:jc w:val="center"/>
                                  </w:pPr>
                                  <w:r w:rsidRPr="00A10685">
                                    <w:t>Misunderstood dosage</w:t>
                                  </w:r>
                                </w:p>
                                <w:p w14:paraId="2C9011B5" w14:textId="2125DB41" w:rsidR="007B394E" w:rsidRDefault="00A10685" w:rsidP="007B394E">
                                  <w:pPr>
                                    <w:spacing w:after="0" w:line="240" w:lineRule="auto"/>
                                    <w:jc w:val="center"/>
                                  </w:pPr>
                                  <w:r w:rsidRPr="00A10685">
                                    <w:rPr>
                                      <w:rFonts w:ascii="Calibri" w:hAnsi="Calibri" w:cs="Calibri"/>
                                    </w:rPr>
                                    <w:t>│</w:t>
                                  </w:r>
                                </w:p>
                                <w:p w14:paraId="01F296AA" w14:textId="4459228E" w:rsidR="007B394E" w:rsidRDefault="00A10685" w:rsidP="007B394E">
                                  <w:pPr>
                                    <w:spacing w:after="0" w:line="240" w:lineRule="auto"/>
                                    <w:jc w:val="center"/>
                                  </w:pPr>
                                  <w:r w:rsidRPr="00A10685">
                                    <w:t>Morphine overdose</w:t>
                                  </w:r>
                                </w:p>
                                <w:p w14:paraId="5F75DFA3" w14:textId="77777777" w:rsidR="007B394E" w:rsidRDefault="00A10685" w:rsidP="007B394E">
                                  <w:pPr>
                                    <w:spacing w:after="0" w:line="240" w:lineRule="auto"/>
                                    <w:jc w:val="center"/>
                                  </w:pPr>
                                  <w:r w:rsidRPr="00A10685">
                                    <w:rPr>
                                      <w:rFonts w:ascii="Calibri" w:hAnsi="Calibri" w:cs="Calibri"/>
                                    </w:rPr>
                                    <w:t>│</w:t>
                                  </w:r>
                                  <w:r w:rsidRPr="00A10685">
                                    <w:t xml:space="preserve"> </w:t>
                                  </w:r>
                                </w:p>
                                <w:p w14:paraId="5B69A036" w14:textId="77777777" w:rsidR="007B394E" w:rsidRDefault="00A10685" w:rsidP="007B394E">
                                  <w:pPr>
                                    <w:spacing w:after="0" w:line="240" w:lineRule="auto"/>
                                    <w:jc w:val="center"/>
                                  </w:pPr>
                                  <w:r w:rsidRPr="00A10685">
                                    <w:t xml:space="preserve">Unresponsive patient </w:t>
                                  </w:r>
                                </w:p>
                                <w:p w14:paraId="31D3018B" w14:textId="77777777" w:rsidR="007B394E" w:rsidRDefault="00A10685" w:rsidP="007B394E">
                                  <w:pPr>
                                    <w:spacing w:after="0" w:line="240" w:lineRule="auto"/>
                                    <w:jc w:val="center"/>
                                  </w:pPr>
                                  <w:r w:rsidRPr="00A10685">
                                    <w:rPr>
                                      <w:rFonts w:ascii="Calibri" w:hAnsi="Calibri" w:cs="Calibri"/>
                                    </w:rPr>
                                    <w:t>│</w:t>
                                  </w:r>
                                  <w:r w:rsidRPr="00A10685">
                                    <w:t xml:space="preserve"> </w:t>
                                  </w:r>
                                </w:p>
                                <w:p w14:paraId="1A0605C3" w14:textId="77777777" w:rsidR="007B394E" w:rsidRDefault="00A10685" w:rsidP="007B394E">
                                  <w:pPr>
                                    <w:spacing w:after="0" w:line="240" w:lineRule="auto"/>
                                    <w:jc w:val="center"/>
                                  </w:pPr>
                                  <w:r w:rsidRPr="00A10685">
                                    <w:t xml:space="preserve">Hospital admission </w:t>
                                  </w:r>
                                </w:p>
                                <w:p w14:paraId="2EF4AE29" w14:textId="77777777" w:rsidR="0007470F" w:rsidRDefault="00A10685" w:rsidP="007B394E">
                                  <w:pPr>
                                    <w:spacing w:after="0" w:line="240" w:lineRule="auto"/>
                                    <w:jc w:val="center"/>
                                  </w:pPr>
                                  <w:r w:rsidRPr="00A10685">
                                    <w:rPr>
                                      <w:rFonts w:ascii="Calibri" w:hAnsi="Calibri" w:cs="Calibri"/>
                                    </w:rPr>
                                    <w:t>│</w:t>
                                  </w:r>
                                  <w:r w:rsidRPr="00A10685">
                                    <w:t xml:space="preserve"> </w:t>
                                  </w:r>
                                </w:p>
                                <w:p w14:paraId="15D1D36E" w14:textId="77777777" w:rsidR="0007470F" w:rsidRDefault="00A10685" w:rsidP="007B394E">
                                  <w:pPr>
                                    <w:spacing w:after="0" w:line="240" w:lineRule="auto"/>
                                    <w:jc w:val="center"/>
                                  </w:pPr>
                                  <w:r w:rsidRPr="00A10685">
                                    <w:t xml:space="preserve">Pneumonia + deterioration </w:t>
                                  </w:r>
                                </w:p>
                                <w:p w14:paraId="7BE077CB" w14:textId="77777777" w:rsidR="00644347" w:rsidRDefault="00A10685" w:rsidP="007B394E">
                                  <w:pPr>
                                    <w:spacing w:after="0" w:line="240" w:lineRule="auto"/>
                                    <w:jc w:val="center"/>
                                    <w:rPr>
                                      <w:rFonts w:ascii="Calibri" w:hAnsi="Calibri" w:cs="Calibri"/>
                                    </w:rPr>
                                  </w:pPr>
                                  <w:r w:rsidRPr="00A10685">
                                    <w:rPr>
                                      <w:rFonts w:ascii="Calibri" w:hAnsi="Calibri" w:cs="Calibri"/>
                                    </w:rPr>
                                    <w:t>│</w:t>
                                  </w:r>
                                </w:p>
                                <w:p w14:paraId="1B5BBA1D" w14:textId="2C956F6D" w:rsidR="00A10685" w:rsidRDefault="00A10685" w:rsidP="007B394E">
                                  <w:pPr>
                                    <w:spacing w:after="0" w:line="240" w:lineRule="auto"/>
                                    <w:jc w:val="center"/>
                                  </w:pPr>
                                  <w:r w:rsidRPr="00A10685">
                                    <w:t xml:space="preserve"> Death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4D2B7E" id="_x0000_s1027" type="#_x0000_t202" style="position:absolute;left:0;text-align:left;margin-left:117.7pt;margin-top:18.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">
                      <v:textbox style="mso-fit-shape-to-text:t">
                        <w:txbxContent>
                          <w:p w14:paraId="7917651B" w14:textId="180EB9FF" w:rsidR="007B394E" w:rsidRDefault="00A10685" w:rsidP="007B394E">
                            <w:pPr>
                              <w:spacing w:after="0" w:line="240" w:lineRule="auto"/>
                              <w:jc w:val="center"/>
                            </w:pPr>
                            <w:r w:rsidRPr="00A10685">
                              <w:rPr>
                                <w:rFonts w:ascii="Arial" w:hAnsi="Arial" w:cs="Arial"/>
                              </w:rPr>
                              <w:t>▲</w:t>
                            </w:r>
                          </w:p>
                          <w:p w14:paraId="2A2442CA" w14:textId="080231C6" w:rsidR="007B394E" w:rsidRDefault="00A10685" w:rsidP="007B394E">
                            <w:pPr>
                              <w:spacing w:after="0" w:line="240" w:lineRule="auto"/>
                              <w:jc w:val="center"/>
                            </w:pPr>
                            <w:r w:rsidRPr="00A10685">
                              <w:rPr>
                                <w:rFonts w:ascii="Calibri" w:hAnsi="Calibri" w:cs="Calibri"/>
                              </w:rPr>
                              <w:t>│</w:t>
                            </w:r>
                          </w:p>
                          <w:p w14:paraId="7715EDB3" w14:textId="573C2D01" w:rsidR="007B394E" w:rsidRDefault="00A10685" w:rsidP="007B394E">
                            <w:pPr>
                              <w:spacing w:after="0" w:line="240" w:lineRule="auto"/>
                              <w:jc w:val="center"/>
                            </w:pPr>
                            <w:r w:rsidRPr="00A10685">
                              <w:t>Wife administers medicine</w:t>
                            </w:r>
                          </w:p>
                          <w:p w14:paraId="6243A575" w14:textId="3A97626B" w:rsidR="007B394E" w:rsidRDefault="00A10685" w:rsidP="007B394E">
                            <w:pPr>
                              <w:spacing w:after="0" w:line="240" w:lineRule="auto"/>
                              <w:jc w:val="center"/>
                            </w:pPr>
                            <w:r w:rsidRPr="00A10685">
                              <w:rPr>
                                <w:rFonts w:ascii="Calibri" w:hAnsi="Calibri" w:cs="Calibri"/>
                              </w:rPr>
                              <w:t>│</w:t>
                            </w:r>
                          </w:p>
                          <w:p w14:paraId="2B2FC20C" w14:textId="5CA781A7" w:rsidR="007B394E" w:rsidRDefault="00A10685" w:rsidP="007B394E">
                            <w:pPr>
                              <w:spacing w:after="0" w:line="240" w:lineRule="auto"/>
                              <w:jc w:val="center"/>
                            </w:pPr>
                            <w:r w:rsidRPr="00A10685">
                              <w:t>Misunderstood dosage</w:t>
                            </w:r>
                          </w:p>
                          <w:p w14:paraId="2C9011B5" w14:textId="2125DB41" w:rsidR="007B394E" w:rsidRDefault="00A10685" w:rsidP="007B394E">
                            <w:pPr>
                              <w:spacing w:after="0" w:line="240" w:lineRule="auto"/>
                              <w:jc w:val="center"/>
                            </w:pPr>
                            <w:r w:rsidRPr="00A10685">
                              <w:rPr>
                                <w:rFonts w:ascii="Calibri" w:hAnsi="Calibri" w:cs="Calibri"/>
                              </w:rPr>
                              <w:t>│</w:t>
                            </w:r>
                          </w:p>
                          <w:p w14:paraId="01F296AA" w14:textId="4459228E" w:rsidR="007B394E" w:rsidRDefault="00A10685" w:rsidP="007B394E">
                            <w:pPr>
                              <w:spacing w:after="0" w:line="240" w:lineRule="auto"/>
                              <w:jc w:val="center"/>
                            </w:pPr>
                            <w:r w:rsidRPr="00A10685">
                              <w:t>Morphine overdose</w:t>
                            </w:r>
                          </w:p>
                          <w:p w14:paraId="5F75DFA3" w14:textId="77777777" w:rsidR="007B394E" w:rsidRDefault="00A10685" w:rsidP="007B394E">
                            <w:pPr>
                              <w:spacing w:after="0" w:line="240" w:lineRule="auto"/>
                              <w:jc w:val="center"/>
                            </w:pPr>
                            <w:r w:rsidRPr="00A10685">
                              <w:rPr>
                                <w:rFonts w:ascii="Calibri" w:hAnsi="Calibri" w:cs="Calibri"/>
                              </w:rPr>
                              <w:t>│</w:t>
                            </w:r>
                            <w:r w:rsidRPr="00A10685">
                              <w:t xml:space="preserve"> </w:t>
                            </w:r>
                          </w:p>
                          <w:p w14:paraId="5B69A036" w14:textId="77777777" w:rsidR="007B394E" w:rsidRDefault="00A10685" w:rsidP="007B394E">
                            <w:pPr>
                              <w:spacing w:after="0" w:line="240" w:lineRule="auto"/>
                              <w:jc w:val="center"/>
                            </w:pPr>
                            <w:r w:rsidRPr="00A10685">
                              <w:t xml:space="preserve">Unresponsive patient </w:t>
                            </w:r>
                          </w:p>
                          <w:p w14:paraId="31D3018B" w14:textId="77777777" w:rsidR="007B394E" w:rsidRDefault="00A10685" w:rsidP="007B394E">
                            <w:pPr>
                              <w:spacing w:after="0" w:line="240" w:lineRule="auto"/>
                              <w:jc w:val="center"/>
                            </w:pPr>
                            <w:r w:rsidRPr="00A10685">
                              <w:rPr>
                                <w:rFonts w:ascii="Calibri" w:hAnsi="Calibri" w:cs="Calibri"/>
                              </w:rPr>
                              <w:t>│</w:t>
                            </w:r>
                            <w:r w:rsidRPr="00A10685">
                              <w:t xml:space="preserve"> </w:t>
                            </w:r>
                          </w:p>
                          <w:p w14:paraId="1A0605C3" w14:textId="77777777" w:rsidR="007B394E" w:rsidRDefault="00A10685" w:rsidP="007B394E">
                            <w:pPr>
                              <w:spacing w:after="0" w:line="240" w:lineRule="auto"/>
                              <w:jc w:val="center"/>
                            </w:pPr>
                            <w:r w:rsidRPr="00A10685">
                              <w:t xml:space="preserve">Hospital admission </w:t>
                            </w:r>
                          </w:p>
                          <w:p w14:paraId="2EF4AE29" w14:textId="77777777" w:rsidR="0007470F" w:rsidRDefault="00A10685" w:rsidP="007B394E">
                            <w:pPr>
                              <w:spacing w:after="0" w:line="240" w:lineRule="auto"/>
                              <w:jc w:val="center"/>
                            </w:pPr>
                            <w:r w:rsidRPr="00A10685">
                              <w:rPr>
                                <w:rFonts w:ascii="Calibri" w:hAnsi="Calibri" w:cs="Calibri"/>
                              </w:rPr>
                              <w:t>│</w:t>
                            </w:r>
                            <w:r w:rsidRPr="00A10685">
                              <w:t xml:space="preserve"> </w:t>
                            </w:r>
                          </w:p>
                          <w:p w14:paraId="15D1D36E" w14:textId="77777777" w:rsidR="0007470F" w:rsidRDefault="00A10685" w:rsidP="007B394E">
                            <w:pPr>
                              <w:spacing w:after="0" w:line="240" w:lineRule="auto"/>
                              <w:jc w:val="center"/>
                            </w:pPr>
                            <w:r w:rsidRPr="00A10685">
                              <w:t xml:space="preserve">Pneumonia + deterioration </w:t>
                            </w:r>
                          </w:p>
                          <w:p w14:paraId="7BE077CB" w14:textId="77777777" w:rsidR="00644347" w:rsidRDefault="00A10685" w:rsidP="007B394E">
                            <w:pPr>
                              <w:spacing w:after="0" w:line="240" w:lineRule="auto"/>
                              <w:jc w:val="center"/>
                              <w:rPr>
                                <w:rFonts w:ascii="Calibri" w:hAnsi="Calibri" w:cs="Calibri"/>
                              </w:rPr>
                            </w:pPr>
                            <w:r w:rsidRPr="00A10685">
                              <w:rPr>
                                <w:rFonts w:ascii="Calibri" w:hAnsi="Calibri" w:cs="Calibri"/>
                              </w:rPr>
                              <w:t>│</w:t>
                            </w:r>
                          </w:p>
                          <w:p w14:paraId="1B5BBA1D" w14:textId="2C956F6D" w:rsidR="00A10685" w:rsidRDefault="00A10685" w:rsidP="007B394E">
                            <w:pPr>
                              <w:spacing w:after="0" w:line="240" w:lineRule="auto"/>
                              <w:jc w:val="center"/>
                            </w:pPr>
                            <w:r w:rsidRPr="00A10685">
                              <w:t xml:space="preserve"> Death</w:t>
                            </w:r>
                          </w:p>
                        </w:txbxContent>
                      </v:textbox>
                      <w10:wrap type="square"/>
                    </v:shape>
                  </w:pict>
                </mc:Fallback>
              </mc:AlternateContent>
            </w:r>
          </w:p>
          <w:p w14:paraId="3F47032C" w14:textId="43C85F7A" w:rsidR="00F74372" w:rsidRPr="00707D13" w:rsidRDefault="00F74372" w:rsidP="001916EC">
            <w:pPr>
              <w:spacing w:line="360" w:lineRule="auto"/>
              <w:jc w:val="both"/>
              <w:rPr>
                <w:rFonts w:ascii="Arial" w:hAnsi="Arial" w:cs="Arial"/>
                <w:color w:val="000000" w:themeColor="text1"/>
              </w:rPr>
            </w:pPr>
          </w:p>
          <w:p w14:paraId="7635C993" w14:textId="19C99F4B" w:rsidR="007959D3" w:rsidRPr="00707D13" w:rsidRDefault="007959D3" w:rsidP="001916EC">
            <w:pPr>
              <w:spacing w:line="360" w:lineRule="auto"/>
              <w:jc w:val="both"/>
              <w:rPr>
                <w:rFonts w:ascii="Arial" w:hAnsi="Arial" w:cs="Arial"/>
                <w:color w:val="000000" w:themeColor="text1"/>
              </w:rPr>
            </w:pPr>
          </w:p>
          <w:p w14:paraId="66A1BF77" w14:textId="135AC2EF" w:rsidR="007959D3" w:rsidRPr="00707D13" w:rsidRDefault="007959D3" w:rsidP="001916EC">
            <w:pPr>
              <w:spacing w:line="360" w:lineRule="auto"/>
              <w:jc w:val="both"/>
              <w:rPr>
                <w:rFonts w:ascii="Arial" w:hAnsi="Arial" w:cs="Arial"/>
                <w:color w:val="000000" w:themeColor="text1"/>
              </w:rPr>
            </w:pPr>
          </w:p>
          <w:p w14:paraId="54D3ABC9" w14:textId="6C902AC6" w:rsidR="00A10685" w:rsidRPr="00707D13" w:rsidRDefault="00A10685" w:rsidP="001916EC">
            <w:pPr>
              <w:spacing w:line="360" w:lineRule="auto"/>
              <w:jc w:val="both"/>
              <w:rPr>
                <w:rFonts w:ascii="Arial" w:hAnsi="Arial" w:cs="Arial"/>
                <w:color w:val="000000" w:themeColor="text1"/>
              </w:rPr>
            </w:pPr>
          </w:p>
          <w:p w14:paraId="4E214F12" w14:textId="5CADB836" w:rsidR="00A10685" w:rsidRPr="00707D13" w:rsidRDefault="00A10685" w:rsidP="001916EC">
            <w:pPr>
              <w:spacing w:line="360" w:lineRule="auto"/>
              <w:jc w:val="both"/>
              <w:rPr>
                <w:rFonts w:ascii="Arial" w:hAnsi="Arial" w:cs="Arial"/>
                <w:color w:val="000000" w:themeColor="text1"/>
              </w:rPr>
            </w:pPr>
          </w:p>
          <w:p w14:paraId="1D3A327A" w14:textId="77777777" w:rsidR="00A10685" w:rsidRPr="00707D13" w:rsidRDefault="00A10685" w:rsidP="001916EC">
            <w:pPr>
              <w:spacing w:line="360" w:lineRule="auto"/>
              <w:jc w:val="both"/>
              <w:rPr>
                <w:rFonts w:ascii="Arial" w:hAnsi="Arial" w:cs="Arial"/>
                <w:color w:val="000000" w:themeColor="text1"/>
              </w:rPr>
            </w:pPr>
          </w:p>
          <w:p w14:paraId="46B15020" w14:textId="6A7287A8" w:rsidR="00A10685" w:rsidRPr="00707D13" w:rsidRDefault="00A10685" w:rsidP="001916EC">
            <w:pPr>
              <w:spacing w:line="360" w:lineRule="auto"/>
              <w:jc w:val="both"/>
              <w:rPr>
                <w:rFonts w:ascii="Arial" w:hAnsi="Arial" w:cs="Arial"/>
                <w:color w:val="000000" w:themeColor="text1"/>
              </w:rPr>
            </w:pPr>
          </w:p>
          <w:p w14:paraId="06A0A6A4" w14:textId="77777777" w:rsidR="007959D3" w:rsidRPr="00707D13" w:rsidRDefault="007959D3" w:rsidP="001916EC">
            <w:pPr>
              <w:spacing w:line="360" w:lineRule="auto"/>
              <w:jc w:val="both"/>
              <w:rPr>
                <w:rFonts w:ascii="Arial" w:hAnsi="Arial" w:cs="Arial"/>
                <w:color w:val="000000" w:themeColor="text1"/>
              </w:rPr>
            </w:pPr>
          </w:p>
          <w:p w14:paraId="7B271733" w14:textId="77777777" w:rsidR="006F1ED8" w:rsidRPr="00707D13" w:rsidRDefault="006F1ED8" w:rsidP="001916EC">
            <w:pPr>
              <w:spacing w:line="360" w:lineRule="auto"/>
              <w:jc w:val="both"/>
              <w:rPr>
                <w:rFonts w:ascii="Arial" w:hAnsi="Arial" w:cs="Arial"/>
                <w:color w:val="000000" w:themeColor="text1"/>
              </w:rPr>
            </w:pPr>
          </w:p>
          <w:p w14:paraId="4977F2F2" w14:textId="77777777" w:rsidR="006F1ED8" w:rsidRPr="00707D13" w:rsidRDefault="006F1ED8" w:rsidP="001916EC">
            <w:pPr>
              <w:spacing w:line="360" w:lineRule="auto"/>
              <w:jc w:val="both"/>
              <w:rPr>
                <w:rFonts w:ascii="Arial" w:hAnsi="Arial" w:cs="Arial"/>
                <w:color w:val="000000" w:themeColor="text1"/>
              </w:rPr>
            </w:pPr>
          </w:p>
          <w:p w14:paraId="1214DE0E" w14:textId="77777777" w:rsidR="006F1ED8" w:rsidRPr="00707D13" w:rsidRDefault="006F1ED8" w:rsidP="001916EC">
            <w:pPr>
              <w:spacing w:line="360" w:lineRule="auto"/>
              <w:jc w:val="both"/>
              <w:rPr>
                <w:rFonts w:ascii="Arial" w:hAnsi="Arial" w:cs="Arial"/>
                <w:color w:val="000000" w:themeColor="text1"/>
              </w:rPr>
            </w:pPr>
          </w:p>
          <w:p w14:paraId="5E7D2B33" w14:textId="77777777" w:rsidR="006F1ED8" w:rsidRPr="00707D13" w:rsidRDefault="006F1ED8" w:rsidP="001916EC">
            <w:pPr>
              <w:spacing w:line="360" w:lineRule="auto"/>
              <w:jc w:val="both"/>
              <w:rPr>
                <w:rFonts w:ascii="Arial" w:hAnsi="Arial" w:cs="Arial"/>
                <w:color w:val="000000" w:themeColor="text1"/>
              </w:rPr>
            </w:pPr>
          </w:p>
          <w:tbl>
            <w:tblPr>
              <w:tblStyle w:val="TableGrid"/>
              <w:tblW w:w="0" w:type="auto"/>
              <w:tblLook w:val="04A0" w:firstRow="1" w:lastRow="0" w:firstColumn="1" w:lastColumn="0" w:noHBand="0" w:noVBand="1"/>
            </w:tblPr>
            <w:tblGrid>
              <w:gridCol w:w="2557"/>
              <w:gridCol w:w="3402"/>
              <w:gridCol w:w="2967"/>
            </w:tblGrid>
            <w:tr w:rsidR="00E34044" w:rsidRPr="00707D13" w14:paraId="6A082120" w14:textId="77777777" w:rsidTr="00985501">
              <w:tc>
                <w:tcPr>
                  <w:tcW w:w="2557" w:type="dxa"/>
                </w:tcPr>
                <w:p w14:paraId="69EA5C5D" w14:textId="77777777" w:rsidR="00E34044" w:rsidRPr="00707D13" w:rsidRDefault="00E34044" w:rsidP="001916EC">
                  <w:pPr>
                    <w:spacing w:line="360" w:lineRule="auto"/>
                    <w:jc w:val="both"/>
                    <w:rPr>
                      <w:rFonts w:ascii="Arial" w:hAnsi="Arial" w:cs="Arial"/>
                      <w:b/>
                      <w:bCs/>
                      <w:color w:val="000000" w:themeColor="text1"/>
                    </w:rPr>
                  </w:pPr>
                  <w:r w:rsidRPr="00707D13">
                    <w:rPr>
                      <w:rFonts w:ascii="Arial" w:hAnsi="Arial" w:cs="Arial"/>
                      <w:b/>
                      <w:bCs/>
                      <w:color w:val="000000" w:themeColor="text1"/>
                    </w:rPr>
                    <w:t xml:space="preserve">Human Factors </w:t>
                  </w:r>
                </w:p>
                <w:p w14:paraId="44670179" w14:textId="77777777" w:rsidR="00E34044"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xml:space="preserve">• Medicine label design </w:t>
                  </w:r>
                </w:p>
                <w:p w14:paraId="0E4E3BA8" w14:textId="77777777" w:rsidR="00E34044"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xml:space="preserve">• Communication </w:t>
                  </w:r>
                </w:p>
                <w:p w14:paraId="186EA7CA" w14:textId="77777777" w:rsidR="00E34044"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xml:space="preserve">• Patient understanding </w:t>
                  </w:r>
                </w:p>
                <w:p w14:paraId="56E23CC5" w14:textId="77777777" w:rsidR="00E34044"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xml:space="preserve">• Teach-Back absent </w:t>
                  </w:r>
                </w:p>
                <w:p w14:paraId="46DE1710" w14:textId="77777777" w:rsidR="00E34044"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lastRenderedPageBreak/>
                    <w:t xml:space="preserve">• Frailty </w:t>
                  </w:r>
                </w:p>
                <w:p w14:paraId="3783D222" w14:textId="40423452" w:rsidR="00E34044"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Polypharmacy risk</w:t>
                  </w:r>
                </w:p>
              </w:tc>
              <w:tc>
                <w:tcPr>
                  <w:tcW w:w="3402" w:type="dxa"/>
                </w:tcPr>
                <w:p w14:paraId="2FD9B5DB" w14:textId="77777777" w:rsidR="00273E19" w:rsidRPr="00707D13" w:rsidRDefault="00E34044" w:rsidP="001916EC">
                  <w:pPr>
                    <w:spacing w:line="360" w:lineRule="auto"/>
                    <w:jc w:val="both"/>
                    <w:rPr>
                      <w:rFonts w:ascii="Arial" w:hAnsi="Arial" w:cs="Arial"/>
                      <w:b/>
                      <w:bCs/>
                      <w:color w:val="000000" w:themeColor="text1"/>
                    </w:rPr>
                  </w:pPr>
                  <w:r w:rsidRPr="00707D13">
                    <w:rPr>
                      <w:rFonts w:ascii="Arial" w:hAnsi="Arial" w:cs="Arial"/>
                      <w:b/>
                      <w:bCs/>
                      <w:color w:val="000000" w:themeColor="text1"/>
                    </w:rPr>
                    <w:lastRenderedPageBreak/>
                    <w:t xml:space="preserve">Leadership Factors </w:t>
                  </w:r>
                </w:p>
                <w:p w14:paraId="2FF6F01F" w14:textId="77777777" w:rsidR="005158E7"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Limited multidisciplinary</w:t>
                  </w:r>
                </w:p>
                <w:p w14:paraId="1618FF99" w14:textId="120D61F9" w:rsidR="00273E19"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xml:space="preserve"> communication </w:t>
                  </w:r>
                </w:p>
                <w:p w14:paraId="4F680984" w14:textId="77777777" w:rsidR="00273E19"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xml:space="preserve">• Weak medicines optimisation </w:t>
                  </w:r>
                </w:p>
                <w:p w14:paraId="2FEEA100" w14:textId="77777777" w:rsidR="00273E19"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xml:space="preserve">• Safety culture </w:t>
                  </w:r>
                </w:p>
                <w:p w14:paraId="57213093" w14:textId="0E8B9161" w:rsidR="00E34044"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lastRenderedPageBreak/>
                    <w:t>• Organisational learning</w:t>
                  </w:r>
                </w:p>
              </w:tc>
              <w:tc>
                <w:tcPr>
                  <w:tcW w:w="2967" w:type="dxa"/>
                </w:tcPr>
                <w:p w14:paraId="7C3E156E" w14:textId="77777777" w:rsidR="00C65D57" w:rsidRPr="00707D13" w:rsidRDefault="00E34044" w:rsidP="001916EC">
                  <w:pPr>
                    <w:spacing w:line="360" w:lineRule="auto"/>
                    <w:jc w:val="both"/>
                    <w:rPr>
                      <w:rFonts w:ascii="Arial" w:hAnsi="Arial" w:cs="Arial"/>
                      <w:b/>
                      <w:bCs/>
                      <w:color w:val="000000" w:themeColor="text1"/>
                    </w:rPr>
                  </w:pPr>
                  <w:r w:rsidRPr="00707D13">
                    <w:rPr>
                      <w:rFonts w:ascii="Arial" w:hAnsi="Arial" w:cs="Arial"/>
                      <w:b/>
                      <w:bCs/>
                      <w:color w:val="000000" w:themeColor="text1"/>
                    </w:rPr>
                    <w:lastRenderedPageBreak/>
                    <w:t xml:space="preserve">Governance Factors </w:t>
                  </w:r>
                </w:p>
                <w:p w14:paraId="49AE486F" w14:textId="424D34F4" w:rsidR="00C65D57"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xml:space="preserve">• Medicines policy </w:t>
                  </w:r>
                </w:p>
                <w:p w14:paraId="2C632FC3" w14:textId="77777777" w:rsidR="00C65D57"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xml:space="preserve">• Patient safety systems </w:t>
                  </w:r>
                </w:p>
                <w:p w14:paraId="273355C7" w14:textId="77777777" w:rsidR="00C65D57"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xml:space="preserve">• Incident reporting </w:t>
                  </w:r>
                </w:p>
                <w:p w14:paraId="2F516985" w14:textId="06DB5407" w:rsidR="00E34044" w:rsidRPr="00707D13" w:rsidRDefault="00E34044" w:rsidP="001916EC">
                  <w:pPr>
                    <w:spacing w:line="360" w:lineRule="auto"/>
                    <w:jc w:val="both"/>
                    <w:rPr>
                      <w:rFonts w:ascii="Arial" w:hAnsi="Arial" w:cs="Arial"/>
                      <w:color w:val="000000" w:themeColor="text1"/>
                    </w:rPr>
                  </w:pPr>
                  <w:r w:rsidRPr="00707D13">
                    <w:rPr>
                      <w:rFonts w:ascii="Arial" w:hAnsi="Arial" w:cs="Arial"/>
                      <w:color w:val="000000" w:themeColor="text1"/>
                    </w:rPr>
                    <w:t>• HSSIB recommendations</w:t>
                  </w:r>
                </w:p>
              </w:tc>
            </w:tr>
          </w:tbl>
          <w:p w14:paraId="5460A897" w14:textId="77777777" w:rsidR="00266737" w:rsidRPr="00707D13" w:rsidRDefault="00266737" w:rsidP="001916EC">
            <w:pPr>
              <w:spacing w:line="360" w:lineRule="auto"/>
              <w:jc w:val="both"/>
              <w:rPr>
                <w:rFonts w:ascii="Arial" w:hAnsi="Arial" w:cs="Arial"/>
                <w:color w:val="000000" w:themeColor="text1"/>
              </w:rPr>
            </w:pPr>
          </w:p>
          <w:p w14:paraId="3489AFFE" w14:textId="0EFE5961" w:rsidR="00BF25D8" w:rsidRPr="00707D13" w:rsidRDefault="00BF25D8" w:rsidP="00AA6F49">
            <w:pPr>
              <w:spacing w:line="360" w:lineRule="auto"/>
              <w:jc w:val="center"/>
              <w:rPr>
                <w:rFonts w:ascii="Arial" w:hAnsi="Arial" w:cs="Arial"/>
                <w:color w:val="000000" w:themeColor="text1"/>
              </w:rPr>
            </w:pPr>
            <w:r w:rsidRPr="00707D13">
              <w:rPr>
                <w:rFonts w:ascii="Arial" w:hAnsi="Arial" w:cs="Arial"/>
                <w:color w:val="000000" w:themeColor="text1"/>
              </w:rPr>
              <w:t>Feedback Loop Incident</w:t>
            </w:r>
          </w:p>
          <w:p w14:paraId="0151E1F4" w14:textId="4EB7929D" w:rsidR="00BF25D8" w:rsidRPr="00707D13" w:rsidRDefault="00BF25D8" w:rsidP="00AA6F49">
            <w:pPr>
              <w:spacing w:line="360" w:lineRule="auto"/>
              <w:jc w:val="center"/>
              <w:rPr>
                <w:rFonts w:ascii="Arial" w:hAnsi="Arial" w:cs="Arial"/>
                <w:color w:val="000000" w:themeColor="text1"/>
              </w:rPr>
            </w:pPr>
            <w:r w:rsidRPr="00707D13">
              <w:rPr>
                <w:rFonts w:ascii="Arial" w:hAnsi="Arial" w:cs="Arial"/>
                <w:color w:val="000000" w:themeColor="text1"/>
              </w:rPr>
              <w:t>↓</w:t>
            </w:r>
          </w:p>
          <w:p w14:paraId="28CE9E0E" w14:textId="73806999" w:rsidR="00BF25D8" w:rsidRPr="00707D13" w:rsidRDefault="00BF25D8" w:rsidP="00AA6F49">
            <w:pPr>
              <w:spacing w:line="360" w:lineRule="auto"/>
              <w:jc w:val="center"/>
              <w:rPr>
                <w:rFonts w:ascii="Arial" w:hAnsi="Arial" w:cs="Arial"/>
                <w:color w:val="000000" w:themeColor="text1"/>
              </w:rPr>
            </w:pPr>
            <w:r w:rsidRPr="00707D13">
              <w:rPr>
                <w:rFonts w:ascii="Arial" w:hAnsi="Arial" w:cs="Arial"/>
                <w:color w:val="000000" w:themeColor="text1"/>
              </w:rPr>
              <w:t>HSSIB Investigation</w:t>
            </w:r>
          </w:p>
          <w:p w14:paraId="1AF215BC" w14:textId="2060073F" w:rsidR="00BF25D8" w:rsidRPr="00707D13" w:rsidRDefault="00BF25D8" w:rsidP="00AA6F49">
            <w:pPr>
              <w:spacing w:line="360" w:lineRule="auto"/>
              <w:jc w:val="center"/>
              <w:rPr>
                <w:rFonts w:ascii="Arial" w:hAnsi="Arial" w:cs="Arial"/>
                <w:color w:val="000000" w:themeColor="text1"/>
              </w:rPr>
            </w:pPr>
            <w:r w:rsidRPr="00707D13">
              <w:rPr>
                <w:rFonts w:ascii="Arial" w:hAnsi="Arial" w:cs="Arial"/>
                <w:color w:val="000000" w:themeColor="text1"/>
              </w:rPr>
              <w:t>↓</w:t>
            </w:r>
          </w:p>
          <w:p w14:paraId="17BC5194" w14:textId="1F02CEAF" w:rsidR="00BF25D8" w:rsidRPr="00707D13" w:rsidRDefault="00BF25D8" w:rsidP="00AA6F49">
            <w:pPr>
              <w:spacing w:line="360" w:lineRule="auto"/>
              <w:jc w:val="center"/>
              <w:rPr>
                <w:rFonts w:ascii="Arial" w:hAnsi="Arial" w:cs="Arial"/>
                <w:color w:val="000000" w:themeColor="text1"/>
              </w:rPr>
            </w:pPr>
            <w:r w:rsidRPr="00707D13">
              <w:rPr>
                <w:rFonts w:ascii="Arial" w:hAnsi="Arial" w:cs="Arial"/>
                <w:color w:val="000000" w:themeColor="text1"/>
              </w:rPr>
              <w:t>National Learning</w:t>
            </w:r>
          </w:p>
          <w:p w14:paraId="3DCD9253" w14:textId="49BFDE66" w:rsidR="00BF25D8" w:rsidRPr="00707D13" w:rsidRDefault="00BF25D8" w:rsidP="00AA6F49">
            <w:pPr>
              <w:spacing w:line="360" w:lineRule="auto"/>
              <w:jc w:val="center"/>
              <w:rPr>
                <w:rFonts w:ascii="Arial" w:hAnsi="Arial" w:cs="Arial"/>
                <w:color w:val="000000" w:themeColor="text1"/>
              </w:rPr>
            </w:pPr>
            <w:r w:rsidRPr="00707D13">
              <w:rPr>
                <w:rFonts w:ascii="Arial" w:hAnsi="Arial" w:cs="Arial"/>
                <w:color w:val="000000" w:themeColor="text1"/>
              </w:rPr>
              <w:t>↓</w:t>
            </w:r>
          </w:p>
          <w:p w14:paraId="6DF6E29B" w14:textId="60C3CC30" w:rsidR="00BF25D8" w:rsidRPr="00707D13" w:rsidRDefault="00BF25D8" w:rsidP="00AA6F49">
            <w:pPr>
              <w:spacing w:line="360" w:lineRule="auto"/>
              <w:jc w:val="center"/>
              <w:rPr>
                <w:rFonts w:ascii="Arial" w:hAnsi="Arial" w:cs="Arial"/>
                <w:color w:val="000000" w:themeColor="text1"/>
              </w:rPr>
            </w:pPr>
            <w:r w:rsidRPr="00707D13">
              <w:rPr>
                <w:rFonts w:ascii="Arial" w:hAnsi="Arial" w:cs="Arial"/>
                <w:color w:val="000000" w:themeColor="text1"/>
              </w:rPr>
              <w:t>Policy Change</w:t>
            </w:r>
          </w:p>
          <w:p w14:paraId="1001A9A6" w14:textId="527D452C" w:rsidR="00BF25D8" w:rsidRPr="00707D13" w:rsidRDefault="00BF25D8" w:rsidP="00AA6F49">
            <w:pPr>
              <w:spacing w:line="360" w:lineRule="auto"/>
              <w:jc w:val="center"/>
              <w:rPr>
                <w:rFonts w:ascii="Arial" w:hAnsi="Arial" w:cs="Arial"/>
                <w:color w:val="000000" w:themeColor="text1"/>
              </w:rPr>
            </w:pPr>
            <w:r w:rsidRPr="00707D13">
              <w:rPr>
                <w:rFonts w:ascii="Arial" w:hAnsi="Arial" w:cs="Arial"/>
                <w:color w:val="000000" w:themeColor="text1"/>
              </w:rPr>
              <w:t>↓</w:t>
            </w:r>
          </w:p>
          <w:p w14:paraId="40E1CBEE" w14:textId="336049F2" w:rsidR="00BF25D8" w:rsidRPr="00707D13" w:rsidRDefault="00BF25D8" w:rsidP="00AA6F49">
            <w:pPr>
              <w:spacing w:line="360" w:lineRule="auto"/>
              <w:jc w:val="center"/>
              <w:rPr>
                <w:rFonts w:ascii="Arial" w:hAnsi="Arial" w:cs="Arial"/>
                <w:color w:val="000000" w:themeColor="text1"/>
              </w:rPr>
            </w:pPr>
            <w:r w:rsidRPr="00707D13">
              <w:rPr>
                <w:rFonts w:ascii="Arial" w:hAnsi="Arial" w:cs="Arial"/>
                <w:color w:val="000000" w:themeColor="text1"/>
              </w:rPr>
              <w:t>Safer Medication Practice</w:t>
            </w:r>
          </w:p>
          <w:p w14:paraId="5344C7BE" w14:textId="77777777" w:rsidR="00777E4B" w:rsidRPr="00707D13" w:rsidRDefault="00777E4B" w:rsidP="001916EC">
            <w:pPr>
              <w:spacing w:line="360" w:lineRule="auto"/>
              <w:jc w:val="both"/>
              <w:rPr>
                <w:rFonts w:ascii="Arial" w:hAnsi="Arial" w:cs="Arial"/>
                <w:color w:val="000000" w:themeColor="text1"/>
              </w:rPr>
            </w:pPr>
          </w:p>
        </w:tc>
      </w:tr>
    </w:tbl>
    <w:p w14:paraId="0CAC8C9C" w14:textId="77777777" w:rsidR="0061441D" w:rsidRPr="00707D13" w:rsidRDefault="0061441D" w:rsidP="001916EC">
      <w:pPr>
        <w:spacing w:line="360" w:lineRule="auto"/>
        <w:jc w:val="both"/>
        <w:rPr>
          <w:rFonts w:ascii="Arial" w:hAnsi="Arial" w:cs="Arial"/>
          <w:color w:val="000000" w:themeColor="text1"/>
        </w:rPr>
      </w:pPr>
    </w:p>
    <w:p w14:paraId="7157A842" w14:textId="77777777" w:rsidR="00E65565" w:rsidRPr="00707D13" w:rsidRDefault="009A07AE" w:rsidP="00E65565">
      <w:pPr>
        <w:spacing w:line="360" w:lineRule="auto"/>
        <w:jc w:val="both"/>
        <w:rPr>
          <w:rFonts w:ascii="Arial" w:hAnsi="Arial" w:cs="Arial"/>
          <w:color w:val="000000" w:themeColor="text1"/>
        </w:rPr>
      </w:pPr>
      <w:r w:rsidRPr="00707D13">
        <w:rPr>
          <w:rFonts w:ascii="Arial" w:hAnsi="Arial" w:cs="Arial"/>
          <w:color w:val="000000" w:themeColor="text1"/>
        </w:rPr>
        <w:t xml:space="preserve">The Rich Picture demonstrates that Len's fatal morphine overdose resulted from interconnected failures across the healthcare system rather than a single clinical error. At the centre of the system, Len's advanced age, Charcot–Marie–Tooth disease, frailty and dependence on his wife for medication administration increased his vulnerability to medication-related harm. Insufficient patient and carer education, together with the absence of communication strategies such as the Teach-Back method, contributed to the misunderstanding of the prescribed dose (HSSIB, 2024). The Rich Picture also highlights the interdependence of GPs, hospital clinicians and community pharmacists, illustrating how communication failures and fragmented care compromised medication safety. </w:t>
      </w:r>
      <w:r w:rsidR="00E65565" w:rsidRPr="00707D13">
        <w:rPr>
          <w:rFonts w:ascii="Arial" w:hAnsi="Arial" w:cs="Arial"/>
          <w:color w:val="000000" w:themeColor="text1"/>
        </w:rPr>
        <w:t>National governance by NHS England, NICE, MHRA, and HSSIB can enhance patient safety if implemented effectively in frontline practice.</w:t>
      </w:r>
    </w:p>
    <w:p w14:paraId="19D77CC9" w14:textId="2E19AA41" w:rsidR="009A07AE" w:rsidRPr="00707D13" w:rsidRDefault="009A07AE" w:rsidP="006D4EA6">
      <w:pPr>
        <w:spacing w:line="360" w:lineRule="auto"/>
        <w:jc w:val="both"/>
        <w:rPr>
          <w:rFonts w:ascii="Arial" w:hAnsi="Arial" w:cs="Arial"/>
          <w:b/>
          <w:bCs/>
          <w:color w:val="000000" w:themeColor="text1"/>
        </w:rPr>
      </w:pPr>
      <w:r w:rsidRPr="00707D13">
        <w:rPr>
          <w:rFonts w:ascii="Arial" w:hAnsi="Arial" w:cs="Arial"/>
          <w:color w:val="000000" w:themeColor="text1"/>
        </w:rPr>
        <w:t xml:space="preserve">Finally, the feedback loop reflects the principles of the Patient Safety Incident Response Framework (PSIRF), which promotes organisational learning, transparency and continuous improvement rather than individual blame (NHS England, 2022). </w:t>
      </w:r>
    </w:p>
    <w:p w14:paraId="191E5115" w14:textId="017C550D" w:rsidR="008B190D" w:rsidRPr="00707D13" w:rsidRDefault="008B190D" w:rsidP="00CD5150">
      <w:pPr>
        <w:spacing w:line="360" w:lineRule="auto"/>
        <w:rPr>
          <w:rFonts w:ascii="Arial" w:hAnsi="Arial" w:cs="Arial"/>
          <w:b/>
          <w:bCs/>
          <w:color w:val="000000" w:themeColor="text1"/>
        </w:rPr>
      </w:pPr>
      <w:r w:rsidRPr="00707D13">
        <w:rPr>
          <w:rFonts w:ascii="Arial" w:hAnsi="Arial" w:cs="Arial"/>
          <w:b/>
          <w:bCs/>
          <w:color w:val="000000" w:themeColor="text1"/>
        </w:rPr>
        <w:t>Centralisation and Decentralisation within the Case Study</w:t>
      </w:r>
      <w:r w:rsidR="00F17002" w:rsidRPr="00707D13">
        <w:rPr>
          <w:rFonts w:ascii="Arial" w:hAnsi="Arial" w:cs="Arial"/>
          <w:b/>
          <w:bCs/>
          <w:color w:val="000000" w:themeColor="text1"/>
        </w:rPr>
        <w:t>.</w:t>
      </w:r>
    </w:p>
    <w:p w14:paraId="59216463" w14:textId="3CD7C4CE" w:rsidR="00FB132F" w:rsidRPr="00707D13" w:rsidRDefault="008B190D" w:rsidP="00877015">
      <w:pPr>
        <w:spacing w:line="360" w:lineRule="auto"/>
        <w:jc w:val="both"/>
        <w:rPr>
          <w:rFonts w:ascii="Arial" w:hAnsi="Arial" w:cs="Arial"/>
          <w:color w:val="000000" w:themeColor="text1"/>
        </w:rPr>
      </w:pPr>
      <w:r w:rsidRPr="00707D13">
        <w:rPr>
          <w:rFonts w:ascii="Arial" w:hAnsi="Arial" w:cs="Arial"/>
          <w:color w:val="000000" w:themeColor="text1"/>
        </w:rPr>
        <w:t>Healthcare organisations rely on governance structures that determine where authority, accountability and decision-making are located. These structures generally operate along a continuum between centralisation and decentralisation</w:t>
      </w:r>
      <w:r w:rsidR="00C506D4" w:rsidRPr="00707D13">
        <w:rPr>
          <w:rFonts w:ascii="Arial" w:hAnsi="Arial" w:cs="Arial"/>
          <w:color w:val="000000" w:themeColor="text1"/>
        </w:rPr>
        <w:t>:</w:t>
      </w:r>
    </w:p>
    <w:p w14:paraId="16B8CFE9" w14:textId="0707382B" w:rsidR="00C506D4" w:rsidRPr="00707D13" w:rsidRDefault="00A218D6" w:rsidP="00877015">
      <w:pPr>
        <w:spacing w:line="360" w:lineRule="auto"/>
        <w:jc w:val="both"/>
        <w:rPr>
          <w:rFonts w:ascii="Arial" w:hAnsi="Arial" w:cs="Arial"/>
          <w:b/>
          <w:bCs/>
          <w:color w:val="000000" w:themeColor="text1"/>
        </w:rPr>
      </w:pPr>
      <w:r w:rsidRPr="00707D13">
        <w:rPr>
          <w:rFonts w:ascii="Arial" w:hAnsi="Arial" w:cs="Arial"/>
          <w:b/>
          <w:bCs/>
          <w:color w:val="000000" w:themeColor="text1"/>
        </w:rPr>
        <w:lastRenderedPageBreak/>
        <w:t>Centralised System.</w:t>
      </w:r>
    </w:p>
    <w:p w14:paraId="3B1964AD" w14:textId="429A8D75" w:rsidR="008B190D" w:rsidRPr="00707D13" w:rsidRDefault="0012546E" w:rsidP="00877015">
      <w:pPr>
        <w:spacing w:line="360" w:lineRule="auto"/>
        <w:jc w:val="both"/>
        <w:rPr>
          <w:rFonts w:ascii="Arial" w:hAnsi="Arial" w:cs="Arial"/>
          <w:color w:val="000000" w:themeColor="text1"/>
        </w:rPr>
      </w:pPr>
      <w:r w:rsidRPr="00707D13">
        <w:rPr>
          <w:rFonts w:ascii="Arial" w:hAnsi="Arial" w:cs="Arial"/>
          <w:color w:val="000000" w:themeColor="text1"/>
        </w:rPr>
        <w:t xml:space="preserve">A </w:t>
      </w:r>
      <w:r w:rsidR="00BB6C93" w:rsidRPr="00707D13">
        <w:rPr>
          <w:rFonts w:ascii="Arial" w:hAnsi="Arial" w:cs="Arial"/>
          <w:color w:val="000000" w:themeColor="text1"/>
        </w:rPr>
        <w:t>centralised</w:t>
      </w:r>
      <w:r w:rsidRPr="00707D13">
        <w:rPr>
          <w:rFonts w:ascii="Arial" w:hAnsi="Arial" w:cs="Arial"/>
          <w:color w:val="000000" w:themeColor="text1"/>
        </w:rPr>
        <w:t xml:space="preserve"> healthcare system places the responsibility for funding, policy, regulation, and strategic planning under the national government or a central authority</w:t>
      </w:r>
      <w:r w:rsidR="00BB6C93" w:rsidRPr="00707D13">
        <w:rPr>
          <w:rFonts w:ascii="Arial" w:hAnsi="Arial" w:cs="Arial"/>
          <w:color w:val="000000" w:themeColor="text1"/>
        </w:rPr>
        <w:t xml:space="preserve"> </w:t>
      </w:r>
      <w:r w:rsidR="00434439" w:rsidRPr="00707D13">
        <w:rPr>
          <w:rFonts w:ascii="Arial" w:hAnsi="Arial" w:cs="Arial"/>
          <w:color w:val="000000" w:themeColor="text1"/>
        </w:rPr>
        <w:t xml:space="preserve">(Beazley </w:t>
      </w:r>
      <w:r w:rsidR="00434439" w:rsidRPr="00707D13">
        <w:rPr>
          <w:rFonts w:ascii="Arial" w:hAnsi="Arial" w:cs="Arial"/>
          <w:i/>
          <w:iCs/>
          <w:color w:val="000000" w:themeColor="text1"/>
        </w:rPr>
        <w:t>et al</w:t>
      </w:r>
      <w:r w:rsidR="00434439" w:rsidRPr="00707D13">
        <w:rPr>
          <w:rFonts w:ascii="Arial" w:hAnsi="Arial" w:cs="Arial"/>
          <w:color w:val="000000" w:themeColor="text1"/>
        </w:rPr>
        <w:t>., 2019). This approach promotes consistent standards, equitable resource allocation and national accountability. Examples include the United Kingdom (NHS), New Zealand, Greece, Chile and Iceland. In a centralised healthcare system, strategic decisions are made by national authorities. For example, NHS England develops national patient safety policies, while local NHS organisations are responsible for implementing these standards consistently across healthcare services (NHS England, 2022</w:t>
      </w:r>
      <w:r w:rsidR="003836AB" w:rsidRPr="00707D13">
        <w:rPr>
          <w:rFonts w:ascii="Arial" w:hAnsi="Arial" w:cs="Arial"/>
          <w:color w:val="000000" w:themeColor="text1"/>
        </w:rPr>
        <w:t xml:space="preserve">; </w:t>
      </w:r>
      <w:r w:rsidR="00813079" w:rsidRPr="00707D13">
        <w:rPr>
          <w:rFonts w:ascii="Arial" w:hAnsi="Arial" w:cs="Arial"/>
          <w:color w:val="000000" w:themeColor="text1"/>
        </w:rPr>
        <w:t>OECD, 2023).</w:t>
      </w:r>
      <w:r w:rsidR="003836AB" w:rsidRPr="00707D13">
        <w:rPr>
          <w:rFonts w:ascii="Arial" w:hAnsi="Arial" w:cs="Arial"/>
          <w:color w:val="000000" w:themeColor="text1"/>
        </w:rPr>
        <w:t xml:space="preserve"> </w:t>
      </w:r>
      <w:r w:rsidR="008B190D" w:rsidRPr="00707D13">
        <w:rPr>
          <w:rFonts w:ascii="Arial" w:hAnsi="Arial" w:cs="Arial"/>
          <w:color w:val="000000" w:themeColor="text1"/>
        </w:rPr>
        <w:t>Len's case demonstrates that both approaches are necessary but must be balanced effectively to improve patient safety.</w:t>
      </w:r>
    </w:p>
    <w:p w14:paraId="4AADC216" w14:textId="139E9380" w:rsidR="00F3135D" w:rsidRPr="00707D13" w:rsidRDefault="006A5110" w:rsidP="002B2904">
      <w:pPr>
        <w:spacing w:line="360" w:lineRule="auto"/>
        <w:jc w:val="both"/>
        <w:rPr>
          <w:rFonts w:ascii="Arial" w:hAnsi="Arial" w:cs="Arial"/>
          <w:color w:val="000000" w:themeColor="text1"/>
        </w:rPr>
      </w:pPr>
      <w:r w:rsidRPr="00707D13">
        <w:rPr>
          <w:rFonts w:ascii="Arial" w:hAnsi="Arial" w:cs="Arial"/>
          <w:color w:val="000000" w:themeColor="text1"/>
        </w:rPr>
        <w:t xml:space="preserve">According to NHS England </w:t>
      </w:r>
      <w:r w:rsidR="00C247F8" w:rsidRPr="00707D13">
        <w:rPr>
          <w:rFonts w:ascii="Arial" w:hAnsi="Arial" w:cs="Arial"/>
          <w:color w:val="000000" w:themeColor="text1"/>
        </w:rPr>
        <w:t>(</w:t>
      </w:r>
      <w:r w:rsidRPr="00707D13">
        <w:rPr>
          <w:rFonts w:ascii="Arial" w:hAnsi="Arial" w:cs="Arial"/>
          <w:color w:val="000000" w:themeColor="text1"/>
        </w:rPr>
        <w:t>2024)</w:t>
      </w:r>
      <w:r w:rsidR="00C247F8" w:rsidRPr="00707D13">
        <w:rPr>
          <w:rFonts w:ascii="Arial" w:hAnsi="Arial" w:cs="Arial"/>
          <w:color w:val="000000" w:themeColor="text1"/>
        </w:rPr>
        <w:t>,</w:t>
      </w:r>
      <w:r w:rsidR="00C65EAD" w:rsidRPr="00707D13">
        <w:rPr>
          <w:rFonts w:ascii="Arial" w:hAnsi="Arial" w:cs="Arial"/>
          <w:color w:val="000000" w:themeColor="text1"/>
        </w:rPr>
        <w:t xml:space="preserve"> </w:t>
      </w:r>
      <w:r w:rsidR="008B190D" w:rsidRPr="00707D13">
        <w:rPr>
          <w:rFonts w:ascii="Arial" w:hAnsi="Arial" w:cs="Arial"/>
          <w:color w:val="000000" w:themeColor="text1"/>
        </w:rPr>
        <w:t>NHS</w:t>
      </w:r>
      <w:r w:rsidR="00C247F8" w:rsidRPr="00707D13">
        <w:rPr>
          <w:rFonts w:ascii="Arial" w:hAnsi="Arial" w:cs="Arial"/>
          <w:color w:val="000000" w:themeColor="text1"/>
        </w:rPr>
        <w:t xml:space="preserve"> </w:t>
      </w:r>
      <w:r w:rsidR="008B190D" w:rsidRPr="00707D13">
        <w:rPr>
          <w:rFonts w:ascii="Arial" w:hAnsi="Arial" w:cs="Arial"/>
          <w:color w:val="000000" w:themeColor="text1"/>
        </w:rPr>
        <w:t xml:space="preserve">medication safety is largely governed </w:t>
      </w:r>
      <w:r w:rsidR="00C53539" w:rsidRPr="00707D13">
        <w:rPr>
          <w:rFonts w:ascii="Arial" w:hAnsi="Arial" w:cs="Arial"/>
          <w:color w:val="000000" w:themeColor="text1"/>
        </w:rPr>
        <w:t>by</w:t>
      </w:r>
      <w:r w:rsidR="008B190D" w:rsidRPr="00707D13">
        <w:rPr>
          <w:rFonts w:ascii="Arial" w:hAnsi="Arial" w:cs="Arial"/>
          <w:color w:val="000000" w:themeColor="text1"/>
        </w:rPr>
        <w:t xml:space="preserve"> a centralised framework. National organisations, including NHS England, NICE, the Medicines and Healthcare products Regulatory Agency (MHRA) and HSSIB, establish clinical standards, prescribing guidance, medicines optimisation policies and patient safety recommendations. For example, following investigations into medication-related harm, NHS England has introduced national initiatives </w:t>
      </w:r>
      <w:r w:rsidR="003D2EB5" w:rsidRPr="00707D13">
        <w:rPr>
          <w:rFonts w:ascii="Arial" w:hAnsi="Arial" w:cs="Arial"/>
          <w:color w:val="000000" w:themeColor="text1"/>
        </w:rPr>
        <w:t xml:space="preserve">for </w:t>
      </w:r>
      <w:r w:rsidR="008B190D" w:rsidRPr="00707D13">
        <w:rPr>
          <w:rFonts w:ascii="Arial" w:hAnsi="Arial" w:cs="Arial"/>
          <w:color w:val="000000" w:themeColor="text1"/>
        </w:rPr>
        <w:t>the Patient Safety Strategy and PSIRF to standardise incident learning across organisations (NHS England, 20</w:t>
      </w:r>
      <w:r w:rsidR="0001315A" w:rsidRPr="00707D13">
        <w:rPr>
          <w:rFonts w:ascii="Arial" w:hAnsi="Arial" w:cs="Arial"/>
          <w:color w:val="000000" w:themeColor="text1"/>
        </w:rPr>
        <w:t>26</w:t>
      </w:r>
      <w:r w:rsidR="008B190D" w:rsidRPr="00707D13">
        <w:rPr>
          <w:rFonts w:ascii="Arial" w:hAnsi="Arial" w:cs="Arial"/>
          <w:color w:val="000000" w:themeColor="text1"/>
        </w:rPr>
        <w:t xml:space="preserve">; NHS England, 2022). </w:t>
      </w:r>
      <w:r w:rsidR="00B50476" w:rsidRPr="00707D13">
        <w:rPr>
          <w:rFonts w:ascii="Arial" w:hAnsi="Arial" w:cs="Arial"/>
          <w:color w:val="000000" w:themeColor="text1"/>
        </w:rPr>
        <w:t xml:space="preserve">According to Smith </w:t>
      </w:r>
      <w:r w:rsidR="00B50476" w:rsidRPr="00707D13">
        <w:rPr>
          <w:rFonts w:ascii="Arial" w:hAnsi="Arial" w:cs="Arial"/>
          <w:i/>
          <w:iCs/>
          <w:color w:val="000000" w:themeColor="text1"/>
        </w:rPr>
        <w:t>et al.</w:t>
      </w:r>
      <w:r w:rsidR="00B50476" w:rsidRPr="00707D13">
        <w:rPr>
          <w:rFonts w:ascii="Arial" w:hAnsi="Arial" w:cs="Arial"/>
          <w:color w:val="000000" w:themeColor="text1"/>
        </w:rPr>
        <w:t xml:space="preserve"> (2004)</w:t>
      </w:r>
      <w:r w:rsidR="00B512E6" w:rsidRPr="00707D13">
        <w:rPr>
          <w:rFonts w:ascii="Arial" w:hAnsi="Arial" w:cs="Arial"/>
          <w:color w:val="000000" w:themeColor="text1"/>
        </w:rPr>
        <w:t>, t</w:t>
      </w:r>
      <w:r w:rsidR="00174659" w:rsidRPr="00707D13">
        <w:rPr>
          <w:rFonts w:ascii="Arial" w:hAnsi="Arial" w:cs="Arial"/>
          <w:color w:val="000000" w:themeColor="text1"/>
        </w:rPr>
        <w:t xml:space="preserve">he primary benefit of centralization in healthcare is the reduction of variation in clinical practices, promoting equitable care and facilitating organizational learning through standardized guidelines. The investigation into Len's case underscores the importance of centralized learning in enhancing medication safety. Nevertheless, excessive centralization can overlook individual patient needs, particularly for older adults with complex health issues. In Len's situation, </w:t>
      </w:r>
      <w:r w:rsidR="002B032E" w:rsidRPr="00707D13">
        <w:rPr>
          <w:rFonts w:ascii="Arial" w:hAnsi="Arial" w:cs="Arial"/>
          <w:color w:val="000000" w:themeColor="text1"/>
        </w:rPr>
        <w:t>dependence</w:t>
      </w:r>
      <w:r w:rsidR="00174659" w:rsidRPr="00707D13">
        <w:rPr>
          <w:rFonts w:ascii="Arial" w:hAnsi="Arial" w:cs="Arial"/>
          <w:color w:val="000000" w:themeColor="text1"/>
        </w:rPr>
        <w:t xml:space="preserve"> solely on national guidelines </w:t>
      </w:r>
      <w:r w:rsidR="00EE0A06" w:rsidRPr="00707D13">
        <w:rPr>
          <w:rFonts w:ascii="Arial" w:hAnsi="Arial" w:cs="Arial"/>
          <w:color w:val="000000" w:themeColor="text1"/>
        </w:rPr>
        <w:t>leads to</w:t>
      </w:r>
      <w:r w:rsidR="00174659" w:rsidRPr="00707D13">
        <w:rPr>
          <w:rFonts w:ascii="Arial" w:hAnsi="Arial" w:cs="Arial"/>
          <w:color w:val="000000" w:themeColor="text1"/>
        </w:rPr>
        <w:t xml:space="preserve"> inadequate patient understanding, highlighting the necessity of combining standardi</w:t>
      </w:r>
      <w:r w:rsidR="00C634C3" w:rsidRPr="00707D13">
        <w:rPr>
          <w:rFonts w:ascii="Arial" w:hAnsi="Arial" w:cs="Arial"/>
          <w:color w:val="000000" w:themeColor="text1"/>
        </w:rPr>
        <w:t>s</w:t>
      </w:r>
      <w:r w:rsidR="00174659" w:rsidRPr="00707D13">
        <w:rPr>
          <w:rFonts w:ascii="Arial" w:hAnsi="Arial" w:cs="Arial"/>
          <w:color w:val="000000" w:themeColor="text1"/>
        </w:rPr>
        <w:t xml:space="preserve">ation with professional judgement and effective communication. </w:t>
      </w:r>
    </w:p>
    <w:p w14:paraId="3F952765" w14:textId="3805CB89" w:rsidR="00FE4F2E" w:rsidRPr="00707D13" w:rsidRDefault="00FE4F2E" w:rsidP="002B2904">
      <w:pPr>
        <w:spacing w:line="360" w:lineRule="auto"/>
        <w:jc w:val="both"/>
        <w:rPr>
          <w:rFonts w:ascii="Arial" w:hAnsi="Arial" w:cs="Arial"/>
          <w:b/>
          <w:bCs/>
          <w:color w:val="000000" w:themeColor="text1"/>
        </w:rPr>
      </w:pPr>
      <w:r w:rsidRPr="00707D13">
        <w:rPr>
          <w:rFonts w:ascii="Arial" w:hAnsi="Arial" w:cs="Arial"/>
          <w:b/>
          <w:bCs/>
          <w:color w:val="000000" w:themeColor="text1"/>
        </w:rPr>
        <w:t>Decentralised systems.</w:t>
      </w:r>
    </w:p>
    <w:p w14:paraId="0C6D9782" w14:textId="3A19A178" w:rsidR="00801350" w:rsidRPr="00707D13" w:rsidRDefault="00F72593" w:rsidP="00B96372">
      <w:pPr>
        <w:spacing w:line="360" w:lineRule="auto"/>
        <w:jc w:val="both"/>
        <w:rPr>
          <w:rFonts w:ascii="Arial" w:hAnsi="Arial" w:cs="Arial"/>
          <w:color w:val="000000" w:themeColor="text1"/>
        </w:rPr>
      </w:pPr>
      <w:r w:rsidRPr="00707D13">
        <w:rPr>
          <w:rFonts w:ascii="Arial" w:hAnsi="Arial" w:cs="Arial"/>
          <w:color w:val="000000" w:themeColor="text1"/>
        </w:rPr>
        <w:t>A decentralised healthcare system distributes decision-making authority to regional or local organisations. Countries such as Germany, Switzerland</w:t>
      </w:r>
      <w:r w:rsidR="00462D5B" w:rsidRPr="00707D13">
        <w:rPr>
          <w:rFonts w:ascii="Arial" w:hAnsi="Arial" w:cs="Arial"/>
          <w:color w:val="000000" w:themeColor="text1"/>
        </w:rPr>
        <w:t>,</w:t>
      </w:r>
      <w:r w:rsidR="004C657C" w:rsidRPr="00707D13">
        <w:rPr>
          <w:rFonts w:ascii="Arial" w:hAnsi="Arial" w:cs="Arial"/>
          <w:color w:val="000000" w:themeColor="text1"/>
        </w:rPr>
        <w:t xml:space="preserve"> </w:t>
      </w:r>
      <w:r w:rsidR="00462D5B" w:rsidRPr="00707D13">
        <w:rPr>
          <w:rFonts w:ascii="Arial" w:hAnsi="Arial" w:cs="Arial"/>
          <w:color w:val="000000" w:themeColor="text1"/>
        </w:rPr>
        <w:t>Spain</w:t>
      </w:r>
      <w:r w:rsidR="00811AA2" w:rsidRPr="00707D13">
        <w:rPr>
          <w:rFonts w:ascii="Arial" w:hAnsi="Arial" w:cs="Arial"/>
          <w:color w:val="000000" w:themeColor="text1"/>
        </w:rPr>
        <w:t>,</w:t>
      </w:r>
      <w:r w:rsidRPr="00707D13">
        <w:rPr>
          <w:rFonts w:ascii="Arial" w:hAnsi="Arial" w:cs="Arial"/>
          <w:color w:val="000000" w:themeColor="text1"/>
        </w:rPr>
        <w:t xml:space="preserve"> </w:t>
      </w:r>
      <w:r w:rsidR="00811AA2" w:rsidRPr="00707D13">
        <w:rPr>
          <w:rFonts w:ascii="Arial" w:hAnsi="Arial" w:cs="Arial"/>
          <w:color w:val="000000" w:themeColor="text1"/>
        </w:rPr>
        <w:t>Pakistan</w:t>
      </w:r>
      <w:r w:rsidR="00532576" w:rsidRPr="00707D13">
        <w:rPr>
          <w:rFonts w:ascii="Arial" w:hAnsi="Arial" w:cs="Arial"/>
          <w:color w:val="000000" w:themeColor="text1"/>
        </w:rPr>
        <w:t xml:space="preserve"> </w:t>
      </w:r>
      <w:r w:rsidR="00811AA2" w:rsidRPr="00707D13">
        <w:rPr>
          <w:rFonts w:ascii="Arial" w:hAnsi="Arial" w:cs="Arial"/>
          <w:color w:val="000000" w:themeColor="text1"/>
        </w:rPr>
        <w:t>and India</w:t>
      </w:r>
      <w:r w:rsidRPr="00707D13">
        <w:rPr>
          <w:rFonts w:ascii="Arial" w:hAnsi="Arial" w:cs="Arial"/>
          <w:color w:val="000000" w:themeColor="text1"/>
        </w:rPr>
        <w:t xml:space="preserve"> use this model, allowing local providers to plan, manage and deliver services according to population needs (OECD, 2023</w:t>
      </w:r>
      <w:r w:rsidR="0062353F">
        <w:rPr>
          <w:rFonts w:ascii="Arial" w:hAnsi="Arial" w:cs="Arial"/>
          <w:color w:val="000000" w:themeColor="text1"/>
        </w:rPr>
        <w:t xml:space="preserve">; </w:t>
      </w:r>
      <w:r w:rsidR="0062353F" w:rsidRPr="0062353F">
        <w:rPr>
          <w:rFonts w:ascii="Arial" w:hAnsi="Arial" w:cs="Arial"/>
          <w:color w:val="000000" w:themeColor="text1"/>
        </w:rPr>
        <w:t>Mahmood et al., 2024)</w:t>
      </w:r>
      <w:r w:rsidR="004507E5" w:rsidRPr="00707D13">
        <w:rPr>
          <w:rFonts w:ascii="Arial" w:hAnsi="Arial" w:cs="Arial"/>
          <w:color w:val="000000" w:themeColor="text1"/>
        </w:rPr>
        <w:t xml:space="preserve">. </w:t>
      </w:r>
      <w:r w:rsidR="008B190D" w:rsidRPr="00707D13">
        <w:rPr>
          <w:rFonts w:ascii="Arial" w:hAnsi="Arial" w:cs="Arial"/>
          <w:color w:val="000000" w:themeColor="text1"/>
        </w:rPr>
        <w:t xml:space="preserve">For example, a community pharmacist could have recognised Len's vulnerability by observing his age, neurological condition and reliance </w:t>
      </w:r>
      <w:r w:rsidR="008B190D" w:rsidRPr="00707D13">
        <w:rPr>
          <w:rFonts w:ascii="Arial" w:hAnsi="Arial" w:cs="Arial"/>
          <w:color w:val="000000" w:themeColor="text1"/>
        </w:rPr>
        <w:lastRenderedPageBreak/>
        <w:t xml:space="preserve">on his wife for medicine administration, prompting additional counselling or demonstration of dose measurement. </w:t>
      </w:r>
    </w:p>
    <w:p w14:paraId="21906B1C" w14:textId="77777777" w:rsidR="00426FFD" w:rsidRPr="00707D13" w:rsidRDefault="008B190D" w:rsidP="00B96372">
      <w:pPr>
        <w:spacing w:line="360" w:lineRule="auto"/>
        <w:jc w:val="both"/>
        <w:rPr>
          <w:rFonts w:ascii="Arial" w:hAnsi="Arial" w:cs="Arial"/>
          <w:color w:val="000000" w:themeColor="text1"/>
        </w:rPr>
      </w:pPr>
      <w:r w:rsidRPr="00707D13">
        <w:rPr>
          <w:rFonts w:ascii="Arial" w:hAnsi="Arial" w:cs="Arial"/>
          <w:color w:val="000000" w:themeColor="text1"/>
        </w:rPr>
        <w:t>The benefits of decentralisation include faster decision-making, greater staff engagement and enhanced responsiveness to patient needs. Evidence suggests that organisations encouraging frontline staff to identify safety concerns and contribute to service improvement demonstrate stronger patient safety cultures than highly hierarchical organisations (West et al., 2015).</w:t>
      </w:r>
      <w:r w:rsidR="00812169" w:rsidRPr="00707D13">
        <w:rPr>
          <w:rFonts w:ascii="Arial" w:hAnsi="Arial" w:cs="Arial"/>
          <w:color w:val="000000" w:themeColor="text1"/>
        </w:rPr>
        <w:t xml:space="preserve"> </w:t>
      </w:r>
      <w:r w:rsidR="00B552D7" w:rsidRPr="00707D13">
        <w:rPr>
          <w:rFonts w:ascii="Arial" w:hAnsi="Arial" w:cs="Arial"/>
          <w:color w:val="000000" w:themeColor="text1"/>
        </w:rPr>
        <w:t>D</w:t>
      </w:r>
      <w:r w:rsidRPr="00707D13">
        <w:rPr>
          <w:rFonts w:ascii="Arial" w:hAnsi="Arial" w:cs="Arial"/>
          <w:color w:val="000000" w:themeColor="text1"/>
        </w:rPr>
        <w:t>ecentralised systems require strong leadership, shared standards and effective communication to ensure that local autonomy remains aligned with national patient safety objectives</w:t>
      </w:r>
      <w:r w:rsidR="00D266B1" w:rsidRPr="00707D13">
        <w:rPr>
          <w:rFonts w:ascii="Arial" w:hAnsi="Arial" w:cs="Arial"/>
          <w:color w:val="000000" w:themeColor="text1"/>
        </w:rPr>
        <w:t xml:space="preserve"> </w:t>
      </w:r>
      <w:r w:rsidR="005679D5" w:rsidRPr="00707D13">
        <w:rPr>
          <w:rFonts w:ascii="Arial" w:hAnsi="Arial" w:cs="Arial"/>
          <w:color w:val="000000" w:themeColor="text1"/>
        </w:rPr>
        <w:t>(</w:t>
      </w:r>
      <w:r w:rsidR="007032C1" w:rsidRPr="00707D13">
        <w:rPr>
          <w:rFonts w:ascii="Arial" w:hAnsi="Arial" w:cs="Arial"/>
          <w:color w:val="000000" w:themeColor="text1"/>
        </w:rPr>
        <w:t>Abimbola</w:t>
      </w:r>
      <w:r w:rsidR="005679D5" w:rsidRPr="00707D13">
        <w:rPr>
          <w:rFonts w:ascii="Arial" w:hAnsi="Arial" w:cs="Arial"/>
          <w:color w:val="000000" w:themeColor="text1"/>
        </w:rPr>
        <w:t>,</w:t>
      </w:r>
      <w:r w:rsidR="007032C1" w:rsidRPr="00707D13">
        <w:rPr>
          <w:rFonts w:ascii="Arial" w:hAnsi="Arial" w:cs="Arial"/>
          <w:color w:val="000000" w:themeColor="text1"/>
        </w:rPr>
        <w:t xml:space="preserve"> Baatiema and Bigdeli</w:t>
      </w:r>
      <w:r w:rsidR="00723478" w:rsidRPr="00707D13">
        <w:rPr>
          <w:rFonts w:ascii="Arial" w:hAnsi="Arial" w:cs="Arial"/>
          <w:color w:val="000000" w:themeColor="text1"/>
        </w:rPr>
        <w:t>,</w:t>
      </w:r>
      <w:r w:rsidR="005679D5" w:rsidRPr="00707D13">
        <w:rPr>
          <w:rFonts w:ascii="Arial" w:hAnsi="Arial" w:cs="Arial"/>
          <w:color w:val="000000" w:themeColor="text1"/>
        </w:rPr>
        <w:t xml:space="preserve"> </w:t>
      </w:r>
      <w:r w:rsidR="007032C1" w:rsidRPr="00707D13">
        <w:rPr>
          <w:rFonts w:ascii="Arial" w:hAnsi="Arial" w:cs="Arial"/>
          <w:color w:val="000000" w:themeColor="text1"/>
        </w:rPr>
        <w:t>2019)</w:t>
      </w:r>
      <w:r w:rsidR="00D266B1" w:rsidRPr="00707D13">
        <w:rPr>
          <w:rFonts w:ascii="Arial" w:hAnsi="Arial" w:cs="Arial"/>
          <w:color w:val="000000" w:themeColor="text1"/>
        </w:rPr>
        <w:t>.</w:t>
      </w:r>
      <w:r w:rsidR="007032C1" w:rsidRPr="00707D13">
        <w:rPr>
          <w:rFonts w:ascii="Arial" w:hAnsi="Arial" w:cs="Arial"/>
          <w:color w:val="000000" w:themeColor="text1"/>
        </w:rPr>
        <w:t xml:space="preserve"> </w:t>
      </w:r>
    </w:p>
    <w:p w14:paraId="575346A1" w14:textId="77777777" w:rsidR="00FB2B4C" w:rsidRPr="00707D13" w:rsidRDefault="00FB2B4C" w:rsidP="00426FFD">
      <w:pPr>
        <w:spacing w:line="360" w:lineRule="auto"/>
        <w:jc w:val="both"/>
        <w:rPr>
          <w:rFonts w:ascii="Arial" w:hAnsi="Arial" w:cs="Arial"/>
          <w:b/>
          <w:bCs/>
          <w:color w:val="000000" w:themeColor="text1"/>
        </w:rPr>
      </w:pPr>
    </w:p>
    <w:p w14:paraId="02AD09ED" w14:textId="77777777" w:rsidR="00A75563" w:rsidRPr="00707D13" w:rsidRDefault="00A75563" w:rsidP="00A75563">
      <w:pPr>
        <w:spacing w:after="0" w:line="360" w:lineRule="auto"/>
        <w:jc w:val="both"/>
        <w:rPr>
          <w:rFonts w:ascii="Arial" w:hAnsi="Arial" w:cs="Arial"/>
          <w:b/>
          <w:bCs/>
          <w:color w:val="000000" w:themeColor="text1"/>
          <w:sz w:val="28"/>
          <w:szCs w:val="28"/>
        </w:rPr>
      </w:pPr>
      <w:r w:rsidRPr="00707D13">
        <w:rPr>
          <w:rFonts w:ascii="Arial" w:hAnsi="Arial" w:cs="Arial"/>
          <w:b/>
          <w:bCs/>
          <w:color w:val="000000" w:themeColor="text1"/>
          <w:sz w:val="28"/>
          <w:szCs w:val="28"/>
        </w:rPr>
        <w:t>Critical analysis</w:t>
      </w:r>
    </w:p>
    <w:p w14:paraId="66676A4C" w14:textId="77777777" w:rsidR="002528AB" w:rsidRPr="00707D13" w:rsidRDefault="002528AB" w:rsidP="00A75563">
      <w:pPr>
        <w:spacing w:after="0" w:line="360" w:lineRule="auto"/>
        <w:jc w:val="both"/>
        <w:rPr>
          <w:rFonts w:ascii="Arial" w:hAnsi="Arial" w:cs="Arial"/>
          <w:color w:val="000000" w:themeColor="text1"/>
        </w:rPr>
      </w:pPr>
    </w:p>
    <w:p w14:paraId="43628BEF" w14:textId="7F39C5D5" w:rsidR="00A75563" w:rsidRPr="00707D13" w:rsidRDefault="00A75563" w:rsidP="00A75563">
      <w:pPr>
        <w:spacing w:after="0" w:line="360" w:lineRule="auto"/>
        <w:jc w:val="both"/>
        <w:rPr>
          <w:rFonts w:ascii="Arial" w:hAnsi="Arial" w:cs="Arial"/>
          <w:color w:val="000000" w:themeColor="text1"/>
        </w:rPr>
      </w:pPr>
      <w:r w:rsidRPr="00707D13">
        <w:rPr>
          <w:rFonts w:ascii="Arial" w:hAnsi="Arial" w:cs="Arial"/>
          <w:color w:val="000000" w:themeColor="text1"/>
        </w:rPr>
        <w:t>Len's case demonstrates that the NHS operates through a hybrid system combining centralised national oversight with decentralised clinical decision-making. National organisations, including NHS England, NICE and the MHRA, establish patient safety standards and prescribing guidance, while local healthcare professionals retain autonomy to adapt care to individual patient needs (NHS England, 2022; NICE, 2022). This structure promotes consistency across the NHS while allowing flexibility in managing complex clinical situations. However, the case also exposes the limitations of a hybrid system when communication and coordination between organisations are ineffective. Responsibility for prescribing, dispensing, counselling and monitoring was distributed across the GP, hospital clinicians and community pharmacy. Yet, no single professional ensured that Len and his wife understood the prescribed morphine dose. Consequently, fragmented accountability weakened crisis management and prevented national safety standards from being translated into safe frontline practice (HSSIB, 2024).</w:t>
      </w:r>
    </w:p>
    <w:p w14:paraId="369F2A91" w14:textId="77777777" w:rsidR="00A75563" w:rsidRPr="00707D13" w:rsidRDefault="00A75563" w:rsidP="00A75563">
      <w:pPr>
        <w:spacing w:after="0" w:line="360" w:lineRule="auto"/>
        <w:jc w:val="both"/>
        <w:rPr>
          <w:rFonts w:ascii="Arial" w:hAnsi="Arial" w:cs="Arial"/>
          <w:color w:val="000000" w:themeColor="text1"/>
        </w:rPr>
      </w:pPr>
    </w:p>
    <w:p w14:paraId="1330C5E2" w14:textId="230AD3DC" w:rsidR="00A75563" w:rsidRPr="00707D13" w:rsidRDefault="00A75563" w:rsidP="00A75563">
      <w:pPr>
        <w:spacing w:after="0" w:line="360" w:lineRule="auto"/>
        <w:jc w:val="both"/>
        <w:rPr>
          <w:rFonts w:ascii="Arial" w:hAnsi="Arial" w:cs="Arial"/>
          <w:color w:val="000000" w:themeColor="text1"/>
        </w:rPr>
      </w:pPr>
      <w:r w:rsidRPr="00707D13">
        <w:rPr>
          <w:rFonts w:ascii="Arial" w:hAnsi="Arial" w:cs="Arial"/>
          <w:color w:val="000000" w:themeColor="text1"/>
        </w:rPr>
        <w:t xml:space="preserve">National evidence highlights the scale of this systems challenge. Approximately 237 million medication errors occur annually in England, of which 66 million are potentially clinically significant, contributing to an estimated 1,708 avoidable deaths each year (Elliott et al., 2021). Similar systems failures were identified in the East Kent Maternity Investigation, where fragmented communication, poor organizational culture, and weak multidisciplinary coordination contributed to avoidable patient harm (Kirkup, 2022). These findings indicate </w:t>
      </w:r>
      <w:r w:rsidRPr="00707D13">
        <w:rPr>
          <w:rFonts w:ascii="Arial" w:hAnsi="Arial" w:cs="Arial"/>
          <w:color w:val="000000" w:themeColor="text1"/>
        </w:rPr>
        <w:lastRenderedPageBreak/>
        <w:t xml:space="preserve">that patient safety depends not only on </w:t>
      </w:r>
      <w:r w:rsidR="00083513" w:rsidRPr="00707D13">
        <w:rPr>
          <w:rFonts w:ascii="Arial" w:hAnsi="Arial" w:cs="Arial"/>
          <w:color w:val="000000" w:themeColor="text1"/>
        </w:rPr>
        <w:t>healthy</w:t>
      </w:r>
      <w:r w:rsidRPr="00707D13">
        <w:rPr>
          <w:rFonts w:ascii="Arial" w:hAnsi="Arial" w:cs="Arial"/>
          <w:color w:val="000000" w:themeColor="text1"/>
        </w:rPr>
        <w:t xml:space="preserve"> national standards but also on effective integration across organizations, clear accountability, and coordinated multidisciplinary working. From a systems perspective, centralization provides consistent national standards, whereas decentralization enables clinicians to respond to complex patient needs (Underwood, 2024). Sustainable improvement</w:t>
      </w:r>
      <w:r w:rsidR="00502345" w:rsidRPr="00707D13">
        <w:rPr>
          <w:rFonts w:ascii="Arial" w:hAnsi="Arial" w:cs="Arial"/>
          <w:color w:val="000000" w:themeColor="text1"/>
        </w:rPr>
        <w:t>, therefore, requires these elements to operate as an integrated system rather than as separate organizational functions (Souza and Alves, J.M., 2018)</w:t>
      </w:r>
      <w:r w:rsidRPr="00707D13">
        <w:rPr>
          <w:rFonts w:ascii="Arial" w:hAnsi="Arial" w:cs="Arial"/>
          <w:color w:val="000000" w:themeColor="text1"/>
        </w:rPr>
        <w:t>. In Len's case, stronger coordination among prescribers, pharmacists, and family carers, supported by effective communication and shared accountability, would have strengthened the system's resilience and reduced the risk of medication-related harm.</w:t>
      </w:r>
    </w:p>
    <w:p w14:paraId="51243456" w14:textId="77777777" w:rsidR="00A75563" w:rsidRPr="00707D13" w:rsidRDefault="00A75563" w:rsidP="00A75563">
      <w:pPr>
        <w:spacing w:after="0" w:line="360" w:lineRule="auto"/>
        <w:jc w:val="both"/>
        <w:rPr>
          <w:rFonts w:ascii="Arial" w:hAnsi="Arial" w:cs="Arial"/>
          <w:color w:val="000000" w:themeColor="text1"/>
        </w:rPr>
      </w:pPr>
    </w:p>
    <w:p w14:paraId="1BEEA25F" w14:textId="484D23DC" w:rsidR="000542DA" w:rsidRPr="0029759C" w:rsidRDefault="000542DA" w:rsidP="00CD5150">
      <w:pPr>
        <w:spacing w:line="360" w:lineRule="auto"/>
        <w:rPr>
          <w:rFonts w:ascii="Arial" w:hAnsi="Arial" w:cs="Arial"/>
          <w:b/>
          <w:bCs/>
          <w:color w:val="000000" w:themeColor="text1"/>
          <w:sz w:val="28"/>
          <w:szCs w:val="28"/>
        </w:rPr>
      </w:pPr>
      <w:r w:rsidRPr="0029759C">
        <w:rPr>
          <w:rFonts w:ascii="Arial" w:hAnsi="Arial" w:cs="Arial"/>
          <w:b/>
          <w:bCs/>
          <w:color w:val="000000" w:themeColor="text1"/>
          <w:sz w:val="28"/>
          <w:szCs w:val="28"/>
        </w:rPr>
        <w:t>Leadership Theories and Application to</w:t>
      </w:r>
      <w:r w:rsidR="00B0522E" w:rsidRPr="0029759C">
        <w:rPr>
          <w:rFonts w:ascii="Arial" w:hAnsi="Arial" w:cs="Arial"/>
          <w:b/>
          <w:bCs/>
          <w:color w:val="000000" w:themeColor="text1"/>
          <w:sz w:val="28"/>
          <w:szCs w:val="28"/>
        </w:rPr>
        <w:t xml:space="preserve"> </w:t>
      </w:r>
      <w:r w:rsidRPr="0029759C">
        <w:rPr>
          <w:rFonts w:ascii="Arial" w:hAnsi="Arial" w:cs="Arial"/>
          <w:b/>
          <w:bCs/>
          <w:color w:val="000000" w:themeColor="text1"/>
          <w:sz w:val="28"/>
          <w:szCs w:val="28"/>
        </w:rPr>
        <w:t>Len's Case</w:t>
      </w:r>
      <w:r w:rsidR="00B0522E" w:rsidRPr="0029759C">
        <w:rPr>
          <w:rFonts w:ascii="Arial" w:hAnsi="Arial" w:cs="Arial"/>
          <w:b/>
          <w:bCs/>
          <w:color w:val="000000" w:themeColor="text1"/>
          <w:sz w:val="28"/>
          <w:szCs w:val="28"/>
        </w:rPr>
        <w:t xml:space="preserve"> Study</w:t>
      </w:r>
      <w:r w:rsidR="0025389A" w:rsidRPr="0029759C">
        <w:rPr>
          <w:rFonts w:ascii="Arial" w:hAnsi="Arial" w:cs="Arial"/>
          <w:b/>
          <w:bCs/>
          <w:color w:val="000000" w:themeColor="text1"/>
          <w:sz w:val="28"/>
          <w:szCs w:val="28"/>
        </w:rPr>
        <w:t>.</w:t>
      </w:r>
    </w:p>
    <w:p w14:paraId="4DD93081" w14:textId="77103647" w:rsidR="000415D4" w:rsidRPr="00707D13" w:rsidRDefault="006A2305" w:rsidP="000415D4">
      <w:pPr>
        <w:spacing w:line="360" w:lineRule="auto"/>
        <w:jc w:val="both"/>
        <w:rPr>
          <w:rFonts w:ascii="Arial" w:hAnsi="Arial" w:cs="Arial"/>
          <w:color w:val="000000" w:themeColor="text1"/>
        </w:rPr>
      </w:pPr>
      <w:r w:rsidRPr="00707D13">
        <w:rPr>
          <w:rFonts w:ascii="Arial" w:hAnsi="Arial" w:cs="Arial"/>
          <w:color w:val="000000" w:themeColor="text1"/>
        </w:rPr>
        <w:t xml:space="preserve">3 leadership theories are widely recognised as effectively applied to Len's case </w:t>
      </w:r>
      <w:r w:rsidR="00511C7A" w:rsidRPr="00707D13">
        <w:rPr>
          <w:rFonts w:ascii="Arial" w:hAnsi="Arial" w:cs="Arial"/>
          <w:color w:val="000000" w:themeColor="text1"/>
        </w:rPr>
        <w:t>s</w:t>
      </w:r>
      <w:r w:rsidRPr="00707D13">
        <w:rPr>
          <w:rFonts w:ascii="Arial" w:hAnsi="Arial" w:cs="Arial"/>
          <w:color w:val="000000" w:themeColor="text1"/>
        </w:rPr>
        <w:t xml:space="preserve">tudy as critical determinants of healthcare quality, patient safety, and organisational performance </w:t>
      </w:r>
      <w:r w:rsidR="000542DA" w:rsidRPr="00707D13">
        <w:rPr>
          <w:rFonts w:ascii="Arial" w:hAnsi="Arial" w:cs="Arial"/>
          <w:color w:val="000000" w:themeColor="text1"/>
        </w:rPr>
        <w:t xml:space="preserve">(Northouse, 2022). In healthcare, effective leadership extends beyond directing clinical activities to promoting patient-centred care, improving multidisciplinary collaboration and ensuring that governance systems support safe practice. </w:t>
      </w:r>
    </w:p>
    <w:p w14:paraId="3761C0CC" w14:textId="77777777" w:rsidR="00EC3ACE" w:rsidRPr="00707D13" w:rsidRDefault="00EC3ACE" w:rsidP="00714732">
      <w:pPr>
        <w:spacing w:after="0" w:line="360" w:lineRule="auto"/>
        <w:jc w:val="both"/>
        <w:rPr>
          <w:rFonts w:ascii="Arial" w:hAnsi="Arial" w:cs="Arial"/>
          <w:b/>
          <w:bCs/>
          <w:color w:val="000000" w:themeColor="text1"/>
          <w:sz w:val="28"/>
          <w:szCs w:val="28"/>
        </w:rPr>
      </w:pPr>
    </w:p>
    <w:p w14:paraId="6DA91DDD" w14:textId="76AF1FBE" w:rsidR="000542DA" w:rsidRPr="00707D13" w:rsidRDefault="000542DA" w:rsidP="00714732">
      <w:pPr>
        <w:spacing w:after="0" w:line="360" w:lineRule="auto"/>
        <w:jc w:val="both"/>
        <w:rPr>
          <w:rFonts w:ascii="Arial" w:hAnsi="Arial" w:cs="Arial"/>
          <w:b/>
          <w:bCs/>
          <w:color w:val="000000" w:themeColor="text1"/>
          <w:sz w:val="28"/>
          <w:szCs w:val="28"/>
        </w:rPr>
      </w:pPr>
      <w:r w:rsidRPr="00707D13">
        <w:rPr>
          <w:rFonts w:ascii="Arial" w:hAnsi="Arial" w:cs="Arial"/>
          <w:b/>
          <w:bCs/>
          <w:color w:val="000000" w:themeColor="text1"/>
          <w:sz w:val="28"/>
          <w:szCs w:val="28"/>
        </w:rPr>
        <w:t>Transformational Leadership</w:t>
      </w:r>
      <w:r w:rsidR="00EB18F1" w:rsidRPr="00707D13">
        <w:rPr>
          <w:rFonts w:ascii="Arial" w:hAnsi="Arial" w:cs="Arial"/>
          <w:b/>
          <w:bCs/>
          <w:color w:val="000000" w:themeColor="text1"/>
          <w:sz w:val="28"/>
          <w:szCs w:val="28"/>
        </w:rPr>
        <w:t>.</w:t>
      </w:r>
    </w:p>
    <w:p w14:paraId="0257AFCB" w14:textId="77777777" w:rsidR="00714732" w:rsidRPr="00707D13" w:rsidRDefault="00714732" w:rsidP="00714732">
      <w:pPr>
        <w:spacing w:after="0" w:line="360" w:lineRule="auto"/>
        <w:jc w:val="both"/>
        <w:rPr>
          <w:rFonts w:ascii="Arial" w:hAnsi="Arial" w:cs="Arial"/>
          <w:color w:val="000000" w:themeColor="text1"/>
        </w:rPr>
      </w:pPr>
    </w:p>
    <w:p w14:paraId="3914B0FF" w14:textId="77777777" w:rsidR="000E45BA" w:rsidRPr="00707D13" w:rsidRDefault="000E45BA" w:rsidP="00714732">
      <w:pPr>
        <w:spacing w:after="0" w:line="360" w:lineRule="auto"/>
        <w:jc w:val="both"/>
        <w:rPr>
          <w:rFonts w:ascii="Arial" w:hAnsi="Arial" w:cs="Arial"/>
          <w:color w:val="000000" w:themeColor="text1"/>
        </w:rPr>
      </w:pPr>
      <w:r w:rsidRPr="00707D13">
        <w:rPr>
          <w:rFonts w:ascii="Arial" w:hAnsi="Arial" w:cs="Arial"/>
          <w:color w:val="000000" w:themeColor="text1"/>
        </w:rPr>
        <w:t xml:space="preserve">Transformational leadership, first proposed by Burns (1978) and further developed by Bass (1985), focuses on inspiring a shared vision, motivating employees, encouraging innovation and empowering staff to improve organisational performance (Chitiga, 2018). Within healthcare, transformational leaders foster psychologically safe environments where staff are encouraged to question practice, report patient safety concerns and learn from mistakes without fear of blame. Evidence indicates that transformational leadership is associated with stronger patient safety cultures, higher staff engagement and improved quality of care because it promotes collaboration, organisational learning and continuous service improvement (Alqurashi </w:t>
      </w:r>
      <w:r w:rsidRPr="00707D13">
        <w:rPr>
          <w:rFonts w:ascii="Arial" w:hAnsi="Arial" w:cs="Arial"/>
          <w:i/>
          <w:iCs/>
          <w:color w:val="000000" w:themeColor="text1"/>
        </w:rPr>
        <w:t>et al</w:t>
      </w:r>
      <w:r w:rsidRPr="00707D13">
        <w:rPr>
          <w:rFonts w:ascii="Arial" w:hAnsi="Arial" w:cs="Arial"/>
          <w:color w:val="000000" w:themeColor="text1"/>
        </w:rPr>
        <w:t>., 2025).</w:t>
      </w:r>
    </w:p>
    <w:p w14:paraId="02AA5A4D" w14:textId="77777777" w:rsidR="00714732" w:rsidRPr="00707D13" w:rsidRDefault="00714732" w:rsidP="00714732">
      <w:pPr>
        <w:spacing w:after="0" w:line="360" w:lineRule="auto"/>
        <w:jc w:val="both"/>
        <w:rPr>
          <w:rFonts w:ascii="Arial" w:hAnsi="Arial" w:cs="Arial"/>
          <w:color w:val="000000" w:themeColor="text1"/>
        </w:rPr>
      </w:pPr>
    </w:p>
    <w:p w14:paraId="745A669B" w14:textId="327286EF" w:rsidR="000E45BA" w:rsidRPr="00707D13" w:rsidRDefault="000E45BA" w:rsidP="00714732">
      <w:pPr>
        <w:spacing w:after="0" w:line="360" w:lineRule="auto"/>
        <w:jc w:val="both"/>
        <w:rPr>
          <w:rFonts w:ascii="Arial" w:hAnsi="Arial" w:cs="Arial"/>
          <w:color w:val="000000" w:themeColor="text1"/>
        </w:rPr>
      </w:pPr>
      <w:r w:rsidRPr="00707D13">
        <w:rPr>
          <w:rFonts w:ascii="Arial" w:hAnsi="Arial" w:cs="Arial"/>
          <w:color w:val="000000" w:themeColor="text1"/>
        </w:rPr>
        <w:t xml:space="preserve">Applying transformational leadership to Len's case suggests that organisational culture significantly influenced the events leading to the fatal morphine overdose. Although morphine was prescribed appropriately for symptom management, insufficient emphasis was </w:t>
      </w:r>
      <w:r w:rsidRPr="00707D13">
        <w:rPr>
          <w:rFonts w:ascii="Arial" w:hAnsi="Arial" w:cs="Arial"/>
          <w:color w:val="000000" w:themeColor="text1"/>
        </w:rPr>
        <w:lastRenderedPageBreak/>
        <w:t>placed on multidisciplinary communication and confirming that Len and his wife understood the prescribed dosage. A transformational leader would have encouraged collaboration between prescribers, pharmacists and other healthcare professionals while promoting patient education as a collective responsibility rather than an isolated clinical task (Shah, 2021). Furthermore, transformational leadership supports reflective practice and continuous organisational learning, principles that closely align with HSSIB's systems-based investigation methodology, which seeks to identify underlying system weaknesses rather than attribute blame to individuals (HSSIB, 2024; Rainey, 2025).</w:t>
      </w:r>
      <w:r w:rsidR="00714732" w:rsidRPr="00707D13">
        <w:rPr>
          <w:rFonts w:ascii="Arial" w:hAnsi="Arial" w:cs="Arial"/>
          <w:color w:val="000000" w:themeColor="text1"/>
        </w:rPr>
        <w:t xml:space="preserve"> </w:t>
      </w:r>
      <w:r w:rsidRPr="00707D13">
        <w:rPr>
          <w:rFonts w:ascii="Arial" w:hAnsi="Arial" w:cs="Arial"/>
          <w:color w:val="000000" w:themeColor="text1"/>
        </w:rPr>
        <w:t>Nevertheless, transformational leadership has limitations. Critics argue that its emphasis on long-term cultural change may be less effective during rapidly evolving clinical situations that require immediate operational decisions, clear protocols and direct supervision (Northouse, 2022). Therefore, transformational leadership alone would not have prevented Len's overdose; it must be complemented by effective clinical governance, medicines optimisation, robust communication processes and clearly defined accountability. Similar conclusions were reached in the Independent Investigation into East Kent Maternity Services, which found that poor leadership, fragmented communication and a weak organisational culture contributed to avoidable patient harm despite existing national standards (Kirkup, 2022). Consequently, transformational leadership provides a strong foundation for improving patient safety, but its effectiveness depends on integration with robust systems, multidisciplinary collaboration and evidence-based governance.</w:t>
      </w:r>
    </w:p>
    <w:p w14:paraId="349D1918" w14:textId="77777777" w:rsidR="009B774D" w:rsidRPr="00707D13" w:rsidRDefault="009B774D" w:rsidP="00714732">
      <w:pPr>
        <w:spacing w:after="0" w:line="360" w:lineRule="auto"/>
        <w:jc w:val="both"/>
        <w:rPr>
          <w:rFonts w:ascii="Arial" w:hAnsi="Arial" w:cs="Arial"/>
          <w:color w:val="000000" w:themeColor="text1"/>
        </w:rPr>
      </w:pPr>
    </w:p>
    <w:p w14:paraId="0CC0B59B" w14:textId="7B3819D8" w:rsidR="000542DA" w:rsidRPr="00707D13" w:rsidRDefault="000542DA" w:rsidP="00CD5150">
      <w:pPr>
        <w:spacing w:line="360" w:lineRule="auto"/>
        <w:rPr>
          <w:rFonts w:ascii="Arial" w:hAnsi="Arial" w:cs="Arial"/>
          <w:b/>
          <w:bCs/>
          <w:color w:val="000000" w:themeColor="text1"/>
          <w:sz w:val="28"/>
          <w:szCs w:val="28"/>
        </w:rPr>
      </w:pPr>
      <w:r w:rsidRPr="00707D13">
        <w:rPr>
          <w:rFonts w:ascii="Arial" w:hAnsi="Arial" w:cs="Arial"/>
          <w:b/>
          <w:bCs/>
          <w:color w:val="000000" w:themeColor="text1"/>
          <w:sz w:val="28"/>
          <w:szCs w:val="28"/>
        </w:rPr>
        <w:t>Transactional Leadership</w:t>
      </w:r>
      <w:r w:rsidR="00B222A6" w:rsidRPr="00707D13">
        <w:rPr>
          <w:rFonts w:ascii="Arial" w:hAnsi="Arial" w:cs="Arial"/>
          <w:b/>
          <w:bCs/>
          <w:color w:val="000000" w:themeColor="text1"/>
          <w:sz w:val="28"/>
          <w:szCs w:val="28"/>
        </w:rPr>
        <w:t>.</w:t>
      </w:r>
    </w:p>
    <w:p w14:paraId="5803B048" w14:textId="0C5DF15E" w:rsidR="000542DA" w:rsidRPr="00707D13" w:rsidRDefault="00166E08" w:rsidP="00B222A6">
      <w:pPr>
        <w:spacing w:line="360" w:lineRule="auto"/>
        <w:jc w:val="both"/>
        <w:rPr>
          <w:rFonts w:ascii="Arial" w:hAnsi="Arial" w:cs="Arial"/>
          <w:color w:val="000000" w:themeColor="text1"/>
        </w:rPr>
      </w:pPr>
      <w:r w:rsidRPr="00707D13">
        <w:rPr>
          <w:rFonts w:ascii="Arial" w:hAnsi="Arial" w:cs="Arial"/>
          <w:color w:val="000000" w:themeColor="text1"/>
        </w:rPr>
        <w:t xml:space="preserve">Bass (1985) developed the theory of transformational and transactional leadership, proposing that effective leaders influence performance through both inspiring change and managing structured expectations. </w:t>
      </w:r>
      <w:r w:rsidR="000542DA" w:rsidRPr="00707D13">
        <w:rPr>
          <w:rFonts w:ascii="Arial" w:hAnsi="Arial" w:cs="Arial"/>
          <w:color w:val="000000" w:themeColor="text1"/>
        </w:rPr>
        <w:t>Transactional leadership focuses on supervision, performance monitoring</w:t>
      </w:r>
      <w:r w:rsidR="00844C2F" w:rsidRPr="00707D13">
        <w:rPr>
          <w:rFonts w:ascii="Arial" w:hAnsi="Arial" w:cs="Arial"/>
          <w:color w:val="000000" w:themeColor="text1"/>
        </w:rPr>
        <w:t>,</w:t>
      </w:r>
      <w:r w:rsidR="000542DA" w:rsidRPr="00707D13">
        <w:rPr>
          <w:rFonts w:ascii="Arial" w:hAnsi="Arial" w:cs="Arial"/>
          <w:color w:val="000000" w:themeColor="text1"/>
        </w:rPr>
        <w:t xml:space="preserve"> and compliance with established procedures through systems of </w:t>
      </w:r>
      <w:r w:rsidR="00844C2F" w:rsidRPr="00707D13">
        <w:rPr>
          <w:rFonts w:ascii="Arial" w:hAnsi="Arial" w:cs="Arial"/>
          <w:color w:val="000000" w:themeColor="text1"/>
        </w:rPr>
        <w:t>compensation</w:t>
      </w:r>
      <w:r w:rsidR="000542DA" w:rsidRPr="00707D13">
        <w:rPr>
          <w:rFonts w:ascii="Arial" w:hAnsi="Arial" w:cs="Arial"/>
          <w:color w:val="000000" w:themeColor="text1"/>
        </w:rPr>
        <w:t xml:space="preserve"> and corrective </w:t>
      </w:r>
      <w:r w:rsidR="00D06D1C" w:rsidRPr="00707D13">
        <w:rPr>
          <w:rFonts w:ascii="Arial" w:hAnsi="Arial" w:cs="Arial"/>
          <w:color w:val="000000" w:themeColor="text1"/>
        </w:rPr>
        <w:t>actions</w:t>
      </w:r>
      <w:r w:rsidR="00CE0BE2" w:rsidRPr="00707D13">
        <w:rPr>
          <w:rFonts w:ascii="Arial" w:hAnsi="Arial" w:cs="Arial"/>
          <w:color w:val="000000" w:themeColor="text1"/>
        </w:rPr>
        <w:t xml:space="preserve"> </w:t>
      </w:r>
      <w:r w:rsidR="006D0DC7" w:rsidRPr="00707D13">
        <w:rPr>
          <w:rFonts w:ascii="Arial" w:hAnsi="Arial" w:cs="Arial"/>
          <w:color w:val="000000" w:themeColor="text1"/>
        </w:rPr>
        <w:t xml:space="preserve">(Mendoza </w:t>
      </w:r>
      <w:r w:rsidR="006D0DC7" w:rsidRPr="00707D13">
        <w:rPr>
          <w:rFonts w:ascii="Arial" w:hAnsi="Arial" w:cs="Arial"/>
          <w:i/>
          <w:iCs/>
          <w:color w:val="000000" w:themeColor="text1"/>
        </w:rPr>
        <w:t>et al.</w:t>
      </w:r>
      <w:r w:rsidR="006D0DC7" w:rsidRPr="00707D13">
        <w:rPr>
          <w:rFonts w:ascii="Arial" w:hAnsi="Arial" w:cs="Arial"/>
          <w:color w:val="000000" w:themeColor="text1"/>
        </w:rPr>
        <w:t xml:space="preserve"> 2023</w:t>
      </w:r>
      <w:r w:rsidR="00D06D1C" w:rsidRPr="00707D13">
        <w:rPr>
          <w:rFonts w:ascii="Arial" w:hAnsi="Arial" w:cs="Arial"/>
          <w:color w:val="000000" w:themeColor="text1"/>
        </w:rPr>
        <w:t>)</w:t>
      </w:r>
      <w:r w:rsidR="00BF6957" w:rsidRPr="00707D13">
        <w:rPr>
          <w:rFonts w:ascii="Arial" w:hAnsi="Arial" w:cs="Arial"/>
          <w:color w:val="000000" w:themeColor="text1"/>
        </w:rPr>
        <w:t xml:space="preserve">. </w:t>
      </w:r>
      <w:r w:rsidR="000542DA" w:rsidRPr="00707D13">
        <w:rPr>
          <w:rFonts w:ascii="Arial" w:hAnsi="Arial" w:cs="Arial"/>
          <w:color w:val="000000" w:themeColor="text1"/>
        </w:rPr>
        <w:t>Within healthcare organisations, transactional leadership contributes to governance by ensuring adherence to prescribing guidelines, medicines policies and regulatory standards. Standard operating procedures, medication audits and mandatory training programmes all reflect transactional leadership principles.</w:t>
      </w:r>
      <w:r w:rsidR="00CA2734" w:rsidRPr="00707D13">
        <w:rPr>
          <w:rFonts w:ascii="Arial" w:hAnsi="Arial" w:cs="Arial"/>
          <w:color w:val="000000" w:themeColor="text1"/>
        </w:rPr>
        <w:t xml:space="preserve"> Aarons (2006) found that transformational and transactional leadership were positively associated with healthcare professionals' attitudes towards adopting evidence-based practice.</w:t>
      </w:r>
    </w:p>
    <w:p w14:paraId="10DB4D5C" w14:textId="32409E04" w:rsidR="00FF42F1" w:rsidRPr="00707D13" w:rsidRDefault="000542DA" w:rsidP="00FF42F1">
      <w:pPr>
        <w:spacing w:line="360" w:lineRule="auto"/>
        <w:jc w:val="both"/>
        <w:rPr>
          <w:rFonts w:ascii="Arial" w:hAnsi="Arial" w:cs="Arial"/>
          <w:color w:val="000000" w:themeColor="text1"/>
        </w:rPr>
      </w:pPr>
      <w:r w:rsidRPr="00707D13">
        <w:rPr>
          <w:rFonts w:ascii="Arial" w:hAnsi="Arial" w:cs="Arial"/>
          <w:color w:val="000000" w:themeColor="text1"/>
        </w:rPr>
        <w:lastRenderedPageBreak/>
        <w:t>In Len's case, transactional leadership was evident through national prescribing guidance and medicines governance frameworks established by NHS England and NICE</w:t>
      </w:r>
      <w:r w:rsidR="00E37D6F" w:rsidRPr="00707D13">
        <w:rPr>
          <w:rFonts w:ascii="Arial" w:hAnsi="Arial" w:cs="Arial"/>
          <w:color w:val="000000" w:themeColor="text1"/>
        </w:rPr>
        <w:t xml:space="preserve"> (Shah, 2021)</w:t>
      </w:r>
      <w:r w:rsidR="004152B1" w:rsidRPr="00707D13">
        <w:rPr>
          <w:rFonts w:ascii="Arial" w:hAnsi="Arial" w:cs="Arial"/>
          <w:color w:val="000000" w:themeColor="text1"/>
        </w:rPr>
        <w:t xml:space="preserve">. </w:t>
      </w:r>
      <w:r w:rsidRPr="00707D13">
        <w:rPr>
          <w:rFonts w:ascii="Arial" w:hAnsi="Arial" w:cs="Arial"/>
          <w:color w:val="000000" w:themeColor="text1"/>
        </w:rPr>
        <w:t xml:space="preserve">These policies provided clear instructions regarding opioid prescribing and medicines optimisation. </w:t>
      </w:r>
      <w:r w:rsidR="00FF42F1" w:rsidRPr="00707D13">
        <w:rPr>
          <w:rFonts w:ascii="Arial" w:hAnsi="Arial" w:cs="Arial"/>
          <w:color w:val="000000" w:themeColor="text1"/>
        </w:rPr>
        <w:t>Compliance with policy is not enough to ensure patient safety</w:t>
      </w:r>
      <w:r w:rsidR="00AB38BF" w:rsidRPr="00707D13">
        <w:rPr>
          <w:rFonts w:ascii="Arial" w:hAnsi="Arial" w:cs="Arial"/>
          <w:color w:val="000000" w:themeColor="text1"/>
        </w:rPr>
        <w:t xml:space="preserve"> when</w:t>
      </w:r>
      <w:r w:rsidR="00FF42F1" w:rsidRPr="00707D13">
        <w:rPr>
          <w:rFonts w:ascii="Arial" w:hAnsi="Arial" w:cs="Arial"/>
          <w:color w:val="000000" w:themeColor="text1"/>
        </w:rPr>
        <w:t xml:space="preserve"> the incident procedural adherence failed to address the patient's misunderstanding due to inadequate communication and verification processes</w:t>
      </w:r>
      <w:r w:rsidR="00125B79" w:rsidRPr="00707D13">
        <w:rPr>
          <w:rFonts w:ascii="Arial" w:hAnsi="Arial" w:cs="Arial"/>
          <w:color w:val="000000" w:themeColor="text1"/>
        </w:rPr>
        <w:t xml:space="preserve"> </w:t>
      </w:r>
      <w:r w:rsidR="00122D1D" w:rsidRPr="00707D13">
        <w:rPr>
          <w:rFonts w:ascii="Arial" w:hAnsi="Arial" w:cs="Arial"/>
          <w:color w:val="000000" w:themeColor="text1"/>
        </w:rPr>
        <w:t>(</w:t>
      </w:r>
      <w:r w:rsidR="00122D1D" w:rsidRPr="00707D13">
        <w:rPr>
          <w:rFonts w:ascii="Arial" w:eastAsia="Times New Roman" w:hAnsi="Arial" w:cs="Arial"/>
          <w:color w:val="000000" w:themeColor="text1"/>
          <w:kern w:val="0"/>
          <w:lang w:eastAsia="en-GB"/>
          <w14:ligatures w14:val="none"/>
        </w:rPr>
        <w:t xml:space="preserve">Javadnia </w:t>
      </w:r>
      <w:r w:rsidR="00122D1D" w:rsidRPr="00707D13">
        <w:rPr>
          <w:rFonts w:ascii="Arial" w:eastAsia="Times New Roman" w:hAnsi="Arial" w:cs="Arial"/>
          <w:i/>
          <w:iCs/>
          <w:color w:val="000000" w:themeColor="text1"/>
          <w:kern w:val="0"/>
          <w:lang w:eastAsia="en-GB"/>
          <w14:ligatures w14:val="none"/>
        </w:rPr>
        <w:t>et al.</w:t>
      </w:r>
      <w:r w:rsidR="00122D1D" w:rsidRPr="00707D13">
        <w:rPr>
          <w:rFonts w:ascii="Arial" w:eastAsia="Times New Roman" w:hAnsi="Arial" w:cs="Arial"/>
          <w:color w:val="000000" w:themeColor="text1"/>
          <w:kern w:val="0"/>
          <w:lang w:eastAsia="en-GB"/>
          <w14:ligatures w14:val="none"/>
        </w:rPr>
        <w:t>, 2025)</w:t>
      </w:r>
      <w:r w:rsidR="00FF42F1" w:rsidRPr="00707D13">
        <w:rPr>
          <w:rFonts w:ascii="Arial" w:hAnsi="Arial" w:cs="Arial"/>
          <w:color w:val="000000" w:themeColor="text1"/>
        </w:rPr>
        <w:t>.</w:t>
      </w:r>
    </w:p>
    <w:p w14:paraId="1B3A7382" w14:textId="7CCE0D02" w:rsidR="000542DA" w:rsidRPr="00707D13" w:rsidRDefault="000542DA" w:rsidP="00790ED0">
      <w:pPr>
        <w:spacing w:line="360" w:lineRule="auto"/>
        <w:jc w:val="both"/>
        <w:rPr>
          <w:rFonts w:ascii="Arial" w:hAnsi="Arial" w:cs="Arial"/>
          <w:color w:val="000000" w:themeColor="text1"/>
        </w:rPr>
      </w:pPr>
      <w:r w:rsidRPr="00707D13">
        <w:rPr>
          <w:rFonts w:ascii="Arial" w:hAnsi="Arial" w:cs="Arial"/>
          <w:color w:val="000000" w:themeColor="text1"/>
        </w:rPr>
        <w:t xml:space="preserve">The principal strength of transactional leadership lies in maintaining consistency and accountability across complex healthcare organisations. </w:t>
      </w:r>
      <w:r w:rsidR="00834297" w:rsidRPr="00707D13">
        <w:rPr>
          <w:rFonts w:ascii="Arial" w:hAnsi="Arial" w:cs="Arial"/>
          <w:color w:val="000000" w:themeColor="text1"/>
        </w:rPr>
        <w:t>The</w:t>
      </w:r>
      <w:r w:rsidRPr="00707D13">
        <w:rPr>
          <w:rFonts w:ascii="Arial" w:hAnsi="Arial" w:cs="Arial"/>
          <w:color w:val="000000" w:themeColor="text1"/>
        </w:rPr>
        <w:t xml:space="preserve"> NHS Patient Safety Strategy promotes standardised approaches to incident reporting and organisational learning (NHS England, 2019). However, </w:t>
      </w:r>
      <w:r w:rsidR="002D4062" w:rsidRPr="00707D13">
        <w:rPr>
          <w:rFonts w:ascii="Arial" w:hAnsi="Arial" w:cs="Arial"/>
          <w:color w:val="000000" w:themeColor="text1"/>
        </w:rPr>
        <w:t>Liddle (2018) argues that effective leadership, particularly transformational leadership supported by emotional intelligence, enhances patient-centred care, staff engagement and service quality. Transactional</w:t>
      </w:r>
      <w:r w:rsidRPr="00707D13">
        <w:rPr>
          <w:rFonts w:ascii="Arial" w:hAnsi="Arial" w:cs="Arial"/>
          <w:color w:val="000000" w:themeColor="text1"/>
        </w:rPr>
        <w:t xml:space="preserve"> leadership may inadvertently encourage a culture focused on procedural compliance rather than critical thinking and patient-centred decision-making. If leaders prioritise performance indicators without encouraging reflection or innovation, latent risks may remain hidden until adverse events occur. Consequently, Len's case demonstrates that transactional leadership must </w:t>
      </w:r>
      <w:r w:rsidR="001A3D46" w:rsidRPr="00707D13">
        <w:rPr>
          <w:rFonts w:ascii="Arial" w:hAnsi="Arial" w:cs="Arial"/>
          <w:color w:val="000000" w:themeColor="text1"/>
        </w:rPr>
        <w:t xml:space="preserve">be approached with </w:t>
      </w:r>
      <w:r w:rsidRPr="00707D13">
        <w:rPr>
          <w:rFonts w:ascii="Arial" w:hAnsi="Arial" w:cs="Arial"/>
          <w:color w:val="000000" w:themeColor="text1"/>
        </w:rPr>
        <w:t>approaches that encourage professional judgement and adaptive learning.</w:t>
      </w:r>
    </w:p>
    <w:p w14:paraId="2C6DF195" w14:textId="2C800E04" w:rsidR="000542DA" w:rsidRPr="00CB29E6" w:rsidRDefault="000542DA" w:rsidP="003374FA">
      <w:pPr>
        <w:spacing w:line="360" w:lineRule="auto"/>
        <w:jc w:val="both"/>
        <w:rPr>
          <w:rFonts w:ascii="Arial" w:hAnsi="Arial" w:cs="Arial"/>
          <w:b/>
          <w:bCs/>
          <w:color w:val="000000" w:themeColor="text1"/>
          <w:sz w:val="28"/>
          <w:szCs w:val="28"/>
        </w:rPr>
      </w:pPr>
      <w:r w:rsidRPr="00CB29E6">
        <w:rPr>
          <w:rFonts w:ascii="Arial" w:hAnsi="Arial" w:cs="Arial"/>
          <w:b/>
          <w:bCs/>
          <w:color w:val="000000" w:themeColor="text1"/>
          <w:sz w:val="28"/>
          <w:szCs w:val="28"/>
        </w:rPr>
        <w:t>Situational Leadership</w:t>
      </w:r>
      <w:r w:rsidR="00653135">
        <w:rPr>
          <w:rFonts w:ascii="Arial" w:hAnsi="Arial" w:cs="Arial"/>
          <w:b/>
          <w:bCs/>
          <w:color w:val="000000" w:themeColor="text1"/>
          <w:sz w:val="28"/>
          <w:szCs w:val="28"/>
        </w:rPr>
        <w:t>.</w:t>
      </w:r>
    </w:p>
    <w:p w14:paraId="4124ED06" w14:textId="77777777" w:rsidR="006078DF" w:rsidRPr="00707D13" w:rsidRDefault="006078DF" w:rsidP="006078DF">
      <w:pPr>
        <w:spacing w:line="360" w:lineRule="auto"/>
        <w:jc w:val="both"/>
        <w:rPr>
          <w:rFonts w:ascii="Arial" w:hAnsi="Arial" w:cs="Arial"/>
          <w:color w:val="000000" w:themeColor="text1"/>
        </w:rPr>
      </w:pPr>
      <w:r w:rsidRPr="00707D13">
        <w:rPr>
          <w:rFonts w:ascii="Arial" w:hAnsi="Arial" w:cs="Arial"/>
          <w:color w:val="000000" w:themeColor="text1"/>
        </w:rPr>
        <w:t>Situational Leadership, developed by Hersey and Blanchard (1969), proposes that no single leadership style is universally effective. Instead, leaders should adapt their behaviour according to the competence, confidence and support needs of individuals, as well as the demands of the situation. This flexible approach is particularly relevant to healthcare, where patient conditions, multidisciplinary team dynamics and clinical priorities frequently change (Northouse, 2022).</w:t>
      </w:r>
    </w:p>
    <w:p w14:paraId="40A5C397" w14:textId="77777777" w:rsidR="006078DF" w:rsidRPr="00707D13" w:rsidRDefault="006078DF" w:rsidP="006078DF">
      <w:pPr>
        <w:spacing w:line="360" w:lineRule="auto"/>
        <w:jc w:val="both"/>
        <w:rPr>
          <w:rFonts w:ascii="Arial" w:hAnsi="Arial" w:cs="Arial"/>
          <w:color w:val="000000" w:themeColor="text1"/>
        </w:rPr>
      </w:pPr>
      <w:r w:rsidRPr="00707D13">
        <w:rPr>
          <w:rFonts w:ascii="Arial" w:hAnsi="Arial" w:cs="Arial"/>
          <w:color w:val="000000" w:themeColor="text1"/>
        </w:rPr>
        <w:t xml:space="preserve">The theory is highly applicable to Len's case because his care involved multiple transitions between primary care, hospital services and community pharmacy. In addition, his advanced age, Charcot–Marie–Tooth disease, frailty and reliance on his wife for medication administration increased his vulnerability to medication-related harm. A situational leader would have recognised these individual risk factors and adapted communication accordingly by demonstrating the correct use of the oral syringe, using the Teach-Back method to confirm understanding, and actively involving Len's wife in medicines counselling. Such an </w:t>
      </w:r>
      <w:r w:rsidRPr="00707D13">
        <w:rPr>
          <w:rFonts w:ascii="Arial" w:hAnsi="Arial" w:cs="Arial"/>
          <w:color w:val="000000" w:themeColor="text1"/>
        </w:rPr>
        <w:lastRenderedPageBreak/>
        <w:t>adaptive approach could have strengthened patient-centred care and reduced the likelihood of misunderstanding the prescribed morphine dose (HSSIB, 2024).</w:t>
      </w:r>
    </w:p>
    <w:p w14:paraId="324D4B7A" w14:textId="6BC23F27" w:rsidR="006078DF" w:rsidRPr="00707D13" w:rsidRDefault="006078DF" w:rsidP="006078DF">
      <w:pPr>
        <w:spacing w:line="360" w:lineRule="auto"/>
        <w:jc w:val="both"/>
        <w:rPr>
          <w:rFonts w:ascii="Arial" w:hAnsi="Arial" w:cs="Arial"/>
          <w:color w:val="000000" w:themeColor="text1"/>
        </w:rPr>
      </w:pPr>
      <w:r w:rsidRPr="00707D13">
        <w:rPr>
          <w:rFonts w:ascii="Arial" w:hAnsi="Arial" w:cs="Arial"/>
          <w:color w:val="000000" w:themeColor="text1"/>
        </w:rPr>
        <w:t xml:space="preserve">However, the effectiveness of situational leadership depends on leaders accurately assessing both the clinical context and the capabilities of patients, carers and staff. Incorrect judgement or inconsistent adaptation may result in unclear expectations, variable practice and fragmented accountability (Del Pino-Marchito, Galán-García and Plaza-Mejía, 2025). Furthermore, while situational leadership supports personalised decision-making, it does not by itself address wider organisational issues such as communication failures between healthcare providers, standardisation of medicines optimisation </w:t>
      </w:r>
      <w:r w:rsidR="00A51A0F">
        <w:rPr>
          <w:rFonts w:ascii="Arial" w:hAnsi="Arial" w:cs="Arial"/>
          <w:color w:val="000000" w:themeColor="text1"/>
        </w:rPr>
        <w:t>or</w:t>
      </w:r>
      <w:r w:rsidRPr="00707D13">
        <w:rPr>
          <w:rFonts w:ascii="Arial" w:hAnsi="Arial" w:cs="Arial"/>
          <w:color w:val="000000" w:themeColor="text1"/>
        </w:rPr>
        <w:t xml:space="preserve"> system-wide governance. Consequently, although situational leadership provides an appropriate framework for responding to the complexity of Len's care, it should be integrated with transformational leadership and systems-based approaches to strengthen multidisciplinary collaboration, organisational learning and medication safety across the healthcare pathway.</w:t>
      </w:r>
    </w:p>
    <w:p w14:paraId="5F381F5D" w14:textId="4163DA52" w:rsidR="000542DA" w:rsidRPr="00B82DDB" w:rsidRDefault="000542DA" w:rsidP="003374FA">
      <w:pPr>
        <w:spacing w:line="360" w:lineRule="auto"/>
        <w:jc w:val="both"/>
        <w:rPr>
          <w:rFonts w:ascii="Arial" w:hAnsi="Arial" w:cs="Arial"/>
          <w:b/>
          <w:bCs/>
          <w:color w:val="000000" w:themeColor="text1"/>
          <w:sz w:val="28"/>
          <w:szCs w:val="28"/>
        </w:rPr>
      </w:pPr>
      <w:r w:rsidRPr="00B82DDB">
        <w:rPr>
          <w:rFonts w:ascii="Arial" w:hAnsi="Arial" w:cs="Arial"/>
          <w:b/>
          <w:bCs/>
          <w:color w:val="000000" w:themeColor="text1"/>
          <w:sz w:val="28"/>
          <w:szCs w:val="28"/>
        </w:rPr>
        <w:t>Critical Evaluation</w:t>
      </w:r>
      <w:r w:rsidR="008A101C" w:rsidRPr="00B82DDB">
        <w:rPr>
          <w:rFonts w:ascii="Arial" w:hAnsi="Arial" w:cs="Arial"/>
          <w:b/>
          <w:bCs/>
          <w:color w:val="000000" w:themeColor="text1"/>
          <w:sz w:val="28"/>
          <w:szCs w:val="28"/>
        </w:rPr>
        <w:t>.</w:t>
      </w:r>
    </w:p>
    <w:p w14:paraId="6B801F6C" w14:textId="4C7EBA20" w:rsidR="00F82511" w:rsidRPr="00707D13" w:rsidRDefault="000542DA" w:rsidP="00E5507D">
      <w:pPr>
        <w:spacing w:after="0" w:line="360" w:lineRule="auto"/>
        <w:jc w:val="both"/>
        <w:rPr>
          <w:rFonts w:ascii="Arial" w:hAnsi="Arial" w:cs="Arial"/>
          <w:color w:val="000000" w:themeColor="text1"/>
        </w:rPr>
      </w:pPr>
      <w:r w:rsidRPr="00707D13">
        <w:rPr>
          <w:rFonts w:ascii="Arial" w:hAnsi="Arial" w:cs="Arial"/>
          <w:color w:val="000000" w:themeColor="text1"/>
        </w:rPr>
        <w:t>No single leadership theory adequately addresses the complexity of Len's case. Transformational leadership provides the cultural foundation for patient safety</w:t>
      </w:r>
      <w:r w:rsidR="00C45ED2" w:rsidRPr="00707D13">
        <w:rPr>
          <w:rFonts w:ascii="Arial" w:hAnsi="Arial" w:cs="Arial"/>
          <w:color w:val="000000" w:themeColor="text1"/>
        </w:rPr>
        <w:t>; transactional leadership ensures regulatory compliance; situational leadership enables personalised decision-making;</w:t>
      </w:r>
      <w:r w:rsidRPr="00707D13">
        <w:rPr>
          <w:rFonts w:ascii="Arial" w:hAnsi="Arial" w:cs="Arial"/>
          <w:color w:val="000000" w:themeColor="text1"/>
        </w:rPr>
        <w:t xml:space="preserve"> and distributed systems leadership strengthens multidisciplinary collaboration. The most effective organisational response</w:t>
      </w:r>
      <w:r w:rsidR="00C45ED2" w:rsidRPr="00707D13">
        <w:rPr>
          <w:rFonts w:ascii="Arial" w:hAnsi="Arial" w:cs="Arial"/>
          <w:color w:val="000000" w:themeColor="text1"/>
        </w:rPr>
        <w:t>, therefore, involves integrating these complementary approaches rather than relying exclusively on a single</w:t>
      </w:r>
      <w:r w:rsidRPr="00707D13">
        <w:rPr>
          <w:rFonts w:ascii="Arial" w:hAnsi="Arial" w:cs="Arial"/>
          <w:color w:val="000000" w:themeColor="text1"/>
        </w:rPr>
        <w:t xml:space="preserve"> leadership model.</w:t>
      </w:r>
      <w:r w:rsidR="001B149C" w:rsidRPr="00707D13">
        <w:rPr>
          <w:rFonts w:ascii="Arial" w:hAnsi="Arial" w:cs="Arial"/>
          <w:color w:val="000000" w:themeColor="text1"/>
        </w:rPr>
        <w:t xml:space="preserve"> </w:t>
      </w:r>
      <w:r w:rsidRPr="00707D13">
        <w:rPr>
          <w:rFonts w:ascii="Arial" w:hAnsi="Arial" w:cs="Arial"/>
          <w:color w:val="000000" w:themeColor="text1"/>
        </w:rPr>
        <w:t xml:space="preserve">Overall, the evidence suggests that Len's death resulted not from an absence of leadership but from insufficient integration of leadership, governance and systems thinking across organisational boundaries. Future organisational transformation should therefore prioritise compassionate, systems-oriented leadership that empowers staff, actively involves patients and carers in medication safety, and continuously learns </w:t>
      </w:r>
      <w:r w:rsidR="00325DD7" w:rsidRPr="00707D13">
        <w:rPr>
          <w:rFonts w:ascii="Arial" w:hAnsi="Arial" w:cs="Arial"/>
          <w:color w:val="000000" w:themeColor="text1"/>
        </w:rPr>
        <w:t>from</w:t>
      </w:r>
      <w:r w:rsidR="00314953" w:rsidRPr="00707D13">
        <w:rPr>
          <w:rFonts w:ascii="Arial" w:hAnsi="Arial" w:cs="Arial"/>
          <w:color w:val="000000" w:themeColor="text1"/>
        </w:rPr>
        <w:t xml:space="preserve"> adverse events through collaboration rather than blame.</w:t>
      </w:r>
    </w:p>
    <w:p w14:paraId="64111633" w14:textId="77777777" w:rsidR="00E5507D" w:rsidRPr="00707D13" w:rsidRDefault="00E5507D" w:rsidP="00E5507D">
      <w:pPr>
        <w:spacing w:after="0" w:line="360" w:lineRule="auto"/>
        <w:jc w:val="both"/>
        <w:rPr>
          <w:rFonts w:ascii="Arial" w:hAnsi="Arial" w:cs="Arial"/>
          <w:color w:val="000000" w:themeColor="text1"/>
        </w:rPr>
      </w:pPr>
    </w:p>
    <w:p w14:paraId="7CB9C8C7" w14:textId="774B3296" w:rsidR="00087FAB" w:rsidRPr="00653135" w:rsidRDefault="00597758" w:rsidP="00E5507D">
      <w:pPr>
        <w:spacing w:after="0" w:line="360" w:lineRule="auto"/>
        <w:jc w:val="both"/>
        <w:rPr>
          <w:rFonts w:ascii="Arial" w:hAnsi="Arial" w:cs="Arial"/>
          <w:b/>
          <w:bCs/>
          <w:color w:val="000000" w:themeColor="text1"/>
          <w:sz w:val="28"/>
          <w:szCs w:val="28"/>
        </w:rPr>
      </w:pPr>
      <w:r w:rsidRPr="00653135">
        <w:rPr>
          <w:rFonts w:ascii="Arial" w:hAnsi="Arial" w:cs="Arial"/>
          <w:b/>
          <w:bCs/>
          <w:color w:val="000000" w:themeColor="text1"/>
          <w:sz w:val="28"/>
          <w:szCs w:val="28"/>
        </w:rPr>
        <w:t>Improvement</w:t>
      </w:r>
      <w:r w:rsidR="00C8476F" w:rsidRPr="00653135">
        <w:rPr>
          <w:rFonts w:ascii="Arial" w:hAnsi="Arial" w:cs="Arial"/>
          <w:b/>
          <w:bCs/>
          <w:color w:val="000000" w:themeColor="text1"/>
          <w:sz w:val="28"/>
          <w:szCs w:val="28"/>
        </w:rPr>
        <w:t xml:space="preserve"> and Lessons </w:t>
      </w:r>
      <w:r w:rsidRPr="00653135">
        <w:rPr>
          <w:rFonts w:ascii="Arial" w:hAnsi="Arial" w:cs="Arial"/>
          <w:b/>
          <w:bCs/>
          <w:color w:val="000000" w:themeColor="text1"/>
          <w:sz w:val="28"/>
          <w:szCs w:val="28"/>
        </w:rPr>
        <w:t xml:space="preserve">Learned. </w:t>
      </w:r>
    </w:p>
    <w:p w14:paraId="2F8CC06D" w14:textId="77777777" w:rsidR="00707D13" w:rsidRPr="00707D13" w:rsidRDefault="00707D13" w:rsidP="00087FAB">
      <w:pPr>
        <w:spacing w:after="0" w:line="360" w:lineRule="auto"/>
        <w:jc w:val="both"/>
        <w:rPr>
          <w:rFonts w:ascii="Arial" w:hAnsi="Arial" w:cs="Arial"/>
          <w:color w:val="000000" w:themeColor="text1"/>
        </w:rPr>
      </w:pPr>
    </w:p>
    <w:p w14:paraId="37C16A3C" w14:textId="50C3C104" w:rsidR="006A2576" w:rsidRDefault="006A2576" w:rsidP="00087FAB">
      <w:pPr>
        <w:spacing w:after="0" w:line="360" w:lineRule="auto"/>
        <w:jc w:val="both"/>
        <w:rPr>
          <w:rFonts w:ascii="Arial" w:hAnsi="Arial" w:cs="Arial"/>
          <w:color w:val="000000" w:themeColor="text1"/>
        </w:rPr>
      </w:pPr>
      <w:r w:rsidRPr="00707D13">
        <w:rPr>
          <w:rFonts w:ascii="Arial" w:hAnsi="Arial" w:cs="Arial"/>
          <w:color w:val="000000" w:themeColor="text1"/>
        </w:rPr>
        <w:t xml:space="preserve">The death of Len following an unintentional morphine overdose highlights the need for organisational transformation through effective leadership, governance and systems thinking. Although the immediate cause of harm was incorrect administration of morphine, </w:t>
      </w:r>
      <w:r w:rsidRPr="00707D13">
        <w:rPr>
          <w:rFonts w:ascii="Arial" w:hAnsi="Arial" w:cs="Arial"/>
          <w:color w:val="000000" w:themeColor="text1"/>
        </w:rPr>
        <w:lastRenderedPageBreak/>
        <w:t xml:space="preserve">the Healthcare Safety Investigation Branch (HSSIB) concluded that the incident resulted from multiple interacting </w:t>
      </w:r>
      <w:r w:rsidRPr="00653135">
        <w:rPr>
          <w:rFonts w:ascii="Arial" w:hAnsi="Arial" w:cs="Arial"/>
          <w:color w:val="000000" w:themeColor="text1"/>
          <w:sz w:val="28"/>
          <w:szCs w:val="28"/>
        </w:rPr>
        <w:t>system</w:t>
      </w:r>
      <w:r w:rsidRPr="00707D13">
        <w:rPr>
          <w:rFonts w:ascii="Arial" w:hAnsi="Arial" w:cs="Arial"/>
          <w:color w:val="000000" w:themeColor="text1"/>
        </w:rPr>
        <w:t xml:space="preserve"> failures rather than individual negligence (HSSIB, 2024). These failures included weaknesses in communication, medicines optimisation, patient education and coordination across primary care, hospital services and community pharmacy. Consequently, sustainable improvement requires healthcare organisations to move beyond reactive responses and develop proactive learning systems that continuously identify, analyse and reduce patient safety risks.</w:t>
      </w:r>
      <w:r w:rsidR="005E50CA">
        <w:rPr>
          <w:rFonts w:ascii="Arial" w:hAnsi="Arial" w:cs="Arial"/>
          <w:color w:val="000000" w:themeColor="text1"/>
        </w:rPr>
        <w:t xml:space="preserve"> </w:t>
      </w:r>
      <w:r w:rsidRPr="00707D13">
        <w:rPr>
          <w:rFonts w:ascii="Arial" w:hAnsi="Arial" w:cs="Arial"/>
          <w:color w:val="000000" w:themeColor="text1"/>
        </w:rPr>
        <w:t>A major lesson from Len's case is that leadership and governance must work together to ensure that national patient safety standards are consistently implemented in frontline practice. National organisations, including NHS England, NICE and the MHRA, provide evidence-based guidance on medicines optimisation and safe prescribing. However, governance alone could not prevent harm because local teams did not verify that Len and his wife understood the prescribed morphine dose. This demonstrates that effective governance depends on leadership behaviours that promote multidisciplinary collaboration, shared accountability and patient-centred communication (NICE, 2022; HSSIB, 2024).</w:t>
      </w:r>
    </w:p>
    <w:p w14:paraId="5DE8ABA6" w14:textId="77777777" w:rsidR="005E50CA" w:rsidRPr="00707D13" w:rsidRDefault="005E50CA" w:rsidP="00087FAB">
      <w:pPr>
        <w:spacing w:after="0" w:line="360" w:lineRule="auto"/>
        <w:jc w:val="both"/>
        <w:rPr>
          <w:rFonts w:ascii="Arial" w:hAnsi="Arial" w:cs="Arial"/>
          <w:color w:val="000000" w:themeColor="text1"/>
        </w:rPr>
      </w:pPr>
    </w:p>
    <w:p w14:paraId="12154ACE" w14:textId="77777777" w:rsidR="006A2576" w:rsidRDefault="006A2576" w:rsidP="00087FAB">
      <w:pPr>
        <w:spacing w:after="0" w:line="360" w:lineRule="auto"/>
        <w:jc w:val="both"/>
        <w:rPr>
          <w:rFonts w:ascii="Arial" w:hAnsi="Arial" w:cs="Arial"/>
          <w:color w:val="000000" w:themeColor="text1"/>
        </w:rPr>
      </w:pPr>
      <w:r w:rsidRPr="00707D13">
        <w:rPr>
          <w:rFonts w:ascii="Arial" w:hAnsi="Arial" w:cs="Arial"/>
          <w:color w:val="000000" w:themeColor="text1"/>
        </w:rPr>
        <w:t>Another important lesson concerns medicines optimisation for vulnerable older adults. Older people living with multimorbidity, frailty and functional impairment are at greater risk of medication-related harm because they frequently rely on carers to administer medicines (NICE, 2022). In Len's case, both he and his wife misunderstood the morphine concentration, illustrating that providing written information alone was insufficient. A practical evidence-based improvement would be routine use of the Teach-Back method for high-risk medicines. Teach-Back enables healthcare professionals to confirm patient and carer understanding before discharge and has been shown to improve health literacy, medication adherence and safe medicine use, particularly among older adults. Embedding Teach-Back into medicines optimisation policies and staff training would strengthen patient-centred care and reduce preventable medication errors.</w:t>
      </w:r>
    </w:p>
    <w:p w14:paraId="586E5905" w14:textId="77777777" w:rsidR="006B6E40" w:rsidRPr="00707D13" w:rsidRDefault="006B6E40" w:rsidP="00087FAB">
      <w:pPr>
        <w:spacing w:after="0" w:line="360" w:lineRule="auto"/>
        <w:jc w:val="both"/>
        <w:rPr>
          <w:rFonts w:ascii="Arial" w:hAnsi="Arial" w:cs="Arial"/>
          <w:color w:val="000000" w:themeColor="text1"/>
        </w:rPr>
      </w:pPr>
    </w:p>
    <w:p w14:paraId="10EC5E82" w14:textId="71FCD8C4" w:rsidR="006A2576" w:rsidRPr="00707D13" w:rsidRDefault="006A2576" w:rsidP="00087FAB">
      <w:pPr>
        <w:spacing w:after="0" w:line="360" w:lineRule="auto"/>
        <w:jc w:val="both"/>
        <w:rPr>
          <w:rFonts w:ascii="Arial" w:hAnsi="Arial" w:cs="Arial"/>
          <w:color w:val="000000" w:themeColor="text1"/>
        </w:rPr>
      </w:pPr>
      <w:r w:rsidRPr="00707D13">
        <w:rPr>
          <w:rFonts w:ascii="Arial" w:hAnsi="Arial" w:cs="Arial"/>
          <w:color w:val="000000" w:themeColor="text1"/>
        </w:rPr>
        <w:t xml:space="preserve">The case also demonstrates the importance of organisational learning through the Patient Safety Incident Response Framework (PSIRF). Unlike traditional investigations focused on individual error, PSIRF encourages organisations to examine interactions between human factors, communication, technology and organisational processes (NHS England, 2022). The HSSIB investigation reflected this systems approach by examining medicine packaging, prescribing practices, communication pathways and governance arrangements rather than </w:t>
      </w:r>
      <w:r w:rsidRPr="00707D13">
        <w:rPr>
          <w:rFonts w:ascii="Arial" w:hAnsi="Arial" w:cs="Arial"/>
          <w:color w:val="000000" w:themeColor="text1"/>
        </w:rPr>
        <w:lastRenderedPageBreak/>
        <w:t>attributing blame to a single clinician. Such learning promotes transparency, psychological safety and continuous quality improvement.</w:t>
      </w:r>
      <w:r w:rsidR="005E50CA">
        <w:rPr>
          <w:rFonts w:ascii="Arial" w:hAnsi="Arial" w:cs="Arial"/>
          <w:color w:val="000000" w:themeColor="text1"/>
        </w:rPr>
        <w:t xml:space="preserve"> </w:t>
      </w:r>
      <w:r w:rsidRPr="00707D13">
        <w:rPr>
          <w:rFonts w:ascii="Arial" w:hAnsi="Arial" w:cs="Arial"/>
          <w:color w:val="000000" w:themeColor="text1"/>
        </w:rPr>
        <w:t xml:space="preserve">Leadership style also influenced the outcome. Transformational and compassionate leadership encourages multidisciplinary collaboration, reflective practice and a culture in which staff actively share responsibility for patient safety (West </w:t>
      </w:r>
      <w:r w:rsidRPr="00707D13">
        <w:rPr>
          <w:rFonts w:ascii="Arial" w:hAnsi="Arial" w:cs="Arial"/>
          <w:i/>
          <w:iCs/>
          <w:color w:val="000000" w:themeColor="text1"/>
        </w:rPr>
        <w:t>et al</w:t>
      </w:r>
      <w:r w:rsidRPr="00707D13">
        <w:rPr>
          <w:rFonts w:ascii="Arial" w:hAnsi="Arial" w:cs="Arial"/>
          <w:color w:val="000000" w:themeColor="text1"/>
        </w:rPr>
        <w:t xml:space="preserve">., 2015; Alqurashi </w:t>
      </w:r>
      <w:r w:rsidRPr="00707D13">
        <w:rPr>
          <w:rFonts w:ascii="Arial" w:hAnsi="Arial" w:cs="Arial"/>
          <w:i/>
          <w:iCs/>
          <w:color w:val="000000" w:themeColor="text1"/>
        </w:rPr>
        <w:t>et al</w:t>
      </w:r>
      <w:r w:rsidRPr="00707D13">
        <w:rPr>
          <w:rFonts w:ascii="Arial" w:hAnsi="Arial" w:cs="Arial"/>
          <w:color w:val="000000" w:themeColor="text1"/>
        </w:rPr>
        <w:t xml:space="preserve">., 2025). In Len's case, stronger leadership could have promoted joint responsibility among prescribers, pharmacists and nursing staff for confirming </w:t>
      </w:r>
      <w:r w:rsidR="00CF75F7" w:rsidRPr="00707D13">
        <w:rPr>
          <w:rFonts w:ascii="Arial" w:hAnsi="Arial" w:cs="Arial"/>
          <w:color w:val="000000" w:themeColor="text1"/>
        </w:rPr>
        <w:t>understanding of medicines</w:t>
      </w:r>
      <w:r w:rsidRPr="00707D13">
        <w:rPr>
          <w:rFonts w:ascii="Arial" w:hAnsi="Arial" w:cs="Arial"/>
          <w:color w:val="000000" w:themeColor="text1"/>
        </w:rPr>
        <w:t xml:space="preserve"> rather than assuming that another professional had completed patient counselling. This collaborative approach aligns with HSSIB's recommendation that patient safety depends on coordinated systems rather than isolated professional performance</w:t>
      </w:r>
    </w:p>
    <w:p w14:paraId="50E81B65" w14:textId="77777777" w:rsidR="006A2576" w:rsidRDefault="006A2576" w:rsidP="003374FA">
      <w:pPr>
        <w:spacing w:line="360" w:lineRule="auto"/>
        <w:jc w:val="both"/>
        <w:rPr>
          <w:rFonts w:ascii="Arial" w:hAnsi="Arial" w:cs="Arial"/>
          <w:b/>
          <w:bCs/>
          <w:color w:val="000000" w:themeColor="text1"/>
        </w:rPr>
      </w:pPr>
    </w:p>
    <w:tbl>
      <w:tblPr>
        <w:tblStyle w:val="TableGrid"/>
        <w:tblW w:w="0" w:type="auto"/>
        <w:tblLook w:val="04A0" w:firstRow="1" w:lastRow="0" w:firstColumn="1" w:lastColumn="0" w:noHBand="0" w:noVBand="1"/>
      </w:tblPr>
      <w:tblGrid>
        <w:gridCol w:w="2660"/>
        <w:gridCol w:w="3544"/>
        <w:gridCol w:w="3038"/>
      </w:tblGrid>
      <w:tr w:rsidR="005E2BA4" w:rsidRPr="00AD7D4B" w14:paraId="21017308" w14:textId="77777777" w:rsidTr="00794DC1">
        <w:tc>
          <w:tcPr>
            <w:tcW w:w="2660" w:type="dxa"/>
          </w:tcPr>
          <w:p w14:paraId="564A3595" w14:textId="3925F0DF" w:rsidR="005E2BA4" w:rsidRPr="00AD7D4B" w:rsidRDefault="00AB5BE1" w:rsidP="004D34BA">
            <w:pPr>
              <w:spacing w:line="360" w:lineRule="auto"/>
              <w:jc w:val="both"/>
              <w:rPr>
                <w:rFonts w:ascii="Arial" w:hAnsi="Arial" w:cs="Arial"/>
                <w:b/>
                <w:bCs/>
                <w:color w:val="000000" w:themeColor="text1"/>
              </w:rPr>
            </w:pPr>
            <w:r w:rsidRPr="00AD7D4B">
              <w:rPr>
                <w:rFonts w:ascii="Arial" w:hAnsi="Arial" w:cs="Arial"/>
                <w:b/>
                <w:bCs/>
                <w:color w:val="000000" w:themeColor="text1"/>
              </w:rPr>
              <w:t>Problem identified</w:t>
            </w:r>
          </w:p>
        </w:tc>
        <w:tc>
          <w:tcPr>
            <w:tcW w:w="3544" w:type="dxa"/>
          </w:tcPr>
          <w:p w14:paraId="77F674E2" w14:textId="1F5AAA4F" w:rsidR="005E2BA4" w:rsidRPr="00AD7D4B" w:rsidRDefault="00583512" w:rsidP="003374FA">
            <w:pPr>
              <w:spacing w:line="360" w:lineRule="auto"/>
              <w:jc w:val="both"/>
              <w:rPr>
                <w:rFonts w:ascii="Arial" w:hAnsi="Arial" w:cs="Arial"/>
                <w:b/>
                <w:bCs/>
                <w:color w:val="000000" w:themeColor="text1"/>
              </w:rPr>
            </w:pPr>
            <w:r w:rsidRPr="00AD7D4B">
              <w:rPr>
                <w:rFonts w:ascii="Arial" w:hAnsi="Arial" w:cs="Arial"/>
                <w:b/>
                <w:bCs/>
                <w:color w:val="000000" w:themeColor="text1"/>
              </w:rPr>
              <w:t>Evidence/Data</w:t>
            </w:r>
          </w:p>
        </w:tc>
        <w:tc>
          <w:tcPr>
            <w:tcW w:w="3038" w:type="dxa"/>
          </w:tcPr>
          <w:p w14:paraId="44EF078D" w14:textId="2B57AD17" w:rsidR="005E2BA4" w:rsidRPr="00AD7D4B" w:rsidRDefault="00583512" w:rsidP="003374FA">
            <w:pPr>
              <w:spacing w:line="360" w:lineRule="auto"/>
              <w:jc w:val="both"/>
              <w:rPr>
                <w:rFonts w:ascii="Arial" w:hAnsi="Arial" w:cs="Arial"/>
                <w:b/>
                <w:bCs/>
                <w:color w:val="000000" w:themeColor="text1"/>
              </w:rPr>
            </w:pPr>
            <w:r w:rsidRPr="00AD7D4B">
              <w:rPr>
                <w:rFonts w:ascii="Arial" w:hAnsi="Arial" w:cs="Arial"/>
                <w:b/>
                <w:bCs/>
                <w:color w:val="000000" w:themeColor="text1"/>
              </w:rPr>
              <w:t>Evidence-based improvement</w:t>
            </w:r>
          </w:p>
        </w:tc>
      </w:tr>
      <w:tr w:rsidR="005E2BA4" w:rsidRPr="00AD7D4B" w14:paraId="65ED8209" w14:textId="77777777" w:rsidTr="00794DC1">
        <w:tc>
          <w:tcPr>
            <w:tcW w:w="2660" w:type="dxa"/>
          </w:tcPr>
          <w:p w14:paraId="4FA6C655" w14:textId="2B524EA5" w:rsidR="005E2BA4" w:rsidRPr="00AD7D4B" w:rsidRDefault="00381C11" w:rsidP="00074926">
            <w:pPr>
              <w:spacing w:line="360" w:lineRule="auto"/>
              <w:rPr>
                <w:rFonts w:ascii="Arial" w:hAnsi="Arial" w:cs="Arial"/>
                <w:color w:val="000000" w:themeColor="text1"/>
              </w:rPr>
            </w:pPr>
            <w:r w:rsidRPr="00AD7D4B">
              <w:rPr>
                <w:rFonts w:ascii="Arial" w:hAnsi="Arial" w:cs="Arial"/>
                <w:color w:val="000000" w:themeColor="text1"/>
              </w:rPr>
              <w:t>Medication dosage misunderstanding due to ineffective patient education</w:t>
            </w:r>
          </w:p>
        </w:tc>
        <w:tc>
          <w:tcPr>
            <w:tcW w:w="3544" w:type="dxa"/>
          </w:tcPr>
          <w:p w14:paraId="4C138F35" w14:textId="23FE4F7F" w:rsidR="005E2BA4" w:rsidRPr="00AD7D4B" w:rsidRDefault="002B7DED" w:rsidP="001D4BC2">
            <w:pPr>
              <w:spacing w:line="360" w:lineRule="auto"/>
              <w:rPr>
                <w:rFonts w:ascii="Arial" w:hAnsi="Arial" w:cs="Arial"/>
                <w:color w:val="000000" w:themeColor="text1"/>
              </w:rPr>
            </w:pPr>
            <w:r w:rsidRPr="00AD7D4B">
              <w:rPr>
                <w:rFonts w:ascii="Arial" w:hAnsi="Arial" w:cs="Arial"/>
                <w:color w:val="000000" w:themeColor="text1"/>
              </w:rPr>
              <w:t xml:space="preserve">HSSIB (2024) found that Len and his wife misunderstood the morphine dosage. Approximately 237 million medication errors occur annually in England, contributing to around 1,708 avoidable deaths (Elliott </w:t>
            </w:r>
            <w:r w:rsidRPr="00AD7D4B">
              <w:rPr>
                <w:rFonts w:ascii="Arial" w:hAnsi="Arial" w:cs="Arial"/>
                <w:i/>
                <w:iCs/>
                <w:color w:val="000000" w:themeColor="text1"/>
              </w:rPr>
              <w:t>et al</w:t>
            </w:r>
            <w:r w:rsidRPr="00AD7D4B">
              <w:rPr>
                <w:rFonts w:ascii="Arial" w:hAnsi="Arial" w:cs="Arial"/>
                <w:color w:val="000000" w:themeColor="text1"/>
              </w:rPr>
              <w:t>., 2021).</w:t>
            </w:r>
          </w:p>
        </w:tc>
        <w:tc>
          <w:tcPr>
            <w:tcW w:w="3038" w:type="dxa"/>
          </w:tcPr>
          <w:p w14:paraId="2569C669" w14:textId="3FCC0788" w:rsidR="005E2BA4" w:rsidRPr="00AD7D4B" w:rsidRDefault="004662CC" w:rsidP="00074926">
            <w:pPr>
              <w:spacing w:line="360" w:lineRule="auto"/>
              <w:rPr>
                <w:rFonts w:ascii="Arial" w:hAnsi="Arial" w:cs="Arial"/>
                <w:color w:val="000000" w:themeColor="text1"/>
              </w:rPr>
            </w:pPr>
            <w:r w:rsidRPr="00AD7D4B">
              <w:rPr>
                <w:rFonts w:ascii="Arial" w:hAnsi="Arial" w:cs="Arial"/>
                <w:color w:val="000000" w:themeColor="text1"/>
              </w:rPr>
              <w:t>Introduce Teach-Back, demonstrate medicine administration using oral syringes and provide standardised counselling for high-risk medicines.</w:t>
            </w:r>
          </w:p>
        </w:tc>
      </w:tr>
      <w:tr w:rsidR="005E2BA4" w:rsidRPr="00AD7D4B" w14:paraId="588193D6" w14:textId="77777777" w:rsidTr="00794DC1">
        <w:tc>
          <w:tcPr>
            <w:tcW w:w="2660" w:type="dxa"/>
          </w:tcPr>
          <w:p w14:paraId="63A26F94" w14:textId="0AAE0336" w:rsidR="005E2BA4" w:rsidRPr="00AD7D4B" w:rsidRDefault="004F1877" w:rsidP="00074926">
            <w:pPr>
              <w:spacing w:line="360" w:lineRule="auto"/>
              <w:rPr>
                <w:rFonts w:ascii="Arial" w:hAnsi="Arial" w:cs="Arial"/>
                <w:color w:val="000000" w:themeColor="text1"/>
              </w:rPr>
            </w:pPr>
            <w:r w:rsidRPr="00AD7D4B">
              <w:rPr>
                <w:rFonts w:ascii="Arial" w:hAnsi="Arial" w:cs="Arial"/>
                <w:color w:val="000000" w:themeColor="text1"/>
              </w:rPr>
              <w:t>Weak shared accountability for medicines optimisation</w:t>
            </w:r>
          </w:p>
        </w:tc>
        <w:tc>
          <w:tcPr>
            <w:tcW w:w="3544" w:type="dxa"/>
          </w:tcPr>
          <w:p w14:paraId="699F7893" w14:textId="725BC33A" w:rsidR="005E2BA4" w:rsidRPr="00AD7D4B" w:rsidRDefault="002B7DED" w:rsidP="00074926">
            <w:pPr>
              <w:spacing w:line="360" w:lineRule="auto"/>
              <w:rPr>
                <w:rFonts w:ascii="Arial" w:hAnsi="Arial" w:cs="Arial"/>
                <w:color w:val="000000" w:themeColor="text1"/>
              </w:rPr>
            </w:pPr>
            <w:r w:rsidRPr="00AD7D4B">
              <w:rPr>
                <w:rFonts w:ascii="Arial" w:hAnsi="Arial" w:cs="Arial"/>
                <w:color w:val="000000" w:themeColor="text1"/>
              </w:rPr>
              <w:t>NICE (2022) recommends involving patients and carers in shared decision-making, yet this was not consistently achieved.</w:t>
            </w:r>
          </w:p>
        </w:tc>
        <w:tc>
          <w:tcPr>
            <w:tcW w:w="3038" w:type="dxa"/>
          </w:tcPr>
          <w:p w14:paraId="25E18A41" w14:textId="5A32EB53" w:rsidR="005E2BA4" w:rsidRPr="00AD7D4B" w:rsidRDefault="00794DC1" w:rsidP="00074926">
            <w:pPr>
              <w:spacing w:line="360" w:lineRule="auto"/>
              <w:rPr>
                <w:rFonts w:ascii="Arial" w:hAnsi="Arial" w:cs="Arial"/>
                <w:color w:val="000000" w:themeColor="text1"/>
              </w:rPr>
            </w:pPr>
            <w:r w:rsidRPr="00AD7D4B">
              <w:rPr>
                <w:rFonts w:ascii="Arial" w:hAnsi="Arial" w:cs="Arial"/>
                <w:color w:val="000000" w:themeColor="text1"/>
              </w:rPr>
              <w:t>Define shared accountability between prescribers, pharmacists and nurses, with documented confirmation of patient and carer understanding.</w:t>
            </w:r>
          </w:p>
        </w:tc>
      </w:tr>
      <w:tr w:rsidR="005E2BA4" w:rsidRPr="00AD7D4B" w14:paraId="5CF6EF1C" w14:textId="77777777" w:rsidTr="00794DC1">
        <w:tc>
          <w:tcPr>
            <w:tcW w:w="2660" w:type="dxa"/>
          </w:tcPr>
          <w:p w14:paraId="7E1169BB" w14:textId="47786380" w:rsidR="005E2BA4" w:rsidRPr="00AD7D4B" w:rsidRDefault="004F1877" w:rsidP="00074926">
            <w:pPr>
              <w:spacing w:line="360" w:lineRule="auto"/>
              <w:rPr>
                <w:rFonts w:ascii="Arial" w:hAnsi="Arial" w:cs="Arial"/>
                <w:color w:val="000000" w:themeColor="text1"/>
              </w:rPr>
            </w:pPr>
            <w:r w:rsidRPr="00AD7D4B">
              <w:rPr>
                <w:rFonts w:ascii="Arial" w:hAnsi="Arial" w:cs="Arial"/>
                <w:color w:val="000000" w:themeColor="text1"/>
              </w:rPr>
              <w:t>Limited organisational learning</w:t>
            </w:r>
          </w:p>
        </w:tc>
        <w:tc>
          <w:tcPr>
            <w:tcW w:w="3544" w:type="dxa"/>
          </w:tcPr>
          <w:p w14:paraId="7D1227D6" w14:textId="5BA1744A" w:rsidR="005E2BA4" w:rsidRPr="00AD7D4B" w:rsidRDefault="006B5412" w:rsidP="00074926">
            <w:pPr>
              <w:spacing w:line="360" w:lineRule="auto"/>
              <w:jc w:val="both"/>
              <w:rPr>
                <w:rFonts w:ascii="Arial" w:hAnsi="Arial" w:cs="Arial"/>
                <w:color w:val="000000" w:themeColor="text1"/>
              </w:rPr>
            </w:pPr>
            <w:r w:rsidRPr="00AD7D4B">
              <w:rPr>
                <w:rFonts w:ascii="Arial" w:hAnsi="Arial" w:cs="Arial"/>
                <w:color w:val="000000" w:themeColor="text1"/>
              </w:rPr>
              <w:t>PSIRF promotes systems-based learning and continuous improvement rather than blame (NHS England, 2022).</w:t>
            </w:r>
          </w:p>
        </w:tc>
        <w:tc>
          <w:tcPr>
            <w:tcW w:w="3038" w:type="dxa"/>
          </w:tcPr>
          <w:p w14:paraId="3C8F3527" w14:textId="0B68EBCD" w:rsidR="005E2BA4" w:rsidRPr="00AD7D4B" w:rsidRDefault="00175111" w:rsidP="003374FA">
            <w:pPr>
              <w:spacing w:line="360" w:lineRule="auto"/>
              <w:jc w:val="both"/>
              <w:rPr>
                <w:rFonts w:ascii="Arial" w:hAnsi="Arial" w:cs="Arial"/>
                <w:color w:val="000000" w:themeColor="text1"/>
              </w:rPr>
            </w:pPr>
            <w:r w:rsidRPr="00AD7D4B">
              <w:rPr>
                <w:rFonts w:ascii="Arial" w:hAnsi="Arial" w:cs="Arial"/>
                <w:color w:val="000000" w:themeColor="text1"/>
              </w:rPr>
              <w:t>Expand digital incident reporting, multidisciplinary safety reviews and routine monitoring of implementation outcomes.</w:t>
            </w:r>
          </w:p>
        </w:tc>
      </w:tr>
      <w:tr w:rsidR="005E2BA4" w:rsidRPr="00AD7D4B" w14:paraId="1A4AC225" w14:textId="77777777" w:rsidTr="00794DC1">
        <w:tc>
          <w:tcPr>
            <w:tcW w:w="2660" w:type="dxa"/>
          </w:tcPr>
          <w:p w14:paraId="083FEC21" w14:textId="6CC69347" w:rsidR="005E2BA4" w:rsidRPr="00AD7D4B" w:rsidRDefault="00276411" w:rsidP="00074926">
            <w:pPr>
              <w:spacing w:line="360" w:lineRule="auto"/>
              <w:rPr>
                <w:rFonts w:ascii="Arial" w:hAnsi="Arial" w:cs="Arial"/>
                <w:color w:val="000000" w:themeColor="text1"/>
              </w:rPr>
            </w:pPr>
            <w:r w:rsidRPr="00AD7D4B">
              <w:rPr>
                <w:rFonts w:ascii="Arial" w:hAnsi="Arial" w:cs="Arial"/>
                <w:color w:val="000000" w:themeColor="text1"/>
              </w:rPr>
              <w:t xml:space="preserve">Fragmented </w:t>
            </w:r>
            <w:r w:rsidRPr="00AD7D4B">
              <w:rPr>
                <w:rFonts w:ascii="Arial" w:hAnsi="Arial" w:cs="Arial"/>
                <w:color w:val="000000" w:themeColor="text1"/>
              </w:rPr>
              <w:lastRenderedPageBreak/>
              <w:t>communication between organisations</w:t>
            </w:r>
          </w:p>
        </w:tc>
        <w:tc>
          <w:tcPr>
            <w:tcW w:w="3544" w:type="dxa"/>
          </w:tcPr>
          <w:p w14:paraId="17525122" w14:textId="02C4890E" w:rsidR="005E2BA4" w:rsidRPr="00AD7D4B" w:rsidRDefault="006B5412" w:rsidP="00074926">
            <w:pPr>
              <w:spacing w:line="360" w:lineRule="auto"/>
              <w:rPr>
                <w:rFonts w:ascii="Arial" w:hAnsi="Arial" w:cs="Arial"/>
                <w:color w:val="000000" w:themeColor="text1"/>
              </w:rPr>
            </w:pPr>
            <w:r w:rsidRPr="00AD7D4B">
              <w:rPr>
                <w:rFonts w:ascii="Arial" w:hAnsi="Arial" w:cs="Arial"/>
                <w:color w:val="000000" w:themeColor="text1"/>
              </w:rPr>
              <w:lastRenderedPageBreak/>
              <w:t xml:space="preserve">HSSIB (2024) identified </w:t>
            </w:r>
            <w:r w:rsidRPr="00AD7D4B">
              <w:rPr>
                <w:rFonts w:ascii="Arial" w:hAnsi="Arial" w:cs="Arial"/>
                <w:color w:val="000000" w:themeColor="text1"/>
              </w:rPr>
              <w:lastRenderedPageBreak/>
              <w:t>communication gaps between primary care, hospital services and community pharmacy.</w:t>
            </w:r>
          </w:p>
        </w:tc>
        <w:tc>
          <w:tcPr>
            <w:tcW w:w="3038" w:type="dxa"/>
          </w:tcPr>
          <w:p w14:paraId="4BFF4018" w14:textId="3E45C61C" w:rsidR="005E2BA4" w:rsidRPr="00AD7D4B" w:rsidRDefault="00115D71" w:rsidP="00074926">
            <w:pPr>
              <w:spacing w:line="360" w:lineRule="auto"/>
              <w:rPr>
                <w:rFonts w:ascii="Arial" w:hAnsi="Arial" w:cs="Arial"/>
                <w:color w:val="000000" w:themeColor="text1"/>
              </w:rPr>
            </w:pPr>
            <w:r w:rsidRPr="00AD7D4B">
              <w:rPr>
                <w:rFonts w:ascii="Arial" w:hAnsi="Arial" w:cs="Arial"/>
                <w:color w:val="000000" w:themeColor="text1"/>
              </w:rPr>
              <w:lastRenderedPageBreak/>
              <w:t xml:space="preserve">Strengthen multidisciplinary </w:t>
            </w:r>
            <w:r w:rsidRPr="00AD7D4B">
              <w:rPr>
                <w:rFonts w:ascii="Arial" w:hAnsi="Arial" w:cs="Arial"/>
                <w:color w:val="000000" w:themeColor="text1"/>
              </w:rPr>
              <w:lastRenderedPageBreak/>
              <w:t>communication through shared electronic medication records, medicines reconciliation and structured discharge planning.</w:t>
            </w:r>
          </w:p>
        </w:tc>
      </w:tr>
    </w:tbl>
    <w:p w14:paraId="3678DB67" w14:textId="77777777" w:rsidR="0088034D" w:rsidRDefault="0088034D" w:rsidP="0088034D">
      <w:pPr>
        <w:spacing w:after="0" w:line="360" w:lineRule="auto"/>
        <w:jc w:val="both"/>
        <w:rPr>
          <w:rFonts w:ascii="Arial" w:hAnsi="Arial" w:cs="Arial"/>
          <w:color w:val="000000" w:themeColor="text1"/>
        </w:rPr>
      </w:pPr>
    </w:p>
    <w:p w14:paraId="1A8BE530" w14:textId="0DFCCE09" w:rsidR="0088034D" w:rsidRPr="0088034D" w:rsidRDefault="0088034D" w:rsidP="0088034D">
      <w:pPr>
        <w:spacing w:after="0" w:line="360" w:lineRule="auto"/>
        <w:jc w:val="both"/>
        <w:rPr>
          <w:rFonts w:ascii="Arial" w:hAnsi="Arial" w:cs="Arial"/>
          <w:color w:val="000000" w:themeColor="text1"/>
        </w:rPr>
      </w:pPr>
      <w:r w:rsidRPr="0088034D">
        <w:rPr>
          <w:rFonts w:ascii="Arial" w:hAnsi="Arial" w:cs="Arial"/>
          <w:color w:val="000000" w:themeColor="text1"/>
        </w:rPr>
        <w:t>Overall, Len's case demonstrates that patient safety depends on the interaction between system structure, leadership and organisational feedback. Centralised governance provided national standards and regulatory oversight, whereas decentralised clinical practice enabled professionals to tailor care to individual needs. However, fragmented communication and weak coordination prevented these elements from functioning as an integrated system. HSSIB's investigation provided the feedback mechanism required to identify latent system weaknesses and inform national learning. Other healthcare organisations can learn that preventable harm is reduced when evidence-based leadership, integrated governance and multidisciplinary collaboration are combined with continuous monitoring, patient involvement and data-driven quality improvement. Such an approach strengthens accountability while supporting a resilient healthcare system capable of delivering safer, person-centred care.</w:t>
      </w:r>
    </w:p>
    <w:p w14:paraId="2466CB32" w14:textId="77777777" w:rsidR="00D044CB" w:rsidRDefault="00D044CB" w:rsidP="003374FA">
      <w:pPr>
        <w:spacing w:line="360" w:lineRule="auto"/>
        <w:jc w:val="both"/>
        <w:rPr>
          <w:rFonts w:ascii="Arial" w:hAnsi="Arial" w:cs="Arial"/>
          <w:b/>
          <w:bCs/>
          <w:color w:val="000000" w:themeColor="text1"/>
        </w:rPr>
      </w:pPr>
    </w:p>
    <w:p w14:paraId="58E8265D" w14:textId="77777777" w:rsidR="009F09FA" w:rsidRPr="00645CDF" w:rsidRDefault="009F09FA" w:rsidP="009F09FA">
      <w:pPr>
        <w:spacing w:after="0" w:line="360" w:lineRule="auto"/>
        <w:jc w:val="both"/>
        <w:rPr>
          <w:rFonts w:ascii="Arial" w:hAnsi="Arial" w:cs="Arial"/>
          <w:b/>
          <w:bCs/>
          <w:color w:val="000000" w:themeColor="text1"/>
          <w:sz w:val="28"/>
          <w:szCs w:val="28"/>
        </w:rPr>
      </w:pPr>
      <w:r w:rsidRPr="00645CDF">
        <w:rPr>
          <w:rFonts w:ascii="Arial" w:hAnsi="Arial" w:cs="Arial"/>
          <w:b/>
          <w:bCs/>
          <w:color w:val="000000" w:themeColor="text1"/>
          <w:sz w:val="28"/>
          <w:szCs w:val="28"/>
        </w:rPr>
        <w:t>Recommendations.</w:t>
      </w:r>
    </w:p>
    <w:p w14:paraId="5D14A004" w14:textId="541A6DA2" w:rsidR="009F09FA" w:rsidRPr="00645CDF" w:rsidRDefault="009F09FA" w:rsidP="009F09FA">
      <w:pPr>
        <w:spacing w:after="0" w:line="360" w:lineRule="auto"/>
        <w:jc w:val="both"/>
        <w:rPr>
          <w:rFonts w:ascii="Arial" w:hAnsi="Arial" w:cs="Arial"/>
          <w:color w:val="000000" w:themeColor="text1"/>
        </w:rPr>
      </w:pPr>
    </w:p>
    <w:p w14:paraId="7B4B984F" w14:textId="77777777" w:rsidR="009F09FA" w:rsidRPr="00645CDF" w:rsidRDefault="009F09FA" w:rsidP="009F09FA">
      <w:pPr>
        <w:spacing w:after="0" w:line="360" w:lineRule="auto"/>
        <w:jc w:val="both"/>
        <w:rPr>
          <w:rFonts w:ascii="Arial" w:hAnsi="Arial" w:cs="Arial"/>
          <w:color w:val="000000" w:themeColor="text1"/>
        </w:rPr>
      </w:pPr>
      <w:r w:rsidRPr="00645CDF">
        <w:rPr>
          <w:rFonts w:ascii="Arial" w:hAnsi="Arial" w:cs="Arial"/>
          <w:color w:val="000000" w:themeColor="text1"/>
        </w:rPr>
        <w:t>To reduce the likelihood of similar medication-related incidents, the organisation should implement a comprehensive patient safety improvement programme that integrates effective leadership, robust governance, systems thinking and patient-centred care. The findings from Len's case demonstrate that sustainable improvement cannot be achieved through isolated interventions; instead, coordinated changes are required across the entire medication management pathway.</w:t>
      </w:r>
    </w:p>
    <w:p w14:paraId="1E1F0D41" w14:textId="77777777" w:rsidR="009F09FA" w:rsidRDefault="009F09FA" w:rsidP="009F09FA">
      <w:pPr>
        <w:spacing w:after="0" w:line="360" w:lineRule="auto"/>
        <w:jc w:val="both"/>
        <w:rPr>
          <w:rFonts w:ascii="Arial" w:hAnsi="Arial" w:cs="Arial"/>
          <w:color w:val="000000" w:themeColor="text1"/>
        </w:rPr>
      </w:pPr>
    </w:p>
    <w:p w14:paraId="284C4883" w14:textId="46B40946" w:rsidR="009F09FA" w:rsidRDefault="009F09FA" w:rsidP="009F09FA">
      <w:pPr>
        <w:spacing w:after="0" w:line="360" w:lineRule="auto"/>
        <w:jc w:val="both"/>
        <w:rPr>
          <w:rFonts w:ascii="Arial" w:hAnsi="Arial" w:cs="Arial"/>
          <w:color w:val="000000" w:themeColor="text1"/>
        </w:rPr>
      </w:pPr>
      <w:r w:rsidRPr="00645CDF">
        <w:rPr>
          <w:rFonts w:ascii="Arial" w:hAnsi="Arial" w:cs="Arial"/>
          <w:color w:val="000000" w:themeColor="text1"/>
        </w:rPr>
        <w:t xml:space="preserve">First, the organisation should adopt a transformational and systems leadership approach to sustain long-term improvement. Transformational leadership promotes a culture of openness, collaboration and continuous learning </w:t>
      </w:r>
      <w:r w:rsidR="006251CD" w:rsidRPr="00090ADB">
        <w:rPr>
          <w:rFonts w:ascii="Arial" w:hAnsi="Arial" w:cs="Arial"/>
          <w:color w:val="000000" w:themeColor="text1"/>
        </w:rPr>
        <w:t xml:space="preserve">(Carr </w:t>
      </w:r>
      <w:r w:rsidR="006251CD" w:rsidRPr="00090ADB">
        <w:rPr>
          <w:rFonts w:ascii="Arial" w:hAnsi="Arial" w:cs="Arial"/>
          <w:i/>
          <w:iCs/>
          <w:color w:val="000000" w:themeColor="text1"/>
        </w:rPr>
        <w:t>et al.,</w:t>
      </w:r>
      <w:r w:rsidR="006251CD" w:rsidRPr="00090ADB">
        <w:rPr>
          <w:rFonts w:ascii="Arial" w:hAnsi="Arial" w:cs="Arial"/>
          <w:color w:val="000000" w:themeColor="text1"/>
        </w:rPr>
        <w:t xml:space="preserve"> 2024)</w:t>
      </w:r>
      <w:r w:rsidR="004962D0">
        <w:rPr>
          <w:rFonts w:ascii="Arial" w:hAnsi="Arial" w:cs="Arial"/>
          <w:color w:val="000000" w:themeColor="text1"/>
        </w:rPr>
        <w:t>;</w:t>
      </w:r>
      <w:r w:rsidR="006251CD" w:rsidRPr="00090ADB">
        <w:rPr>
          <w:rFonts w:ascii="Arial" w:hAnsi="Arial" w:cs="Arial"/>
          <w:color w:val="000000" w:themeColor="text1"/>
        </w:rPr>
        <w:t xml:space="preserve"> </w:t>
      </w:r>
      <w:r w:rsidRPr="00645CDF">
        <w:rPr>
          <w:rFonts w:ascii="Arial" w:hAnsi="Arial" w:cs="Arial"/>
          <w:color w:val="000000" w:themeColor="text1"/>
        </w:rPr>
        <w:t xml:space="preserve">systems leadership strengthens coordination across organisational boundaries, ensuring that primary care, hospital services and community pharmacy work as an integrated network rather than independent providers (West </w:t>
      </w:r>
      <w:r w:rsidRPr="00645CDF">
        <w:rPr>
          <w:rFonts w:ascii="Arial" w:hAnsi="Arial" w:cs="Arial"/>
          <w:i/>
          <w:iCs/>
          <w:color w:val="000000" w:themeColor="text1"/>
        </w:rPr>
        <w:t>et al</w:t>
      </w:r>
      <w:r w:rsidRPr="00645CDF">
        <w:rPr>
          <w:rFonts w:ascii="Arial" w:hAnsi="Arial" w:cs="Arial"/>
          <w:color w:val="000000" w:themeColor="text1"/>
        </w:rPr>
        <w:t xml:space="preserve">., 2015; Rainey, 2025). Leaders should establish clear </w:t>
      </w:r>
      <w:r w:rsidRPr="00645CDF">
        <w:rPr>
          <w:rFonts w:ascii="Arial" w:hAnsi="Arial" w:cs="Arial"/>
          <w:color w:val="000000" w:themeColor="text1"/>
        </w:rPr>
        <w:lastRenderedPageBreak/>
        <w:t>multidisciplinary accountability for medicines optimisation and ensure that patient education is recognised as a shared professional responsibility.</w:t>
      </w:r>
    </w:p>
    <w:p w14:paraId="11869186" w14:textId="77777777" w:rsidR="009F09FA" w:rsidRPr="00645CDF" w:rsidRDefault="009F09FA" w:rsidP="009F09FA">
      <w:pPr>
        <w:spacing w:after="0" w:line="360" w:lineRule="auto"/>
        <w:jc w:val="both"/>
        <w:rPr>
          <w:rFonts w:ascii="Arial" w:hAnsi="Arial" w:cs="Arial"/>
          <w:color w:val="000000" w:themeColor="text1"/>
        </w:rPr>
      </w:pPr>
    </w:p>
    <w:p w14:paraId="7289838A" w14:textId="00484559" w:rsidR="009F09FA" w:rsidRDefault="009F09FA" w:rsidP="009F09FA">
      <w:pPr>
        <w:spacing w:after="0" w:line="360" w:lineRule="auto"/>
        <w:jc w:val="both"/>
        <w:rPr>
          <w:rFonts w:ascii="Arial" w:hAnsi="Arial" w:cs="Arial"/>
          <w:color w:val="000000" w:themeColor="text1"/>
        </w:rPr>
      </w:pPr>
      <w:r w:rsidRPr="00645CDF">
        <w:rPr>
          <w:rFonts w:ascii="Arial" w:hAnsi="Arial" w:cs="Arial"/>
          <w:color w:val="000000" w:themeColor="text1"/>
        </w:rPr>
        <w:t xml:space="preserve">Second, governance arrangements should be strengthened through consistent implementation of the Patient Safety Incident Response Framework (PSIRF) and the Medicines Safety Improvement Programme. Patient safety investigations should focus on identifying system weaknesses, monitoring </w:t>
      </w:r>
      <w:r w:rsidR="00B96E1D">
        <w:rPr>
          <w:rFonts w:ascii="Arial" w:hAnsi="Arial" w:cs="Arial"/>
          <w:color w:val="000000" w:themeColor="text1"/>
        </w:rPr>
        <w:t>implementation</w:t>
      </w:r>
      <w:r w:rsidRPr="00645CDF">
        <w:rPr>
          <w:rFonts w:ascii="Arial" w:hAnsi="Arial" w:cs="Arial"/>
          <w:color w:val="000000" w:themeColor="text1"/>
        </w:rPr>
        <w:t xml:space="preserve"> of recommendations</w:t>
      </w:r>
      <w:r w:rsidR="00D57EC8">
        <w:rPr>
          <w:rFonts w:ascii="Arial" w:hAnsi="Arial" w:cs="Arial"/>
          <w:color w:val="000000" w:themeColor="text1"/>
        </w:rPr>
        <w:t>, and</w:t>
      </w:r>
      <w:r w:rsidRPr="00645CDF">
        <w:rPr>
          <w:rFonts w:ascii="Arial" w:hAnsi="Arial" w:cs="Arial"/>
          <w:color w:val="000000" w:themeColor="text1"/>
        </w:rPr>
        <w:t xml:space="preserve"> evaluating outcomes through regular clinical audit</w:t>
      </w:r>
      <w:r w:rsidR="00B96E1D">
        <w:rPr>
          <w:rFonts w:ascii="Arial" w:hAnsi="Arial" w:cs="Arial"/>
          <w:color w:val="000000" w:themeColor="text1"/>
        </w:rPr>
        <w:t>s</w:t>
      </w:r>
      <w:r w:rsidRPr="00645CDF">
        <w:rPr>
          <w:rFonts w:ascii="Arial" w:hAnsi="Arial" w:cs="Arial"/>
          <w:color w:val="000000" w:themeColor="text1"/>
        </w:rPr>
        <w:t xml:space="preserve"> and quality improvement cycles rather than attributing blame to individuals (NHS England, 2022; HSSIB, 2024). Routine review of medication incidents should inform organisational learning and support continuous improvement.</w:t>
      </w:r>
    </w:p>
    <w:p w14:paraId="20883860" w14:textId="77777777" w:rsidR="009F09FA" w:rsidRPr="00645CDF" w:rsidRDefault="009F09FA" w:rsidP="009F09FA">
      <w:pPr>
        <w:spacing w:after="0" w:line="360" w:lineRule="auto"/>
        <w:jc w:val="both"/>
        <w:rPr>
          <w:rFonts w:ascii="Arial" w:hAnsi="Arial" w:cs="Arial"/>
          <w:color w:val="000000" w:themeColor="text1"/>
        </w:rPr>
      </w:pPr>
    </w:p>
    <w:p w14:paraId="24E77C70" w14:textId="77777777" w:rsidR="009F09FA" w:rsidRDefault="009F09FA" w:rsidP="009F09FA">
      <w:pPr>
        <w:spacing w:after="0" w:line="360" w:lineRule="auto"/>
        <w:jc w:val="both"/>
        <w:rPr>
          <w:rFonts w:ascii="Arial" w:hAnsi="Arial" w:cs="Arial"/>
          <w:color w:val="000000" w:themeColor="text1"/>
        </w:rPr>
      </w:pPr>
      <w:r w:rsidRPr="00645CDF">
        <w:rPr>
          <w:rFonts w:ascii="Arial" w:hAnsi="Arial" w:cs="Arial"/>
          <w:color w:val="000000" w:themeColor="text1"/>
        </w:rPr>
        <w:t>Third, communication processes should be redesigned to improve medicines optimisation for vulnerable patients. Healthcare professionals should routinely use the Teach-Back method when prescribing or dispensing high-risk medicines, particularly for older adults, people with multimorbidity and those supported by family carers. Standardised medicines counselling, written information in accessible formats and demonstration of medicine administration using appropriate devices should become mandatory before discharge. Family carers should be actively involved in shared decision-making and medication education to strengthen patient safety and promote co-production (NICE, 2022).</w:t>
      </w:r>
    </w:p>
    <w:p w14:paraId="5F9DAC0D" w14:textId="77777777" w:rsidR="009F09FA" w:rsidRPr="00645CDF" w:rsidRDefault="009F09FA" w:rsidP="009F09FA">
      <w:pPr>
        <w:spacing w:after="0" w:line="360" w:lineRule="auto"/>
        <w:jc w:val="both"/>
        <w:rPr>
          <w:rFonts w:ascii="Arial" w:hAnsi="Arial" w:cs="Arial"/>
          <w:color w:val="000000" w:themeColor="text1"/>
        </w:rPr>
      </w:pPr>
    </w:p>
    <w:p w14:paraId="3EDE66FC" w14:textId="77777777" w:rsidR="009F09FA" w:rsidRDefault="009F09FA" w:rsidP="009F09FA">
      <w:pPr>
        <w:spacing w:after="0" w:line="360" w:lineRule="auto"/>
        <w:jc w:val="both"/>
        <w:rPr>
          <w:rFonts w:ascii="Arial" w:hAnsi="Arial" w:cs="Arial"/>
          <w:color w:val="000000" w:themeColor="text1"/>
        </w:rPr>
      </w:pPr>
      <w:r w:rsidRPr="00645CDF">
        <w:rPr>
          <w:rFonts w:ascii="Arial" w:hAnsi="Arial" w:cs="Arial"/>
          <w:color w:val="000000" w:themeColor="text1"/>
        </w:rPr>
        <w:t>The organisation should also improve technical and allocative efficiency by expanding electronic prescribing and medicines administration (ePMA), shared electronic medication records and clinical decision-support systems. These technologies can reduce prescribing errors, improve medicines reconciliation and support timely communication between healthcare providers. However, digital innovation should complement, rather than replace, effective clinical judgement and patient-centred communication. Resources should be prioritised towards high-risk patients, enabling targeted medication reviews, pharmacist-led counselling and structured follow-up after discharge to maximise patient outcomes while using healthcare resources efficiently (OECD, 2023).</w:t>
      </w:r>
    </w:p>
    <w:p w14:paraId="7521997A" w14:textId="77777777" w:rsidR="009F09FA" w:rsidRPr="00645CDF" w:rsidRDefault="009F09FA" w:rsidP="009F09FA">
      <w:pPr>
        <w:spacing w:after="0" w:line="360" w:lineRule="auto"/>
        <w:jc w:val="both"/>
        <w:rPr>
          <w:rFonts w:ascii="Arial" w:hAnsi="Arial" w:cs="Arial"/>
          <w:color w:val="000000" w:themeColor="text1"/>
        </w:rPr>
      </w:pPr>
    </w:p>
    <w:p w14:paraId="2509C58C" w14:textId="77777777" w:rsidR="009F09FA" w:rsidRPr="00645CDF" w:rsidRDefault="009F09FA" w:rsidP="009F09FA">
      <w:pPr>
        <w:spacing w:after="0" w:line="360" w:lineRule="auto"/>
        <w:jc w:val="both"/>
        <w:rPr>
          <w:rFonts w:ascii="Arial" w:hAnsi="Arial" w:cs="Arial"/>
          <w:color w:val="000000" w:themeColor="text1"/>
        </w:rPr>
      </w:pPr>
      <w:r w:rsidRPr="00645CDF">
        <w:rPr>
          <w:rFonts w:ascii="Arial" w:hAnsi="Arial" w:cs="Arial"/>
          <w:color w:val="000000" w:themeColor="text1"/>
        </w:rPr>
        <w:t xml:space="preserve">Finally, continuous organisational learning should become an integral component of patient safety improvement. Regular multidisciplinary simulation training, medication safety audits, patient feedback, staff engagement surveys and incident reporting should be used to </w:t>
      </w:r>
      <w:r w:rsidRPr="00645CDF">
        <w:rPr>
          <w:rFonts w:ascii="Arial" w:hAnsi="Arial" w:cs="Arial"/>
          <w:color w:val="000000" w:themeColor="text1"/>
        </w:rPr>
        <w:lastRenderedPageBreak/>
        <w:t>evaluate performance and monitor implementation of safety recommendations. Patients and carers should be recognised as equal partners in service improvement through co-production initiatives, ensuring that organisational policies reflect lived experience as well as professional expertise. By integrating transformational leadership, systems thinking, evidence-based governance and continuous quality improvement, healthcare organisations can strengthen resilience, enhance accountability and deliver safer, more person-centred care for vulnerable older adults.</w:t>
      </w:r>
    </w:p>
    <w:p w14:paraId="02EC58D1" w14:textId="77777777" w:rsidR="009F09FA" w:rsidRDefault="009F09FA" w:rsidP="009F09FA">
      <w:pPr>
        <w:spacing w:after="0" w:line="360" w:lineRule="auto"/>
        <w:jc w:val="both"/>
        <w:rPr>
          <w:rFonts w:ascii="Arial" w:hAnsi="Arial" w:cs="Arial"/>
          <w:b/>
          <w:bCs/>
          <w:color w:val="000000" w:themeColor="text1"/>
        </w:rPr>
      </w:pPr>
    </w:p>
    <w:p w14:paraId="364F62C4" w14:textId="61DC7E1B" w:rsidR="00F66672" w:rsidRDefault="00F66672" w:rsidP="009F09FA">
      <w:pPr>
        <w:spacing w:after="0" w:line="360" w:lineRule="auto"/>
        <w:jc w:val="both"/>
        <w:rPr>
          <w:rFonts w:ascii="Arial" w:hAnsi="Arial" w:cs="Arial"/>
          <w:b/>
          <w:bCs/>
          <w:color w:val="000000" w:themeColor="text1"/>
          <w:sz w:val="28"/>
          <w:szCs w:val="28"/>
        </w:rPr>
      </w:pPr>
      <w:r w:rsidRPr="00874F66">
        <w:rPr>
          <w:rFonts w:ascii="Arial" w:hAnsi="Arial" w:cs="Arial"/>
          <w:b/>
          <w:bCs/>
          <w:color w:val="000000" w:themeColor="text1"/>
          <w:sz w:val="28"/>
          <w:szCs w:val="28"/>
        </w:rPr>
        <w:t>Conclusion</w:t>
      </w:r>
      <w:r w:rsidR="00874F66">
        <w:rPr>
          <w:rFonts w:ascii="Arial" w:hAnsi="Arial" w:cs="Arial"/>
          <w:b/>
          <w:bCs/>
          <w:color w:val="000000" w:themeColor="text1"/>
          <w:sz w:val="28"/>
          <w:szCs w:val="28"/>
        </w:rPr>
        <w:t>.</w:t>
      </w:r>
    </w:p>
    <w:p w14:paraId="164E8FBE" w14:textId="77777777" w:rsidR="00874F66" w:rsidRPr="00874F66" w:rsidRDefault="00874F66" w:rsidP="009F09FA">
      <w:pPr>
        <w:spacing w:after="0" w:line="360" w:lineRule="auto"/>
        <w:jc w:val="both"/>
        <w:rPr>
          <w:rFonts w:ascii="Arial" w:hAnsi="Arial" w:cs="Arial"/>
          <w:b/>
          <w:bCs/>
          <w:color w:val="000000" w:themeColor="text1"/>
          <w:sz w:val="28"/>
          <w:szCs w:val="28"/>
        </w:rPr>
      </w:pPr>
    </w:p>
    <w:p w14:paraId="541D9EF6" w14:textId="0011FFD8" w:rsidR="0067668E" w:rsidRDefault="0067668E" w:rsidP="0067668E">
      <w:pPr>
        <w:spacing w:after="0" w:line="360" w:lineRule="auto"/>
        <w:jc w:val="both"/>
        <w:rPr>
          <w:rFonts w:ascii="Arial" w:hAnsi="Arial" w:cs="Arial"/>
          <w:color w:val="000000" w:themeColor="text1"/>
        </w:rPr>
      </w:pPr>
      <w:r w:rsidRPr="0067668E">
        <w:rPr>
          <w:rFonts w:ascii="Arial" w:hAnsi="Arial" w:cs="Arial"/>
          <w:color w:val="000000" w:themeColor="text1"/>
        </w:rPr>
        <w:t>This case study has demonstrated that Len's death following an unintentional morphine overdose was not the result of a single clinical error but rather the consequence of multiple interacting failures within a complex healthcare system. Applying systems thinking showed how communication breakdowns, fragmented accountability, medicine optimisation, organisational culture and leadership collectively influenced the outcome. The Rich Picture and SEIPS framework illustrated that patient safety is shaped by the interaction of people, tasks, technology, organisational processes and governance, highlighting the importance of understanding healthcare as an interconnected system rather than focusing solely on individual performance.</w:t>
      </w:r>
      <w:r w:rsidR="00B6233B">
        <w:rPr>
          <w:rFonts w:ascii="Arial" w:hAnsi="Arial" w:cs="Arial"/>
          <w:color w:val="000000" w:themeColor="text1"/>
        </w:rPr>
        <w:t xml:space="preserve"> </w:t>
      </w:r>
      <w:r w:rsidRPr="0067668E">
        <w:rPr>
          <w:rFonts w:ascii="Arial" w:hAnsi="Arial" w:cs="Arial"/>
          <w:color w:val="000000" w:themeColor="text1"/>
        </w:rPr>
        <w:t>The analysis further demonstrated that the NHS operates through a hybrid system that combines centralised national oversight with decentralised clinical decision-making. While national organisations such as NHS England, NICE and the MHRA provide evidence-based standards and regulatory guidance, effective implementation depends on strong local leadership, multidisciplinary collaboration and consistent communication across organisational boundaries. The evaluation of transformational, situational and systems leadership showed that no single leadership approach is sufficient to address complex patient safety challenges. Instead, effective organisational improvement requires complementary leadership styles that promote innovation, adaptability, shared accountability and continuous organisational learning.</w:t>
      </w:r>
    </w:p>
    <w:p w14:paraId="43078C6A" w14:textId="77777777" w:rsidR="00B6233B" w:rsidRPr="0067668E" w:rsidRDefault="00B6233B" w:rsidP="0067668E">
      <w:pPr>
        <w:spacing w:after="0" w:line="360" w:lineRule="auto"/>
        <w:jc w:val="both"/>
        <w:rPr>
          <w:rFonts w:ascii="Arial" w:hAnsi="Arial" w:cs="Arial"/>
          <w:color w:val="000000" w:themeColor="text1"/>
        </w:rPr>
      </w:pPr>
    </w:p>
    <w:p w14:paraId="0F681BB6" w14:textId="555CC7B4" w:rsidR="0067668E" w:rsidRPr="0067668E" w:rsidRDefault="0067668E" w:rsidP="0067668E">
      <w:pPr>
        <w:spacing w:after="0" w:line="360" w:lineRule="auto"/>
        <w:jc w:val="both"/>
        <w:rPr>
          <w:rFonts w:ascii="Arial" w:hAnsi="Arial" w:cs="Arial"/>
          <w:color w:val="000000" w:themeColor="text1"/>
        </w:rPr>
      </w:pPr>
      <w:r w:rsidRPr="0067668E">
        <w:rPr>
          <w:rFonts w:ascii="Arial" w:hAnsi="Arial" w:cs="Arial"/>
          <w:color w:val="000000" w:themeColor="text1"/>
        </w:rPr>
        <w:t xml:space="preserve">The report also highlighted that sustainable improvement depends on integrating robust governance with patient-centred communication, medicines optimisation and evidence-based quality improvement. Embedding the Patient Safety Incident Response Framework (PSIRF), strengthening multidisciplinary collaboration, implementing the Teach-Back method </w:t>
      </w:r>
      <w:r w:rsidRPr="0067668E">
        <w:rPr>
          <w:rFonts w:ascii="Arial" w:hAnsi="Arial" w:cs="Arial"/>
          <w:color w:val="000000" w:themeColor="text1"/>
        </w:rPr>
        <w:lastRenderedPageBreak/>
        <w:t xml:space="preserve">and involving patients and carers as partners in care would enhance both patient safety and organisational resilience. Ultimately, Len's case reinforces that high-quality healthcare is achieved when leadership, governance and systems thinking </w:t>
      </w:r>
      <w:r w:rsidR="006175C2">
        <w:rPr>
          <w:rFonts w:ascii="Arial" w:hAnsi="Arial" w:cs="Arial"/>
          <w:color w:val="000000" w:themeColor="text1"/>
        </w:rPr>
        <w:t xml:space="preserve">work </w:t>
      </w:r>
      <w:r w:rsidRPr="0067668E">
        <w:rPr>
          <w:rFonts w:ascii="Arial" w:hAnsi="Arial" w:cs="Arial"/>
          <w:color w:val="000000" w:themeColor="text1"/>
        </w:rPr>
        <w:t>together to support continuous learning, transparency and accountability. By implementing these evidence-based recommendations, healthcare organisations can reduce preventable medication-related harm, strengthen public confidence and deliver safer, more integrated and person-centred care for vulnerable older adults.</w:t>
      </w:r>
    </w:p>
    <w:p w14:paraId="4017EBF2" w14:textId="77777777" w:rsidR="009F09FA" w:rsidRPr="00090ADB" w:rsidRDefault="009F09FA" w:rsidP="009F09FA">
      <w:pPr>
        <w:spacing w:after="0" w:line="360" w:lineRule="auto"/>
        <w:jc w:val="both"/>
        <w:rPr>
          <w:rFonts w:ascii="Arial" w:hAnsi="Arial" w:cs="Arial"/>
          <w:color w:val="000000" w:themeColor="text1"/>
        </w:rPr>
      </w:pPr>
    </w:p>
    <w:p w14:paraId="08457528" w14:textId="77777777" w:rsidR="00027C27" w:rsidRDefault="00027C27" w:rsidP="003374FA">
      <w:pPr>
        <w:spacing w:line="360" w:lineRule="auto"/>
        <w:jc w:val="both"/>
        <w:rPr>
          <w:rFonts w:ascii="Arial" w:hAnsi="Arial" w:cs="Arial"/>
          <w:b/>
          <w:bCs/>
          <w:color w:val="000000" w:themeColor="text1"/>
        </w:rPr>
      </w:pPr>
    </w:p>
    <w:p w14:paraId="4744CFE0" w14:textId="77777777" w:rsidR="00027C27" w:rsidRDefault="00027C27" w:rsidP="003374FA">
      <w:pPr>
        <w:spacing w:line="360" w:lineRule="auto"/>
        <w:jc w:val="both"/>
        <w:rPr>
          <w:rFonts w:ascii="Arial" w:hAnsi="Arial" w:cs="Arial"/>
          <w:b/>
          <w:bCs/>
          <w:color w:val="000000" w:themeColor="text1"/>
        </w:rPr>
      </w:pPr>
    </w:p>
    <w:p w14:paraId="0D7F7197" w14:textId="25000BD4" w:rsidR="008B4451" w:rsidRPr="00707D13" w:rsidRDefault="008B4451">
      <w:pPr>
        <w:rPr>
          <w:rFonts w:ascii="Arial" w:hAnsi="Arial" w:cs="Arial"/>
          <w:color w:val="000000" w:themeColor="text1"/>
        </w:rPr>
      </w:pPr>
      <w:r w:rsidRPr="00707D13">
        <w:rPr>
          <w:rFonts w:ascii="Arial" w:hAnsi="Arial" w:cs="Arial"/>
          <w:color w:val="000000" w:themeColor="text1"/>
        </w:rPr>
        <w:br w:type="page"/>
      </w:r>
    </w:p>
    <w:p w14:paraId="0DD28282" w14:textId="77777777" w:rsidR="00A82DB5" w:rsidRPr="00707D13" w:rsidRDefault="00A82DB5" w:rsidP="00CD5150">
      <w:pPr>
        <w:spacing w:line="360" w:lineRule="auto"/>
        <w:rPr>
          <w:rFonts w:ascii="Arial" w:hAnsi="Arial" w:cs="Arial"/>
          <w:color w:val="000000" w:themeColor="text1"/>
        </w:rPr>
      </w:pPr>
    </w:p>
    <w:p w14:paraId="6CE20B63" w14:textId="3551CB58" w:rsidR="006A5277" w:rsidRPr="00D36C34" w:rsidRDefault="00A82DB5" w:rsidP="004B5E99">
      <w:pPr>
        <w:spacing w:line="360" w:lineRule="auto"/>
        <w:rPr>
          <w:rFonts w:ascii="Arial" w:hAnsi="Arial" w:cs="Arial"/>
          <w:b/>
          <w:bCs/>
          <w:color w:val="000000" w:themeColor="text1"/>
          <w:sz w:val="28"/>
          <w:szCs w:val="28"/>
        </w:rPr>
      </w:pPr>
      <w:r w:rsidRPr="00D36C34">
        <w:rPr>
          <w:rFonts w:ascii="Arial" w:hAnsi="Arial" w:cs="Arial"/>
          <w:b/>
          <w:bCs/>
          <w:color w:val="000000" w:themeColor="text1"/>
          <w:sz w:val="28"/>
          <w:szCs w:val="28"/>
        </w:rPr>
        <w:t>R</w:t>
      </w:r>
      <w:r w:rsidR="004B5E99" w:rsidRPr="00D36C34">
        <w:rPr>
          <w:rFonts w:ascii="Arial" w:hAnsi="Arial" w:cs="Arial"/>
          <w:b/>
          <w:bCs/>
          <w:color w:val="000000" w:themeColor="text1"/>
          <w:sz w:val="28"/>
          <w:szCs w:val="28"/>
        </w:rPr>
        <w:t xml:space="preserve">eference: </w:t>
      </w:r>
    </w:p>
    <w:p w14:paraId="4680BA30"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Aarons, G.A. (2006) ‘Transformational and transactional leadership: Association with attitudes toward evidence-based practice’, </w:t>
      </w:r>
      <w:r w:rsidRPr="009171DB">
        <w:rPr>
          <w:rFonts w:ascii="Arial" w:hAnsi="Arial" w:cs="Arial"/>
          <w:i/>
          <w:iCs/>
          <w:color w:val="000000" w:themeColor="text1"/>
          <w:sz w:val="22"/>
          <w:szCs w:val="22"/>
        </w:rPr>
        <w:t>Psychiatric Services</w:t>
      </w:r>
      <w:r w:rsidRPr="009171DB">
        <w:rPr>
          <w:rFonts w:ascii="Arial" w:hAnsi="Arial" w:cs="Arial"/>
          <w:color w:val="000000" w:themeColor="text1"/>
          <w:sz w:val="22"/>
          <w:szCs w:val="22"/>
        </w:rPr>
        <w:t xml:space="preserve">, 57(8), pp. 1162–1169. Available at: </w:t>
      </w:r>
      <w:hyperlink r:id="rId9" w:tgtFrame="_new" w:history="1">
        <w:r w:rsidRPr="009171DB">
          <w:rPr>
            <w:rStyle w:val="Hyperlink"/>
            <w:rFonts w:ascii="Arial" w:hAnsi="Arial" w:cs="Arial"/>
            <w:color w:val="000000" w:themeColor="text1"/>
            <w:sz w:val="22"/>
            <w:szCs w:val="22"/>
          </w:rPr>
          <w:t>https://doi.org/10.1176/ps.2006.57.8.1162</w:t>
        </w:r>
      </w:hyperlink>
      <w:r w:rsidRPr="009171DB">
        <w:rPr>
          <w:rFonts w:ascii="Arial" w:hAnsi="Arial" w:cs="Arial"/>
          <w:color w:val="000000" w:themeColor="text1"/>
          <w:sz w:val="22"/>
          <w:szCs w:val="22"/>
        </w:rPr>
        <w:t>. (Accessed: 1 August 2026).</w:t>
      </w:r>
    </w:p>
    <w:p w14:paraId="5373A046"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Abimbola, S., Baatiema, L. and Bigdeli, M. (2019) ‘The impacts of decentralization on health system equity, efficiency and resilience: A realist synthesis of the evidence’, </w:t>
      </w:r>
      <w:r w:rsidRPr="009171DB">
        <w:rPr>
          <w:rFonts w:ascii="Arial" w:hAnsi="Arial" w:cs="Arial"/>
          <w:i/>
          <w:iCs/>
          <w:color w:val="000000" w:themeColor="text1"/>
          <w:sz w:val="22"/>
          <w:szCs w:val="22"/>
        </w:rPr>
        <w:t>Health Policy and Planning</w:t>
      </w:r>
      <w:r w:rsidRPr="009171DB">
        <w:rPr>
          <w:rFonts w:ascii="Arial" w:hAnsi="Arial" w:cs="Arial"/>
          <w:color w:val="000000" w:themeColor="text1"/>
          <w:sz w:val="22"/>
          <w:szCs w:val="22"/>
        </w:rPr>
        <w:t xml:space="preserve">, 34(8), pp. 605–617. Available at: </w:t>
      </w:r>
      <w:hyperlink r:id="rId10" w:tgtFrame="_new" w:history="1">
        <w:r w:rsidRPr="009171DB">
          <w:rPr>
            <w:rStyle w:val="Hyperlink"/>
            <w:rFonts w:ascii="Arial" w:hAnsi="Arial" w:cs="Arial"/>
            <w:color w:val="000000" w:themeColor="text1"/>
            <w:sz w:val="22"/>
            <w:szCs w:val="22"/>
          </w:rPr>
          <w:t>https://doi.org/10.1093/heapol/czz055</w:t>
        </w:r>
      </w:hyperlink>
      <w:r w:rsidRPr="009171DB">
        <w:rPr>
          <w:rFonts w:ascii="Arial" w:hAnsi="Arial" w:cs="Arial"/>
          <w:color w:val="000000" w:themeColor="text1"/>
          <w:sz w:val="22"/>
          <w:szCs w:val="22"/>
        </w:rPr>
        <w:t>. (Accessed: 1 August 2026).</w:t>
      </w:r>
    </w:p>
    <w:p w14:paraId="15D8794B"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Alqurashi, R.M., Aljohani, A.A., Althagafi, A.O., Aljuaid, M.O., Alghamdi, F.A., Alotaibi, R.A. and Alshammari, A.M. (2025) ‘Impact of leadership styles on patient safety culture: A systematic review’, </w:t>
      </w:r>
      <w:r w:rsidRPr="009171DB">
        <w:rPr>
          <w:rFonts w:ascii="Arial" w:hAnsi="Arial" w:cs="Arial"/>
          <w:i/>
          <w:iCs/>
          <w:color w:val="000000" w:themeColor="text1"/>
          <w:sz w:val="22"/>
          <w:szCs w:val="22"/>
        </w:rPr>
        <w:t>The Review of Diabetic Studies</w:t>
      </w:r>
      <w:r w:rsidRPr="009171DB">
        <w:rPr>
          <w:rFonts w:ascii="Arial" w:hAnsi="Arial" w:cs="Arial"/>
          <w:color w:val="000000" w:themeColor="text1"/>
          <w:sz w:val="22"/>
          <w:szCs w:val="22"/>
        </w:rPr>
        <w:t xml:space="preserve">, 21(Suppl. 2), pp. 620–634. Available at: </w:t>
      </w:r>
      <w:hyperlink r:id="rId11" w:tgtFrame="_new" w:history="1">
        <w:r w:rsidRPr="009171DB">
          <w:rPr>
            <w:rStyle w:val="Hyperlink"/>
            <w:rFonts w:ascii="Arial" w:hAnsi="Arial" w:cs="Arial"/>
            <w:color w:val="000000" w:themeColor="text1"/>
            <w:sz w:val="22"/>
            <w:szCs w:val="22"/>
          </w:rPr>
          <w:t>https://www.diabeticstudies.org/index.php/RDS/article/view/1493</w:t>
        </w:r>
      </w:hyperlink>
      <w:r w:rsidRPr="009171DB">
        <w:rPr>
          <w:rFonts w:ascii="Arial" w:hAnsi="Arial" w:cs="Arial"/>
          <w:color w:val="000000" w:themeColor="text1"/>
          <w:sz w:val="22"/>
          <w:szCs w:val="22"/>
        </w:rPr>
        <w:t>. (Accessed: 3 August 2026).</w:t>
      </w:r>
    </w:p>
    <w:p w14:paraId="2CB2003F"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Bass, B.M. (1985) </w:t>
      </w:r>
      <w:r w:rsidRPr="009171DB">
        <w:rPr>
          <w:rFonts w:ascii="Arial" w:hAnsi="Arial" w:cs="Arial"/>
          <w:i/>
          <w:iCs/>
          <w:color w:val="000000" w:themeColor="text1"/>
          <w:sz w:val="22"/>
          <w:szCs w:val="22"/>
        </w:rPr>
        <w:t>Leadership and performance beyond expectations</w:t>
      </w:r>
      <w:r w:rsidRPr="009171DB">
        <w:rPr>
          <w:rFonts w:ascii="Arial" w:hAnsi="Arial" w:cs="Arial"/>
          <w:color w:val="000000" w:themeColor="text1"/>
          <w:sz w:val="22"/>
          <w:szCs w:val="22"/>
        </w:rPr>
        <w:t>. New York: Free Press. (Accessed: 20 July 2026).</w:t>
      </w:r>
    </w:p>
    <w:p w14:paraId="43C04E19" w14:textId="77777777" w:rsidR="00B03B1C" w:rsidRPr="009171DB" w:rsidRDefault="00B03B1C" w:rsidP="008633E5">
      <w:pPr>
        <w:spacing w:after="120" w:line="360" w:lineRule="auto"/>
        <w:ind w:left="360"/>
        <w:jc w:val="both"/>
        <w:rPr>
          <w:rFonts w:ascii="Arial" w:hAnsi="Arial" w:cs="Arial"/>
          <w:color w:val="000000" w:themeColor="text1"/>
        </w:rPr>
      </w:pPr>
      <w:r w:rsidRPr="009171DB">
        <w:rPr>
          <w:rFonts w:ascii="Arial" w:hAnsi="Arial" w:cs="Arial"/>
          <w:color w:val="000000" w:themeColor="text1"/>
        </w:rPr>
        <w:t xml:space="preserve">Beazley, I., Dougherty, S., James, C., Penn, C. and Phillips, L. (2019) </w:t>
      </w:r>
      <w:r w:rsidRPr="009171DB">
        <w:rPr>
          <w:rFonts w:ascii="Arial" w:hAnsi="Arial" w:cs="Arial"/>
          <w:i/>
          <w:iCs/>
          <w:color w:val="000000" w:themeColor="text1"/>
        </w:rPr>
        <w:t>Decentralisation and performance measurement systems in health care</w:t>
      </w:r>
      <w:r w:rsidRPr="009171DB">
        <w:rPr>
          <w:rFonts w:ascii="Arial" w:hAnsi="Arial" w:cs="Arial"/>
          <w:color w:val="000000" w:themeColor="text1"/>
        </w:rPr>
        <w:t>. OECD Working Papers on Fiscal Federalism, No. 28. Paris: OECD Publishing. Available at: https://doi.org/10.1787/6f34dc12-en (Accessed: 1 August 2026).</w:t>
      </w:r>
    </w:p>
    <w:p w14:paraId="4380ED6C"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Bolden, R. (2011) ‘Distributed leadership in organizations’, </w:t>
      </w:r>
      <w:r w:rsidRPr="009171DB">
        <w:rPr>
          <w:rFonts w:ascii="Arial" w:hAnsi="Arial" w:cs="Arial"/>
          <w:i/>
          <w:iCs/>
          <w:color w:val="000000" w:themeColor="text1"/>
        </w:rPr>
        <w:t>International Journal of Management Reviews</w:t>
      </w:r>
      <w:r w:rsidRPr="009171DB">
        <w:rPr>
          <w:rFonts w:ascii="Arial" w:hAnsi="Arial" w:cs="Arial"/>
          <w:color w:val="000000" w:themeColor="text1"/>
        </w:rPr>
        <w:t xml:space="preserve">, 13(3), pp. 251–269. </w:t>
      </w:r>
    </w:p>
    <w:p w14:paraId="442127FE" w14:textId="77777777" w:rsidR="00B03B1C" w:rsidRPr="009171DB" w:rsidRDefault="00B03B1C" w:rsidP="008633E5">
      <w:pPr>
        <w:spacing w:after="120" w:line="360" w:lineRule="auto"/>
        <w:ind w:left="360"/>
        <w:jc w:val="both"/>
        <w:rPr>
          <w:rFonts w:ascii="Arial" w:hAnsi="Arial" w:cs="Arial"/>
          <w:color w:val="000000" w:themeColor="text1"/>
        </w:rPr>
      </w:pPr>
      <w:r w:rsidRPr="009171DB">
        <w:rPr>
          <w:rFonts w:ascii="Arial" w:hAnsi="Arial" w:cs="Arial"/>
          <w:color w:val="000000" w:themeColor="text1"/>
        </w:rPr>
        <w:t>Bolwell, J.S. (2025) “A Review of Healthcare Challenges in the UK and the US: Medical Errors, Aging, Private Healthcare and Governance,” </w:t>
      </w:r>
      <w:r w:rsidRPr="009171DB">
        <w:rPr>
          <w:rFonts w:ascii="Arial" w:hAnsi="Arial" w:cs="Arial"/>
          <w:i/>
          <w:iCs/>
          <w:color w:val="000000" w:themeColor="text1"/>
        </w:rPr>
        <w:t>Health sciences review.</w:t>
      </w:r>
      <w:r w:rsidRPr="009171DB">
        <w:rPr>
          <w:rFonts w:ascii="Arial" w:hAnsi="Arial" w:cs="Arial"/>
          <w:color w:val="000000" w:themeColor="text1"/>
        </w:rPr>
        <w:t xml:space="preserve">, 14. Available at: </w:t>
      </w:r>
      <w:hyperlink r:id="rId12" w:history="1">
        <w:r w:rsidRPr="009171DB">
          <w:rPr>
            <w:rStyle w:val="Hyperlink"/>
            <w:rFonts w:ascii="Arial" w:hAnsi="Arial" w:cs="Arial"/>
            <w:color w:val="000000" w:themeColor="text1"/>
          </w:rPr>
          <w:t>https://doi.org/10.1016/j.hsr.2025.100211</w:t>
        </w:r>
      </w:hyperlink>
      <w:r w:rsidRPr="009171DB">
        <w:rPr>
          <w:rFonts w:ascii="Arial" w:hAnsi="Arial" w:cs="Arial"/>
          <w:color w:val="000000" w:themeColor="text1"/>
        </w:rPr>
        <w:t>. (Accessed: 31 July 2026).</w:t>
      </w:r>
    </w:p>
    <w:p w14:paraId="47081A5B"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Carr, T. </w:t>
      </w:r>
      <w:r w:rsidRPr="009171DB">
        <w:rPr>
          <w:rFonts w:ascii="Arial" w:hAnsi="Arial" w:cs="Arial"/>
          <w:i/>
          <w:iCs/>
          <w:color w:val="000000" w:themeColor="text1"/>
        </w:rPr>
        <w:t>et al.</w:t>
      </w:r>
      <w:r w:rsidRPr="009171DB">
        <w:rPr>
          <w:rFonts w:ascii="Arial" w:hAnsi="Arial" w:cs="Arial"/>
          <w:color w:val="000000" w:themeColor="text1"/>
        </w:rPr>
        <w:t xml:space="preserve"> (2024) “Strengthening healthcare providers’ leadership capabilities, interprofessional collaboration, and systems thinking: a conceptualization of the Clinical Scholars program impact,” </w:t>
      </w:r>
      <w:r w:rsidRPr="009171DB">
        <w:rPr>
          <w:rFonts w:ascii="Arial" w:hAnsi="Arial" w:cs="Arial"/>
          <w:i/>
          <w:iCs/>
          <w:color w:val="000000" w:themeColor="text1"/>
        </w:rPr>
        <w:t>BMC medical education.</w:t>
      </w:r>
      <w:r w:rsidRPr="009171DB">
        <w:rPr>
          <w:rFonts w:ascii="Arial" w:hAnsi="Arial" w:cs="Arial"/>
          <w:color w:val="000000" w:themeColor="text1"/>
        </w:rPr>
        <w:t xml:space="preserve">, 24(1). Available at: </w:t>
      </w:r>
      <w:hyperlink r:id="rId13" w:history="1">
        <w:r w:rsidRPr="009171DB">
          <w:rPr>
            <w:rStyle w:val="Hyperlink"/>
            <w:rFonts w:ascii="Arial" w:hAnsi="Arial" w:cs="Arial"/>
          </w:rPr>
          <w:t>https://doi.org/10.1186/s12909-024-06240-1</w:t>
        </w:r>
      </w:hyperlink>
      <w:r w:rsidRPr="009171DB">
        <w:rPr>
          <w:rFonts w:ascii="Arial" w:hAnsi="Arial" w:cs="Arial"/>
          <w:color w:val="000000" w:themeColor="text1"/>
        </w:rPr>
        <w:t>. (Accessed: 25 July 2026).</w:t>
      </w:r>
    </w:p>
    <w:p w14:paraId="1CE80228"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lastRenderedPageBreak/>
        <w:t>Chitiga (2018) “An exploration of the implications of transformational leadership behaviors on empowering employees and transforming organisations,” </w:t>
      </w:r>
      <w:r w:rsidRPr="009171DB">
        <w:rPr>
          <w:rFonts w:ascii="Arial" w:hAnsi="Arial" w:cs="Arial"/>
          <w:i/>
          <w:iCs/>
          <w:color w:val="000000" w:themeColor="text1"/>
          <w:sz w:val="22"/>
          <w:szCs w:val="22"/>
        </w:rPr>
        <w:t>African journal of public affairs.</w:t>
      </w:r>
      <w:r w:rsidRPr="009171DB">
        <w:rPr>
          <w:rFonts w:ascii="Arial" w:hAnsi="Arial" w:cs="Arial"/>
          <w:color w:val="000000" w:themeColor="text1"/>
          <w:sz w:val="22"/>
          <w:szCs w:val="22"/>
        </w:rPr>
        <w:t xml:space="preserve">, 10(1). Available at: </w:t>
      </w:r>
      <w:hyperlink r:id="rId14" w:history="1">
        <w:r w:rsidRPr="009171DB">
          <w:rPr>
            <w:rStyle w:val="Hyperlink"/>
            <w:rFonts w:ascii="Arial" w:hAnsi="Arial" w:cs="Arial"/>
            <w:color w:val="000000" w:themeColor="text1"/>
            <w:sz w:val="22"/>
            <w:szCs w:val="22"/>
          </w:rPr>
          <w:t>https://doi.org/10.10520/EJC-e5e38a437</w:t>
        </w:r>
      </w:hyperlink>
      <w:r w:rsidRPr="009171DB">
        <w:rPr>
          <w:rFonts w:ascii="Arial" w:hAnsi="Arial" w:cs="Arial"/>
          <w:color w:val="000000" w:themeColor="text1"/>
          <w:sz w:val="22"/>
          <w:szCs w:val="22"/>
        </w:rPr>
        <w:t xml:space="preserve">. (Accessed: 28 July 2026). </w:t>
      </w:r>
    </w:p>
    <w:p w14:paraId="0BA77DFE"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Christopher, C., KC, B., Shrestha, S., Blebil, A.Q., Alex, D., Mohamed Ibrahim, M.I. and Ismail, N. (2022) “Medication Use Problems Among Older Adults at a Primary Care: A Narrative of Literature Review,” </w:t>
      </w:r>
      <w:r w:rsidRPr="009171DB">
        <w:rPr>
          <w:rFonts w:ascii="Arial" w:hAnsi="Arial" w:cs="Arial"/>
          <w:i/>
          <w:iCs/>
          <w:color w:val="000000" w:themeColor="text1"/>
          <w:sz w:val="22"/>
          <w:szCs w:val="22"/>
        </w:rPr>
        <w:t>AGING MEDICINE</w:t>
      </w:r>
      <w:r w:rsidRPr="009171DB">
        <w:rPr>
          <w:rFonts w:ascii="Arial" w:hAnsi="Arial" w:cs="Arial"/>
          <w:color w:val="000000" w:themeColor="text1"/>
          <w:sz w:val="22"/>
          <w:szCs w:val="22"/>
        </w:rPr>
        <w:t xml:space="preserve">, 5(2), pp. 126–137. Available at: </w:t>
      </w:r>
      <w:hyperlink r:id="rId15" w:history="1">
        <w:r w:rsidRPr="009171DB">
          <w:rPr>
            <w:rStyle w:val="Hyperlink"/>
            <w:rFonts w:ascii="Arial" w:hAnsi="Arial" w:cs="Arial"/>
            <w:color w:val="000000" w:themeColor="text1"/>
            <w:sz w:val="22"/>
            <w:szCs w:val="22"/>
          </w:rPr>
          <w:t>https://doi.org/10.1002/agm2.12203</w:t>
        </w:r>
      </w:hyperlink>
      <w:r w:rsidRPr="009171DB">
        <w:rPr>
          <w:rFonts w:ascii="Arial" w:hAnsi="Arial" w:cs="Arial"/>
          <w:color w:val="000000" w:themeColor="text1"/>
          <w:sz w:val="22"/>
          <w:szCs w:val="22"/>
        </w:rPr>
        <w:t>. (Accessed: 27 July 2026).</w:t>
      </w:r>
    </w:p>
    <w:p w14:paraId="33993B5C" w14:textId="77777777" w:rsidR="00B03B1C" w:rsidRPr="009171DB" w:rsidRDefault="00B03B1C" w:rsidP="008633E5">
      <w:pPr>
        <w:spacing w:after="120" w:line="360" w:lineRule="auto"/>
        <w:ind w:left="360"/>
        <w:jc w:val="both"/>
        <w:rPr>
          <w:rFonts w:ascii="Arial" w:hAnsi="Arial" w:cs="Arial"/>
          <w:color w:val="000000" w:themeColor="text1"/>
        </w:rPr>
      </w:pPr>
      <w:r w:rsidRPr="009171DB">
        <w:rPr>
          <w:rFonts w:ascii="Arial" w:hAnsi="Arial" w:cs="Arial"/>
          <w:color w:val="000000" w:themeColor="text1"/>
        </w:rPr>
        <w:t xml:space="preserve">Crompton, A. </w:t>
      </w:r>
      <w:r w:rsidRPr="009171DB">
        <w:rPr>
          <w:rFonts w:ascii="Arial" w:hAnsi="Arial" w:cs="Arial"/>
          <w:i/>
          <w:iCs/>
          <w:color w:val="000000" w:themeColor="text1"/>
        </w:rPr>
        <w:t>et al.</w:t>
      </w:r>
      <w:r w:rsidRPr="009171DB">
        <w:rPr>
          <w:rFonts w:ascii="Arial" w:hAnsi="Arial" w:cs="Arial"/>
          <w:color w:val="000000" w:themeColor="text1"/>
        </w:rPr>
        <w:t xml:space="preserve"> (2025) “How can specialist investigation agencies inform system-wide learning for patient safety? A qualitative study of perspectives on the early years of the English Healthcare Safety Investigation Branch,” </w:t>
      </w:r>
      <w:r w:rsidRPr="009171DB">
        <w:rPr>
          <w:rFonts w:ascii="Arial" w:hAnsi="Arial" w:cs="Arial"/>
          <w:i/>
          <w:iCs/>
          <w:color w:val="000000" w:themeColor="text1"/>
        </w:rPr>
        <w:t>Journal of health services research &amp; policy.</w:t>
      </w:r>
      <w:r w:rsidRPr="009171DB">
        <w:rPr>
          <w:rFonts w:ascii="Arial" w:hAnsi="Arial" w:cs="Arial"/>
          <w:color w:val="000000" w:themeColor="text1"/>
        </w:rPr>
        <w:t xml:space="preserve">, 30(1), pp. 31–39. Available at: </w:t>
      </w:r>
      <w:hyperlink r:id="rId16" w:history="1">
        <w:r w:rsidRPr="009171DB">
          <w:rPr>
            <w:rStyle w:val="Hyperlink"/>
            <w:rFonts w:ascii="Arial" w:hAnsi="Arial" w:cs="Arial"/>
            <w:color w:val="000000" w:themeColor="text1"/>
          </w:rPr>
          <w:t>https://doi.org/10.1177/13558196241291816</w:t>
        </w:r>
      </w:hyperlink>
      <w:r w:rsidRPr="009171DB">
        <w:rPr>
          <w:rFonts w:ascii="Arial" w:hAnsi="Arial" w:cs="Arial"/>
          <w:color w:val="000000" w:themeColor="text1"/>
        </w:rPr>
        <w:t>. Accessed: 31 July 2026.</w:t>
      </w:r>
    </w:p>
    <w:p w14:paraId="18871A35"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Del Pino-Marchito, A., Galán-García, A. and Plaza-Mejía, M. de los Á. (2025) “The Hersey and Blanchard’s Situational Leadership Model Revisited: Its Role in Sustainable Organizational Development,” </w:t>
      </w:r>
      <w:r w:rsidRPr="009171DB">
        <w:rPr>
          <w:rFonts w:ascii="Arial" w:hAnsi="Arial" w:cs="Arial"/>
          <w:i/>
          <w:iCs/>
          <w:color w:val="000000" w:themeColor="text1"/>
          <w:sz w:val="22"/>
          <w:szCs w:val="22"/>
        </w:rPr>
        <w:t>World</w:t>
      </w:r>
      <w:r w:rsidRPr="009171DB">
        <w:rPr>
          <w:rFonts w:ascii="Arial" w:hAnsi="Arial" w:cs="Arial"/>
          <w:color w:val="000000" w:themeColor="text1"/>
          <w:sz w:val="22"/>
          <w:szCs w:val="22"/>
        </w:rPr>
        <w:t xml:space="preserve">, 6(2). Available at: </w:t>
      </w:r>
      <w:hyperlink r:id="rId17" w:history="1">
        <w:r w:rsidRPr="009171DB">
          <w:rPr>
            <w:rStyle w:val="Hyperlink"/>
            <w:rFonts w:ascii="Arial" w:hAnsi="Arial" w:cs="Arial"/>
            <w:color w:val="000000" w:themeColor="text1"/>
            <w:sz w:val="22"/>
            <w:szCs w:val="22"/>
          </w:rPr>
          <w:t>https://doi.org/10.3390/world6020063</w:t>
        </w:r>
      </w:hyperlink>
      <w:r w:rsidRPr="009171DB">
        <w:rPr>
          <w:rFonts w:ascii="Arial" w:hAnsi="Arial" w:cs="Arial"/>
          <w:color w:val="000000" w:themeColor="text1"/>
          <w:sz w:val="22"/>
          <w:szCs w:val="22"/>
        </w:rPr>
        <w:t>. (Accessed: 3 August 2026).</w:t>
      </w:r>
    </w:p>
    <w:p w14:paraId="1205184E"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Elliott, R.A., Camacho, E., Campbell, F., Jankovic, D., Martyn-St James, M., Kaltenthaler, E., Wong, R., Sculpher, M. and Faria, R. (2021) </w:t>
      </w:r>
      <w:r w:rsidRPr="009171DB">
        <w:rPr>
          <w:rFonts w:ascii="Arial" w:hAnsi="Arial" w:cs="Arial"/>
          <w:i/>
          <w:iCs/>
          <w:color w:val="000000" w:themeColor="text1"/>
          <w:sz w:val="22"/>
          <w:szCs w:val="22"/>
        </w:rPr>
        <w:t>Prevalence and economic burden of medication errors in the NHS in England</w:t>
      </w:r>
      <w:r w:rsidRPr="009171DB">
        <w:rPr>
          <w:rFonts w:ascii="Arial" w:hAnsi="Arial" w:cs="Arial"/>
          <w:color w:val="000000" w:themeColor="text1"/>
          <w:sz w:val="22"/>
          <w:szCs w:val="22"/>
        </w:rPr>
        <w:t>. Policy Research Unit in Economic Evaluation of Health and Care Interventions (EEPRU). Available at: https://www.eepru.org.uk/publication/prevalence-and-economic-burden-of-medication-errors-in-the-nhs-in-england/ (Accessed: 2 August 2026).</w:t>
      </w:r>
    </w:p>
    <w:p w14:paraId="688232E3"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Francis, R. (2013) </w:t>
      </w:r>
      <w:r w:rsidRPr="009171DB">
        <w:rPr>
          <w:rFonts w:ascii="Arial" w:hAnsi="Arial" w:cs="Arial"/>
          <w:i/>
          <w:iCs/>
          <w:color w:val="000000" w:themeColor="text1"/>
        </w:rPr>
        <w:t>Report of the Mid Staffordshire NHS Foundation Trust Public Inquiry</w:t>
      </w:r>
      <w:r w:rsidRPr="009171DB">
        <w:rPr>
          <w:rFonts w:ascii="Arial" w:hAnsi="Arial" w:cs="Arial"/>
          <w:color w:val="000000" w:themeColor="text1"/>
        </w:rPr>
        <w:t xml:space="preserve">. London: The Stationery Office. </w:t>
      </w:r>
    </w:p>
    <w:p w14:paraId="65E72466"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Ghasabeh, M.S., Soosay, C. and Reaiche, C. (2015) “The emerging role of transformational leadership,” </w:t>
      </w:r>
      <w:r w:rsidRPr="009171DB">
        <w:rPr>
          <w:rFonts w:ascii="Arial" w:hAnsi="Arial" w:cs="Arial"/>
          <w:i/>
          <w:iCs/>
          <w:color w:val="000000" w:themeColor="text1"/>
        </w:rPr>
        <w:t>The journal of developing areas.</w:t>
      </w:r>
      <w:r w:rsidRPr="009171DB">
        <w:rPr>
          <w:rFonts w:ascii="Arial" w:hAnsi="Arial" w:cs="Arial"/>
          <w:color w:val="000000" w:themeColor="text1"/>
        </w:rPr>
        <w:t xml:space="preserve">, 49(6), pp. 459–467. Available at: </w:t>
      </w:r>
      <w:hyperlink r:id="rId18" w:history="1">
        <w:r w:rsidRPr="009171DB">
          <w:rPr>
            <w:rStyle w:val="Hyperlink"/>
            <w:rFonts w:ascii="Arial" w:hAnsi="Arial" w:cs="Arial"/>
            <w:color w:val="000000" w:themeColor="text1"/>
          </w:rPr>
          <w:t>https://doi.org/10.1353/jda.2015.0090</w:t>
        </w:r>
      </w:hyperlink>
      <w:r w:rsidRPr="009171DB">
        <w:rPr>
          <w:rFonts w:ascii="Arial" w:hAnsi="Arial" w:cs="Arial"/>
          <w:color w:val="000000" w:themeColor="text1"/>
        </w:rPr>
        <w:t>. (Accessed: 27 July 2026).</w:t>
      </w:r>
    </w:p>
    <w:p w14:paraId="6F6C5982"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Healthcare Safety Investigation Branch (2024) </w:t>
      </w:r>
      <w:r w:rsidRPr="009171DB">
        <w:rPr>
          <w:rFonts w:ascii="Arial" w:hAnsi="Arial" w:cs="Arial"/>
          <w:i/>
          <w:iCs/>
          <w:color w:val="000000" w:themeColor="text1"/>
        </w:rPr>
        <w:t>Investigation Report: Unintentional Overdose of Morphine Sulfate Oral Solution</w:t>
      </w:r>
      <w:r w:rsidRPr="009171DB">
        <w:rPr>
          <w:rFonts w:ascii="Arial" w:hAnsi="Arial" w:cs="Arial"/>
          <w:color w:val="000000" w:themeColor="text1"/>
        </w:rPr>
        <w:t xml:space="preserve">. Available at: </w:t>
      </w:r>
      <w:hyperlink r:id="rId19" w:tgtFrame="_new" w:history="1">
        <w:r w:rsidRPr="009171DB">
          <w:rPr>
            <w:rStyle w:val="Hyperlink"/>
            <w:rFonts w:ascii="Arial" w:hAnsi="Arial" w:cs="Arial"/>
            <w:color w:val="000000" w:themeColor="text1"/>
          </w:rPr>
          <w:t>https://www.hssib.org.uk/patient-safety-investigations/unintentional-overdose-of-morphine-sulfate-oral-solution/investigation-report/</w:t>
        </w:r>
      </w:hyperlink>
      <w:r w:rsidRPr="009171DB">
        <w:rPr>
          <w:rFonts w:ascii="Arial" w:hAnsi="Arial" w:cs="Arial"/>
          <w:color w:val="000000" w:themeColor="text1"/>
        </w:rPr>
        <w:t xml:space="preserve"> (Accessed: 20 July 2026). </w:t>
      </w:r>
    </w:p>
    <w:p w14:paraId="2AB2C51E"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lastRenderedPageBreak/>
        <w:t xml:space="preserve">Healthcare Safety Investigation Branch (HSSIB) (2024) </w:t>
      </w:r>
      <w:r w:rsidRPr="009171DB">
        <w:rPr>
          <w:rFonts w:ascii="Arial" w:hAnsi="Arial" w:cs="Arial"/>
          <w:i/>
          <w:iCs/>
          <w:color w:val="000000" w:themeColor="text1"/>
          <w:sz w:val="22"/>
          <w:szCs w:val="22"/>
        </w:rPr>
        <w:t>Investigation report: Unintentional overdose of morphine sulfate oral solution</w:t>
      </w:r>
      <w:r w:rsidRPr="009171DB">
        <w:rPr>
          <w:rFonts w:ascii="Arial" w:hAnsi="Arial" w:cs="Arial"/>
          <w:color w:val="000000" w:themeColor="text1"/>
          <w:sz w:val="22"/>
          <w:szCs w:val="22"/>
        </w:rPr>
        <w:t xml:space="preserve">. Available at: </w:t>
      </w:r>
      <w:hyperlink r:id="rId20" w:tgtFrame="_new" w:history="1">
        <w:r w:rsidRPr="009171DB">
          <w:rPr>
            <w:rStyle w:val="Hyperlink"/>
            <w:rFonts w:ascii="Arial" w:hAnsi="Arial" w:cs="Arial"/>
            <w:color w:val="000000" w:themeColor="text1"/>
            <w:sz w:val="22"/>
            <w:szCs w:val="22"/>
          </w:rPr>
          <w:t>https://www.hssib.org.uk/patient-safety-investigations/unintentional-overdose-of-morphine-sulfate-oral-solution/investigation-report/</w:t>
        </w:r>
      </w:hyperlink>
      <w:r w:rsidRPr="009171DB">
        <w:rPr>
          <w:rFonts w:ascii="Arial" w:hAnsi="Arial" w:cs="Arial"/>
          <w:color w:val="000000" w:themeColor="text1"/>
          <w:sz w:val="22"/>
          <w:szCs w:val="22"/>
        </w:rPr>
        <w:t xml:space="preserve"> (Accessed: 2 August 2026).</w:t>
      </w:r>
    </w:p>
    <w:p w14:paraId="2740D12A"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Hersey, P. and Blanchard, K.H. (1969) </w:t>
      </w:r>
      <w:r w:rsidRPr="009171DB">
        <w:rPr>
          <w:rFonts w:ascii="Arial" w:hAnsi="Arial" w:cs="Arial"/>
          <w:i/>
          <w:iCs/>
          <w:color w:val="000000" w:themeColor="text1"/>
          <w:sz w:val="22"/>
          <w:szCs w:val="22"/>
        </w:rPr>
        <w:t>Management of organizational behavior: Utilizing human resources</w:t>
      </w:r>
      <w:r w:rsidRPr="009171DB">
        <w:rPr>
          <w:rFonts w:ascii="Arial" w:hAnsi="Arial" w:cs="Arial"/>
          <w:color w:val="000000" w:themeColor="text1"/>
          <w:sz w:val="22"/>
          <w:szCs w:val="22"/>
        </w:rPr>
        <w:t xml:space="preserve">. Englewood Cliffs, NJ: Prentice-Hall. Available at: </w:t>
      </w:r>
      <w:hyperlink r:id="rId21" w:history="1">
        <w:r w:rsidRPr="009171DB">
          <w:rPr>
            <w:rStyle w:val="Hyperlink"/>
            <w:rFonts w:ascii="Arial" w:hAnsi="Arial" w:cs="Arial"/>
            <w:color w:val="000000" w:themeColor="text1"/>
            <w:sz w:val="22"/>
            <w:szCs w:val="22"/>
          </w:rPr>
          <w:t>https://books.google.com/books?id=Q65AAAAAIAAJ</w:t>
        </w:r>
      </w:hyperlink>
      <w:r w:rsidRPr="009171DB">
        <w:rPr>
          <w:rFonts w:ascii="Arial" w:hAnsi="Arial" w:cs="Arial"/>
          <w:color w:val="000000" w:themeColor="text1"/>
          <w:sz w:val="22"/>
          <w:szCs w:val="22"/>
        </w:rPr>
        <w:t>. (Accessed: 3 August 2026).</w:t>
      </w:r>
    </w:p>
    <w:p w14:paraId="7CA4F3BF"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Javadnia, P. </w:t>
      </w:r>
      <w:r w:rsidRPr="009171DB">
        <w:rPr>
          <w:rFonts w:ascii="Arial" w:hAnsi="Arial" w:cs="Arial"/>
          <w:i/>
          <w:iCs/>
          <w:color w:val="000000" w:themeColor="text1"/>
          <w:sz w:val="22"/>
          <w:szCs w:val="22"/>
        </w:rPr>
        <w:t>et al.</w:t>
      </w:r>
      <w:r w:rsidRPr="009171DB">
        <w:rPr>
          <w:rFonts w:ascii="Arial" w:hAnsi="Arial" w:cs="Arial"/>
          <w:color w:val="000000" w:themeColor="text1"/>
          <w:sz w:val="22"/>
          <w:szCs w:val="22"/>
        </w:rPr>
        <w:t xml:space="preserve"> (2025) “From error to prevention of wrong-level spine surgery: a review,” </w:t>
      </w:r>
      <w:r w:rsidRPr="009171DB">
        <w:rPr>
          <w:rFonts w:ascii="Arial" w:hAnsi="Arial" w:cs="Arial"/>
          <w:i/>
          <w:iCs/>
          <w:color w:val="000000" w:themeColor="text1"/>
          <w:sz w:val="22"/>
          <w:szCs w:val="22"/>
        </w:rPr>
        <w:t>Patient safety in surgery.</w:t>
      </w:r>
      <w:r w:rsidRPr="009171DB">
        <w:rPr>
          <w:rFonts w:ascii="Arial" w:hAnsi="Arial" w:cs="Arial"/>
          <w:color w:val="000000" w:themeColor="text1"/>
          <w:sz w:val="22"/>
          <w:szCs w:val="22"/>
        </w:rPr>
        <w:t xml:space="preserve">, 19(1). Available at: </w:t>
      </w:r>
      <w:hyperlink r:id="rId22" w:history="1">
        <w:r w:rsidRPr="009171DB">
          <w:rPr>
            <w:rStyle w:val="Hyperlink"/>
            <w:rFonts w:ascii="Arial" w:hAnsi="Arial" w:cs="Arial"/>
            <w:color w:val="000000" w:themeColor="text1"/>
            <w:sz w:val="22"/>
            <w:szCs w:val="22"/>
          </w:rPr>
          <w:t>https://doi.org/10.1186/s13037-025-00440-4</w:t>
        </w:r>
      </w:hyperlink>
      <w:r w:rsidRPr="009171DB">
        <w:rPr>
          <w:rFonts w:ascii="Arial" w:hAnsi="Arial" w:cs="Arial"/>
          <w:color w:val="000000" w:themeColor="text1"/>
          <w:sz w:val="22"/>
          <w:szCs w:val="22"/>
        </w:rPr>
        <w:t xml:space="preserve">. (Accessed: 1 August 2026). </w:t>
      </w:r>
    </w:p>
    <w:p w14:paraId="5F27EF21"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Kirkup, B. (2022) </w:t>
      </w:r>
      <w:r w:rsidRPr="009171DB">
        <w:rPr>
          <w:rFonts w:ascii="Arial" w:hAnsi="Arial" w:cs="Arial"/>
          <w:i/>
          <w:iCs/>
          <w:color w:val="000000" w:themeColor="text1"/>
          <w:sz w:val="22"/>
          <w:szCs w:val="22"/>
        </w:rPr>
        <w:t>Reading the signals: Maternity and neonatal services in East Kent – The report of the independent investigation</w:t>
      </w:r>
      <w:r w:rsidRPr="009171DB">
        <w:rPr>
          <w:rFonts w:ascii="Arial" w:hAnsi="Arial" w:cs="Arial"/>
          <w:color w:val="000000" w:themeColor="text1"/>
          <w:sz w:val="22"/>
          <w:szCs w:val="22"/>
        </w:rPr>
        <w:t xml:space="preserve">. London: The Stationery Office. Available at: </w:t>
      </w:r>
      <w:hyperlink r:id="rId23" w:history="1">
        <w:r w:rsidRPr="009171DB">
          <w:rPr>
            <w:rStyle w:val="Hyperlink"/>
            <w:rFonts w:ascii="Arial" w:hAnsi="Arial" w:cs="Arial"/>
            <w:color w:val="000000" w:themeColor="text1"/>
            <w:sz w:val="22"/>
            <w:szCs w:val="22"/>
          </w:rPr>
          <w:t>https://www.gov.uk/government/publications/the-report-of-the-independent-investigation-into-maternity-and-neonatal-services-in-east-kent</w:t>
        </w:r>
      </w:hyperlink>
      <w:r w:rsidRPr="009171DB">
        <w:rPr>
          <w:rFonts w:ascii="Arial" w:hAnsi="Arial" w:cs="Arial"/>
          <w:color w:val="000000" w:themeColor="text1"/>
          <w:sz w:val="22"/>
          <w:szCs w:val="22"/>
        </w:rPr>
        <w:t>. (Accessed: 20 July 2026).</w:t>
      </w:r>
    </w:p>
    <w:p w14:paraId="1A0DB1DD"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Kirkup, B. (2022) </w:t>
      </w:r>
      <w:r w:rsidRPr="009171DB">
        <w:rPr>
          <w:rFonts w:ascii="Arial" w:hAnsi="Arial" w:cs="Arial"/>
          <w:i/>
          <w:iCs/>
          <w:color w:val="000000" w:themeColor="text1"/>
          <w:sz w:val="22"/>
          <w:szCs w:val="22"/>
        </w:rPr>
        <w:t>Reading the signals: Maternity and neonatal services in East Kent – The report of the independent investigation</w:t>
      </w:r>
      <w:r w:rsidRPr="009171DB">
        <w:rPr>
          <w:rFonts w:ascii="Arial" w:hAnsi="Arial" w:cs="Arial"/>
          <w:color w:val="000000" w:themeColor="text1"/>
          <w:sz w:val="22"/>
          <w:szCs w:val="22"/>
        </w:rPr>
        <w:t xml:space="preserve">. London: The Stationery Office. Available at: </w:t>
      </w:r>
      <w:hyperlink r:id="rId24" w:tgtFrame="_blank" w:history="1">
        <w:r w:rsidRPr="009171DB">
          <w:rPr>
            <w:rStyle w:val="Hyperlink"/>
            <w:rFonts w:ascii="Arial" w:hAnsi="Arial" w:cs="Arial"/>
            <w:color w:val="000000" w:themeColor="text1"/>
            <w:sz w:val="22"/>
            <w:szCs w:val="22"/>
          </w:rPr>
          <w:t>GOV.UK – Reading the signals report</w:t>
        </w:r>
      </w:hyperlink>
      <w:r w:rsidRPr="009171DB">
        <w:rPr>
          <w:rFonts w:ascii="Arial" w:hAnsi="Arial" w:cs="Arial"/>
          <w:color w:val="000000" w:themeColor="text1"/>
          <w:sz w:val="22"/>
          <w:szCs w:val="22"/>
        </w:rPr>
        <w:t xml:space="preserve"> (Accessed: 2 August 2026). </w:t>
      </w:r>
    </w:p>
    <w:p w14:paraId="1A6D1BD7"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Kirkup, B. (2022) </w:t>
      </w:r>
      <w:r w:rsidRPr="009171DB">
        <w:rPr>
          <w:rFonts w:ascii="Arial" w:hAnsi="Arial" w:cs="Arial"/>
          <w:i/>
          <w:iCs/>
          <w:color w:val="000000" w:themeColor="text1"/>
          <w:sz w:val="22"/>
          <w:szCs w:val="22"/>
        </w:rPr>
        <w:t>Reading the signals: Maternity and neonatal services in East Kent – The report of the independent investigation</w:t>
      </w:r>
      <w:r w:rsidRPr="009171DB">
        <w:rPr>
          <w:rFonts w:ascii="Arial" w:hAnsi="Arial" w:cs="Arial"/>
          <w:color w:val="000000" w:themeColor="text1"/>
          <w:sz w:val="22"/>
          <w:szCs w:val="22"/>
        </w:rPr>
        <w:t xml:space="preserve">. London: The Stationery Office. Available at: </w:t>
      </w:r>
      <w:hyperlink r:id="rId25" w:tgtFrame="_new" w:history="1">
        <w:r w:rsidRPr="009171DB">
          <w:rPr>
            <w:rStyle w:val="Hyperlink"/>
            <w:rFonts w:ascii="Arial" w:hAnsi="Arial" w:cs="Arial"/>
            <w:color w:val="000000" w:themeColor="text1"/>
            <w:sz w:val="22"/>
            <w:szCs w:val="22"/>
          </w:rPr>
          <w:t>https://www.gov.uk/government/publications/maternity-and-neonatal-services-in-east-kent-reading-the-signals-report</w:t>
        </w:r>
      </w:hyperlink>
      <w:r w:rsidRPr="009171DB">
        <w:rPr>
          <w:rFonts w:ascii="Arial" w:hAnsi="Arial" w:cs="Arial"/>
          <w:color w:val="000000" w:themeColor="text1"/>
          <w:sz w:val="22"/>
          <w:szCs w:val="22"/>
        </w:rPr>
        <w:t xml:space="preserve"> (Accessed: 2 August 2026).</w:t>
      </w:r>
    </w:p>
    <w:p w14:paraId="66D1D58E"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Liddle, K. (2018) “The impact of leadership on the delivery of high quality patient centred care in allied health professional practice.” </w:t>
      </w:r>
      <w:r w:rsidRPr="009171DB">
        <w:rPr>
          <w:rFonts w:ascii="Arial" w:hAnsi="Arial" w:cs="Arial"/>
          <w:i/>
          <w:iCs/>
          <w:color w:val="000000" w:themeColor="text1"/>
          <w:sz w:val="22"/>
          <w:szCs w:val="22"/>
        </w:rPr>
        <w:t>PhD thesis. University of Stirling</w:t>
      </w:r>
      <w:r w:rsidRPr="009171DB">
        <w:rPr>
          <w:rFonts w:ascii="Arial" w:hAnsi="Arial" w:cs="Arial"/>
          <w:color w:val="000000" w:themeColor="text1"/>
          <w:sz w:val="22"/>
          <w:szCs w:val="22"/>
        </w:rPr>
        <w:t xml:space="preserve">. Available at: </w:t>
      </w:r>
      <w:hyperlink r:id="rId26" w:tgtFrame="_new" w:history="1">
        <w:r w:rsidRPr="009171DB">
          <w:rPr>
            <w:rStyle w:val="Hyperlink"/>
            <w:rFonts w:ascii="Arial" w:hAnsi="Arial" w:cs="Arial"/>
            <w:color w:val="000000" w:themeColor="text1"/>
            <w:sz w:val="22"/>
            <w:szCs w:val="22"/>
          </w:rPr>
          <w:t>http://hdl.handle.net/1893/28081</w:t>
        </w:r>
      </w:hyperlink>
      <w:r w:rsidRPr="009171DB">
        <w:rPr>
          <w:rFonts w:ascii="Arial" w:hAnsi="Arial" w:cs="Arial"/>
          <w:color w:val="000000" w:themeColor="text1"/>
          <w:sz w:val="22"/>
          <w:szCs w:val="22"/>
        </w:rPr>
        <w:t xml:space="preserve"> (Accessed: 3 August 2026).</w:t>
      </w:r>
    </w:p>
    <w:p w14:paraId="1AFA893F"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Macrae, C. (2025) “Systematising safety: Developing integrated safety management systems in healthcare,” </w:t>
      </w:r>
      <w:r w:rsidRPr="009171DB">
        <w:rPr>
          <w:rFonts w:ascii="Arial" w:hAnsi="Arial" w:cs="Arial"/>
          <w:i/>
          <w:iCs/>
          <w:color w:val="000000" w:themeColor="text1"/>
          <w:sz w:val="22"/>
          <w:szCs w:val="22"/>
        </w:rPr>
        <w:t>Journal of patient safety and risk management.</w:t>
      </w:r>
      <w:r w:rsidRPr="009171DB">
        <w:rPr>
          <w:rFonts w:ascii="Arial" w:hAnsi="Arial" w:cs="Arial"/>
          <w:color w:val="000000" w:themeColor="text1"/>
          <w:sz w:val="22"/>
          <w:szCs w:val="22"/>
        </w:rPr>
        <w:t xml:space="preserve">, 30(3), pp. 131–138. Available at: </w:t>
      </w:r>
      <w:hyperlink r:id="rId27" w:history="1">
        <w:r w:rsidRPr="009171DB">
          <w:rPr>
            <w:rStyle w:val="Hyperlink"/>
            <w:rFonts w:ascii="Arial" w:hAnsi="Arial" w:cs="Arial"/>
            <w:color w:val="000000" w:themeColor="text1"/>
            <w:sz w:val="22"/>
            <w:szCs w:val="22"/>
          </w:rPr>
          <w:t>https://doi.org/10.1177/25160435251319573</w:t>
        </w:r>
      </w:hyperlink>
      <w:r w:rsidRPr="009171DB">
        <w:rPr>
          <w:rFonts w:ascii="Arial" w:hAnsi="Arial" w:cs="Arial"/>
          <w:color w:val="000000" w:themeColor="text1"/>
          <w:sz w:val="22"/>
          <w:szCs w:val="22"/>
        </w:rPr>
        <w:t xml:space="preserve">. (Accessed: 20 July 2026). </w:t>
      </w:r>
    </w:p>
    <w:p w14:paraId="186FF581" w14:textId="4A6A457D" w:rsidR="00B03B1C" w:rsidRPr="009171DB" w:rsidRDefault="00B03B1C" w:rsidP="00F54CEC">
      <w:pPr>
        <w:spacing w:after="120" w:line="360" w:lineRule="auto"/>
        <w:ind w:left="360"/>
        <w:rPr>
          <w:rFonts w:ascii="Arial" w:hAnsi="Arial" w:cs="Arial"/>
          <w:color w:val="000000" w:themeColor="text1"/>
        </w:rPr>
      </w:pPr>
      <w:r w:rsidRPr="009171DB">
        <w:rPr>
          <w:rFonts w:ascii="Arial" w:hAnsi="Arial" w:cs="Arial"/>
          <w:color w:val="000000" w:themeColor="text1"/>
          <w:lang w:val="it-IT"/>
        </w:rPr>
        <w:t xml:space="preserve">Mahmood, S., Sequeira, R., Muhammad, Batista, M., Patrícia Pita Ferreira, Adalberto Campos Fernandes and Sousa, P. (2024). </w:t>
      </w:r>
      <w:r w:rsidR="0056121E" w:rsidRPr="0056121E">
        <w:rPr>
          <w:rFonts w:ascii="Arial" w:hAnsi="Arial" w:cs="Arial"/>
          <w:color w:val="000000" w:themeColor="text1"/>
        </w:rPr>
        <w:t>“</w:t>
      </w:r>
      <w:r w:rsidRPr="009171DB">
        <w:rPr>
          <w:rFonts w:ascii="Arial" w:hAnsi="Arial" w:cs="Arial"/>
          <w:color w:val="000000" w:themeColor="text1"/>
        </w:rPr>
        <w:t xml:space="preserve">Decentralization of the health system – </w:t>
      </w:r>
      <w:r w:rsidRPr="009171DB">
        <w:rPr>
          <w:rFonts w:ascii="Arial" w:hAnsi="Arial" w:cs="Arial"/>
          <w:color w:val="000000" w:themeColor="text1"/>
        </w:rPr>
        <w:lastRenderedPageBreak/>
        <w:t>experiences from Pakistan, Portugal and Brazil</w:t>
      </w:r>
      <w:r w:rsidR="0056121E">
        <w:rPr>
          <w:rFonts w:ascii="Arial" w:hAnsi="Arial" w:cs="Arial"/>
          <w:color w:val="000000" w:themeColor="text1"/>
        </w:rPr>
        <w:t>”</w:t>
      </w:r>
      <w:r w:rsidRPr="009171DB">
        <w:rPr>
          <w:rFonts w:ascii="Arial" w:hAnsi="Arial" w:cs="Arial"/>
          <w:color w:val="000000" w:themeColor="text1"/>
        </w:rPr>
        <w:t xml:space="preserve">. </w:t>
      </w:r>
      <w:r w:rsidRPr="009171DB">
        <w:rPr>
          <w:rFonts w:ascii="Arial" w:hAnsi="Arial" w:cs="Arial"/>
          <w:i/>
          <w:iCs/>
          <w:color w:val="000000" w:themeColor="text1"/>
        </w:rPr>
        <w:t>Health research policy and systems</w:t>
      </w:r>
      <w:r w:rsidRPr="009171DB">
        <w:rPr>
          <w:rFonts w:ascii="Arial" w:hAnsi="Arial" w:cs="Arial"/>
          <w:color w:val="000000" w:themeColor="text1"/>
        </w:rPr>
        <w:t>, 22(1). doi:10.1186/s12961-024-01145-3.</w:t>
      </w:r>
      <w:r w:rsidRPr="009171DB">
        <w:rPr>
          <w:rFonts w:ascii="Arial" w:hAnsi="Arial" w:cs="Arial"/>
          <w:color w:val="000000" w:themeColor="text1"/>
        </w:rPr>
        <w:t xml:space="preserve"> (Accessed: 20 July 2026). </w:t>
      </w:r>
    </w:p>
    <w:p w14:paraId="1A2A1182"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Manias, E., Kusljic, S. and Wu, A. (2020) “Interventions to reduce medication errors in adult medical and surgical settings: a systematic review,” </w:t>
      </w:r>
      <w:r w:rsidRPr="009171DB">
        <w:rPr>
          <w:rFonts w:ascii="Arial" w:hAnsi="Arial" w:cs="Arial"/>
          <w:i/>
          <w:iCs/>
          <w:color w:val="000000" w:themeColor="text1"/>
        </w:rPr>
        <w:t>Therapeutic advances in drug safety.</w:t>
      </w:r>
      <w:r w:rsidRPr="009171DB">
        <w:rPr>
          <w:rFonts w:ascii="Arial" w:hAnsi="Arial" w:cs="Arial"/>
          <w:color w:val="000000" w:themeColor="text1"/>
        </w:rPr>
        <w:t xml:space="preserve">, 11. Available at: </w:t>
      </w:r>
      <w:hyperlink r:id="rId28" w:history="1">
        <w:r w:rsidRPr="009171DB">
          <w:rPr>
            <w:rStyle w:val="Hyperlink"/>
            <w:rFonts w:ascii="Arial" w:hAnsi="Arial" w:cs="Arial"/>
            <w:color w:val="000000" w:themeColor="text1"/>
          </w:rPr>
          <w:t>https://doi.org/10.1177/2042098620968309</w:t>
        </w:r>
      </w:hyperlink>
      <w:r w:rsidRPr="009171DB">
        <w:rPr>
          <w:rFonts w:ascii="Arial" w:hAnsi="Arial" w:cs="Arial"/>
          <w:color w:val="000000" w:themeColor="text1"/>
        </w:rPr>
        <w:t xml:space="preserve">. Accessed: 24 July 2026. </w:t>
      </w:r>
    </w:p>
    <w:p w14:paraId="5AEE722E"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Martin, G.P. </w:t>
      </w:r>
      <w:r w:rsidRPr="009171DB">
        <w:rPr>
          <w:rFonts w:ascii="Arial" w:hAnsi="Arial" w:cs="Arial"/>
          <w:i/>
          <w:iCs/>
          <w:color w:val="000000" w:themeColor="text1"/>
        </w:rPr>
        <w:t>et al.</w:t>
      </w:r>
      <w:r w:rsidRPr="009171DB">
        <w:rPr>
          <w:rFonts w:ascii="Arial" w:hAnsi="Arial" w:cs="Arial"/>
          <w:color w:val="000000" w:themeColor="text1"/>
        </w:rPr>
        <w:t xml:space="preserve"> (2025) “New forms of expertise and their implications for the system of professions in healthcare: the case of the patient safety specialist role in the English NHS,” </w:t>
      </w:r>
      <w:r w:rsidRPr="009171DB">
        <w:rPr>
          <w:rFonts w:ascii="Arial" w:hAnsi="Arial" w:cs="Arial"/>
          <w:i/>
          <w:iCs/>
          <w:color w:val="000000" w:themeColor="text1"/>
        </w:rPr>
        <w:t>Social science &amp; medicine.</w:t>
      </w:r>
      <w:r w:rsidRPr="009171DB">
        <w:rPr>
          <w:rFonts w:ascii="Arial" w:hAnsi="Arial" w:cs="Arial"/>
          <w:color w:val="000000" w:themeColor="text1"/>
        </w:rPr>
        <w:t xml:space="preserve">, 385. Available at: </w:t>
      </w:r>
      <w:hyperlink r:id="rId29" w:history="1">
        <w:r w:rsidRPr="009171DB">
          <w:rPr>
            <w:rStyle w:val="Hyperlink"/>
            <w:rFonts w:ascii="Arial" w:hAnsi="Arial" w:cs="Arial"/>
            <w:color w:val="000000" w:themeColor="text1"/>
          </w:rPr>
          <w:t>https://doi.org/10.1016/j.socscimed.2025.118562</w:t>
        </w:r>
      </w:hyperlink>
      <w:r w:rsidRPr="009171DB">
        <w:rPr>
          <w:rFonts w:ascii="Arial" w:hAnsi="Arial" w:cs="Arial"/>
          <w:color w:val="000000" w:themeColor="text1"/>
        </w:rPr>
        <w:t>. (Accessed: 31 July 2026).</w:t>
      </w:r>
    </w:p>
    <w:p w14:paraId="089F3345"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Mendoza Solis, M. </w:t>
      </w:r>
      <w:r w:rsidRPr="009171DB">
        <w:rPr>
          <w:rFonts w:ascii="Arial" w:hAnsi="Arial" w:cs="Arial"/>
          <w:i/>
          <w:iCs/>
          <w:color w:val="000000" w:themeColor="text1"/>
          <w:sz w:val="22"/>
          <w:szCs w:val="22"/>
        </w:rPr>
        <w:t>et al.</w:t>
      </w:r>
      <w:r w:rsidRPr="009171DB">
        <w:rPr>
          <w:rFonts w:ascii="Arial" w:hAnsi="Arial" w:cs="Arial"/>
          <w:color w:val="000000" w:themeColor="text1"/>
          <w:sz w:val="22"/>
          <w:szCs w:val="22"/>
        </w:rPr>
        <w:t xml:space="preserve"> (2023) “The role of transactional leadership in the social performance of the maquiladora industry,” </w:t>
      </w:r>
      <w:r w:rsidRPr="009171DB">
        <w:rPr>
          <w:rFonts w:ascii="Arial" w:hAnsi="Arial" w:cs="Arial"/>
          <w:i/>
          <w:iCs/>
          <w:color w:val="000000" w:themeColor="text1"/>
          <w:sz w:val="22"/>
          <w:szCs w:val="22"/>
        </w:rPr>
        <w:t>Revista brasileira de gestão de negócios.</w:t>
      </w:r>
      <w:r w:rsidRPr="009171DB">
        <w:rPr>
          <w:rFonts w:ascii="Arial" w:hAnsi="Arial" w:cs="Arial"/>
          <w:color w:val="000000" w:themeColor="text1"/>
          <w:sz w:val="22"/>
          <w:szCs w:val="22"/>
        </w:rPr>
        <w:t xml:space="preserve">, 25(2), pp. 215–233. Available at: </w:t>
      </w:r>
      <w:hyperlink r:id="rId30" w:history="1">
        <w:r w:rsidRPr="009171DB">
          <w:rPr>
            <w:rStyle w:val="Hyperlink"/>
            <w:rFonts w:ascii="Arial" w:hAnsi="Arial" w:cs="Arial"/>
            <w:color w:val="000000" w:themeColor="text1"/>
            <w:sz w:val="22"/>
            <w:szCs w:val="22"/>
          </w:rPr>
          <w:t>https://doi.org/10.7819/rbgn.v25i2.4219</w:t>
        </w:r>
      </w:hyperlink>
      <w:r w:rsidRPr="009171DB">
        <w:rPr>
          <w:rFonts w:ascii="Arial" w:hAnsi="Arial" w:cs="Arial"/>
          <w:color w:val="000000" w:themeColor="text1"/>
          <w:sz w:val="22"/>
          <w:szCs w:val="22"/>
        </w:rPr>
        <w:t>. (Accessed: 1 August 2026).</w:t>
      </w:r>
    </w:p>
    <w:p w14:paraId="5E7E8866"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National Institute for Health and Care Excellence (NICE) (2022) </w:t>
      </w:r>
      <w:r w:rsidRPr="009171DB">
        <w:rPr>
          <w:rFonts w:ascii="Arial" w:hAnsi="Arial" w:cs="Arial"/>
          <w:i/>
          <w:iCs/>
          <w:color w:val="000000" w:themeColor="text1"/>
          <w:sz w:val="22"/>
          <w:szCs w:val="22"/>
        </w:rPr>
        <w:t>Medicines optimisation: The safe and effective use of medicines to enable the best possible outcomes (NG5)</w:t>
      </w:r>
      <w:r w:rsidRPr="009171DB">
        <w:rPr>
          <w:rFonts w:ascii="Arial" w:hAnsi="Arial" w:cs="Arial"/>
          <w:color w:val="000000" w:themeColor="text1"/>
          <w:sz w:val="22"/>
          <w:szCs w:val="22"/>
        </w:rPr>
        <w:t xml:space="preserve">. Available at: </w:t>
      </w:r>
      <w:hyperlink r:id="rId31" w:tgtFrame="_new" w:history="1">
        <w:r w:rsidRPr="009171DB">
          <w:rPr>
            <w:rStyle w:val="Hyperlink"/>
            <w:rFonts w:ascii="Arial" w:hAnsi="Arial" w:cs="Arial"/>
            <w:color w:val="000000" w:themeColor="text1"/>
            <w:sz w:val="22"/>
            <w:szCs w:val="22"/>
          </w:rPr>
          <w:t>https://www.nice.org.uk/guidance/ng5</w:t>
        </w:r>
      </w:hyperlink>
      <w:r w:rsidRPr="009171DB">
        <w:rPr>
          <w:rFonts w:ascii="Arial" w:hAnsi="Arial" w:cs="Arial"/>
          <w:color w:val="000000" w:themeColor="text1"/>
          <w:sz w:val="22"/>
          <w:szCs w:val="22"/>
        </w:rPr>
        <w:t xml:space="preserve"> (Accessed: 2 August 2026).</w:t>
      </w:r>
    </w:p>
    <w:p w14:paraId="3743A2F2"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Newdick, C. and Danbury, C. (2015) “Culture, compassion and clinical neglect: probity in the NHS after Mid Staffordshire.,” </w:t>
      </w:r>
      <w:r w:rsidRPr="009171DB">
        <w:rPr>
          <w:rFonts w:ascii="Arial" w:hAnsi="Arial" w:cs="Arial"/>
          <w:i/>
          <w:iCs/>
          <w:color w:val="000000" w:themeColor="text1"/>
          <w:sz w:val="22"/>
          <w:szCs w:val="22"/>
        </w:rPr>
        <w:t>Journal of medical ethics : the journal of the Society for the Study of Medical Ethics [periodical]</w:t>
      </w:r>
      <w:r w:rsidRPr="009171DB">
        <w:rPr>
          <w:rFonts w:ascii="Arial" w:hAnsi="Arial" w:cs="Arial"/>
          <w:color w:val="000000" w:themeColor="text1"/>
          <w:sz w:val="22"/>
          <w:szCs w:val="22"/>
        </w:rPr>
        <w:t xml:space="preserve">, 41(12), pp. 956–962. Available at: </w:t>
      </w:r>
      <w:hyperlink r:id="rId32" w:history="1">
        <w:r w:rsidRPr="009171DB">
          <w:rPr>
            <w:rStyle w:val="Hyperlink"/>
            <w:rFonts w:ascii="Arial" w:hAnsi="Arial" w:cs="Arial"/>
            <w:color w:val="000000" w:themeColor="text1"/>
            <w:sz w:val="22"/>
            <w:szCs w:val="22"/>
          </w:rPr>
          <w:t>https://doi.org/10.1136/medethics-2012-101048</w:t>
        </w:r>
      </w:hyperlink>
      <w:r w:rsidRPr="009171DB">
        <w:rPr>
          <w:rFonts w:ascii="Arial" w:hAnsi="Arial" w:cs="Arial"/>
          <w:color w:val="000000" w:themeColor="text1"/>
          <w:sz w:val="22"/>
          <w:szCs w:val="22"/>
        </w:rPr>
        <w:t>. (Accessed: 20 July 2026).</w:t>
      </w:r>
    </w:p>
    <w:p w14:paraId="38CEFB5A"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NHS (2019). “Overview - Charcot-Marie-Tooth disease.” </w:t>
      </w:r>
      <w:r w:rsidRPr="009171DB">
        <w:rPr>
          <w:rFonts w:ascii="Arial" w:hAnsi="Arial" w:cs="Arial"/>
          <w:i/>
          <w:iCs/>
          <w:color w:val="000000" w:themeColor="text1"/>
          <w:sz w:val="22"/>
          <w:szCs w:val="22"/>
        </w:rPr>
        <w:t>Nhs</w:t>
      </w:r>
      <w:r w:rsidRPr="009171DB">
        <w:rPr>
          <w:rFonts w:ascii="Arial" w:hAnsi="Arial" w:cs="Arial"/>
          <w:color w:val="000000" w:themeColor="text1"/>
          <w:sz w:val="22"/>
          <w:szCs w:val="22"/>
        </w:rPr>
        <w:t xml:space="preserve">. Available at: </w:t>
      </w:r>
      <w:hyperlink r:id="rId33" w:history="1">
        <w:r w:rsidRPr="009171DB">
          <w:rPr>
            <w:rStyle w:val="Hyperlink"/>
            <w:rFonts w:ascii="Arial" w:hAnsi="Arial" w:cs="Arial"/>
            <w:color w:val="000000" w:themeColor="text1"/>
            <w:sz w:val="22"/>
            <w:szCs w:val="22"/>
          </w:rPr>
          <w:t>https://www.nhs.uk/conditions/charcot-marie-tooth-disease/</w:t>
        </w:r>
      </w:hyperlink>
      <w:r w:rsidRPr="009171DB">
        <w:rPr>
          <w:rFonts w:ascii="Arial" w:hAnsi="Arial" w:cs="Arial"/>
          <w:color w:val="000000" w:themeColor="text1"/>
          <w:sz w:val="22"/>
          <w:szCs w:val="22"/>
        </w:rPr>
        <w:t>. (Accessed: 31 July 2026).</w:t>
      </w:r>
    </w:p>
    <w:p w14:paraId="778D7293"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NHS England (2019). “The NHS Patient Safety Strategy Safer culture, Safer systems, Safer Patients NHS England and NHS Improvement.” In: </w:t>
      </w:r>
      <w:r w:rsidRPr="009171DB">
        <w:rPr>
          <w:rFonts w:ascii="Arial" w:hAnsi="Arial" w:cs="Arial"/>
          <w:i/>
          <w:iCs/>
          <w:color w:val="000000" w:themeColor="text1"/>
          <w:sz w:val="22"/>
          <w:szCs w:val="22"/>
        </w:rPr>
        <w:t>NHS England</w:t>
      </w:r>
      <w:r w:rsidRPr="009171DB">
        <w:rPr>
          <w:rFonts w:ascii="Arial" w:hAnsi="Arial" w:cs="Arial"/>
          <w:color w:val="000000" w:themeColor="text1"/>
          <w:sz w:val="22"/>
          <w:szCs w:val="22"/>
        </w:rPr>
        <w:t xml:space="preserve">. Available at: </w:t>
      </w:r>
      <w:hyperlink r:id="rId34" w:history="1">
        <w:r w:rsidRPr="009171DB">
          <w:rPr>
            <w:rStyle w:val="Hyperlink"/>
            <w:rFonts w:ascii="Arial" w:hAnsi="Arial" w:cs="Arial"/>
            <w:color w:val="000000" w:themeColor="text1"/>
            <w:sz w:val="22"/>
            <w:szCs w:val="22"/>
          </w:rPr>
          <w:t>https://www.england.nhs.uk/wp-content/uploads/2020/08/190708_Patient_Safety_Strategy_for_website_v4.pdf</w:t>
        </w:r>
      </w:hyperlink>
      <w:r w:rsidRPr="009171DB">
        <w:rPr>
          <w:rFonts w:ascii="Arial" w:hAnsi="Arial" w:cs="Arial"/>
          <w:color w:val="000000" w:themeColor="text1"/>
          <w:sz w:val="22"/>
          <w:szCs w:val="22"/>
        </w:rPr>
        <w:t>.  (Accessed 31 July 2026).</w:t>
      </w:r>
    </w:p>
    <w:p w14:paraId="08716B2A"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NHS England (2022) “Patient safety learning response toolkit.” </w:t>
      </w:r>
      <w:r w:rsidRPr="009171DB">
        <w:rPr>
          <w:rFonts w:ascii="Arial" w:hAnsi="Arial" w:cs="Arial"/>
          <w:i/>
          <w:iCs/>
          <w:color w:val="000000" w:themeColor="text1"/>
          <w:sz w:val="22"/>
          <w:szCs w:val="22"/>
        </w:rPr>
        <w:t>London: NHS England.</w:t>
      </w:r>
      <w:r w:rsidRPr="009171DB">
        <w:rPr>
          <w:rFonts w:ascii="Arial" w:hAnsi="Arial" w:cs="Arial"/>
          <w:color w:val="000000" w:themeColor="text1"/>
          <w:sz w:val="22"/>
          <w:szCs w:val="22"/>
        </w:rPr>
        <w:t xml:space="preserve"> Available at: </w:t>
      </w:r>
      <w:hyperlink r:id="rId35" w:tgtFrame="_blank" w:history="1">
        <w:r w:rsidRPr="009171DB">
          <w:rPr>
            <w:rStyle w:val="Hyperlink"/>
            <w:rFonts w:ascii="Arial" w:hAnsi="Arial" w:cs="Arial"/>
            <w:color w:val="000000" w:themeColor="text1"/>
            <w:sz w:val="22"/>
            <w:szCs w:val="22"/>
          </w:rPr>
          <w:t>https://www.england.nhs.uk/publication/patient-safety-learning-response-toolkit/</w:t>
        </w:r>
      </w:hyperlink>
      <w:r w:rsidRPr="009171DB">
        <w:rPr>
          <w:rFonts w:ascii="Arial" w:hAnsi="Arial" w:cs="Arial"/>
          <w:color w:val="000000" w:themeColor="text1"/>
          <w:sz w:val="22"/>
          <w:szCs w:val="22"/>
        </w:rPr>
        <w:t>. (Accessed: 20 July 2026).</w:t>
      </w:r>
    </w:p>
    <w:p w14:paraId="0228E42E"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lastRenderedPageBreak/>
        <w:t xml:space="preserve">NHS England (2022) Patient Safety Incident Response Framework. London: NHS England. Available at: </w:t>
      </w:r>
      <w:hyperlink r:id="rId36" w:history="1">
        <w:r w:rsidRPr="009171DB">
          <w:rPr>
            <w:rStyle w:val="Hyperlink"/>
            <w:rFonts w:ascii="Arial" w:hAnsi="Arial" w:cs="Arial"/>
            <w:color w:val="000000" w:themeColor="text1"/>
          </w:rPr>
          <w:t>https://www.england.nhs.uk/patient-safety/patient-safety-incident-response-framework/</w:t>
        </w:r>
      </w:hyperlink>
      <w:r w:rsidRPr="009171DB">
        <w:rPr>
          <w:rFonts w:ascii="Arial" w:hAnsi="Arial" w:cs="Arial"/>
          <w:color w:val="000000" w:themeColor="text1"/>
        </w:rPr>
        <w:t xml:space="preserve">. (Accessed: 27 July 2026). </w:t>
      </w:r>
    </w:p>
    <w:p w14:paraId="75C67BD8"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NHS England (2024) </w:t>
      </w:r>
      <w:r w:rsidRPr="009171DB">
        <w:rPr>
          <w:rFonts w:ascii="Arial" w:hAnsi="Arial" w:cs="Arial"/>
          <w:i/>
          <w:iCs/>
          <w:color w:val="000000" w:themeColor="text1"/>
          <w:sz w:val="22"/>
          <w:szCs w:val="22"/>
        </w:rPr>
        <w:t>Medication safety</w:t>
      </w:r>
      <w:r w:rsidRPr="009171DB">
        <w:rPr>
          <w:rFonts w:ascii="Arial" w:hAnsi="Arial" w:cs="Arial"/>
          <w:color w:val="000000" w:themeColor="text1"/>
          <w:sz w:val="22"/>
          <w:szCs w:val="22"/>
        </w:rPr>
        <w:t xml:space="preserve">. Available at: </w:t>
      </w:r>
      <w:hyperlink r:id="rId37" w:tgtFrame="_blank" w:history="1">
        <w:r w:rsidRPr="009171DB">
          <w:rPr>
            <w:rStyle w:val="Hyperlink"/>
            <w:rFonts w:ascii="Arial" w:hAnsi="Arial" w:cs="Arial"/>
            <w:color w:val="000000" w:themeColor="text1"/>
            <w:sz w:val="22"/>
            <w:szCs w:val="22"/>
          </w:rPr>
          <w:t>https://www.england.nhs.uk/patient-safety/patient-safety-insight/patient-safety-alerts/enduring-standards/standards-that-remain-valid/medication-safety/</w:t>
        </w:r>
      </w:hyperlink>
      <w:r w:rsidRPr="009171DB">
        <w:rPr>
          <w:rFonts w:ascii="Arial" w:hAnsi="Arial" w:cs="Arial"/>
          <w:color w:val="000000" w:themeColor="text1"/>
          <w:sz w:val="22"/>
          <w:szCs w:val="22"/>
        </w:rPr>
        <w:t xml:space="preserve"> (Accessed: 20 July 2026).</w:t>
      </w:r>
    </w:p>
    <w:p w14:paraId="5A8A0415"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NHS England (2026) </w:t>
      </w:r>
      <w:r w:rsidRPr="009171DB">
        <w:rPr>
          <w:rFonts w:ascii="Arial" w:hAnsi="Arial" w:cs="Arial"/>
          <w:i/>
          <w:iCs/>
          <w:color w:val="000000" w:themeColor="text1"/>
          <w:sz w:val="22"/>
          <w:szCs w:val="22"/>
        </w:rPr>
        <w:t>NHS patient safety strategy – progress update – July 2026</w:t>
      </w:r>
      <w:r w:rsidRPr="009171DB">
        <w:rPr>
          <w:rFonts w:ascii="Arial" w:hAnsi="Arial" w:cs="Arial"/>
          <w:color w:val="000000" w:themeColor="text1"/>
          <w:sz w:val="22"/>
          <w:szCs w:val="22"/>
        </w:rPr>
        <w:t xml:space="preserve">. Available at: </w:t>
      </w:r>
      <w:hyperlink r:id="rId38" w:tgtFrame="_blank" w:history="1">
        <w:r w:rsidRPr="009171DB">
          <w:rPr>
            <w:rStyle w:val="Hyperlink"/>
            <w:rFonts w:ascii="Arial" w:hAnsi="Arial" w:cs="Arial"/>
            <w:color w:val="000000" w:themeColor="text1"/>
            <w:sz w:val="22"/>
            <w:szCs w:val="22"/>
          </w:rPr>
          <w:t>https://www.england.nhs.uk/patient-safety/the-nhs-patient-safety-strategy/nhs-patient-safety-strategy-progress-so-far/</w:t>
        </w:r>
      </w:hyperlink>
      <w:r w:rsidRPr="009171DB">
        <w:rPr>
          <w:rFonts w:ascii="Arial" w:hAnsi="Arial" w:cs="Arial"/>
          <w:color w:val="000000" w:themeColor="text1"/>
          <w:sz w:val="22"/>
          <w:szCs w:val="22"/>
        </w:rPr>
        <w:t xml:space="preserve"> (Accessed: 20 July 2026).</w:t>
      </w:r>
    </w:p>
    <w:p w14:paraId="7BCB78B6"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NHS Resolution (2024) </w:t>
      </w:r>
      <w:r w:rsidRPr="009171DB">
        <w:rPr>
          <w:rFonts w:ascii="Arial" w:hAnsi="Arial" w:cs="Arial"/>
          <w:i/>
          <w:iCs/>
          <w:color w:val="000000" w:themeColor="text1"/>
          <w:sz w:val="22"/>
          <w:szCs w:val="22"/>
        </w:rPr>
        <w:t>Taking action to improve patient safety in primary care</w:t>
      </w:r>
      <w:r w:rsidRPr="009171DB">
        <w:rPr>
          <w:rFonts w:ascii="Arial" w:hAnsi="Arial" w:cs="Arial"/>
          <w:color w:val="000000" w:themeColor="text1"/>
          <w:sz w:val="22"/>
          <w:szCs w:val="22"/>
        </w:rPr>
        <w:t xml:space="preserve">. Available at: </w:t>
      </w:r>
      <w:hyperlink r:id="rId39" w:tgtFrame="_new" w:history="1">
        <w:r w:rsidRPr="009171DB">
          <w:rPr>
            <w:rStyle w:val="Hyperlink"/>
            <w:rFonts w:ascii="Arial" w:hAnsi="Arial" w:cs="Arial"/>
            <w:color w:val="000000" w:themeColor="text1"/>
            <w:sz w:val="22"/>
            <w:szCs w:val="22"/>
          </w:rPr>
          <w:t>https://resolution.nhs.uk/wp-content/uploads/2024/09/%40-NHSR-virtual-forum-Taking-actions-to-improve-patient-safety-in-primary-care-slidedeck.pdf</w:t>
        </w:r>
      </w:hyperlink>
      <w:r w:rsidRPr="009171DB">
        <w:rPr>
          <w:rFonts w:ascii="Arial" w:hAnsi="Arial" w:cs="Arial"/>
          <w:color w:val="000000" w:themeColor="text1"/>
          <w:sz w:val="22"/>
          <w:szCs w:val="22"/>
        </w:rPr>
        <w:t xml:space="preserve"> (Accessed: 20 July 2026). </w:t>
      </w:r>
    </w:p>
    <w:p w14:paraId="47E2CB36"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Northouse, P.G. (2022) </w:t>
      </w:r>
      <w:r w:rsidRPr="009171DB">
        <w:rPr>
          <w:rFonts w:ascii="Arial" w:hAnsi="Arial" w:cs="Arial"/>
          <w:i/>
          <w:iCs/>
          <w:color w:val="000000" w:themeColor="text1"/>
        </w:rPr>
        <w:t>Leadership: Theory and Practice</w:t>
      </w:r>
      <w:r w:rsidRPr="009171DB">
        <w:rPr>
          <w:rFonts w:ascii="Arial" w:hAnsi="Arial" w:cs="Arial"/>
          <w:color w:val="000000" w:themeColor="text1"/>
        </w:rPr>
        <w:t xml:space="preserve">. 9th edn. Thousand Oaks, CA: SAGE. Available at: </w:t>
      </w:r>
      <w:hyperlink r:id="rId40" w:history="1">
        <w:r w:rsidRPr="009171DB">
          <w:rPr>
            <w:rStyle w:val="Hyperlink"/>
            <w:rFonts w:ascii="Arial" w:hAnsi="Arial" w:cs="Arial"/>
            <w:color w:val="000000" w:themeColor="text1"/>
          </w:rPr>
          <w:t>https://sk.sagepub.com/books/leadership-theory-and-practice-9e</w:t>
        </w:r>
      </w:hyperlink>
      <w:r w:rsidRPr="009171DB">
        <w:rPr>
          <w:rFonts w:ascii="Arial" w:hAnsi="Arial" w:cs="Arial"/>
          <w:color w:val="000000" w:themeColor="text1"/>
        </w:rPr>
        <w:t>.  (Accessed: 27 July 2026).</w:t>
      </w:r>
    </w:p>
    <w:p w14:paraId="629AC270"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Office for National Statistics (2025) </w:t>
      </w:r>
      <w:r w:rsidRPr="009171DB">
        <w:rPr>
          <w:rFonts w:ascii="Arial" w:hAnsi="Arial" w:cs="Arial"/>
          <w:i/>
          <w:iCs/>
          <w:color w:val="000000" w:themeColor="text1"/>
          <w:sz w:val="22"/>
          <w:szCs w:val="22"/>
        </w:rPr>
        <w:t>Deaths related to drug poisoning in England and Wales: 2024 registrations</w:t>
      </w:r>
      <w:r w:rsidRPr="009171DB">
        <w:rPr>
          <w:rFonts w:ascii="Arial" w:hAnsi="Arial" w:cs="Arial"/>
          <w:color w:val="000000" w:themeColor="text1"/>
          <w:sz w:val="22"/>
          <w:szCs w:val="22"/>
        </w:rPr>
        <w:t xml:space="preserve">. Available at: </w:t>
      </w:r>
      <w:hyperlink r:id="rId41" w:tgtFrame="_new" w:history="1">
        <w:r w:rsidRPr="009171DB">
          <w:rPr>
            <w:rStyle w:val="Hyperlink"/>
            <w:rFonts w:ascii="Arial" w:hAnsi="Arial" w:cs="Arial"/>
            <w:color w:val="000000" w:themeColor="text1"/>
            <w:sz w:val="22"/>
            <w:szCs w:val="22"/>
          </w:rPr>
          <w:t>https://www.ons.gov.uk/peoplepopulationandcommunity/birthsdeathsandmarriages/deaths/bulletins/deathsrelatedtodrugpoisoninginenglandandwales/latest</w:t>
        </w:r>
      </w:hyperlink>
      <w:r w:rsidRPr="009171DB">
        <w:rPr>
          <w:rFonts w:ascii="Arial" w:hAnsi="Arial" w:cs="Arial"/>
          <w:color w:val="000000" w:themeColor="text1"/>
          <w:sz w:val="22"/>
          <w:szCs w:val="22"/>
        </w:rPr>
        <w:t xml:space="preserve">. (Accessed: 20 July 2026). </w:t>
      </w:r>
    </w:p>
    <w:p w14:paraId="66222B23"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Organisation for Economic Co-operation and Development (2023) </w:t>
      </w:r>
      <w:r w:rsidRPr="009171DB">
        <w:rPr>
          <w:rFonts w:ascii="Arial" w:hAnsi="Arial" w:cs="Arial"/>
          <w:i/>
          <w:iCs/>
          <w:color w:val="000000" w:themeColor="text1"/>
        </w:rPr>
        <w:t>Health at a Glance 2023: OECD indicators</w:t>
      </w:r>
      <w:r w:rsidRPr="009171DB">
        <w:rPr>
          <w:rFonts w:ascii="Arial" w:hAnsi="Arial" w:cs="Arial"/>
          <w:color w:val="000000" w:themeColor="text1"/>
        </w:rPr>
        <w:t xml:space="preserve">. Paris: OECD Publishing. Available at: </w:t>
      </w:r>
      <w:hyperlink r:id="rId42" w:tgtFrame="_blank" w:history="1">
        <w:r w:rsidRPr="009171DB">
          <w:rPr>
            <w:rStyle w:val="Hyperlink"/>
            <w:rFonts w:ascii="Arial" w:hAnsi="Arial" w:cs="Arial"/>
            <w:color w:val="000000" w:themeColor="text1"/>
          </w:rPr>
          <w:t>OECD – Health at a Glance 2023</w:t>
        </w:r>
      </w:hyperlink>
      <w:r w:rsidRPr="009171DB">
        <w:rPr>
          <w:rFonts w:ascii="Arial" w:hAnsi="Arial" w:cs="Arial"/>
          <w:color w:val="000000" w:themeColor="text1"/>
        </w:rPr>
        <w:t>. (Accessed: 20 July 2026).</w:t>
      </w:r>
    </w:p>
    <w:p w14:paraId="47DDBF7F"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Organisation for Economic Co-operation and Development (OECD) (2023) </w:t>
      </w:r>
      <w:r w:rsidRPr="009171DB">
        <w:rPr>
          <w:rFonts w:ascii="Arial" w:hAnsi="Arial" w:cs="Arial"/>
          <w:i/>
          <w:iCs/>
          <w:color w:val="000000" w:themeColor="text1"/>
          <w:sz w:val="22"/>
          <w:szCs w:val="22"/>
        </w:rPr>
        <w:t>Health at a Glance 2023: OECD indicators</w:t>
      </w:r>
      <w:r w:rsidRPr="009171DB">
        <w:rPr>
          <w:rFonts w:ascii="Arial" w:hAnsi="Arial" w:cs="Arial"/>
          <w:color w:val="000000" w:themeColor="text1"/>
          <w:sz w:val="22"/>
          <w:szCs w:val="22"/>
        </w:rPr>
        <w:t xml:space="preserve">. Paris: OECD Publishing. Available at: </w:t>
      </w:r>
      <w:hyperlink r:id="rId43" w:tgtFrame="_new" w:history="1">
        <w:r w:rsidRPr="009171DB">
          <w:rPr>
            <w:rStyle w:val="Hyperlink"/>
            <w:rFonts w:ascii="Arial" w:hAnsi="Arial" w:cs="Arial"/>
            <w:color w:val="000000" w:themeColor="text1"/>
            <w:sz w:val="22"/>
            <w:szCs w:val="22"/>
          </w:rPr>
          <w:t>https://www.oecd.org/en/publications/health-at-a-glance-2023_7a7afb35-en.html</w:t>
        </w:r>
      </w:hyperlink>
      <w:r w:rsidRPr="009171DB">
        <w:rPr>
          <w:rFonts w:ascii="Arial" w:hAnsi="Arial" w:cs="Arial"/>
          <w:color w:val="000000" w:themeColor="text1"/>
          <w:sz w:val="22"/>
          <w:szCs w:val="22"/>
        </w:rPr>
        <w:t xml:space="preserve"> (Accessed: 1 August 2026).</w:t>
      </w:r>
    </w:p>
    <w:p w14:paraId="2108468D"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Rainey, I.L. (2025) “Multiple case study evaluation of system leadership theory influence upon US chemical facility safety outcomes.” </w:t>
      </w:r>
      <w:r w:rsidRPr="009171DB">
        <w:rPr>
          <w:rFonts w:ascii="Arial" w:hAnsi="Arial" w:cs="Arial"/>
          <w:i/>
          <w:iCs/>
          <w:color w:val="000000" w:themeColor="text1"/>
          <w:sz w:val="22"/>
          <w:szCs w:val="22"/>
        </w:rPr>
        <w:t>DProf thesis</w:t>
      </w:r>
      <w:r w:rsidRPr="009171DB">
        <w:rPr>
          <w:rFonts w:ascii="Arial" w:hAnsi="Arial" w:cs="Arial"/>
          <w:color w:val="000000" w:themeColor="text1"/>
          <w:sz w:val="22"/>
          <w:szCs w:val="22"/>
        </w:rPr>
        <w:t xml:space="preserve">. South College. Available at: </w:t>
      </w:r>
      <w:r w:rsidRPr="009171DB">
        <w:rPr>
          <w:rFonts w:ascii="Arial" w:hAnsi="Arial" w:cs="Arial"/>
          <w:color w:val="000000" w:themeColor="text1"/>
          <w:sz w:val="22"/>
          <w:szCs w:val="22"/>
        </w:rPr>
        <w:lastRenderedPageBreak/>
        <w:t xml:space="preserve">ProQuest Dissertations &amp; Theses Global. (Document ID: 31843913). (Accessed: 3 August 2026). </w:t>
      </w:r>
    </w:p>
    <w:p w14:paraId="558759C6"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Rosen, M.A. </w:t>
      </w:r>
      <w:r w:rsidRPr="009171DB">
        <w:rPr>
          <w:rFonts w:ascii="Arial" w:hAnsi="Arial" w:cs="Arial"/>
          <w:i/>
          <w:iCs/>
          <w:color w:val="000000" w:themeColor="text1"/>
        </w:rPr>
        <w:t>et al.</w:t>
      </w:r>
      <w:r w:rsidRPr="009171DB">
        <w:rPr>
          <w:rFonts w:ascii="Arial" w:hAnsi="Arial" w:cs="Arial"/>
          <w:color w:val="000000" w:themeColor="text1"/>
        </w:rPr>
        <w:t xml:space="preserve"> (2018) “Teamwork in healthcare: Key discoveries enabling safer, high-quality care.,” </w:t>
      </w:r>
      <w:r w:rsidRPr="009171DB">
        <w:rPr>
          <w:rFonts w:ascii="Arial" w:hAnsi="Arial" w:cs="Arial"/>
          <w:i/>
          <w:iCs/>
          <w:color w:val="000000" w:themeColor="text1"/>
        </w:rPr>
        <w:t>American psychologist.</w:t>
      </w:r>
      <w:r w:rsidRPr="009171DB">
        <w:rPr>
          <w:rFonts w:ascii="Arial" w:hAnsi="Arial" w:cs="Arial"/>
          <w:color w:val="000000" w:themeColor="text1"/>
        </w:rPr>
        <w:t xml:space="preserve">, 73(4), pp. 433–450. Available at: </w:t>
      </w:r>
      <w:hyperlink r:id="rId44" w:history="1">
        <w:r w:rsidRPr="009171DB">
          <w:rPr>
            <w:rStyle w:val="Hyperlink"/>
            <w:rFonts w:ascii="Arial" w:hAnsi="Arial" w:cs="Arial"/>
            <w:color w:val="000000" w:themeColor="text1"/>
          </w:rPr>
          <w:t>https://doi.org/10.1037/amp0000298</w:t>
        </w:r>
      </w:hyperlink>
      <w:r w:rsidRPr="009171DB">
        <w:rPr>
          <w:rFonts w:ascii="Arial" w:hAnsi="Arial" w:cs="Arial"/>
          <w:color w:val="000000" w:themeColor="text1"/>
        </w:rPr>
        <w:t>. (Accessed: 25 July 2026).</w:t>
      </w:r>
    </w:p>
    <w:p w14:paraId="448BF6DE"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Shah, C.A. (2021) </w:t>
      </w:r>
      <w:r w:rsidRPr="009171DB">
        <w:rPr>
          <w:rFonts w:ascii="Arial" w:hAnsi="Arial" w:cs="Arial"/>
          <w:i/>
          <w:iCs/>
          <w:color w:val="000000" w:themeColor="text1"/>
          <w:sz w:val="22"/>
          <w:szCs w:val="22"/>
        </w:rPr>
        <w:t>Delivering medicines optimisation through strategic leadership</w:t>
      </w:r>
      <w:r w:rsidRPr="009171DB">
        <w:rPr>
          <w:rFonts w:ascii="Arial" w:hAnsi="Arial" w:cs="Arial"/>
          <w:color w:val="000000" w:themeColor="text1"/>
          <w:sz w:val="22"/>
          <w:szCs w:val="22"/>
        </w:rPr>
        <w:t xml:space="preserve">. PhD thesis. Kingston University. Available at: </w:t>
      </w:r>
      <w:hyperlink r:id="rId45" w:tgtFrame="_new" w:history="1">
        <w:r w:rsidRPr="009171DB">
          <w:rPr>
            <w:rStyle w:val="Hyperlink"/>
            <w:rFonts w:ascii="Arial" w:hAnsi="Arial" w:cs="Arial"/>
            <w:color w:val="000000" w:themeColor="text1"/>
            <w:sz w:val="22"/>
            <w:szCs w:val="22"/>
          </w:rPr>
          <w:t>https://ethos.bl.uk/OrderDetails.do?uin=uk.bl.ethos.877936</w:t>
        </w:r>
      </w:hyperlink>
      <w:r w:rsidRPr="009171DB">
        <w:rPr>
          <w:rFonts w:ascii="Arial" w:hAnsi="Arial" w:cs="Arial"/>
          <w:color w:val="000000" w:themeColor="text1"/>
          <w:sz w:val="22"/>
          <w:szCs w:val="22"/>
        </w:rPr>
        <w:t xml:space="preserve"> (Accessed: 3 August 2026). </w:t>
      </w:r>
    </w:p>
    <w:p w14:paraId="488A78BE"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Shersher, V. </w:t>
      </w:r>
      <w:r w:rsidRPr="009171DB">
        <w:rPr>
          <w:rFonts w:ascii="Arial" w:hAnsi="Arial" w:cs="Arial"/>
          <w:i/>
          <w:iCs/>
          <w:color w:val="000000" w:themeColor="text1"/>
          <w:sz w:val="22"/>
          <w:szCs w:val="22"/>
        </w:rPr>
        <w:t>et al.</w:t>
      </w:r>
      <w:r w:rsidRPr="009171DB">
        <w:rPr>
          <w:rFonts w:ascii="Arial" w:hAnsi="Arial" w:cs="Arial"/>
          <w:color w:val="000000" w:themeColor="text1"/>
          <w:sz w:val="22"/>
          <w:szCs w:val="22"/>
        </w:rPr>
        <w:t xml:space="preserve"> (2021) “Definitions and use of the teach-back method in healthcare consultations with patients: A systematic review and thematic synthesis,” </w:t>
      </w:r>
      <w:r w:rsidRPr="009171DB">
        <w:rPr>
          <w:rFonts w:ascii="Arial" w:hAnsi="Arial" w:cs="Arial"/>
          <w:i/>
          <w:iCs/>
          <w:color w:val="000000" w:themeColor="text1"/>
          <w:sz w:val="22"/>
          <w:szCs w:val="22"/>
        </w:rPr>
        <w:t>Patient education and counseling.</w:t>
      </w:r>
      <w:r w:rsidRPr="009171DB">
        <w:rPr>
          <w:rFonts w:ascii="Arial" w:hAnsi="Arial" w:cs="Arial"/>
          <w:color w:val="000000" w:themeColor="text1"/>
          <w:sz w:val="22"/>
          <w:szCs w:val="22"/>
        </w:rPr>
        <w:t xml:space="preserve">, 104(1), pp. 118–129. Available at: </w:t>
      </w:r>
      <w:hyperlink r:id="rId46" w:history="1">
        <w:r w:rsidRPr="009171DB">
          <w:rPr>
            <w:rStyle w:val="Hyperlink"/>
            <w:rFonts w:ascii="Arial" w:hAnsi="Arial" w:cs="Arial"/>
            <w:color w:val="000000" w:themeColor="text1"/>
            <w:sz w:val="22"/>
            <w:szCs w:val="22"/>
          </w:rPr>
          <w:t>https://doi.org/10.1016/j.pec.2020.07.026</w:t>
        </w:r>
      </w:hyperlink>
      <w:r w:rsidRPr="009171DB">
        <w:rPr>
          <w:rFonts w:ascii="Arial" w:hAnsi="Arial" w:cs="Arial"/>
          <w:color w:val="000000" w:themeColor="text1"/>
          <w:sz w:val="22"/>
          <w:szCs w:val="22"/>
        </w:rPr>
        <w:t xml:space="preserve">. (Accessed: 20 July 2026). </w:t>
      </w:r>
    </w:p>
    <w:p w14:paraId="0346DF8D"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Smith, J., Mays, N., Dixon, J., Goodwin, N., Lewis, R., McClelland, S., McLeod, H. and Wyke, S. (2004) “A review of the effectiveness of primary care-led commissioning and its place in the UK NHS.” </w:t>
      </w:r>
      <w:r w:rsidRPr="009171DB">
        <w:rPr>
          <w:rFonts w:ascii="Arial" w:hAnsi="Arial" w:cs="Arial"/>
          <w:i/>
          <w:iCs/>
          <w:color w:val="000000" w:themeColor="text1"/>
          <w:sz w:val="22"/>
          <w:szCs w:val="22"/>
        </w:rPr>
        <w:t>London: The Health Foundation</w:t>
      </w:r>
      <w:r w:rsidRPr="009171DB">
        <w:rPr>
          <w:rFonts w:ascii="Arial" w:hAnsi="Arial" w:cs="Arial"/>
          <w:color w:val="000000" w:themeColor="text1"/>
          <w:sz w:val="22"/>
          <w:szCs w:val="22"/>
        </w:rPr>
        <w:t xml:space="preserve">. Available at: </w:t>
      </w:r>
      <w:hyperlink r:id="rId47" w:tgtFrame="_blank" w:history="1">
        <w:r w:rsidRPr="009171DB">
          <w:rPr>
            <w:rStyle w:val="Hyperlink"/>
            <w:rFonts w:ascii="Arial" w:hAnsi="Arial" w:cs="Arial"/>
            <w:color w:val="000000" w:themeColor="text1"/>
            <w:sz w:val="22"/>
            <w:szCs w:val="22"/>
          </w:rPr>
          <w:t>ResearchGate PDF</w:t>
        </w:r>
      </w:hyperlink>
      <w:r w:rsidRPr="009171DB">
        <w:rPr>
          <w:rFonts w:ascii="Arial" w:hAnsi="Arial" w:cs="Arial"/>
          <w:color w:val="000000" w:themeColor="text1"/>
          <w:sz w:val="22"/>
          <w:szCs w:val="22"/>
        </w:rPr>
        <w:t xml:space="preserve"> (Accessed: 28 July 2026). </w:t>
      </w:r>
    </w:p>
    <w:p w14:paraId="50FAE57C"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Souza, J.P.E. and Alves, J.M. (2018) “Lean-integrated management system: A model for sustainability improvement,” </w:t>
      </w:r>
      <w:r w:rsidRPr="009171DB">
        <w:rPr>
          <w:rFonts w:ascii="Arial" w:hAnsi="Arial" w:cs="Arial"/>
          <w:i/>
          <w:iCs/>
          <w:color w:val="000000" w:themeColor="text1"/>
          <w:sz w:val="22"/>
          <w:szCs w:val="22"/>
        </w:rPr>
        <w:t>Journal of cleaner production.</w:t>
      </w:r>
      <w:r w:rsidRPr="009171DB">
        <w:rPr>
          <w:rFonts w:ascii="Arial" w:hAnsi="Arial" w:cs="Arial"/>
          <w:color w:val="000000" w:themeColor="text1"/>
          <w:sz w:val="22"/>
          <w:szCs w:val="22"/>
        </w:rPr>
        <w:t xml:space="preserve">, 172, pp. 2667–2682. Available at: </w:t>
      </w:r>
      <w:hyperlink r:id="rId48" w:history="1">
        <w:r w:rsidRPr="009171DB">
          <w:rPr>
            <w:rStyle w:val="Hyperlink"/>
            <w:rFonts w:ascii="Arial" w:hAnsi="Arial" w:cs="Arial"/>
            <w:color w:val="000000" w:themeColor="text1"/>
            <w:sz w:val="22"/>
            <w:szCs w:val="22"/>
          </w:rPr>
          <w:t>https://doi.org/10.1016/j.jclepro.2017.11.144</w:t>
        </w:r>
      </w:hyperlink>
      <w:r w:rsidRPr="009171DB">
        <w:rPr>
          <w:rFonts w:ascii="Arial" w:hAnsi="Arial" w:cs="Arial"/>
          <w:color w:val="000000" w:themeColor="text1"/>
          <w:sz w:val="22"/>
          <w:szCs w:val="22"/>
        </w:rPr>
        <w:t>. (Accessed: 2 August 2026).</w:t>
      </w:r>
    </w:p>
    <w:p w14:paraId="4442A7E8" w14:textId="77777777" w:rsidR="00B03B1C" w:rsidRPr="009171DB" w:rsidRDefault="00B03B1C" w:rsidP="008633E5">
      <w:pPr>
        <w:pStyle w:val="NormalWeb"/>
        <w:spacing w:before="0" w:beforeAutospacing="0" w:after="120" w:afterAutospacing="0" w:line="360" w:lineRule="auto"/>
        <w:ind w:left="360"/>
        <w:rPr>
          <w:rFonts w:ascii="Arial" w:hAnsi="Arial" w:cs="Arial"/>
          <w:color w:val="000000" w:themeColor="text1"/>
          <w:sz w:val="22"/>
          <w:szCs w:val="22"/>
        </w:rPr>
      </w:pPr>
      <w:r w:rsidRPr="009171DB">
        <w:rPr>
          <w:rFonts w:ascii="Arial" w:hAnsi="Arial" w:cs="Arial"/>
          <w:color w:val="000000" w:themeColor="text1"/>
          <w:sz w:val="22"/>
          <w:szCs w:val="22"/>
        </w:rPr>
        <w:t xml:space="preserve">Underwood, S. (2024) “Redefining leadership within the NHS’ complex adaptive system”, Future Healthcare Journal, 11(1), p. 100015. Available at: </w:t>
      </w:r>
      <w:hyperlink r:id="rId49" w:history="1">
        <w:r w:rsidRPr="009171DB">
          <w:rPr>
            <w:rStyle w:val="Hyperlink"/>
            <w:rFonts w:ascii="Arial" w:hAnsi="Arial" w:cs="Arial"/>
            <w:color w:val="000000" w:themeColor="text1"/>
            <w:sz w:val="22"/>
            <w:szCs w:val="22"/>
          </w:rPr>
          <w:t>https://doi.org/10.1016/j.fhj.2024.100015</w:t>
        </w:r>
      </w:hyperlink>
      <w:r w:rsidRPr="009171DB">
        <w:rPr>
          <w:rFonts w:ascii="Arial" w:hAnsi="Arial" w:cs="Arial"/>
          <w:color w:val="000000" w:themeColor="text1"/>
          <w:sz w:val="22"/>
          <w:szCs w:val="22"/>
        </w:rPr>
        <w:t>. (Accessed: 31 July 2026).</w:t>
      </w:r>
    </w:p>
    <w:p w14:paraId="4C30424D" w14:textId="77777777" w:rsidR="00B03B1C" w:rsidRPr="009171DB" w:rsidRDefault="00B03B1C" w:rsidP="008633E5">
      <w:pPr>
        <w:spacing w:after="120" w:line="360" w:lineRule="auto"/>
        <w:ind w:left="360"/>
        <w:jc w:val="both"/>
        <w:rPr>
          <w:rFonts w:ascii="Arial" w:hAnsi="Arial" w:cs="Arial"/>
          <w:color w:val="000000" w:themeColor="text1"/>
        </w:rPr>
      </w:pPr>
      <w:r w:rsidRPr="009171DB">
        <w:rPr>
          <w:rFonts w:ascii="Arial" w:hAnsi="Arial" w:cs="Arial"/>
          <w:color w:val="000000" w:themeColor="text1"/>
        </w:rPr>
        <w:t xml:space="preserve">West, M., Eckert, R., Collins, B. and Chowla, R. (2015) </w:t>
      </w:r>
      <w:r w:rsidRPr="009171DB">
        <w:rPr>
          <w:rFonts w:ascii="Arial" w:hAnsi="Arial" w:cs="Arial"/>
          <w:i/>
          <w:iCs/>
          <w:color w:val="000000" w:themeColor="text1"/>
        </w:rPr>
        <w:t>Caring to Change: How Compassionate Leadership Can Stimulate Innovation in Health Care</w:t>
      </w:r>
      <w:r w:rsidRPr="009171DB">
        <w:rPr>
          <w:rFonts w:ascii="Arial" w:hAnsi="Arial" w:cs="Arial"/>
          <w:color w:val="000000" w:themeColor="text1"/>
        </w:rPr>
        <w:t>. London: The King's Fund</w:t>
      </w:r>
    </w:p>
    <w:p w14:paraId="726C67B3"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West, M., Eckert, R., Collins, B. and Chowla, R. (2017) “Caring to change: How compassionate leadership can stimulate innovation in health care.” </w:t>
      </w:r>
      <w:r w:rsidRPr="009171DB">
        <w:rPr>
          <w:rFonts w:ascii="Arial" w:hAnsi="Arial" w:cs="Arial"/>
          <w:i/>
          <w:iCs/>
          <w:color w:val="000000" w:themeColor="text1"/>
        </w:rPr>
        <w:t>London: The King's Fund.</w:t>
      </w:r>
      <w:r w:rsidRPr="009171DB">
        <w:rPr>
          <w:rFonts w:ascii="Arial" w:hAnsi="Arial" w:cs="Arial"/>
          <w:color w:val="000000" w:themeColor="text1"/>
        </w:rPr>
        <w:t xml:space="preserve"> Available at:</w:t>
      </w:r>
      <w:r w:rsidRPr="009171DB">
        <w:rPr>
          <w:rFonts w:ascii="Arial" w:hAnsi="Arial" w:cs="Arial"/>
          <w:i/>
          <w:iCs/>
          <w:color w:val="000000" w:themeColor="text1"/>
        </w:rPr>
        <w:t xml:space="preserve"> </w:t>
      </w:r>
      <w:hyperlink r:id="rId50" w:history="1">
        <w:r w:rsidRPr="009171DB">
          <w:rPr>
            <w:rStyle w:val="Hyperlink"/>
            <w:rFonts w:ascii="Arial" w:hAnsi="Arial" w:cs="Arial"/>
            <w:i/>
            <w:iCs/>
            <w:color w:val="000000" w:themeColor="text1"/>
          </w:rPr>
          <w:t>caring_to_change_2017.pdf</w:t>
        </w:r>
      </w:hyperlink>
      <w:r w:rsidRPr="009171DB">
        <w:rPr>
          <w:rFonts w:ascii="Arial" w:hAnsi="Arial" w:cs="Arial"/>
          <w:i/>
          <w:iCs/>
          <w:color w:val="000000" w:themeColor="text1"/>
        </w:rPr>
        <w:t>.</w:t>
      </w:r>
      <w:r w:rsidRPr="009171DB">
        <w:rPr>
          <w:rFonts w:ascii="Arial" w:hAnsi="Arial" w:cs="Arial"/>
          <w:color w:val="000000" w:themeColor="text1"/>
        </w:rPr>
        <w:t xml:space="preserve"> Accessed: 24 July 2026.</w:t>
      </w:r>
    </w:p>
    <w:p w14:paraId="43D3352A"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Wilder, D.A., Austin, J. and Casella, S. (2009) “Applying behavior analysis in organizations: Organizational behavior management.,” </w:t>
      </w:r>
      <w:r w:rsidRPr="009171DB">
        <w:rPr>
          <w:rFonts w:ascii="Arial" w:hAnsi="Arial" w:cs="Arial"/>
          <w:i/>
          <w:iCs/>
          <w:color w:val="000000" w:themeColor="text1"/>
        </w:rPr>
        <w:t>Psychological services.</w:t>
      </w:r>
      <w:r w:rsidRPr="009171DB">
        <w:rPr>
          <w:rFonts w:ascii="Arial" w:hAnsi="Arial" w:cs="Arial"/>
          <w:color w:val="000000" w:themeColor="text1"/>
        </w:rPr>
        <w:t xml:space="preserve">, 6(3), pp. 202–211. Available at: </w:t>
      </w:r>
      <w:hyperlink r:id="rId51" w:history="1">
        <w:r w:rsidRPr="009171DB">
          <w:rPr>
            <w:rStyle w:val="Hyperlink"/>
            <w:rFonts w:ascii="Arial" w:hAnsi="Arial" w:cs="Arial"/>
            <w:color w:val="000000" w:themeColor="text1"/>
          </w:rPr>
          <w:t>https://doi.org/10.1037/a0015393</w:t>
        </w:r>
      </w:hyperlink>
      <w:r w:rsidRPr="009171DB">
        <w:rPr>
          <w:rFonts w:ascii="Arial" w:hAnsi="Arial" w:cs="Arial"/>
          <w:color w:val="000000" w:themeColor="text1"/>
        </w:rPr>
        <w:t>. (Accessed: 27 July 2026).</w:t>
      </w:r>
    </w:p>
    <w:p w14:paraId="18AB5EE8" w14:textId="77777777"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lastRenderedPageBreak/>
        <w:t xml:space="preserve">World Health Organization (2023) “Patient Safety.” </w:t>
      </w:r>
      <w:r w:rsidRPr="009171DB">
        <w:rPr>
          <w:rFonts w:ascii="Arial" w:hAnsi="Arial" w:cs="Arial"/>
          <w:i/>
          <w:iCs/>
          <w:color w:val="000000" w:themeColor="text1"/>
        </w:rPr>
        <w:t>World Health Organization</w:t>
      </w:r>
      <w:r w:rsidRPr="009171DB">
        <w:rPr>
          <w:rFonts w:ascii="Arial" w:hAnsi="Arial" w:cs="Arial"/>
          <w:color w:val="000000" w:themeColor="text1"/>
        </w:rPr>
        <w:t xml:space="preserve">. Available at: </w:t>
      </w:r>
      <w:hyperlink r:id="rId52" w:history="1">
        <w:r w:rsidRPr="009171DB">
          <w:rPr>
            <w:rStyle w:val="Hyperlink"/>
            <w:rFonts w:ascii="Arial" w:hAnsi="Arial" w:cs="Arial"/>
            <w:color w:val="000000" w:themeColor="text1"/>
          </w:rPr>
          <w:t>https://www.who.int/news-room/fact-sheets/detail/patient-safety</w:t>
        </w:r>
      </w:hyperlink>
      <w:r w:rsidRPr="009171DB">
        <w:rPr>
          <w:rFonts w:ascii="Arial" w:hAnsi="Arial" w:cs="Arial"/>
          <w:color w:val="000000" w:themeColor="text1"/>
        </w:rPr>
        <w:t>.  (Accessed: 20 July 2026).</w:t>
      </w:r>
    </w:p>
    <w:p w14:paraId="0164AB2C" w14:textId="7FD4C4D2" w:rsidR="00B03B1C" w:rsidRPr="009171DB" w:rsidRDefault="00B03B1C" w:rsidP="008633E5">
      <w:pPr>
        <w:spacing w:after="120" w:line="360" w:lineRule="auto"/>
        <w:ind w:left="360"/>
        <w:rPr>
          <w:rFonts w:ascii="Arial" w:hAnsi="Arial" w:cs="Arial"/>
          <w:color w:val="000000" w:themeColor="text1"/>
        </w:rPr>
      </w:pPr>
      <w:r w:rsidRPr="009171DB">
        <w:rPr>
          <w:rFonts w:ascii="Arial" w:hAnsi="Arial" w:cs="Arial"/>
          <w:color w:val="000000" w:themeColor="text1"/>
        </w:rPr>
        <w:t xml:space="preserve">World Health Organization (2024) “Global patient safety report 2024.” </w:t>
      </w:r>
      <w:r w:rsidRPr="009171DB">
        <w:rPr>
          <w:rFonts w:ascii="Arial" w:hAnsi="Arial" w:cs="Arial"/>
          <w:i/>
          <w:iCs/>
          <w:color w:val="000000" w:themeColor="text1"/>
        </w:rPr>
        <w:t>Geneva: World Health Organization</w:t>
      </w:r>
      <w:r w:rsidRPr="009171DB">
        <w:rPr>
          <w:rFonts w:ascii="Arial" w:hAnsi="Arial" w:cs="Arial"/>
          <w:color w:val="000000" w:themeColor="text1"/>
        </w:rPr>
        <w:t xml:space="preserve">. Available at: </w:t>
      </w:r>
      <w:hyperlink r:id="rId53" w:tgtFrame="_blank" w:history="1">
        <w:r w:rsidRPr="009171DB">
          <w:rPr>
            <w:rStyle w:val="Hyperlink"/>
            <w:rFonts w:ascii="Arial" w:hAnsi="Arial" w:cs="Arial"/>
            <w:color w:val="000000" w:themeColor="text1"/>
          </w:rPr>
          <w:t>https://www.who.int/publications/i/item/9789240095458</w:t>
        </w:r>
      </w:hyperlink>
      <w:r w:rsidR="009171DB">
        <w:rPr>
          <w:rFonts w:ascii="Arial" w:hAnsi="Arial" w:cs="Arial"/>
          <w:color w:val="000000" w:themeColor="text1"/>
        </w:rPr>
        <w:t xml:space="preserve">. </w:t>
      </w:r>
      <w:r w:rsidRPr="009171DB">
        <w:rPr>
          <w:rFonts w:ascii="Arial" w:hAnsi="Arial" w:cs="Arial"/>
          <w:color w:val="000000" w:themeColor="text1"/>
        </w:rPr>
        <w:t xml:space="preserve">(Accessed: 27 July 2026). </w:t>
      </w:r>
    </w:p>
    <w:sectPr w:rsidR="00B03B1C" w:rsidRPr="009171DB">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42573" w14:textId="77777777" w:rsidR="0053545F" w:rsidRDefault="0053545F" w:rsidP="0020212A">
      <w:pPr>
        <w:spacing w:after="0" w:line="240" w:lineRule="auto"/>
      </w:pPr>
      <w:r>
        <w:separator/>
      </w:r>
    </w:p>
  </w:endnote>
  <w:endnote w:type="continuationSeparator" w:id="0">
    <w:p w14:paraId="00D79BF2" w14:textId="77777777" w:rsidR="0053545F" w:rsidRDefault="0053545F" w:rsidP="00202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369E7" w14:textId="77777777" w:rsidR="00390FA5" w:rsidRDefault="00390FA5">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67EEBC58" w14:textId="77777777" w:rsidR="00A62846" w:rsidRDefault="00A62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E4EDA" w14:textId="77777777" w:rsidR="0053545F" w:rsidRDefault="0053545F" w:rsidP="0020212A">
      <w:pPr>
        <w:spacing w:after="0" w:line="240" w:lineRule="auto"/>
      </w:pPr>
      <w:r>
        <w:separator/>
      </w:r>
    </w:p>
  </w:footnote>
  <w:footnote w:type="continuationSeparator" w:id="0">
    <w:p w14:paraId="3F02BBF4" w14:textId="77777777" w:rsidR="0053545F" w:rsidRDefault="0053545F" w:rsidP="00202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B8EBE" w14:textId="62896061" w:rsidR="0020212A" w:rsidRDefault="0020212A">
    <w:pPr>
      <w:pStyle w:val="Header"/>
    </w:pPr>
    <w:r>
      <w:rPr>
        <w:noProof/>
      </w:rPr>
      <w:drawing>
        <wp:inline distT="0" distB="0" distL="0" distR="0" wp14:anchorId="73F3C541" wp14:editId="69E34FF0">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E38C1D1" w14:textId="77777777" w:rsidR="0020212A" w:rsidRDefault="002021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B794E"/>
    <w:multiLevelType w:val="hybridMultilevel"/>
    <w:tmpl w:val="05144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90B23"/>
    <w:multiLevelType w:val="hybridMultilevel"/>
    <w:tmpl w:val="F9000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D73014"/>
    <w:multiLevelType w:val="hybridMultilevel"/>
    <w:tmpl w:val="7B4A3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53DA1"/>
    <w:multiLevelType w:val="multilevel"/>
    <w:tmpl w:val="2B36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656EFC"/>
    <w:multiLevelType w:val="multilevel"/>
    <w:tmpl w:val="094C0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83033C"/>
    <w:multiLevelType w:val="multilevel"/>
    <w:tmpl w:val="9394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1910469">
    <w:abstractNumId w:val="5"/>
  </w:num>
  <w:num w:numId="2" w16cid:durableId="1325279562">
    <w:abstractNumId w:val="4"/>
  </w:num>
  <w:num w:numId="3" w16cid:durableId="2028827520">
    <w:abstractNumId w:val="3"/>
  </w:num>
  <w:num w:numId="4" w16cid:durableId="1884101817">
    <w:abstractNumId w:val="1"/>
  </w:num>
  <w:num w:numId="5" w16cid:durableId="237789855">
    <w:abstractNumId w:val="2"/>
  </w:num>
  <w:num w:numId="6" w16cid:durableId="1676300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57FC7"/>
    <w:rsid w:val="00000ACF"/>
    <w:rsid w:val="00001597"/>
    <w:rsid w:val="00001BC9"/>
    <w:rsid w:val="00005FE0"/>
    <w:rsid w:val="00011B4C"/>
    <w:rsid w:val="00012779"/>
    <w:rsid w:val="0001298D"/>
    <w:rsid w:val="0001315A"/>
    <w:rsid w:val="00013345"/>
    <w:rsid w:val="000215C9"/>
    <w:rsid w:val="00023D76"/>
    <w:rsid w:val="00024D33"/>
    <w:rsid w:val="00027B26"/>
    <w:rsid w:val="00027C27"/>
    <w:rsid w:val="00032CEF"/>
    <w:rsid w:val="00033DF5"/>
    <w:rsid w:val="0003493B"/>
    <w:rsid w:val="000405E8"/>
    <w:rsid w:val="0004156B"/>
    <w:rsid w:val="000415D4"/>
    <w:rsid w:val="000416C9"/>
    <w:rsid w:val="00042AD8"/>
    <w:rsid w:val="00043422"/>
    <w:rsid w:val="000457DD"/>
    <w:rsid w:val="000525C4"/>
    <w:rsid w:val="00053A8E"/>
    <w:rsid w:val="000542DA"/>
    <w:rsid w:val="00056D31"/>
    <w:rsid w:val="000570BF"/>
    <w:rsid w:val="0006158D"/>
    <w:rsid w:val="0006184F"/>
    <w:rsid w:val="00062868"/>
    <w:rsid w:val="00064198"/>
    <w:rsid w:val="000732E4"/>
    <w:rsid w:val="0007470F"/>
    <w:rsid w:val="00074926"/>
    <w:rsid w:val="00075323"/>
    <w:rsid w:val="00076932"/>
    <w:rsid w:val="0008045F"/>
    <w:rsid w:val="00080FA0"/>
    <w:rsid w:val="00080FA8"/>
    <w:rsid w:val="00083513"/>
    <w:rsid w:val="00087FAB"/>
    <w:rsid w:val="00093921"/>
    <w:rsid w:val="000A1ECC"/>
    <w:rsid w:val="000B326F"/>
    <w:rsid w:val="000B6D72"/>
    <w:rsid w:val="000C4C6B"/>
    <w:rsid w:val="000C7846"/>
    <w:rsid w:val="000D358F"/>
    <w:rsid w:val="000D5712"/>
    <w:rsid w:val="000D602C"/>
    <w:rsid w:val="000E001B"/>
    <w:rsid w:val="000E32FC"/>
    <w:rsid w:val="000E4101"/>
    <w:rsid w:val="000E45BA"/>
    <w:rsid w:val="000E5CA2"/>
    <w:rsid w:val="000E7BB9"/>
    <w:rsid w:val="000F0555"/>
    <w:rsid w:val="000F2FDD"/>
    <w:rsid w:val="000F4ADF"/>
    <w:rsid w:val="000F4C36"/>
    <w:rsid w:val="00100718"/>
    <w:rsid w:val="001025BD"/>
    <w:rsid w:val="00102BE1"/>
    <w:rsid w:val="00105FB6"/>
    <w:rsid w:val="00110515"/>
    <w:rsid w:val="00111A80"/>
    <w:rsid w:val="001157AE"/>
    <w:rsid w:val="00115CD4"/>
    <w:rsid w:val="00115D71"/>
    <w:rsid w:val="001174E5"/>
    <w:rsid w:val="0011756A"/>
    <w:rsid w:val="00117D67"/>
    <w:rsid w:val="00122D1D"/>
    <w:rsid w:val="0012546E"/>
    <w:rsid w:val="00125B79"/>
    <w:rsid w:val="001277F2"/>
    <w:rsid w:val="00130D09"/>
    <w:rsid w:val="00142A3A"/>
    <w:rsid w:val="00143167"/>
    <w:rsid w:val="00144AB7"/>
    <w:rsid w:val="00150DF9"/>
    <w:rsid w:val="00150FE5"/>
    <w:rsid w:val="00153479"/>
    <w:rsid w:val="001544A1"/>
    <w:rsid w:val="00155F43"/>
    <w:rsid w:val="00160987"/>
    <w:rsid w:val="00165F65"/>
    <w:rsid w:val="00166E08"/>
    <w:rsid w:val="00166EDB"/>
    <w:rsid w:val="00170E79"/>
    <w:rsid w:val="00170F06"/>
    <w:rsid w:val="00171C97"/>
    <w:rsid w:val="001732EC"/>
    <w:rsid w:val="0017386D"/>
    <w:rsid w:val="00174659"/>
    <w:rsid w:val="00175111"/>
    <w:rsid w:val="00176927"/>
    <w:rsid w:val="00181D3E"/>
    <w:rsid w:val="00182A7D"/>
    <w:rsid w:val="001836CB"/>
    <w:rsid w:val="001916EC"/>
    <w:rsid w:val="00191F8D"/>
    <w:rsid w:val="0019347A"/>
    <w:rsid w:val="00193E08"/>
    <w:rsid w:val="001A3C92"/>
    <w:rsid w:val="001A3D46"/>
    <w:rsid w:val="001A6C36"/>
    <w:rsid w:val="001A74C6"/>
    <w:rsid w:val="001A775C"/>
    <w:rsid w:val="001B149C"/>
    <w:rsid w:val="001B41EC"/>
    <w:rsid w:val="001B420B"/>
    <w:rsid w:val="001B5A84"/>
    <w:rsid w:val="001B6CB2"/>
    <w:rsid w:val="001C1E88"/>
    <w:rsid w:val="001C363C"/>
    <w:rsid w:val="001C412D"/>
    <w:rsid w:val="001C7BFB"/>
    <w:rsid w:val="001D276A"/>
    <w:rsid w:val="001D2C7B"/>
    <w:rsid w:val="001D4B7E"/>
    <w:rsid w:val="001D4BC2"/>
    <w:rsid w:val="001D53CE"/>
    <w:rsid w:val="001D6056"/>
    <w:rsid w:val="001D67CE"/>
    <w:rsid w:val="001E0F7B"/>
    <w:rsid w:val="001E1266"/>
    <w:rsid w:val="001E1997"/>
    <w:rsid w:val="001F340E"/>
    <w:rsid w:val="001F6E31"/>
    <w:rsid w:val="001F713D"/>
    <w:rsid w:val="00201E57"/>
    <w:rsid w:val="00201E64"/>
    <w:rsid w:val="0020212A"/>
    <w:rsid w:val="00205221"/>
    <w:rsid w:val="00205295"/>
    <w:rsid w:val="002073E6"/>
    <w:rsid w:val="00210474"/>
    <w:rsid w:val="002110B4"/>
    <w:rsid w:val="00214B81"/>
    <w:rsid w:val="00214E2E"/>
    <w:rsid w:val="00216B1F"/>
    <w:rsid w:val="002174D6"/>
    <w:rsid w:val="0021753E"/>
    <w:rsid w:val="00217CC4"/>
    <w:rsid w:val="00220F07"/>
    <w:rsid w:val="00221EC7"/>
    <w:rsid w:val="00222A5C"/>
    <w:rsid w:val="00226272"/>
    <w:rsid w:val="00227BD7"/>
    <w:rsid w:val="00235738"/>
    <w:rsid w:val="002374AA"/>
    <w:rsid w:val="0024193E"/>
    <w:rsid w:val="00241CD8"/>
    <w:rsid w:val="00246C8D"/>
    <w:rsid w:val="0024786F"/>
    <w:rsid w:val="002528AB"/>
    <w:rsid w:val="00252B67"/>
    <w:rsid w:val="0025389A"/>
    <w:rsid w:val="00254887"/>
    <w:rsid w:val="00254A40"/>
    <w:rsid w:val="002550AB"/>
    <w:rsid w:val="00256830"/>
    <w:rsid w:val="00266737"/>
    <w:rsid w:val="00266DD2"/>
    <w:rsid w:val="00271471"/>
    <w:rsid w:val="00273117"/>
    <w:rsid w:val="00273E19"/>
    <w:rsid w:val="00276411"/>
    <w:rsid w:val="002764D2"/>
    <w:rsid w:val="00276814"/>
    <w:rsid w:val="0028193C"/>
    <w:rsid w:val="00282C75"/>
    <w:rsid w:val="00286778"/>
    <w:rsid w:val="00287E52"/>
    <w:rsid w:val="00290A64"/>
    <w:rsid w:val="00291428"/>
    <w:rsid w:val="00293F19"/>
    <w:rsid w:val="00294880"/>
    <w:rsid w:val="00294D17"/>
    <w:rsid w:val="0029759C"/>
    <w:rsid w:val="002A0970"/>
    <w:rsid w:val="002A0F21"/>
    <w:rsid w:val="002A11AD"/>
    <w:rsid w:val="002B032E"/>
    <w:rsid w:val="002B2904"/>
    <w:rsid w:val="002B68F2"/>
    <w:rsid w:val="002B6A21"/>
    <w:rsid w:val="002B7DED"/>
    <w:rsid w:val="002C0B96"/>
    <w:rsid w:val="002C0EF1"/>
    <w:rsid w:val="002C29E2"/>
    <w:rsid w:val="002C333A"/>
    <w:rsid w:val="002C6A4C"/>
    <w:rsid w:val="002C721A"/>
    <w:rsid w:val="002C7FFD"/>
    <w:rsid w:val="002D0C1E"/>
    <w:rsid w:val="002D0CBF"/>
    <w:rsid w:val="002D18C1"/>
    <w:rsid w:val="002D19E3"/>
    <w:rsid w:val="002D1D04"/>
    <w:rsid w:val="002D4062"/>
    <w:rsid w:val="002D43F8"/>
    <w:rsid w:val="002D569D"/>
    <w:rsid w:val="002D74E9"/>
    <w:rsid w:val="002E18B5"/>
    <w:rsid w:val="002E1F04"/>
    <w:rsid w:val="002E2844"/>
    <w:rsid w:val="002E4399"/>
    <w:rsid w:val="002E5B06"/>
    <w:rsid w:val="002E69EC"/>
    <w:rsid w:val="002F0E38"/>
    <w:rsid w:val="002F6823"/>
    <w:rsid w:val="002F69DD"/>
    <w:rsid w:val="00300163"/>
    <w:rsid w:val="00300999"/>
    <w:rsid w:val="00303D9A"/>
    <w:rsid w:val="0030431E"/>
    <w:rsid w:val="0031282D"/>
    <w:rsid w:val="00314953"/>
    <w:rsid w:val="00314C3F"/>
    <w:rsid w:val="003153AC"/>
    <w:rsid w:val="00316116"/>
    <w:rsid w:val="003212B7"/>
    <w:rsid w:val="00321C87"/>
    <w:rsid w:val="00322570"/>
    <w:rsid w:val="00325DD7"/>
    <w:rsid w:val="0032628B"/>
    <w:rsid w:val="00333232"/>
    <w:rsid w:val="0033590C"/>
    <w:rsid w:val="00336D2A"/>
    <w:rsid w:val="00336D56"/>
    <w:rsid w:val="003374FA"/>
    <w:rsid w:val="00340D25"/>
    <w:rsid w:val="003430D5"/>
    <w:rsid w:val="00346A19"/>
    <w:rsid w:val="00355E31"/>
    <w:rsid w:val="00360D8A"/>
    <w:rsid w:val="00362420"/>
    <w:rsid w:val="00363334"/>
    <w:rsid w:val="0036591E"/>
    <w:rsid w:val="003679C3"/>
    <w:rsid w:val="0037119E"/>
    <w:rsid w:val="003725B6"/>
    <w:rsid w:val="00372F74"/>
    <w:rsid w:val="0037393F"/>
    <w:rsid w:val="0038048E"/>
    <w:rsid w:val="00381C11"/>
    <w:rsid w:val="003836AB"/>
    <w:rsid w:val="00383844"/>
    <w:rsid w:val="00384600"/>
    <w:rsid w:val="00387043"/>
    <w:rsid w:val="0038707C"/>
    <w:rsid w:val="00390FA5"/>
    <w:rsid w:val="0039547A"/>
    <w:rsid w:val="00396F22"/>
    <w:rsid w:val="003A07A8"/>
    <w:rsid w:val="003B57FF"/>
    <w:rsid w:val="003B7FF2"/>
    <w:rsid w:val="003C120D"/>
    <w:rsid w:val="003C1E5F"/>
    <w:rsid w:val="003C298A"/>
    <w:rsid w:val="003C30A0"/>
    <w:rsid w:val="003C5D92"/>
    <w:rsid w:val="003D185C"/>
    <w:rsid w:val="003D285F"/>
    <w:rsid w:val="003D2EB5"/>
    <w:rsid w:val="003D3FD4"/>
    <w:rsid w:val="003D61EB"/>
    <w:rsid w:val="003D62BE"/>
    <w:rsid w:val="003D65EB"/>
    <w:rsid w:val="003E03C9"/>
    <w:rsid w:val="003E0712"/>
    <w:rsid w:val="003E24BE"/>
    <w:rsid w:val="003E7289"/>
    <w:rsid w:val="003F0192"/>
    <w:rsid w:val="003F0A50"/>
    <w:rsid w:val="003F2B7E"/>
    <w:rsid w:val="003F742F"/>
    <w:rsid w:val="004000EC"/>
    <w:rsid w:val="004014AF"/>
    <w:rsid w:val="0040466A"/>
    <w:rsid w:val="00405809"/>
    <w:rsid w:val="004077F1"/>
    <w:rsid w:val="004152B1"/>
    <w:rsid w:val="004215C8"/>
    <w:rsid w:val="0042312F"/>
    <w:rsid w:val="004235EC"/>
    <w:rsid w:val="00424BC3"/>
    <w:rsid w:val="00425D26"/>
    <w:rsid w:val="004268C0"/>
    <w:rsid w:val="00426FFD"/>
    <w:rsid w:val="0043183D"/>
    <w:rsid w:val="004321B1"/>
    <w:rsid w:val="004342C4"/>
    <w:rsid w:val="00434439"/>
    <w:rsid w:val="00443BDB"/>
    <w:rsid w:val="0044588B"/>
    <w:rsid w:val="00445C91"/>
    <w:rsid w:val="004507E5"/>
    <w:rsid w:val="00451449"/>
    <w:rsid w:val="00451C29"/>
    <w:rsid w:val="004535A6"/>
    <w:rsid w:val="00453D96"/>
    <w:rsid w:val="00457034"/>
    <w:rsid w:val="004602DF"/>
    <w:rsid w:val="00462D5B"/>
    <w:rsid w:val="004644F7"/>
    <w:rsid w:val="00465EC0"/>
    <w:rsid w:val="004662CC"/>
    <w:rsid w:val="00466546"/>
    <w:rsid w:val="00481800"/>
    <w:rsid w:val="00486C2F"/>
    <w:rsid w:val="00493029"/>
    <w:rsid w:val="004940F0"/>
    <w:rsid w:val="00494B66"/>
    <w:rsid w:val="004959EB"/>
    <w:rsid w:val="004962D0"/>
    <w:rsid w:val="00497AF8"/>
    <w:rsid w:val="004A09D8"/>
    <w:rsid w:val="004A3F59"/>
    <w:rsid w:val="004A59A0"/>
    <w:rsid w:val="004B01FA"/>
    <w:rsid w:val="004B2FE7"/>
    <w:rsid w:val="004B3CA8"/>
    <w:rsid w:val="004B5313"/>
    <w:rsid w:val="004B5E99"/>
    <w:rsid w:val="004B6027"/>
    <w:rsid w:val="004B6841"/>
    <w:rsid w:val="004B7E1C"/>
    <w:rsid w:val="004C0002"/>
    <w:rsid w:val="004C202C"/>
    <w:rsid w:val="004C2AF7"/>
    <w:rsid w:val="004C2AFC"/>
    <w:rsid w:val="004C2D25"/>
    <w:rsid w:val="004C3573"/>
    <w:rsid w:val="004C4DA4"/>
    <w:rsid w:val="004C657C"/>
    <w:rsid w:val="004D0436"/>
    <w:rsid w:val="004D0F7F"/>
    <w:rsid w:val="004D34BA"/>
    <w:rsid w:val="004D3902"/>
    <w:rsid w:val="004D3CEE"/>
    <w:rsid w:val="004D4670"/>
    <w:rsid w:val="004D6D77"/>
    <w:rsid w:val="004E62B4"/>
    <w:rsid w:val="004F1877"/>
    <w:rsid w:val="004F3503"/>
    <w:rsid w:val="004F44F5"/>
    <w:rsid w:val="004F5161"/>
    <w:rsid w:val="004F5F06"/>
    <w:rsid w:val="004F62FF"/>
    <w:rsid w:val="004F7693"/>
    <w:rsid w:val="004F7A31"/>
    <w:rsid w:val="00500B80"/>
    <w:rsid w:val="00502345"/>
    <w:rsid w:val="005026D6"/>
    <w:rsid w:val="00505F51"/>
    <w:rsid w:val="005102FE"/>
    <w:rsid w:val="00510E68"/>
    <w:rsid w:val="00511C7A"/>
    <w:rsid w:val="005138CB"/>
    <w:rsid w:val="005158E7"/>
    <w:rsid w:val="005200B4"/>
    <w:rsid w:val="0052344D"/>
    <w:rsid w:val="00525564"/>
    <w:rsid w:val="005304B1"/>
    <w:rsid w:val="005305AD"/>
    <w:rsid w:val="0053063A"/>
    <w:rsid w:val="00532576"/>
    <w:rsid w:val="0053426D"/>
    <w:rsid w:val="00535218"/>
    <w:rsid w:val="0053545F"/>
    <w:rsid w:val="00537133"/>
    <w:rsid w:val="0053752B"/>
    <w:rsid w:val="00542D11"/>
    <w:rsid w:val="00545085"/>
    <w:rsid w:val="00547E5F"/>
    <w:rsid w:val="00551152"/>
    <w:rsid w:val="005545D2"/>
    <w:rsid w:val="005563F4"/>
    <w:rsid w:val="00556A37"/>
    <w:rsid w:val="00556B4F"/>
    <w:rsid w:val="0056121E"/>
    <w:rsid w:val="00563838"/>
    <w:rsid w:val="0056776D"/>
    <w:rsid w:val="005679D5"/>
    <w:rsid w:val="00567F3D"/>
    <w:rsid w:val="00571588"/>
    <w:rsid w:val="00571D58"/>
    <w:rsid w:val="00583512"/>
    <w:rsid w:val="00584EA6"/>
    <w:rsid w:val="00585965"/>
    <w:rsid w:val="00595337"/>
    <w:rsid w:val="005957B1"/>
    <w:rsid w:val="00597758"/>
    <w:rsid w:val="005A1926"/>
    <w:rsid w:val="005A2AA1"/>
    <w:rsid w:val="005A32EA"/>
    <w:rsid w:val="005A5086"/>
    <w:rsid w:val="005A656A"/>
    <w:rsid w:val="005A7F9B"/>
    <w:rsid w:val="005A7FB4"/>
    <w:rsid w:val="005B2FC1"/>
    <w:rsid w:val="005B6A55"/>
    <w:rsid w:val="005C1758"/>
    <w:rsid w:val="005C35F7"/>
    <w:rsid w:val="005C4A5D"/>
    <w:rsid w:val="005C7B8E"/>
    <w:rsid w:val="005D2471"/>
    <w:rsid w:val="005D3739"/>
    <w:rsid w:val="005D5C91"/>
    <w:rsid w:val="005D7420"/>
    <w:rsid w:val="005D7ADE"/>
    <w:rsid w:val="005E1847"/>
    <w:rsid w:val="005E1C34"/>
    <w:rsid w:val="005E2BA4"/>
    <w:rsid w:val="005E3118"/>
    <w:rsid w:val="005E39B6"/>
    <w:rsid w:val="005E50CA"/>
    <w:rsid w:val="005E66E2"/>
    <w:rsid w:val="0060118F"/>
    <w:rsid w:val="00601CD9"/>
    <w:rsid w:val="00601F30"/>
    <w:rsid w:val="00602699"/>
    <w:rsid w:val="00605B92"/>
    <w:rsid w:val="00606994"/>
    <w:rsid w:val="0060727F"/>
    <w:rsid w:val="006078DF"/>
    <w:rsid w:val="006106AE"/>
    <w:rsid w:val="00612A44"/>
    <w:rsid w:val="00613686"/>
    <w:rsid w:val="0061441D"/>
    <w:rsid w:val="006166D6"/>
    <w:rsid w:val="006175C2"/>
    <w:rsid w:val="0062333C"/>
    <w:rsid w:val="0062353F"/>
    <w:rsid w:val="006251CD"/>
    <w:rsid w:val="00626380"/>
    <w:rsid w:val="0063168D"/>
    <w:rsid w:val="00632DB3"/>
    <w:rsid w:val="00634DBC"/>
    <w:rsid w:val="00634DCD"/>
    <w:rsid w:val="0063581D"/>
    <w:rsid w:val="006361AE"/>
    <w:rsid w:val="00640919"/>
    <w:rsid w:val="00640F2D"/>
    <w:rsid w:val="006410F9"/>
    <w:rsid w:val="00642414"/>
    <w:rsid w:val="00644347"/>
    <w:rsid w:val="00644D8E"/>
    <w:rsid w:val="00644EA9"/>
    <w:rsid w:val="006453CA"/>
    <w:rsid w:val="00650052"/>
    <w:rsid w:val="00653135"/>
    <w:rsid w:val="00653D84"/>
    <w:rsid w:val="00655667"/>
    <w:rsid w:val="00655E92"/>
    <w:rsid w:val="00656454"/>
    <w:rsid w:val="00657A09"/>
    <w:rsid w:val="00660EB4"/>
    <w:rsid w:val="00663469"/>
    <w:rsid w:val="00666F58"/>
    <w:rsid w:val="00667C1F"/>
    <w:rsid w:val="0067026C"/>
    <w:rsid w:val="00671DFE"/>
    <w:rsid w:val="0067668E"/>
    <w:rsid w:val="006827ED"/>
    <w:rsid w:val="00682D80"/>
    <w:rsid w:val="00692227"/>
    <w:rsid w:val="00696A79"/>
    <w:rsid w:val="006A1BD5"/>
    <w:rsid w:val="006A2305"/>
    <w:rsid w:val="006A2576"/>
    <w:rsid w:val="006A2F7D"/>
    <w:rsid w:val="006A5110"/>
    <w:rsid w:val="006A5277"/>
    <w:rsid w:val="006A6624"/>
    <w:rsid w:val="006B07A6"/>
    <w:rsid w:val="006B1CF9"/>
    <w:rsid w:val="006B3FA9"/>
    <w:rsid w:val="006B5405"/>
    <w:rsid w:val="006B5412"/>
    <w:rsid w:val="006B6391"/>
    <w:rsid w:val="006B6E40"/>
    <w:rsid w:val="006B74F0"/>
    <w:rsid w:val="006C0EEE"/>
    <w:rsid w:val="006C35B0"/>
    <w:rsid w:val="006C3E4C"/>
    <w:rsid w:val="006C5486"/>
    <w:rsid w:val="006D0DC7"/>
    <w:rsid w:val="006D199C"/>
    <w:rsid w:val="006D4EA6"/>
    <w:rsid w:val="006D7149"/>
    <w:rsid w:val="006E4371"/>
    <w:rsid w:val="006E4D9B"/>
    <w:rsid w:val="006F1ADD"/>
    <w:rsid w:val="006F1ED8"/>
    <w:rsid w:val="0070129C"/>
    <w:rsid w:val="007031A9"/>
    <w:rsid w:val="007032C1"/>
    <w:rsid w:val="00706B41"/>
    <w:rsid w:val="00707D13"/>
    <w:rsid w:val="00710BD4"/>
    <w:rsid w:val="00712ED9"/>
    <w:rsid w:val="007137AF"/>
    <w:rsid w:val="00714732"/>
    <w:rsid w:val="00720D2C"/>
    <w:rsid w:val="00721941"/>
    <w:rsid w:val="00722080"/>
    <w:rsid w:val="00722F5D"/>
    <w:rsid w:val="00723478"/>
    <w:rsid w:val="00725447"/>
    <w:rsid w:val="007256C6"/>
    <w:rsid w:val="0073244E"/>
    <w:rsid w:val="0073293A"/>
    <w:rsid w:val="007376AD"/>
    <w:rsid w:val="00740510"/>
    <w:rsid w:val="00742720"/>
    <w:rsid w:val="0074453C"/>
    <w:rsid w:val="00746BB2"/>
    <w:rsid w:val="007565A6"/>
    <w:rsid w:val="0076604E"/>
    <w:rsid w:val="00767FBF"/>
    <w:rsid w:val="00776DD0"/>
    <w:rsid w:val="00777263"/>
    <w:rsid w:val="00777A13"/>
    <w:rsid w:val="00777E4B"/>
    <w:rsid w:val="007836BA"/>
    <w:rsid w:val="00784524"/>
    <w:rsid w:val="007878D7"/>
    <w:rsid w:val="00790ED0"/>
    <w:rsid w:val="00793AA3"/>
    <w:rsid w:val="00793B16"/>
    <w:rsid w:val="00794B06"/>
    <w:rsid w:val="00794DC1"/>
    <w:rsid w:val="00795547"/>
    <w:rsid w:val="007959D3"/>
    <w:rsid w:val="00797793"/>
    <w:rsid w:val="007A0A0C"/>
    <w:rsid w:val="007B2037"/>
    <w:rsid w:val="007B203F"/>
    <w:rsid w:val="007B2802"/>
    <w:rsid w:val="007B394E"/>
    <w:rsid w:val="007B6419"/>
    <w:rsid w:val="007C0C43"/>
    <w:rsid w:val="007C4660"/>
    <w:rsid w:val="007C6B76"/>
    <w:rsid w:val="007C79BB"/>
    <w:rsid w:val="007D0805"/>
    <w:rsid w:val="007D1A04"/>
    <w:rsid w:val="007D1BFE"/>
    <w:rsid w:val="007D7261"/>
    <w:rsid w:val="007E1A21"/>
    <w:rsid w:val="007E1F61"/>
    <w:rsid w:val="007E2A23"/>
    <w:rsid w:val="007E46BF"/>
    <w:rsid w:val="007E4966"/>
    <w:rsid w:val="007E4D3B"/>
    <w:rsid w:val="007E70E2"/>
    <w:rsid w:val="007F2088"/>
    <w:rsid w:val="007F3960"/>
    <w:rsid w:val="007F3CDE"/>
    <w:rsid w:val="008011FE"/>
    <w:rsid w:val="00801350"/>
    <w:rsid w:val="008033C3"/>
    <w:rsid w:val="0080375B"/>
    <w:rsid w:val="00803CDC"/>
    <w:rsid w:val="008051F2"/>
    <w:rsid w:val="00811AA2"/>
    <w:rsid w:val="00812169"/>
    <w:rsid w:val="00812D00"/>
    <w:rsid w:val="00813079"/>
    <w:rsid w:val="00814B75"/>
    <w:rsid w:val="008151F2"/>
    <w:rsid w:val="00817837"/>
    <w:rsid w:val="00821098"/>
    <w:rsid w:val="00822576"/>
    <w:rsid w:val="00832051"/>
    <w:rsid w:val="00832677"/>
    <w:rsid w:val="0083338D"/>
    <w:rsid w:val="00834297"/>
    <w:rsid w:val="008405C2"/>
    <w:rsid w:val="00841719"/>
    <w:rsid w:val="0084190E"/>
    <w:rsid w:val="00841E5C"/>
    <w:rsid w:val="008425AF"/>
    <w:rsid w:val="00843032"/>
    <w:rsid w:val="00844C2F"/>
    <w:rsid w:val="00852047"/>
    <w:rsid w:val="008538B1"/>
    <w:rsid w:val="00857A62"/>
    <w:rsid w:val="008625ED"/>
    <w:rsid w:val="00862BED"/>
    <w:rsid w:val="008633E5"/>
    <w:rsid w:val="00866E18"/>
    <w:rsid w:val="00870C27"/>
    <w:rsid w:val="00874F66"/>
    <w:rsid w:val="008754D6"/>
    <w:rsid w:val="00876BFF"/>
    <w:rsid w:val="00877015"/>
    <w:rsid w:val="0088034D"/>
    <w:rsid w:val="0088242C"/>
    <w:rsid w:val="0088412B"/>
    <w:rsid w:val="00886AC2"/>
    <w:rsid w:val="00887DBE"/>
    <w:rsid w:val="00892D33"/>
    <w:rsid w:val="00895683"/>
    <w:rsid w:val="008A0756"/>
    <w:rsid w:val="008A101C"/>
    <w:rsid w:val="008A3CA9"/>
    <w:rsid w:val="008A455D"/>
    <w:rsid w:val="008A6712"/>
    <w:rsid w:val="008A69C5"/>
    <w:rsid w:val="008A69CD"/>
    <w:rsid w:val="008B0478"/>
    <w:rsid w:val="008B16B8"/>
    <w:rsid w:val="008B190D"/>
    <w:rsid w:val="008B28BB"/>
    <w:rsid w:val="008B4451"/>
    <w:rsid w:val="008B4DF1"/>
    <w:rsid w:val="008B5EDD"/>
    <w:rsid w:val="008C0793"/>
    <w:rsid w:val="008C1466"/>
    <w:rsid w:val="008C3730"/>
    <w:rsid w:val="008C52ED"/>
    <w:rsid w:val="008D6348"/>
    <w:rsid w:val="008D64D4"/>
    <w:rsid w:val="008E6A59"/>
    <w:rsid w:val="008E71E9"/>
    <w:rsid w:val="008F0124"/>
    <w:rsid w:val="009060AA"/>
    <w:rsid w:val="00907463"/>
    <w:rsid w:val="00912BCB"/>
    <w:rsid w:val="009171DB"/>
    <w:rsid w:val="00920967"/>
    <w:rsid w:val="00926964"/>
    <w:rsid w:val="00933771"/>
    <w:rsid w:val="00941600"/>
    <w:rsid w:val="00942478"/>
    <w:rsid w:val="00942580"/>
    <w:rsid w:val="009427C3"/>
    <w:rsid w:val="009461AE"/>
    <w:rsid w:val="009507AA"/>
    <w:rsid w:val="00951B29"/>
    <w:rsid w:val="00953931"/>
    <w:rsid w:val="00953F90"/>
    <w:rsid w:val="00955BE0"/>
    <w:rsid w:val="00956637"/>
    <w:rsid w:val="00956F2D"/>
    <w:rsid w:val="009575B3"/>
    <w:rsid w:val="00960343"/>
    <w:rsid w:val="00960BD9"/>
    <w:rsid w:val="009634DA"/>
    <w:rsid w:val="009703D4"/>
    <w:rsid w:val="009712A3"/>
    <w:rsid w:val="00972E72"/>
    <w:rsid w:val="00975695"/>
    <w:rsid w:val="00976F64"/>
    <w:rsid w:val="0097766F"/>
    <w:rsid w:val="00980A18"/>
    <w:rsid w:val="009821AE"/>
    <w:rsid w:val="00985501"/>
    <w:rsid w:val="0098583F"/>
    <w:rsid w:val="009865CF"/>
    <w:rsid w:val="0098725D"/>
    <w:rsid w:val="0099014E"/>
    <w:rsid w:val="0099243E"/>
    <w:rsid w:val="00992452"/>
    <w:rsid w:val="00996FC2"/>
    <w:rsid w:val="009A07AE"/>
    <w:rsid w:val="009A0BB6"/>
    <w:rsid w:val="009A1E84"/>
    <w:rsid w:val="009A29D9"/>
    <w:rsid w:val="009A3451"/>
    <w:rsid w:val="009A3954"/>
    <w:rsid w:val="009B15CE"/>
    <w:rsid w:val="009B2FEF"/>
    <w:rsid w:val="009B774D"/>
    <w:rsid w:val="009C3C58"/>
    <w:rsid w:val="009C4DAA"/>
    <w:rsid w:val="009C6752"/>
    <w:rsid w:val="009C7029"/>
    <w:rsid w:val="009D0789"/>
    <w:rsid w:val="009D5B98"/>
    <w:rsid w:val="009D621A"/>
    <w:rsid w:val="009E6272"/>
    <w:rsid w:val="009E7A00"/>
    <w:rsid w:val="009F09FA"/>
    <w:rsid w:val="009F34D1"/>
    <w:rsid w:val="009F4B43"/>
    <w:rsid w:val="00A02898"/>
    <w:rsid w:val="00A03021"/>
    <w:rsid w:val="00A04A02"/>
    <w:rsid w:val="00A10047"/>
    <w:rsid w:val="00A10685"/>
    <w:rsid w:val="00A1271B"/>
    <w:rsid w:val="00A12CBD"/>
    <w:rsid w:val="00A1332D"/>
    <w:rsid w:val="00A139B3"/>
    <w:rsid w:val="00A170C7"/>
    <w:rsid w:val="00A218D6"/>
    <w:rsid w:val="00A231C8"/>
    <w:rsid w:val="00A25A05"/>
    <w:rsid w:val="00A26E0F"/>
    <w:rsid w:val="00A309F4"/>
    <w:rsid w:val="00A33419"/>
    <w:rsid w:val="00A334EF"/>
    <w:rsid w:val="00A34532"/>
    <w:rsid w:val="00A34C95"/>
    <w:rsid w:val="00A40F6B"/>
    <w:rsid w:val="00A421A2"/>
    <w:rsid w:val="00A449F5"/>
    <w:rsid w:val="00A454DD"/>
    <w:rsid w:val="00A51385"/>
    <w:rsid w:val="00A51A0F"/>
    <w:rsid w:val="00A5489B"/>
    <w:rsid w:val="00A57440"/>
    <w:rsid w:val="00A62846"/>
    <w:rsid w:val="00A62FA0"/>
    <w:rsid w:val="00A6558B"/>
    <w:rsid w:val="00A65B2E"/>
    <w:rsid w:val="00A672BF"/>
    <w:rsid w:val="00A67D7B"/>
    <w:rsid w:val="00A67E1E"/>
    <w:rsid w:val="00A750B5"/>
    <w:rsid w:val="00A75563"/>
    <w:rsid w:val="00A77CB5"/>
    <w:rsid w:val="00A82DB5"/>
    <w:rsid w:val="00A850FA"/>
    <w:rsid w:val="00A871E9"/>
    <w:rsid w:val="00A879DC"/>
    <w:rsid w:val="00A87ED3"/>
    <w:rsid w:val="00A97267"/>
    <w:rsid w:val="00A978CA"/>
    <w:rsid w:val="00AA0C98"/>
    <w:rsid w:val="00AA1E19"/>
    <w:rsid w:val="00AA5AF3"/>
    <w:rsid w:val="00AA6F49"/>
    <w:rsid w:val="00AA77BC"/>
    <w:rsid w:val="00AB38BF"/>
    <w:rsid w:val="00AB549A"/>
    <w:rsid w:val="00AB5BE1"/>
    <w:rsid w:val="00AC10D0"/>
    <w:rsid w:val="00AC145C"/>
    <w:rsid w:val="00AC2170"/>
    <w:rsid w:val="00AC363D"/>
    <w:rsid w:val="00AC4E32"/>
    <w:rsid w:val="00AC50F6"/>
    <w:rsid w:val="00AC55D0"/>
    <w:rsid w:val="00AD02DE"/>
    <w:rsid w:val="00AD2A90"/>
    <w:rsid w:val="00AD38AB"/>
    <w:rsid w:val="00AD7D4B"/>
    <w:rsid w:val="00AE01F0"/>
    <w:rsid w:val="00AE2A8A"/>
    <w:rsid w:val="00AE43C9"/>
    <w:rsid w:val="00AE5952"/>
    <w:rsid w:val="00AF0673"/>
    <w:rsid w:val="00AF0EA5"/>
    <w:rsid w:val="00AF38B8"/>
    <w:rsid w:val="00AF44F0"/>
    <w:rsid w:val="00B0029F"/>
    <w:rsid w:val="00B02434"/>
    <w:rsid w:val="00B03B1C"/>
    <w:rsid w:val="00B03F84"/>
    <w:rsid w:val="00B0522E"/>
    <w:rsid w:val="00B124C4"/>
    <w:rsid w:val="00B1444B"/>
    <w:rsid w:val="00B150CA"/>
    <w:rsid w:val="00B1596E"/>
    <w:rsid w:val="00B17126"/>
    <w:rsid w:val="00B2046F"/>
    <w:rsid w:val="00B219C6"/>
    <w:rsid w:val="00B222A6"/>
    <w:rsid w:val="00B23F48"/>
    <w:rsid w:val="00B2619C"/>
    <w:rsid w:val="00B267CA"/>
    <w:rsid w:val="00B307CE"/>
    <w:rsid w:val="00B30B55"/>
    <w:rsid w:val="00B32A90"/>
    <w:rsid w:val="00B374E9"/>
    <w:rsid w:val="00B415C4"/>
    <w:rsid w:val="00B46C2B"/>
    <w:rsid w:val="00B50476"/>
    <w:rsid w:val="00B512E6"/>
    <w:rsid w:val="00B525AF"/>
    <w:rsid w:val="00B5478D"/>
    <w:rsid w:val="00B54DE9"/>
    <w:rsid w:val="00B55002"/>
    <w:rsid w:val="00B552D7"/>
    <w:rsid w:val="00B55E5A"/>
    <w:rsid w:val="00B57FC7"/>
    <w:rsid w:val="00B60234"/>
    <w:rsid w:val="00B6233B"/>
    <w:rsid w:val="00B6251B"/>
    <w:rsid w:val="00B62ABC"/>
    <w:rsid w:val="00B6317B"/>
    <w:rsid w:val="00B65A5D"/>
    <w:rsid w:val="00B66A05"/>
    <w:rsid w:val="00B67B0D"/>
    <w:rsid w:val="00B7068A"/>
    <w:rsid w:val="00B72301"/>
    <w:rsid w:val="00B72DD4"/>
    <w:rsid w:val="00B74469"/>
    <w:rsid w:val="00B749D1"/>
    <w:rsid w:val="00B74B8E"/>
    <w:rsid w:val="00B77483"/>
    <w:rsid w:val="00B8146F"/>
    <w:rsid w:val="00B82555"/>
    <w:rsid w:val="00B82DDB"/>
    <w:rsid w:val="00B83C7D"/>
    <w:rsid w:val="00B840CF"/>
    <w:rsid w:val="00B84362"/>
    <w:rsid w:val="00B85472"/>
    <w:rsid w:val="00B86112"/>
    <w:rsid w:val="00B94188"/>
    <w:rsid w:val="00B945EE"/>
    <w:rsid w:val="00B95169"/>
    <w:rsid w:val="00B96372"/>
    <w:rsid w:val="00B96E1D"/>
    <w:rsid w:val="00B97909"/>
    <w:rsid w:val="00BA6A47"/>
    <w:rsid w:val="00BA6BB0"/>
    <w:rsid w:val="00BA7F1D"/>
    <w:rsid w:val="00BB02A7"/>
    <w:rsid w:val="00BB3A21"/>
    <w:rsid w:val="00BB6C93"/>
    <w:rsid w:val="00BC6C1E"/>
    <w:rsid w:val="00BD11C8"/>
    <w:rsid w:val="00BD5245"/>
    <w:rsid w:val="00BD5327"/>
    <w:rsid w:val="00BD7E82"/>
    <w:rsid w:val="00BE5678"/>
    <w:rsid w:val="00BF00A4"/>
    <w:rsid w:val="00BF25D8"/>
    <w:rsid w:val="00BF2C9B"/>
    <w:rsid w:val="00BF4AFE"/>
    <w:rsid w:val="00BF6957"/>
    <w:rsid w:val="00C02D60"/>
    <w:rsid w:val="00C04174"/>
    <w:rsid w:val="00C1000F"/>
    <w:rsid w:val="00C21E8C"/>
    <w:rsid w:val="00C231B0"/>
    <w:rsid w:val="00C247F8"/>
    <w:rsid w:val="00C26182"/>
    <w:rsid w:val="00C3135B"/>
    <w:rsid w:val="00C34BCA"/>
    <w:rsid w:val="00C36C19"/>
    <w:rsid w:val="00C37748"/>
    <w:rsid w:val="00C40BAA"/>
    <w:rsid w:val="00C45349"/>
    <w:rsid w:val="00C45ED2"/>
    <w:rsid w:val="00C506D4"/>
    <w:rsid w:val="00C50B2F"/>
    <w:rsid w:val="00C51490"/>
    <w:rsid w:val="00C52D72"/>
    <w:rsid w:val="00C53539"/>
    <w:rsid w:val="00C538A2"/>
    <w:rsid w:val="00C556B4"/>
    <w:rsid w:val="00C56D9A"/>
    <w:rsid w:val="00C57155"/>
    <w:rsid w:val="00C6015E"/>
    <w:rsid w:val="00C60D94"/>
    <w:rsid w:val="00C6345A"/>
    <w:rsid w:val="00C634C3"/>
    <w:rsid w:val="00C6474E"/>
    <w:rsid w:val="00C64CF5"/>
    <w:rsid w:val="00C65D57"/>
    <w:rsid w:val="00C65EAD"/>
    <w:rsid w:val="00C726A6"/>
    <w:rsid w:val="00C761B3"/>
    <w:rsid w:val="00C809FC"/>
    <w:rsid w:val="00C8256B"/>
    <w:rsid w:val="00C8317C"/>
    <w:rsid w:val="00C846F3"/>
    <w:rsid w:val="00C8476F"/>
    <w:rsid w:val="00C849C9"/>
    <w:rsid w:val="00C85FD8"/>
    <w:rsid w:val="00C92451"/>
    <w:rsid w:val="00C957B4"/>
    <w:rsid w:val="00C9721F"/>
    <w:rsid w:val="00CA1156"/>
    <w:rsid w:val="00CA18E1"/>
    <w:rsid w:val="00CA2734"/>
    <w:rsid w:val="00CA5556"/>
    <w:rsid w:val="00CA6BB1"/>
    <w:rsid w:val="00CA7955"/>
    <w:rsid w:val="00CB03EE"/>
    <w:rsid w:val="00CB0635"/>
    <w:rsid w:val="00CB29E6"/>
    <w:rsid w:val="00CC1FB1"/>
    <w:rsid w:val="00CC263E"/>
    <w:rsid w:val="00CC2C10"/>
    <w:rsid w:val="00CC43B6"/>
    <w:rsid w:val="00CC4971"/>
    <w:rsid w:val="00CC68CA"/>
    <w:rsid w:val="00CC7B4E"/>
    <w:rsid w:val="00CD1BDE"/>
    <w:rsid w:val="00CD3987"/>
    <w:rsid w:val="00CD5150"/>
    <w:rsid w:val="00CD7AF2"/>
    <w:rsid w:val="00CE0BE2"/>
    <w:rsid w:val="00CE17A3"/>
    <w:rsid w:val="00CE1F8A"/>
    <w:rsid w:val="00CF29DC"/>
    <w:rsid w:val="00CF49C6"/>
    <w:rsid w:val="00CF75F7"/>
    <w:rsid w:val="00CF7ADD"/>
    <w:rsid w:val="00CF7F46"/>
    <w:rsid w:val="00D00197"/>
    <w:rsid w:val="00D003D5"/>
    <w:rsid w:val="00D02D7A"/>
    <w:rsid w:val="00D0385D"/>
    <w:rsid w:val="00D044CB"/>
    <w:rsid w:val="00D055D2"/>
    <w:rsid w:val="00D06D1C"/>
    <w:rsid w:val="00D07A23"/>
    <w:rsid w:val="00D1708B"/>
    <w:rsid w:val="00D21343"/>
    <w:rsid w:val="00D21A1B"/>
    <w:rsid w:val="00D22E23"/>
    <w:rsid w:val="00D266B1"/>
    <w:rsid w:val="00D325B7"/>
    <w:rsid w:val="00D33E60"/>
    <w:rsid w:val="00D34AA2"/>
    <w:rsid w:val="00D36C34"/>
    <w:rsid w:val="00D417BA"/>
    <w:rsid w:val="00D41AFC"/>
    <w:rsid w:val="00D448A8"/>
    <w:rsid w:val="00D44D18"/>
    <w:rsid w:val="00D45A2F"/>
    <w:rsid w:val="00D460FF"/>
    <w:rsid w:val="00D464B8"/>
    <w:rsid w:val="00D51D79"/>
    <w:rsid w:val="00D51DAB"/>
    <w:rsid w:val="00D53E0C"/>
    <w:rsid w:val="00D54ED3"/>
    <w:rsid w:val="00D56BC3"/>
    <w:rsid w:val="00D574F4"/>
    <w:rsid w:val="00D57EC8"/>
    <w:rsid w:val="00D60211"/>
    <w:rsid w:val="00D60A4A"/>
    <w:rsid w:val="00D61453"/>
    <w:rsid w:val="00D73AA6"/>
    <w:rsid w:val="00D76A87"/>
    <w:rsid w:val="00D85407"/>
    <w:rsid w:val="00D911B8"/>
    <w:rsid w:val="00D940C6"/>
    <w:rsid w:val="00D940D7"/>
    <w:rsid w:val="00D94DE3"/>
    <w:rsid w:val="00D95330"/>
    <w:rsid w:val="00D95823"/>
    <w:rsid w:val="00DA1259"/>
    <w:rsid w:val="00DA4677"/>
    <w:rsid w:val="00DA5244"/>
    <w:rsid w:val="00DB129E"/>
    <w:rsid w:val="00DB12C0"/>
    <w:rsid w:val="00DB5806"/>
    <w:rsid w:val="00DB58D0"/>
    <w:rsid w:val="00DB6EB9"/>
    <w:rsid w:val="00DC15F4"/>
    <w:rsid w:val="00DC4428"/>
    <w:rsid w:val="00DD0A0B"/>
    <w:rsid w:val="00DD1C68"/>
    <w:rsid w:val="00DE1270"/>
    <w:rsid w:val="00DE1CB7"/>
    <w:rsid w:val="00DE26EB"/>
    <w:rsid w:val="00DE33E0"/>
    <w:rsid w:val="00DE4B54"/>
    <w:rsid w:val="00DF1584"/>
    <w:rsid w:val="00DF1AD0"/>
    <w:rsid w:val="00DF56C4"/>
    <w:rsid w:val="00E02119"/>
    <w:rsid w:val="00E04A81"/>
    <w:rsid w:val="00E0735B"/>
    <w:rsid w:val="00E100C1"/>
    <w:rsid w:val="00E1220B"/>
    <w:rsid w:val="00E14AC1"/>
    <w:rsid w:val="00E15F94"/>
    <w:rsid w:val="00E171D2"/>
    <w:rsid w:val="00E17B52"/>
    <w:rsid w:val="00E2201A"/>
    <w:rsid w:val="00E22285"/>
    <w:rsid w:val="00E2698E"/>
    <w:rsid w:val="00E33BDB"/>
    <w:rsid w:val="00E34044"/>
    <w:rsid w:val="00E34B90"/>
    <w:rsid w:val="00E37358"/>
    <w:rsid w:val="00E37D6F"/>
    <w:rsid w:val="00E40907"/>
    <w:rsid w:val="00E42205"/>
    <w:rsid w:val="00E428F2"/>
    <w:rsid w:val="00E453A2"/>
    <w:rsid w:val="00E4593C"/>
    <w:rsid w:val="00E50424"/>
    <w:rsid w:val="00E5507D"/>
    <w:rsid w:val="00E56140"/>
    <w:rsid w:val="00E56C56"/>
    <w:rsid w:val="00E62983"/>
    <w:rsid w:val="00E62E64"/>
    <w:rsid w:val="00E65565"/>
    <w:rsid w:val="00E660AF"/>
    <w:rsid w:val="00E72705"/>
    <w:rsid w:val="00E73251"/>
    <w:rsid w:val="00E73D92"/>
    <w:rsid w:val="00E74915"/>
    <w:rsid w:val="00E762A3"/>
    <w:rsid w:val="00E815F2"/>
    <w:rsid w:val="00E82ABA"/>
    <w:rsid w:val="00E83C0F"/>
    <w:rsid w:val="00E91786"/>
    <w:rsid w:val="00E919F6"/>
    <w:rsid w:val="00E91D8D"/>
    <w:rsid w:val="00E91F03"/>
    <w:rsid w:val="00E949FA"/>
    <w:rsid w:val="00E94D7F"/>
    <w:rsid w:val="00E95451"/>
    <w:rsid w:val="00E957D9"/>
    <w:rsid w:val="00E96409"/>
    <w:rsid w:val="00EA5DFC"/>
    <w:rsid w:val="00EB18F1"/>
    <w:rsid w:val="00EB2A07"/>
    <w:rsid w:val="00EB397A"/>
    <w:rsid w:val="00EB4D80"/>
    <w:rsid w:val="00EB65EE"/>
    <w:rsid w:val="00EC1891"/>
    <w:rsid w:val="00EC3ACE"/>
    <w:rsid w:val="00EC5949"/>
    <w:rsid w:val="00ED11EB"/>
    <w:rsid w:val="00ED13AB"/>
    <w:rsid w:val="00ED21F3"/>
    <w:rsid w:val="00ED455A"/>
    <w:rsid w:val="00EE0A06"/>
    <w:rsid w:val="00EE0D25"/>
    <w:rsid w:val="00EE1BAD"/>
    <w:rsid w:val="00EE26C8"/>
    <w:rsid w:val="00EE6148"/>
    <w:rsid w:val="00EE766B"/>
    <w:rsid w:val="00EF0893"/>
    <w:rsid w:val="00EF2F1A"/>
    <w:rsid w:val="00EF6223"/>
    <w:rsid w:val="00EF6CA2"/>
    <w:rsid w:val="00F0494A"/>
    <w:rsid w:val="00F0763E"/>
    <w:rsid w:val="00F10A8E"/>
    <w:rsid w:val="00F1109B"/>
    <w:rsid w:val="00F11A61"/>
    <w:rsid w:val="00F1233D"/>
    <w:rsid w:val="00F16A2B"/>
    <w:rsid w:val="00F17002"/>
    <w:rsid w:val="00F20856"/>
    <w:rsid w:val="00F2094A"/>
    <w:rsid w:val="00F23B2C"/>
    <w:rsid w:val="00F23EB3"/>
    <w:rsid w:val="00F23F9F"/>
    <w:rsid w:val="00F300BF"/>
    <w:rsid w:val="00F30352"/>
    <w:rsid w:val="00F3135D"/>
    <w:rsid w:val="00F323F9"/>
    <w:rsid w:val="00F35B1C"/>
    <w:rsid w:val="00F35EA1"/>
    <w:rsid w:val="00F35F12"/>
    <w:rsid w:val="00F369D9"/>
    <w:rsid w:val="00F40FF5"/>
    <w:rsid w:val="00F42BB2"/>
    <w:rsid w:val="00F439CF"/>
    <w:rsid w:val="00F5295F"/>
    <w:rsid w:val="00F54CEC"/>
    <w:rsid w:val="00F65A1D"/>
    <w:rsid w:val="00F66672"/>
    <w:rsid w:val="00F670CD"/>
    <w:rsid w:val="00F71C36"/>
    <w:rsid w:val="00F72593"/>
    <w:rsid w:val="00F72C14"/>
    <w:rsid w:val="00F73268"/>
    <w:rsid w:val="00F74372"/>
    <w:rsid w:val="00F756CF"/>
    <w:rsid w:val="00F80B9F"/>
    <w:rsid w:val="00F818F3"/>
    <w:rsid w:val="00F82511"/>
    <w:rsid w:val="00F84BD1"/>
    <w:rsid w:val="00F9132C"/>
    <w:rsid w:val="00F9217B"/>
    <w:rsid w:val="00F9570E"/>
    <w:rsid w:val="00F97121"/>
    <w:rsid w:val="00FA6695"/>
    <w:rsid w:val="00FA7CD4"/>
    <w:rsid w:val="00FB132F"/>
    <w:rsid w:val="00FB1854"/>
    <w:rsid w:val="00FB2B4C"/>
    <w:rsid w:val="00FB39CC"/>
    <w:rsid w:val="00FC0ADC"/>
    <w:rsid w:val="00FC43C4"/>
    <w:rsid w:val="00FC4C8A"/>
    <w:rsid w:val="00FC627B"/>
    <w:rsid w:val="00FD1374"/>
    <w:rsid w:val="00FD715D"/>
    <w:rsid w:val="00FE305E"/>
    <w:rsid w:val="00FE4C9F"/>
    <w:rsid w:val="00FE4F2E"/>
    <w:rsid w:val="00FE7EF1"/>
    <w:rsid w:val="00FE7F7C"/>
    <w:rsid w:val="00FF19FA"/>
    <w:rsid w:val="00FF1F9B"/>
    <w:rsid w:val="00FF3907"/>
    <w:rsid w:val="00FF42F1"/>
    <w:rsid w:val="00FF6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C4FB0"/>
  <w15:chartTrackingRefBased/>
  <w15:docId w15:val="{6F32CB2A-0F7D-402D-8E97-2E2B11E46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823"/>
  </w:style>
  <w:style w:type="paragraph" w:styleId="Heading1">
    <w:name w:val="heading 1"/>
    <w:basedOn w:val="Normal"/>
    <w:next w:val="Normal"/>
    <w:link w:val="Heading1Char"/>
    <w:uiPriority w:val="9"/>
    <w:qFormat/>
    <w:rsid w:val="00B57FC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57FC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B57FC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57FC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57FC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57F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F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F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F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FC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57FC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B57FC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57FC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57FC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57F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F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F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FC7"/>
    <w:rPr>
      <w:rFonts w:eastAsiaTheme="majorEastAsia" w:cstheme="majorBidi"/>
      <w:color w:val="272727" w:themeColor="text1" w:themeTint="D8"/>
    </w:rPr>
  </w:style>
  <w:style w:type="paragraph" w:styleId="Title">
    <w:name w:val="Title"/>
    <w:basedOn w:val="Normal"/>
    <w:next w:val="Normal"/>
    <w:link w:val="TitleChar"/>
    <w:uiPriority w:val="10"/>
    <w:qFormat/>
    <w:rsid w:val="00B57F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F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F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F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F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7FC7"/>
    <w:rPr>
      <w:i/>
      <w:iCs/>
      <w:color w:val="404040" w:themeColor="text1" w:themeTint="BF"/>
    </w:rPr>
  </w:style>
  <w:style w:type="paragraph" w:styleId="ListParagraph">
    <w:name w:val="List Paragraph"/>
    <w:basedOn w:val="Normal"/>
    <w:uiPriority w:val="34"/>
    <w:qFormat/>
    <w:rsid w:val="00B57FC7"/>
    <w:pPr>
      <w:ind w:left="720"/>
      <w:contextualSpacing/>
    </w:pPr>
  </w:style>
  <w:style w:type="character" w:styleId="IntenseEmphasis">
    <w:name w:val="Intense Emphasis"/>
    <w:basedOn w:val="DefaultParagraphFont"/>
    <w:uiPriority w:val="21"/>
    <w:qFormat/>
    <w:rsid w:val="00B57FC7"/>
    <w:rPr>
      <w:i/>
      <w:iCs/>
      <w:color w:val="365F91" w:themeColor="accent1" w:themeShade="BF"/>
    </w:rPr>
  </w:style>
  <w:style w:type="paragraph" w:styleId="IntenseQuote">
    <w:name w:val="Intense Quote"/>
    <w:basedOn w:val="Normal"/>
    <w:next w:val="Normal"/>
    <w:link w:val="IntenseQuoteChar"/>
    <w:uiPriority w:val="30"/>
    <w:qFormat/>
    <w:rsid w:val="00B57FC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57FC7"/>
    <w:rPr>
      <w:i/>
      <w:iCs/>
      <w:color w:val="365F91" w:themeColor="accent1" w:themeShade="BF"/>
    </w:rPr>
  </w:style>
  <w:style w:type="character" w:styleId="IntenseReference">
    <w:name w:val="Intense Reference"/>
    <w:basedOn w:val="DefaultParagraphFont"/>
    <w:uiPriority w:val="32"/>
    <w:qFormat/>
    <w:rsid w:val="00B57FC7"/>
    <w:rPr>
      <w:b/>
      <w:bCs/>
      <w:smallCaps/>
      <w:color w:val="365F91" w:themeColor="accent1" w:themeShade="BF"/>
      <w:spacing w:val="5"/>
    </w:rPr>
  </w:style>
  <w:style w:type="character" w:styleId="Hyperlink">
    <w:name w:val="Hyperlink"/>
    <w:basedOn w:val="DefaultParagraphFont"/>
    <w:uiPriority w:val="99"/>
    <w:unhideWhenUsed/>
    <w:rsid w:val="00AF38B8"/>
    <w:rPr>
      <w:color w:val="0000FF" w:themeColor="hyperlink"/>
      <w:u w:val="single"/>
    </w:rPr>
  </w:style>
  <w:style w:type="character" w:styleId="UnresolvedMention">
    <w:name w:val="Unresolved Mention"/>
    <w:basedOn w:val="DefaultParagraphFont"/>
    <w:uiPriority w:val="99"/>
    <w:semiHidden/>
    <w:unhideWhenUsed/>
    <w:rsid w:val="00AF38B8"/>
    <w:rPr>
      <w:color w:val="605E5C"/>
      <w:shd w:val="clear" w:color="auto" w:fill="E1DFDD"/>
    </w:rPr>
  </w:style>
  <w:style w:type="character" w:styleId="FollowedHyperlink">
    <w:name w:val="FollowedHyperlink"/>
    <w:basedOn w:val="DefaultParagraphFont"/>
    <w:uiPriority w:val="99"/>
    <w:semiHidden/>
    <w:unhideWhenUsed/>
    <w:rsid w:val="000D358F"/>
    <w:rPr>
      <w:color w:val="800080" w:themeColor="followedHyperlink"/>
      <w:u w:val="single"/>
    </w:rPr>
  </w:style>
  <w:style w:type="paragraph" w:styleId="Header">
    <w:name w:val="header"/>
    <w:basedOn w:val="Normal"/>
    <w:link w:val="HeaderChar"/>
    <w:uiPriority w:val="99"/>
    <w:unhideWhenUsed/>
    <w:rsid w:val="002021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12A"/>
  </w:style>
  <w:style w:type="paragraph" w:styleId="Footer">
    <w:name w:val="footer"/>
    <w:basedOn w:val="Normal"/>
    <w:link w:val="FooterChar"/>
    <w:uiPriority w:val="99"/>
    <w:unhideWhenUsed/>
    <w:rsid w:val="002021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12A"/>
  </w:style>
  <w:style w:type="character" w:styleId="Strong">
    <w:name w:val="Strong"/>
    <w:basedOn w:val="DefaultParagraphFont"/>
    <w:uiPriority w:val="22"/>
    <w:qFormat/>
    <w:rsid w:val="001B420B"/>
    <w:rPr>
      <w:b/>
      <w:bCs/>
    </w:rPr>
  </w:style>
  <w:style w:type="paragraph" w:styleId="NormalWeb">
    <w:name w:val="Normal (Web)"/>
    <w:basedOn w:val="Normal"/>
    <w:uiPriority w:val="99"/>
    <w:unhideWhenUsed/>
    <w:rsid w:val="002A0F2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59"/>
    <w:rsid w:val="00777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C6752"/>
    <w:rPr>
      <w:sz w:val="16"/>
      <w:szCs w:val="16"/>
    </w:rPr>
  </w:style>
  <w:style w:type="paragraph" w:styleId="CommentText">
    <w:name w:val="annotation text"/>
    <w:basedOn w:val="Normal"/>
    <w:link w:val="CommentTextChar"/>
    <w:uiPriority w:val="99"/>
    <w:unhideWhenUsed/>
    <w:rsid w:val="009C6752"/>
    <w:pPr>
      <w:spacing w:line="240" w:lineRule="auto"/>
    </w:pPr>
    <w:rPr>
      <w:sz w:val="20"/>
      <w:szCs w:val="20"/>
    </w:rPr>
  </w:style>
  <w:style w:type="character" w:customStyle="1" w:styleId="CommentTextChar">
    <w:name w:val="Comment Text Char"/>
    <w:basedOn w:val="DefaultParagraphFont"/>
    <w:link w:val="CommentText"/>
    <w:uiPriority w:val="99"/>
    <w:rsid w:val="009C6752"/>
    <w:rPr>
      <w:sz w:val="20"/>
      <w:szCs w:val="20"/>
    </w:rPr>
  </w:style>
  <w:style w:type="paragraph" w:styleId="CommentSubject">
    <w:name w:val="annotation subject"/>
    <w:basedOn w:val="CommentText"/>
    <w:next w:val="CommentText"/>
    <w:link w:val="CommentSubjectChar"/>
    <w:uiPriority w:val="99"/>
    <w:semiHidden/>
    <w:unhideWhenUsed/>
    <w:rsid w:val="009C6752"/>
    <w:rPr>
      <w:b/>
      <w:bCs/>
    </w:rPr>
  </w:style>
  <w:style w:type="character" w:customStyle="1" w:styleId="CommentSubjectChar">
    <w:name w:val="Comment Subject Char"/>
    <w:basedOn w:val="CommentTextChar"/>
    <w:link w:val="CommentSubject"/>
    <w:uiPriority w:val="99"/>
    <w:semiHidden/>
    <w:rsid w:val="009C675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909-024-06240-1" TargetMode="External"/><Relationship Id="rId18" Type="http://schemas.openxmlformats.org/officeDocument/2006/relationships/hyperlink" Target="https://doi.org/10.1353/jda.2015.0090" TargetMode="External"/><Relationship Id="rId26" Type="http://schemas.openxmlformats.org/officeDocument/2006/relationships/hyperlink" Target="http://hdl.handle.net/1893/28081" TargetMode="External"/><Relationship Id="rId39" Type="http://schemas.openxmlformats.org/officeDocument/2006/relationships/hyperlink" Target="https://resolution.nhs.uk/wp-content/uploads/2024/09/%40-NHSR-virtual-forum-Taking-actions-to-improve-patient-safety-in-primary-care-slidedeck.pdf" TargetMode="External"/><Relationship Id="rId21" Type="http://schemas.openxmlformats.org/officeDocument/2006/relationships/hyperlink" Target="https://books.google.com/books?id=Q65AAAAAIAAJ" TargetMode="External"/><Relationship Id="rId34" Type="http://schemas.openxmlformats.org/officeDocument/2006/relationships/hyperlink" Target="https://www.england.nhs.uk/wp-content/uploads/2020/08/190708_Patient_Safety_Strategy_for_website_v4.pdf" TargetMode="External"/><Relationship Id="rId42" Type="http://schemas.openxmlformats.org/officeDocument/2006/relationships/hyperlink" Target="https://www.oecd.org/en/publications/2023/11/health-at-a-glance-2023_e04f8239/full-report.html?utm_source=chatgpt.com" TargetMode="External"/><Relationship Id="rId47" Type="http://schemas.openxmlformats.org/officeDocument/2006/relationships/hyperlink" Target="https://www.researchgate.net/publication/265407523_A_Review_of_the_Effectiveness_of_Primary_Care-Led_Commissioning_and_Its_Place_in_the_UK_NHS?utm_source=chatgpt.com" TargetMode="External"/><Relationship Id="rId50" Type="http://schemas.openxmlformats.org/officeDocument/2006/relationships/hyperlink" Target="https://assets.kingsfund.org.uk/f/256914/x/0b76247d02/caring_to_change_2017.pdf?utm_source=chatgpt.com" TargetMode="External"/><Relationship Id="rId55"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177/13558196241291816" TargetMode="External"/><Relationship Id="rId29" Type="http://schemas.openxmlformats.org/officeDocument/2006/relationships/hyperlink" Target="https://doi.org/10.1016/j.socscimed.2025.118562" TargetMode="External"/><Relationship Id="rId11" Type="http://schemas.openxmlformats.org/officeDocument/2006/relationships/hyperlink" Target="https://www.diabeticstudies.org/index.php/RDS/article/view/1493" TargetMode="External"/><Relationship Id="rId24" Type="http://schemas.openxmlformats.org/officeDocument/2006/relationships/hyperlink" Target="https://www.gov.uk/government/publications/maternity-and-neonatal-services-in-east-kent-reading-the-signals-report?utm_source=chatgpt.com" TargetMode="External"/><Relationship Id="rId32" Type="http://schemas.openxmlformats.org/officeDocument/2006/relationships/hyperlink" Target="https://doi.org/10.1136/medethics-2012-101048" TargetMode="External"/><Relationship Id="rId37" Type="http://schemas.openxmlformats.org/officeDocument/2006/relationships/hyperlink" Target="https://www.england.nhs.uk/patient-safety/patient-safety-insight/patient-safety-alerts/enduring-standards/standards-that-remain-valid/medication-safety/?utm_source=chatgpt.com" TargetMode="External"/><Relationship Id="rId40" Type="http://schemas.openxmlformats.org/officeDocument/2006/relationships/hyperlink" Target="https://sk.sagepub.com/books/leadership-theory-and-practice-9e" TargetMode="External"/><Relationship Id="rId45" Type="http://schemas.openxmlformats.org/officeDocument/2006/relationships/hyperlink" Target="https://ethos.bl.uk/OrderDetails.do?uin=uk.bl.ethos.877936" TargetMode="External"/><Relationship Id="rId53" Type="http://schemas.openxmlformats.org/officeDocument/2006/relationships/hyperlink" Target="https://www.who.int/publications/i/item/9789240095458?utm_source=chatgpt.com" TargetMode="External"/><Relationship Id="rId5" Type="http://schemas.openxmlformats.org/officeDocument/2006/relationships/footnotes" Target="footnotes.xml"/><Relationship Id="rId19" Type="http://schemas.openxmlformats.org/officeDocument/2006/relationships/hyperlink" Target="https://www.hssib.org.uk/patient-safety-investigations/unintentional-overdose-of-morphine-sulfate-oral-solution/investigation-report/" TargetMode="External"/><Relationship Id="rId4" Type="http://schemas.openxmlformats.org/officeDocument/2006/relationships/webSettings" Target="webSettings.xml"/><Relationship Id="rId9" Type="http://schemas.openxmlformats.org/officeDocument/2006/relationships/hyperlink" Target="https://doi.org/10.1176/ps.2006.57.8.1162" TargetMode="External"/><Relationship Id="rId14" Type="http://schemas.openxmlformats.org/officeDocument/2006/relationships/hyperlink" Target="https://doi.org/10.10520/EJC-e5e38a437" TargetMode="External"/><Relationship Id="rId22" Type="http://schemas.openxmlformats.org/officeDocument/2006/relationships/hyperlink" Target="https://doi.org/10.1186/s13037-025-00440-4" TargetMode="External"/><Relationship Id="rId27" Type="http://schemas.openxmlformats.org/officeDocument/2006/relationships/hyperlink" Target="https://doi.org/10.1177/25160435251319573" TargetMode="External"/><Relationship Id="rId30" Type="http://schemas.openxmlformats.org/officeDocument/2006/relationships/hyperlink" Target="https://doi.org/10.7819/rbgn.v25i2.4219" TargetMode="External"/><Relationship Id="rId35" Type="http://schemas.openxmlformats.org/officeDocument/2006/relationships/hyperlink" Target="https://www.england.nhs.uk/publication/patient-safety-learning-response-toolkit/?utm_source=chatgpt.com" TargetMode="External"/><Relationship Id="rId43" Type="http://schemas.openxmlformats.org/officeDocument/2006/relationships/hyperlink" Target="https://www.oecd.org/en/publications/health-at-a-glance-2023_7a7afb35-en.html" TargetMode="External"/><Relationship Id="rId48" Type="http://schemas.openxmlformats.org/officeDocument/2006/relationships/hyperlink" Target="https://doi.org/10.1016/j.jclepro.2017.11.144" TargetMode="External"/><Relationship Id="rId56"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https://doi.org/10.1037/a0015393" TargetMode="External"/><Relationship Id="rId3" Type="http://schemas.openxmlformats.org/officeDocument/2006/relationships/settings" Target="settings.xml"/><Relationship Id="rId12" Type="http://schemas.openxmlformats.org/officeDocument/2006/relationships/hyperlink" Target="https://doi.org/10.1016/j.hsr.2025.100211" TargetMode="External"/><Relationship Id="rId17" Type="http://schemas.openxmlformats.org/officeDocument/2006/relationships/hyperlink" Target="https://doi.org/10.3390/world6020063" TargetMode="External"/><Relationship Id="rId25" Type="http://schemas.openxmlformats.org/officeDocument/2006/relationships/hyperlink" Target="https://www.gov.uk/government/publications/maternity-and-neonatal-services-in-east-kent-reading-the-signals-report" TargetMode="External"/><Relationship Id="rId33" Type="http://schemas.openxmlformats.org/officeDocument/2006/relationships/hyperlink" Target="https://www.nhs.uk/conditions/charcot-marie-tooth-disease/" TargetMode="External"/><Relationship Id="rId38" Type="http://schemas.openxmlformats.org/officeDocument/2006/relationships/hyperlink" Target="https://www.england.nhs.uk/patient-safety/the-nhs-patient-safety-strategy/nhs-patient-safety-strategy-progress-so-far/?utm_source=chatgpt.com" TargetMode="External"/><Relationship Id="rId46" Type="http://schemas.openxmlformats.org/officeDocument/2006/relationships/hyperlink" Target="https://doi.org/10.1016/j.pec.2020.07.026" TargetMode="External"/><Relationship Id="rId20" Type="http://schemas.openxmlformats.org/officeDocument/2006/relationships/hyperlink" Target="https://www.hssib.org.uk/patient-safety-investigations/unintentional-overdose-of-morphine-sulfate-oral-solution/investigation-report/" TargetMode="External"/><Relationship Id="rId41" Type="http://schemas.openxmlformats.org/officeDocument/2006/relationships/hyperlink" Target="https://www.ons.gov.uk/peoplepopulationandcommunity/birthsdeathsandmarriages/deaths/bulletins/deathsrelatedtodrugpoisoninginenglandandwales/latest"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02/agm2.12203" TargetMode="External"/><Relationship Id="rId23" Type="http://schemas.openxmlformats.org/officeDocument/2006/relationships/hyperlink" Target="https://www.gov.uk/government/publications/the-report-of-the-independent-investigation-into-maternity-and-neonatal-services-in-east-kent" TargetMode="External"/><Relationship Id="rId28" Type="http://schemas.openxmlformats.org/officeDocument/2006/relationships/hyperlink" Target="https://doi.org/10.1177/2042098620968309" TargetMode="External"/><Relationship Id="rId36" Type="http://schemas.openxmlformats.org/officeDocument/2006/relationships/hyperlink" Target="https://www.england.nhs.uk/patient-safety/patient-safety-incident-response-framework/" TargetMode="External"/><Relationship Id="rId49" Type="http://schemas.openxmlformats.org/officeDocument/2006/relationships/hyperlink" Target="https://doi.org/10.1016/j.fhj.2024.100015" TargetMode="External"/><Relationship Id="rId57" Type="http://schemas.openxmlformats.org/officeDocument/2006/relationships/theme" Target="theme/theme1.xml"/><Relationship Id="rId10" Type="http://schemas.openxmlformats.org/officeDocument/2006/relationships/hyperlink" Target="https://doi.org/10.1093/heapol/czz055" TargetMode="External"/><Relationship Id="rId31" Type="http://schemas.openxmlformats.org/officeDocument/2006/relationships/hyperlink" Target="https://www.nice.org.uk/guidance/ng5" TargetMode="External"/><Relationship Id="rId44" Type="http://schemas.openxmlformats.org/officeDocument/2006/relationships/hyperlink" Target="https://doi.org/10.1037/amp0000298" TargetMode="External"/><Relationship Id="rId52" Type="http://schemas.openxmlformats.org/officeDocument/2006/relationships/hyperlink" Target="https://www.who.int/news-room/fact-sheets/detail/patient-safe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3638</TotalTime>
  <Pages>28</Pages>
  <Words>8392</Words>
  <Characters>47839</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Rehana Intisar</dc:creator>
  <cp:keywords/>
  <dc:description/>
  <cp:lastModifiedBy>Rehana Intisar</cp:lastModifiedBy>
  <cp:revision>1111</cp:revision>
  <dcterms:created xsi:type="dcterms:W3CDTF">2026-07-20T22:30:00Z</dcterms:created>
  <dcterms:modified xsi:type="dcterms:W3CDTF">2026-08-10T13:09:00Z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5fbed919-d166-477b-bac2-cd63ffc8be7f</vt:lpwstr>
  </property>
</Properties>
</file>