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tbl>
      <w:tblPr/>
      <w:tblGrid>
        <w:gridCol w:w="6629"/>
        <w:gridCol w:w="1237"/>
        <w:gridCol w:w="468"/>
        <w:gridCol w:w="1443"/>
        <w:gridCol w:w="662"/>
      </w:tblGrid>
      <w:tr>
        <w:trPr>
          <w:trHeight w:val="418" w:hRule="auto"/>
          <w:jc w:val="center"/>
        </w:trPr>
        <w:tc>
          <w:tcPr>
            <w:tcW w:w="6629" w:type="dxa"/>
            <w:vMerge w:val="restart"/>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keepNext w:val="true"/>
              <w:spacing w:before="0" w:after="0" w:line="360"/>
              <w:ind w:right="0" w:left="0" w:firstLine="0"/>
              <w:jc w:val="both"/>
              <w:rPr>
                <w:rFonts w:ascii="Arial" w:hAnsi="Arial" w:cs="Arial" w:eastAsia="Arial"/>
                <w:b/>
                <w:color w:val="auto"/>
                <w:spacing w:val="0"/>
                <w:position w:val="0"/>
                <w:sz w:val="24"/>
                <w:shd w:fill="auto" w:val="clear"/>
              </w:rPr>
            </w:pPr>
          </w:p>
          <w:p>
            <w:pPr>
              <w:keepNext w:val="true"/>
              <w:spacing w:before="0" w:after="0" w:line="360"/>
              <w:ind w:right="0" w:left="0" w:firstLine="0"/>
              <w:jc w:val="both"/>
              <w:rPr>
                <w:rFonts w:ascii="Arial" w:hAnsi="Arial" w:cs="Arial" w:eastAsia="Arial"/>
                <w:b/>
                <w:color w:val="auto"/>
                <w:spacing w:val="0"/>
                <w:position w:val="0"/>
                <w:sz w:val="24"/>
                <w:shd w:fill="auto" w:val="clear"/>
              </w:rPr>
            </w:pPr>
            <w:r>
              <w:object w:dxaOrig="4483" w:dyaOrig="1953">
                <v:rect xmlns:o="urn:schemas-microsoft-com:office:office" xmlns:v="urn:schemas-microsoft-com:vml" id="rectole0000000000" style="width:224.150000pt;height:97.6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keepNext w:val="true"/>
              <w:spacing w:before="0" w:after="0" w:line="360"/>
              <w:ind w:right="0" w:left="0" w:firstLine="0"/>
              <w:jc w:val="both"/>
              <w:rPr>
                <w:rFonts w:ascii="Arial" w:hAnsi="Arial" w:cs="Arial" w:eastAsia="Arial"/>
                <w:b/>
                <w:color w:val="auto"/>
                <w:spacing w:val="0"/>
                <w:position w:val="0"/>
                <w:sz w:val="24"/>
                <w:shd w:fill="auto" w:val="clear"/>
              </w:rPr>
            </w:pPr>
          </w:p>
          <w:p>
            <w:pPr>
              <w:spacing w:before="0" w:after="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Component One: Student Journal (learning log) 750 words +/- 10%</w:t>
            </w:r>
          </w:p>
          <w:p>
            <w:pPr>
              <w:spacing w:before="0" w:after="0" w:line="360"/>
              <w:ind w:right="0" w:left="0" w:firstLine="0"/>
              <w:jc w:val="both"/>
              <w:rPr>
                <w:spacing w:val="0"/>
                <w:position w:val="0"/>
                <w:shd w:fill="auto" w:val="clear"/>
              </w:rPr>
            </w:pPr>
            <w:r>
              <w:rPr>
                <w:rFonts w:ascii="Arial" w:hAnsi="Arial" w:cs="Arial" w:eastAsia="Arial"/>
                <w:b/>
                <w:color w:val="auto"/>
                <w:spacing w:val="0"/>
                <w:position w:val="0"/>
                <w:sz w:val="24"/>
                <w:shd w:fill="auto" w:val="clear"/>
              </w:rPr>
              <w:t xml:space="preserve">Contribution to Overall Module Assessment: 25%</w:t>
            </w:r>
          </w:p>
        </w:tc>
        <w:tc>
          <w:tcPr>
            <w:tcW w:w="123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360"/>
              <w:ind w:right="0" w:left="0" w:firstLine="0"/>
              <w:jc w:val="both"/>
              <w:rPr>
                <w:color w:val="auto"/>
                <w:spacing w:val="0"/>
                <w:position w:val="0"/>
                <w:shd w:fill="auto" w:val="clear"/>
              </w:rPr>
            </w:pPr>
            <w:r>
              <w:rPr>
                <w:rFonts w:ascii="Arial" w:hAnsi="Arial" w:cs="Arial" w:eastAsia="Arial"/>
                <w:b/>
                <w:color w:val="auto"/>
                <w:spacing w:val="0"/>
                <w:position w:val="0"/>
                <w:sz w:val="24"/>
                <w:shd w:fill="auto" w:val="clear"/>
              </w:rPr>
              <w:t xml:space="preserve">Student No:</w:t>
            </w:r>
          </w:p>
        </w:tc>
        <w:tc>
          <w:tcPr>
            <w:tcW w:w="1911"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36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Alexandru Alin Minea </w:t>
            </w:r>
          </w:p>
          <w:p>
            <w:pPr>
              <w:keepNext w:val="true"/>
              <w:spacing w:before="0" w:after="0" w:line="36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2215123</w:t>
            </w:r>
          </w:p>
        </w:tc>
        <w:tc>
          <w:tcPr>
            <w:tcW w:w="66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360"/>
              <w:ind w:right="0" w:left="0" w:firstLine="0"/>
              <w:jc w:val="both"/>
              <w:rPr>
                <w:rFonts w:ascii="Calibri" w:hAnsi="Calibri" w:cs="Calibri" w:eastAsia="Calibri"/>
                <w:color w:val="auto"/>
                <w:spacing w:val="0"/>
                <w:position w:val="0"/>
                <w:sz w:val="22"/>
                <w:shd w:fill="auto" w:val="clear"/>
              </w:rPr>
            </w:pPr>
          </w:p>
        </w:tc>
      </w:tr>
      <w:tr>
        <w:trPr>
          <w:trHeight w:val="468" w:hRule="auto"/>
          <w:jc w:val="center"/>
        </w:trPr>
        <w:tc>
          <w:tcPr>
            <w:tcW w:w="6629" w:type="dxa"/>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3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360"/>
              <w:ind w:right="0" w:left="0" w:firstLine="0"/>
              <w:jc w:val="both"/>
              <w:rPr>
                <w:rFonts w:ascii="Arial" w:hAnsi="Arial" w:cs="Arial" w:eastAsia="Arial"/>
                <w:color w:val="auto"/>
                <w:spacing w:val="0"/>
                <w:position w:val="0"/>
                <w:sz w:val="24"/>
                <w:shd w:fill="auto" w:val="clear"/>
              </w:rPr>
            </w:pPr>
          </w:p>
          <w:p>
            <w:pPr>
              <w:keepNext w:val="true"/>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Module Title:</w:t>
            </w:r>
          </w:p>
        </w:tc>
        <w:tc>
          <w:tcPr>
            <w:tcW w:w="1911"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36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Operating Hotel Facilities</w:t>
            </w:r>
          </w:p>
        </w:tc>
        <w:tc>
          <w:tcPr>
            <w:tcW w:w="66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360"/>
              <w:ind w:right="0" w:left="0" w:firstLine="0"/>
              <w:jc w:val="both"/>
              <w:rPr>
                <w:rFonts w:ascii="Calibri" w:hAnsi="Calibri" w:cs="Calibri" w:eastAsia="Calibri"/>
                <w:color w:val="auto"/>
                <w:spacing w:val="0"/>
                <w:position w:val="0"/>
                <w:sz w:val="22"/>
                <w:shd w:fill="auto" w:val="clear"/>
              </w:rPr>
            </w:pPr>
          </w:p>
        </w:tc>
      </w:tr>
      <w:tr>
        <w:trPr>
          <w:trHeight w:val="468" w:hRule="auto"/>
          <w:jc w:val="center"/>
        </w:trPr>
        <w:tc>
          <w:tcPr>
            <w:tcW w:w="6629" w:type="dxa"/>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3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Module Code:</w:t>
            </w:r>
          </w:p>
        </w:tc>
        <w:tc>
          <w:tcPr>
            <w:tcW w:w="1911"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36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BMIH4006</w:t>
            </w:r>
          </w:p>
        </w:tc>
        <w:tc>
          <w:tcPr>
            <w:tcW w:w="66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360"/>
              <w:ind w:right="0" w:left="0" w:firstLine="0"/>
              <w:jc w:val="both"/>
              <w:rPr>
                <w:rFonts w:ascii="Calibri" w:hAnsi="Calibri" w:cs="Calibri" w:eastAsia="Calibri"/>
                <w:color w:val="auto"/>
                <w:spacing w:val="0"/>
                <w:position w:val="0"/>
                <w:sz w:val="22"/>
                <w:shd w:fill="auto" w:val="clear"/>
              </w:rPr>
            </w:pPr>
          </w:p>
        </w:tc>
      </w:tr>
      <w:tr>
        <w:trPr>
          <w:trHeight w:val="468" w:hRule="auto"/>
          <w:jc w:val="center"/>
        </w:trPr>
        <w:tc>
          <w:tcPr>
            <w:tcW w:w="6629" w:type="dxa"/>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3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Lecturer:</w:t>
            </w:r>
          </w:p>
        </w:tc>
        <w:tc>
          <w:tcPr>
            <w:tcW w:w="1911"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36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Neil Dyer</w:t>
            </w:r>
          </w:p>
        </w:tc>
        <w:tc>
          <w:tcPr>
            <w:tcW w:w="66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360"/>
              <w:ind w:right="0" w:left="0" w:firstLine="0"/>
              <w:jc w:val="both"/>
              <w:rPr>
                <w:rFonts w:ascii="Calibri" w:hAnsi="Calibri" w:cs="Calibri" w:eastAsia="Calibri"/>
                <w:color w:val="auto"/>
                <w:spacing w:val="0"/>
                <w:position w:val="0"/>
                <w:sz w:val="22"/>
                <w:shd w:fill="auto" w:val="clear"/>
              </w:rPr>
            </w:pPr>
          </w:p>
        </w:tc>
      </w:tr>
      <w:tr>
        <w:trPr>
          <w:trHeight w:val="20" w:hRule="auto"/>
          <w:jc w:val="center"/>
        </w:trPr>
        <w:tc>
          <w:tcPr>
            <w:tcW w:w="6629" w:type="dxa"/>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705"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360"/>
              <w:ind w:right="0" w:left="0" w:firstLine="0"/>
              <w:jc w:val="both"/>
              <w:rPr>
                <w:rFonts w:ascii="Calibri" w:hAnsi="Calibri" w:cs="Calibri" w:eastAsia="Calibri"/>
                <w:color w:val="auto"/>
                <w:spacing w:val="0"/>
                <w:position w:val="0"/>
                <w:sz w:val="22"/>
                <w:shd w:fill="auto" w:val="clear"/>
              </w:rPr>
            </w:pPr>
          </w:p>
        </w:tc>
        <w:tc>
          <w:tcPr>
            <w:tcW w:w="144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360"/>
              <w:ind w:right="0" w:left="0" w:firstLine="0"/>
              <w:jc w:val="both"/>
              <w:rPr>
                <w:rFonts w:ascii="Calibri" w:hAnsi="Calibri" w:cs="Calibri" w:eastAsia="Calibri"/>
                <w:color w:val="auto"/>
                <w:spacing w:val="0"/>
                <w:position w:val="0"/>
                <w:sz w:val="22"/>
                <w:shd w:fill="auto" w:val="clear"/>
              </w:rPr>
            </w:pPr>
          </w:p>
        </w:tc>
        <w:tc>
          <w:tcPr>
            <w:tcW w:w="66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360"/>
              <w:ind w:right="0" w:left="0" w:firstLine="0"/>
              <w:jc w:val="both"/>
              <w:rPr>
                <w:rFonts w:ascii="Calibri" w:hAnsi="Calibri" w:cs="Calibri" w:eastAsia="Calibri"/>
                <w:color w:val="auto"/>
                <w:spacing w:val="0"/>
                <w:position w:val="0"/>
                <w:sz w:val="22"/>
                <w:shd w:fill="auto" w:val="clear"/>
              </w:rPr>
            </w:pPr>
          </w:p>
        </w:tc>
      </w:tr>
      <w:tr>
        <w:trPr>
          <w:trHeight w:val="470" w:hRule="auto"/>
          <w:jc w:val="center"/>
        </w:trPr>
        <w:tc>
          <w:tcPr>
            <w:tcW w:w="10439" w:type="dxa"/>
            <w:gridSpan w:val="5"/>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Gibbs Reflective Model </w:t>
            </w:r>
          </w:p>
          <w:p>
            <w:pPr>
              <w:spacing w:before="0" w:after="0" w:line="360"/>
              <w:ind w:right="0" w:left="0" w:firstLine="0"/>
              <w:jc w:val="both"/>
              <w:rPr>
                <w:rFonts w:ascii="Arial" w:hAnsi="Arial" w:cs="Arial" w:eastAsia="Arial"/>
                <w:b/>
                <w:i/>
                <w:color w:val="000000"/>
                <w:spacing w:val="0"/>
                <w:position w:val="0"/>
                <w:sz w:val="24"/>
                <w:shd w:fill="auto" w:val="clear"/>
              </w:rPr>
            </w:pPr>
            <w:r>
              <w:rPr>
                <w:rFonts w:ascii="Arial" w:hAnsi="Arial" w:cs="Arial" w:eastAsia="Arial"/>
                <w:b/>
                <w:i/>
                <w:color w:val="000000"/>
                <w:spacing w:val="0"/>
                <w:position w:val="0"/>
                <w:sz w:val="24"/>
                <w:shd w:fill="auto" w:val="clear"/>
              </w:rPr>
              <w:t xml:space="preserve">Description</w:t>
            </w:r>
          </w:p>
          <w:p>
            <w:pPr>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ab/>
              <w:t xml:space="preserve">The cleaning staff of the Maldron Hotel Newcastle works in a fast-paced, constantly evolving workplace; therefore, having a wide variety of abilities is crucial. This calls for an emphasis on precision, timeliness, teamwork, communication, adaptability, and a dedication to meeting customer needs. To ensure that every room meets the high standards of the hotel, the pursuit of cleaning excellence requires a meticulous eye for detail. Efficient time management guarantees the timely completion of tasks without compromising on quality. Open channels of communication are essential for collaboration between the cleaning staff and other departments of the hotel (Kalra </w:t>
            </w:r>
            <w:r>
              <w:rPr>
                <w:rFonts w:ascii="Arial" w:hAnsi="Arial" w:cs="Arial" w:eastAsia="Arial"/>
                <w:i/>
                <w:color w:val="000000"/>
                <w:spacing w:val="0"/>
                <w:position w:val="0"/>
                <w:sz w:val="24"/>
                <w:shd w:fill="auto" w:val="clear"/>
              </w:rPr>
              <w:t xml:space="preserve">et al</w:t>
            </w:r>
            <w:r>
              <w:rPr>
                <w:rFonts w:ascii="Arial" w:hAnsi="Arial" w:cs="Arial" w:eastAsia="Arial"/>
                <w:color w:val="000000"/>
                <w:spacing w:val="0"/>
                <w:position w:val="0"/>
                <w:sz w:val="24"/>
                <w:shd w:fill="auto" w:val="clear"/>
              </w:rPr>
              <w:t xml:space="preserve">., 2020). The foundation of housekeeping is cooperation, with staff members collaborating to achieve shared goals. Flexibility is essential since it allows the team to easily handle a variety of tasks and unforeseen issues (Biron </w:t>
            </w:r>
            <w:r>
              <w:rPr>
                <w:rFonts w:ascii="Arial" w:hAnsi="Arial" w:cs="Arial" w:eastAsia="Arial"/>
                <w:i/>
                <w:color w:val="000000"/>
                <w:spacing w:val="0"/>
                <w:position w:val="0"/>
                <w:sz w:val="24"/>
                <w:shd w:fill="auto" w:val="clear"/>
              </w:rPr>
              <w:t xml:space="preserve">et al.</w:t>
            </w:r>
            <w:r>
              <w:rPr>
                <w:rFonts w:ascii="Arial" w:hAnsi="Arial" w:cs="Arial" w:eastAsia="Arial"/>
                <w:color w:val="000000"/>
                <w:spacing w:val="0"/>
                <w:position w:val="0"/>
                <w:sz w:val="24"/>
                <w:shd w:fill="auto" w:val="clear"/>
              </w:rPr>
              <w:t xml:space="preserve">, 2021). To not only meet but also exceed the expectations of visitors, it is critical to possess exceptional customer service skills.</w:t>
            </w:r>
          </w:p>
          <w:p>
            <w:pPr>
              <w:spacing w:before="0" w:after="0" w:line="360"/>
              <w:ind w:right="0" w:left="0" w:firstLine="0"/>
              <w:jc w:val="both"/>
              <w:rPr>
                <w:rFonts w:ascii="Arial" w:hAnsi="Arial" w:cs="Arial" w:eastAsia="Arial"/>
                <w:b/>
                <w:i/>
                <w:color w:val="000000"/>
                <w:spacing w:val="0"/>
                <w:position w:val="0"/>
                <w:sz w:val="24"/>
                <w:shd w:fill="auto" w:val="clear"/>
              </w:rPr>
            </w:pPr>
            <w:r>
              <w:rPr>
                <w:rFonts w:ascii="Arial" w:hAnsi="Arial" w:cs="Arial" w:eastAsia="Arial"/>
                <w:b/>
                <w:i/>
                <w:color w:val="000000"/>
                <w:spacing w:val="0"/>
                <w:position w:val="0"/>
                <w:sz w:val="24"/>
                <w:shd w:fill="auto" w:val="clear"/>
              </w:rPr>
              <w:t xml:space="preserve">Feelings</w:t>
            </w:r>
          </w:p>
          <w:p>
            <w:pPr>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ab/>
              <w:t xml:space="preserve">Upon reflection of my experience, I have come to the conclusion that I have a keen eye for detail, which aligns with the commitment of the Maldron Hotel Newcastle to keeping its facilities perfect. I have learned how to efficiently manage my time from my experiences in life so that I can complete tasks without compromising quality. Effective communication has been the foundation of my professional life and has enabled me to function successfully in multicultural teams. One important skill I have developed in past roles is my ability to rapidly and successfully adjust to new conditions. Furthermore, the chances I have had to engage with visitors throughout my past employment have aided in the development of my great customer service skills.</w:t>
            </w:r>
          </w:p>
          <w:p>
            <w:pPr>
              <w:spacing w:before="0" w:after="0" w:line="360"/>
              <w:ind w:right="0" w:left="0" w:firstLine="0"/>
              <w:jc w:val="both"/>
              <w:rPr>
                <w:rFonts w:ascii="Arial" w:hAnsi="Arial" w:cs="Arial" w:eastAsia="Arial"/>
                <w:b/>
                <w:i/>
                <w:color w:val="000000"/>
                <w:spacing w:val="0"/>
                <w:position w:val="0"/>
                <w:sz w:val="24"/>
                <w:shd w:fill="auto" w:val="clear"/>
              </w:rPr>
            </w:pPr>
            <w:r>
              <w:rPr>
                <w:rFonts w:ascii="Arial" w:hAnsi="Arial" w:cs="Arial" w:eastAsia="Arial"/>
                <w:b/>
                <w:i/>
                <w:color w:val="000000"/>
                <w:spacing w:val="0"/>
                <w:position w:val="0"/>
                <w:sz w:val="24"/>
                <w:shd w:fill="auto" w:val="clear"/>
              </w:rPr>
              <w:t xml:space="preserve">Evaluation</w:t>
            </w:r>
          </w:p>
          <w:p>
            <w:pPr>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ab/>
              <w:t xml:space="preserve">I am certain that I can effectively maintain and even surpass the high standards of the Maldron Hotel cleaning staff based on my evaluation of my talents in that context. My ability to maintain structure and punctuality makes me an excellent match for this role. In my previous roles, I have consistently shown these skills, receiving recognition and awards for my carefulness and commitment. A culture of successfully coordinated tasks is promoted by the ability of housekeeping staff to communicate well and adapt to changing conditions (Verma </w:t>
            </w:r>
            <w:r>
              <w:rPr>
                <w:rFonts w:ascii="Arial" w:hAnsi="Arial" w:cs="Arial" w:eastAsia="Arial"/>
                <w:i/>
                <w:color w:val="000000"/>
                <w:spacing w:val="0"/>
                <w:position w:val="0"/>
                <w:sz w:val="24"/>
                <w:shd w:fill="auto" w:val="clear"/>
              </w:rPr>
              <w:t xml:space="preserve">et al.</w:t>
            </w:r>
            <w:r>
              <w:rPr>
                <w:rFonts w:ascii="Arial" w:hAnsi="Arial" w:cs="Arial" w:eastAsia="Arial"/>
                <w:color w:val="000000"/>
                <w:spacing w:val="0"/>
                <w:position w:val="0"/>
                <w:sz w:val="24"/>
                <w:shd w:fill="auto" w:val="clear"/>
              </w:rPr>
              <w:t xml:space="preserve">, 2020). I understand how important it is for a hospitality company to consistently exceed the expectations of its customers. Therefore, I pledge to provide service that not only meets but also above their expectations.</w:t>
            </w:r>
          </w:p>
          <w:p>
            <w:pPr>
              <w:spacing w:before="0" w:after="0" w:line="360"/>
              <w:ind w:right="0" w:left="0" w:firstLine="0"/>
              <w:jc w:val="both"/>
              <w:rPr>
                <w:rFonts w:ascii="Arial" w:hAnsi="Arial" w:cs="Arial" w:eastAsia="Arial"/>
                <w:b/>
                <w:i/>
                <w:color w:val="000000"/>
                <w:spacing w:val="0"/>
                <w:position w:val="0"/>
                <w:sz w:val="24"/>
                <w:shd w:fill="auto" w:val="clear"/>
              </w:rPr>
            </w:pPr>
            <w:r>
              <w:rPr>
                <w:rFonts w:ascii="Arial" w:hAnsi="Arial" w:cs="Arial" w:eastAsia="Arial"/>
                <w:b/>
                <w:i/>
                <w:color w:val="000000"/>
                <w:spacing w:val="0"/>
                <w:position w:val="0"/>
                <w:sz w:val="24"/>
                <w:shd w:fill="auto" w:val="clear"/>
              </w:rPr>
              <w:t xml:space="preserve">Analysis</w:t>
            </w:r>
          </w:p>
          <w:p>
            <w:pPr>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ab/>
              <w:t xml:space="preserve">Theoretically, the fields of organizational behaviour and hospitality management support these skills. The attention to the smaller details is compatible with the quest for perfection, which is a crucial principle for maintaining the calibre expected of a hotel such as Maldron (Hossain </w:t>
            </w:r>
            <w:r>
              <w:rPr>
                <w:rFonts w:ascii="Arial" w:hAnsi="Arial" w:cs="Arial" w:eastAsia="Arial"/>
                <w:i/>
                <w:color w:val="000000"/>
                <w:spacing w:val="0"/>
                <w:position w:val="0"/>
                <w:sz w:val="24"/>
                <w:shd w:fill="auto" w:val="clear"/>
              </w:rPr>
              <w:t xml:space="preserve">et al.</w:t>
            </w:r>
            <w:r>
              <w:rPr>
                <w:rFonts w:ascii="Arial" w:hAnsi="Arial" w:cs="Arial" w:eastAsia="Arial"/>
                <w:color w:val="000000"/>
                <w:spacing w:val="0"/>
                <w:position w:val="0"/>
                <w:sz w:val="24"/>
                <w:shd w:fill="auto" w:val="clear"/>
              </w:rPr>
              <w:t xml:space="preserve">, 2021). Efficiency theories inform time management strategies, which guarantee tasks are completed on time without sacrificing quality. Because they promote collaboration, interpersonal communication principles are crucial to successful communication (Gajdzik and Wolniak, 2022). The principles of organizational resilience and change management practice provide the foundation for the ability to modify and adapt to changing conditions. The commitment of the hotel to providing a fun and memorable stay aligns nicely with the principles of first-rate customer service.</w:t>
            </w:r>
          </w:p>
          <w:p>
            <w:pPr>
              <w:spacing w:before="0" w:after="0" w:line="360"/>
              <w:ind w:right="0" w:left="0" w:firstLine="0"/>
              <w:jc w:val="both"/>
              <w:rPr>
                <w:rFonts w:ascii="Arial" w:hAnsi="Arial" w:cs="Arial" w:eastAsia="Arial"/>
                <w:b/>
                <w:i/>
                <w:color w:val="000000"/>
                <w:spacing w:val="0"/>
                <w:position w:val="0"/>
                <w:sz w:val="24"/>
                <w:shd w:fill="auto" w:val="clear"/>
              </w:rPr>
            </w:pPr>
            <w:r>
              <w:rPr>
                <w:rFonts w:ascii="Arial" w:hAnsi="Arial" w:cs="Arial" w:eastAsia="Arial"/>
                <w:b/>
                <w:i/>
                <w:color w:val="000000"/>
                <w:spacing w:val="0"/>
                <w:position w:val="0"/>
                <w:sz w:val="24"/>
                <w:shd w:fill="auto" w:val="clear"/>
              </w:rPr>
              <w:t xml:space="preserve">Conclusion</w:t>
            </w:r>
          </w:p>
          <w:p>
            <w:pPr>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ab/>
              <w:t xml:space="preserve">All things considered, I think that my talents in the following areas, attention to detail, time management, communication, teamwork, flexibility, and customer service, would make me a valuable addition to the housekeeping team at the Maldron Hotel Newcastle. My work history demonstrates a consistent commitment to excellence that has enhanced the efficiency and collaboration within the housekeeping division when evaluated against the strict standards of the hotel. My skills are further enhanced by my theoretical foundations in organizational behaviour and hospitality management, which blend in well with the vibe of the hotel. In my new position as a housekeeper, I am eager to contribute significantly and am convinced that I can not only meet but also exceed expectations.</w:t>
            </w:r>
          </w:p>
          <w:p>
            <w:pPr>
              <w:spacing w:before="0" w:after="0" w:line="360"/>
              <w:ind w:right="0" w:left="0" w:firstLine="0"/>
              <w:jc w:val="both"/>
              <w:rPr>
                <w:rFonts w:ascii="Arial" w:hAnsi="Arial" w:cs="Arial" w:eastAsia="Arial"/>
                <w:b/>
                <w:i/>
                <w:color w:val="000000"/>
                <w:spacing w:val="0"/>
                <w:position w:val="0"/>
                <w:sz w:val="24"/>
                <w:shd w:fill="auto" w:val="clear"/>
              </w:rPr>
            </w:pPr>
            <w:r>
              <w:rPr>
                <w:rFonts w:ascii="Arial" w:hAnsi="Arial" w:cs="Arial" w:eastAsia="Arial"/>
                <w:b/>
                <w:i/>
                <w:color w:val="000000"/>
                <w:spacing w:val="0"/>
                <w:position w:val="0"/>
                <w:sz w:val="24"/>
                <w:shd w:fill="auto" w:val="clear"/>
              </w:rPr>
              <w:t xml:space="preserve">Action Plan</w:t>
            </w:r>
          </w:p>
          <w:p>
            <w:pPr>
              <w:spacing w:before="0" w:after="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ab/>
              <w:t xml:space="preserve">I have created a comprehensive plan to further my professional development and enhance my work as a cleaning staff member at the Maldron Hotel Newcastle. I will start by committing to an endless feedback loop. By proactively soliciting feedback from my superiors and colleagues, I get valuable insights into my areas of strength and improvement. This proactive measure ensures that I can adjust to the constantly changing needs of the team and develop an environment of open communication. I am also aware of how critical it is to stay current with standards and advancements in my area. I thus want to put in place a schedule of attendance for relevant seminars and training sessions. My commitment to continual learning ensures that I am constantly knowledgeable about the newest techniques, equipment, and strategies for cleaning and providing customer service. I also wish to work in the housekeeping department as a team leader. By actively engaging in team-building exercises and sharing knowledge, I can improve the overall effectiveness of our joint efforts and develop a positive work environment. In addition to this, I would want to find out whether the hotel has any mentorship programs. Acquiring information from seasoned professionals and industry experts would not only enhance my skill set but also enable me to more effectively handle the unique challenges and opportunities that arise in the hospitality sector. Not to mention, I am dedicated to improving the environmental friendliness of our cleaning services. Using eco-friendly procedures demonstrates to guests that the hotel is aware of environmental issues and keeps up with industry developments.</w:t>
            </w:r>
          </w:p>
        </w:tc>
      </w:tr>
    </w:tbl>
    <w:p>
      <w:pPr>
        <w:spacing w:before="0" w:after="0" w:line="360"/>
        <w:ind w:right="0" w:left="0" w:firstLine="0"/>
        <w:jc w:val="both"/>
        <w:rPr>
          <w:rFonts w:ascii="Arial" w:hAnsi="Arial" w:cs="Arial" w:eastAsia="Arial"/>
          <w:color w:val="000000"/>
          <w:spacing w:val="0"/>
          <w:position w:val="0"/>
          <w:sz w:val="24"/>
          <w:shd w:fill="auto" w:val="clear"/>
        </w:rPr>
      </w:pPr>
    </w:p>
    <w:p>
      <w:pPr>
        <w:spacing w:before="0" w:after="0" w:line="360"/>
        <w:ind w:right="0" w:left="0" w:firstLine="0"/>
        <w:jc w:val="both"/>
        <w:rPr>
          <w:rFonts w:ascii="Arial" w:hAnsi="Arial" w:cs="Arial" w:eastAsia="Arial"/>
          <w:color w:val="000000"/>
          <w:spacing w:val="0"/>
          <w:position w:val="0"/>
          <w:sz w:val="24"/>
          <w:shd w:fill="FFFFFF" w:val="clear"/>
        </w:rPr>
      </w:pPr>
      <w:r>
        <w:rPr>
          <w:rFonts w:ascii="Arial" w:hAnsi="Arial" w:cs="Arial" w:eastAsia="Arial"/>
          <w:b/>
          <w:color w:val="000000"/>
          <w:spacing w:val="0"/>
          <w:position w:val="0"/>
          <w:sz w:val="24"/>
          <w:shd w:fill="auto" w:val="clear"/>
        </w:rPr>
        <w:t xml:space="preserve">Component Two:</w:t>
      </w:r>
      <w:r>
        <w:rPr>
          <w:rFonts w:ascii="Arial" w:hAnsi="Arial" w:cs="Arial" w:eastAsia="Arial"/>
          <w:color w:val="000000"/>
          <w:spacing w:val="0"/>
          <w:position w:val="0"/>
          <w:sz w:val="24"/>
          <w:shd w:fill="auto" w:val="clear"/>
        </w:rPr>
        <w:t xml:space="preserve"> </w:t>
      </w:r>
      <w:r>
        <w:rPr>
          <w:rFonts w:ascii="Arial" w:hAnsi="Arial" w:cs="Arial" w:eastAsia="Arial"/>
          <w:b/>
          <w:color w:val="000000"/>
          <w:spacing w:val="0"/>
          <w:position w:val="0"/>
          <w:sz w:val="24"/>
          <w:shd w:fill="auto" w:val="clear"/>
        </w:rPr>
        <w:t xml:space="preserve">Housekeeping cleaning checklist</w:t>
      </w:r>
    </w:p>
    <w:p>
      <w:pPr>
        <w:spacing w:before="0" w:after="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auto"/>
          <w:spacing w:val="0"/>
          <w:position w:val="0"/>
          <w:sz w:val="24"/>
          <w:shd w:fill="auto" w:val="clear"/>
        </w:rPr>
        <w:t xml:space="preserve">Contribution to Overall Module Assessment: 25%</w:t>
      </w:r>
    </w:p>
    <w:p>
      <w:pPr>
        <w:spacing w:before="0" w:after="0" w:line="360"/>
        <w:ind w:right="0" w:left="0" w:firstLine="0"/>
        <w:jc w:val="both"/>
        <w:rPr>
          <w:rFonts w:ascii="Arial" w:hAnsi="Arial" w:cs="Arial" w:eastAsia="Arial"/>
          <w:color w:val="000000"/>
          <w:spacing w:val="0"/>
          <w:position w:val="0"/>
          <w:sz w:val="24"/>
          <w:shd w:fill="FFFFFF" w:val="clear"/>
        </w:rPr>
      </w:pPr>
    </w:p>
    <w:tbl>
      <w:tblPr/>
      <w:tblGrid>
        <w:gridCol w:w="4957"/>
        <w:gridCol w:w="2126"/>
      </w:tblGrid>
      <w:tr>
        <w:trPr>
          <w:trHeight w:val="434" w:hRule="auto"/>
          <w:jc w:val="center"/>
        </w:trPr>
        <w:tc>
          <w:tcPr>
            <w:tcW w:w="495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Arial" w:hAnsi="Arial" w:cs="Arial" w:eastAsia="Arial"/>
                <w:b/>
                <w:color w:val="000000"/>
                <w:spacing w:val="0"/>
                <w:position w:val="0"/>
                <w:sz w:val="24"/>
                <w:shd w:fill="auto" w:val="clear"/>
              </w:rPr>
              <w:t xml:space="preserve">Checklist</w:t>
            </w:r>
          </w:p>
        </w:tc>
        <w:tc>
          <w:tcPr>
            <w:tcW w:w="21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Arial" w:hAnsi="Arial" w:cs="Arial" w:eastAsia="Arial"/>
                <w:b/>
                <w:color w:val="000000"/>
                <w:spacing w:val="0"/>
                <w:position w:val="0"/>
                <w:sz w:val="24"/>
                <w:shd w:fill="auto" w:val="clear"/>
              </w:rPr>
              <w:t xml:space="preserve">Status</w:t>
            </w:r>
          </w:p>
        </w:tc>
      </w:tr>
      <w:tr>
        <w:trPr>
          <w:trHeight w:val="447" w:hRule="auto"/>
          <w:jc w:val="center"/>
        </w:trPr>
        <w:tc>
          <w:tcPr>
            <w:tcW w:w="495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Cleaning of hotel rooms</w:t>
            </w:r>
          </w:p>
        </w:tc>
        <w:tc>
          <w:tcPr>
            <w:tcW w:w="21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numPr>
                <w:ilvl w:val="0"/>
                <w:numId w:val="29"/>
              </w:numPr>
              <w:spacing w:before="0" w:after="0" w:line="360"/>
              <w:ind w:right="0" w:left="720" w:hanging="360"/>
              <w:jc w:val="both"/>
              <w:rPr>
                <w:rFonts w:ascii="Calibri" w:hAnsi="Calibri" w:cs="Calibri" w:eastAsia="Calibri"/>
                <w:color w:val="auto"/>
                <w:spacing w:val="0"/>
                <w:position w:val="0"/>
                <w:sz w:val="22"/>
                <w:shd w:fill="auto" w:val="clear"/>
              </w:rPr>
            </w:pPr>
          </w:p>
        </w:tc>
      </w:tr>
      <w:tr>
        <w:trPr>
          <w:trHeight w:val="434" w:hRule="auto"/>
          <w:jc w:val="center"/>
        </w:trPr>
        <w:tc>
          <w:tcPr>
            <w:tcW w:w="495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Inspection of furniture</w:t>
            </w:r>
          </w:p>
        </w:tc>
        <w:tc>
          <w:tcPr>
            <w:tcW w:w="21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numPr>
                <w:ilvl w:val="0"/>
                <w:numId w:val="33"/>
              </w:numPr>
              <w:spacing w:before="0" w:after="0" w:line="360"/>
              <w:ind w:right="0" w:left="720" w:hanging="360"/>
              <w:jc w:val="both"/>
              <w:rPr>
                <w:rFonts w:ascii="Calibri" w:hAnsi="Calibri" w:cs="Calibri" w:eastAsia="Calibri"/>
                <w:color w:val="auto"/>
                <w:spacing w:val="0"/>
                <w:position w:val="0"/>
                <w:sz w:val="22"/>
                <w:shd w:fill="auto" w:val="clear"/>
              </w:rPr>
            </w:pPr>
          </w:p>
        </w:tc>
      </w:tr>
      <w:tr>
        <w:trPr>
          <w:trHeight w:val="434" w:hRule="auto"/>
          <w:jc w:val="center"/>
        </w:trPr>
        <w:tc>
          <w:tcPr>
            <w:tcW w:w="495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Maintenance of bed </w:t>
            </w:r>
          </w:p>
        </w:tc>
        <w:tc>
          <w:tcPr>
            <w:tcW w:w="21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numPr>
                <w:ilvl w:val="0"/>
                <w:numId w:val="36"/>
              </w:numPr>
              <w:spacing w:before="0" w:after="0" w:line="360"/>
              <w:ind w:right="0" w:left="720" w:hanging="360"/>
              <w:jc w:val="both"/>
              <w:rPr>
                <w:rFonts w:ascii="Calibri" w:hAnsi="Calibri" w:cs="Calibri" w:eastAsia="Calibri"/>
                <w:color w:val="auto"/>
                <w:spacing w:val="0"/>
                <w:position w:val="0"/>
                <w:sz w:val="22"/>
                <w:shd w:fill="auto" w:val="clear"/>
              </w:rPr>
            </w:pPr>
          </w:p>
        </w:tc>
      </w:tr>
      <w:tr>
        <w:trPr>
          <w:trHeight w:val="447" w:hRule="auto"/>
          <w:jc w:val="center"/>
        </w:trPr>
        <w:tc>
          <w:tcPr>
            <w:tcW w:w="495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Bathroom cleaning</w:t>
            </w:r>
          </w:p>
        </w:tc>
        <w:tc>
          <w:tcPr>
            <w:tcW w:w="21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numPr>
                <w:ilvl w:val="0"/>
                <w:numId w:val="40"/>
              </w:numPr>
              <w:spacing w:before="0" w:after="0" w:line="360"/>
              <w:ind w:right="0" w:left="720" w:hanging="360"/>
              <w:jc w:val="both"/>
              <w:rPr>
                <w:rFonts w:ascii="Calibri" w:hAnsi="Calibri" w:cs="Calibri" w:eastAsia="Calibri"/>
                <w:color w:val="auto"/>
                <w:spacing w:val="0"/>
                <w:position w:val="0"/>
                <w:sz w:val="22"/>
                <w:shd w:fill="auto" w:val="clear"/>
              </w:rPr>
            </w:pPr>
          </w:p>
        </w:tc>
      </w:tr>
      <w:tr>
        <w:trPr>
          <w:trHeight w:val="434" w:hRule="auto"/>
          <w:jc w:val="center"/>
        </w:trPr>
        <w:tc>
          <w:tcPr>
            <w:tcW w:w="495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Floor care </w:t>
            </w:r>
          </w:p>
        </w:tc>
        <w:tc>
          <w:tcPr>
            <w:tcW w:w="21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numPr>
                <w:ilvl w:val="0"/>
                <w:numId w:val="44"/>
              </w:numPr>
              <w:spacing w:before="0" w:after="0" w:line="360"/>
              <w:ind w:right="0" w:left="720" w:hanging="360"/>
              <w:jc w:val="both"/>
              <w:rPr>
                <w:rFonts w:ascii="Calibri" w:hAnsi="Calibri" w:cs="Calibri" w:eastAsia="Calibri"/>
                <w:color w:val="auto"/>
                <w:spacing w:val="0"/>
                <w:position w:val="0"/>
                <w:sz w:val="22"/>
                <w:shd w:fill="auto" w:val="clear"/>
              </w:rPr>
            </w:pPr>
          </w:p>
        </w:tc>
      </w:tr>
      <w:tr>
        <w:trPr>
          <w:trHeight w:val="434" w:hRule="auto"/>
          <w:jc w:val="center"/>
        </w:trPr>
        <w:tc>
          <w:tcPr>
            <w:tcW w:w="495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Checking of room Amenities</w:t>
            </w:r>
          </w:p>
        </w:tc>
        <w:tc>
          <w:tcPr>
            <w:tcW w:w="21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numPr>
                <w:ilvl w:val="0"/>
                <w:numId w:val="47"/>
              </w:numPr>
              <w:spacing w:before="0" w:after="0" w:line="360"/>
              <w:ind w:right="0" w:left="720" w:hanging="360"/>
              <w:jc w:val="both"/>
              <w:rPr>
                <w:rFonts w:ascii="Calibri" w:hAnsi="Calibri" w:cs="Calibri" w:eastAsia="Calibri"/>
                <w:color w:val="auto"/>
                <w:spacing w:val="0"/>
                <w:position w:val="0"/>
                <w:sz w:val="22"/>
                <w:shd w:fill="auto" w:val="clear"/>
              </w:rPr>
            </w:pPr>
          </w:p>
        </w:tc>
      </w:tr>
      <w:tr>
        <w:trPr>
          <w:trHeight w:val="434" w:hRule="auto"/>
          <w:jc w:val="center"/>
        </w:trPr>
        <w:tc>
          <w:tcPr>
            <w:tcW w:w="495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Checking of toilet</w:t>
            </w:r>
          </w:p>
        </w:tc>
        <w:tc>
          <w:tcPr>
            <w:tcW w:w="21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numPr>
                <w:ilvl w:val="0"/>
                <w:numId w:val="50"/>
              </w:numPr>
              <w:spacing w:before="0" w:after="0" w:line="360"/>
              <w:ind w:right="0" w:left="720" w:hanging="360"/>
              <w:jc w:val="both"/>
              <w:rPr>
                <w:rFonts w:ascii="Calibri" w:hAnsi="Calibri" w:cs="Calibri" w:eastAsia="Calibri"/>
                <w:color w:val="auto"/>
                <w:spacing w:val="0"/>
                <w:position w:val="0"/>
                <w:sz w:val="22"/>
                <w:shd w:fill="auto" w:val="clear"/>
              </w:rPr>
            </w:pPr>
          </w:p>
        </w:tc>
      </w:tr>
      <w:tr>
        <w:trPr>
          <w:trHeight w:val="434" w:hRule="auto"/>
          <w:jc w:val="center"/>
        </w:trPr>
        <w:tc>
          <w:tcPr>
            <w:tcW w:w="495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Arial" w:hAnsi="Arial" w:cs="Arial" w:eastAsia="Arial"/>
                <w:color w:val="000000"/>
                <w:spacing w:val="0"/>
                <w:position w:val="0"/>
                <w:sz w:val="24"/>
                <w:shd w:fill="auto" w:val="clear"/>
              </w:rPr>
              <w:t xml:space="preserve">Final inspection</w:t>
            </w:r>
          </w:p>
        </w:tc>
        <w:tc>
          <w:tcPr>
            <w:tcW w:w="21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numPr>
                <w:ilvl w:val="0"/>
                <w:numId w:val="53"/>
              </w:numPr>
              <w:spacing w:before="0" w:after="0" w:line="360"/>
              <w:ind w:right="0" w:left="720" w:hanging="360"/>
              <w:jc w:val="both"/>
              <w:rPr>
                <w:rFonts w:ascii="Calibri" w:hAnsi="Calibri" w:cs="Calibri" w:eastAsia="Calibri"/>
                <w:color w:val="auto"/>
                <w:spacing w:val="0"/>
                <w:position w:val="0"/>
                <w:sz w:val="22"/>
                <w:shd w:fill="auto" w:val="clear"/>
              </w:rPr>
            </w:pPr>
          </w:p>
        </w:tc>
      </w:tr>
    </w:tbl>
    <w:p>
      <w:pPr>
        <w:spacing w:before="0" w:after="0" w:line="360"/>
        <w:ind w:right="0" w:left="0" w:firstLine="0"/>
        <w:jc w:val="both"/>
        <w:rPr>
          <w:rFonts w:ascii="Arial" w:hAnsi="Arial" w:cs="Arial" w:eastAsia="Arial"/>
          <w:b/>
          <w:color w:val="000000"/>
          <w:spacing w:val="0"/>
          <w:position w:val="0"/>
          <w:sz w:val="24"/>
          <w:shd w:fill="auto" w:val="clear"/>
        </w:rPr>
      </w:pPr>
    </w:p>
    <w:p>
      <w:pPr>
        <w:spacing w:before="0" w:after="0" w:line="360"/>
        <w:ind w:right="0" w:left="0" w:firstLine="0"/>
        <w:jc w:val="both"/>
        <w:rPr>
          <w:rFonts w:ascii="Arial" w:hAnsi="Arial" w:cs="Arial" w:eastAsia="Arial"/>
          <w:b/>
          <w:color w:val="000000"/>
          <w:spacing w:val="0"/>
          <w:position w:val="0"/>
          <w:sz w:val="24"/>
          <w:shd w:fill="auto" w:val="clear"/>
        </w:rPr>
      </w:pPr>
    </w:p>
    <w:p>
      <w:pPr>
        <w:spacing w:before="0" w:after="0" w:line="360"/>
        <w:ind w:right="0" w:left="0" w:firstLine="0"/>
        <w:jc w:val="both"/>
        <w:rPr>
          <w:rFonts w:ascii="Arial" w:hAnsi="Arial" w:cs="Arial" w:eastAsia="Arial"/>
          <w:b/>
          <w:color w:val="000000"/>
          <w:spacing w:val="0"/>
          <w:position w:val="0"/>
          <w:sz w:val="24"/>
          <w:shd w:fill="auto" w:val="clear"/>
        </w:rPr>
      </w:pPr>
    </w:p>
    <w:p>
      <w:pPr>
        <w:spacing w:before="0" w:after="0" w:line="360"/>
        <w:ind w:right="0" w:left="0" w:firstLine="0"/>
        <w:jc w:val="both"/>
        <w:rPr>
          <w:rFonts w:ascii="Arial" w:hAnsi="Arial" w:cs="Arial" w:eastAsia="Arial"/>
          <w:b/>
          <w:color w:val="000000"/>
          <w:spacing w:val="0"/>
          <w:position w:val="0"/>
          <w:sz w:val="24"/>
          <w:shd w:fill="auto" w:val="clear"/>
        </w:rPr>
      </w:pPr>
    </w:p>
    <w:tbl>
      <w:tblPr/>
      <w:tblGrid>
        <w:gridCol w:w="9016"/>
      </w:tblGrid>
      <w:tr>
        <w:trPr>
          <w:trHeight w:val="470" w:hRule="auto"/>
          <w:jc w:val="center"/>
        </w:trPr>
        <w:tc>
          <w:tcPr>
            <w:tcW w:w="901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Based on your completed checklist, you will need to write 500 words in essay format discussing the following: </w:t>
            </w:r>
          </w:p>
          <w:p>
            <w:pPr>
              <w:tabs>
                <w:tab w:val="left" w:pos="596" w:leader="none"/>
              </w:tabs>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ab/>
              <w:t xml:space="preserve">The cleaning staff at Maldron Hotel Newcastle has to be very meticulous and adhere to brand standards at all times while cleaning guests rooms. The checklist, which covers furniture inspections, bed upkeep, bathroom cleanliness, floor care, amenities, toilet conditions, and a final inspection, offers a comprehensive framework for reaching and maintaining these high standards (</w:t>
            </w:r>
            <w:r>
              <w:rPr>
                <w:rFonts w:ascii="Arial" w:hAnsi="Arial" w:cs="Arial" w:eastAsia="Arial"/>
                <w:color w:val="000000"/>
                <w:spacing w:val="0"/>
                <w:position w:val="0"/>
                <w:sz w:val="24"/>
                <w:shd w:fill="FFFFFF" w:val="clear"/>
              </w:rPr>
              <w:t xml:space="preserve">Abele </w:t>
            </w:r>
            <w:r>
              <w:rPr>
                <w:rFonts w:ascii="Arial" w:hAnsi="Arial" w:cs="Arial" w:eastAsia="Arial"/>
                <w:i/>
                <w:color w:val="000000"/>
                <w:spacing w:val="0"/>
                <w:position w:val="0"/>
                <w:sz w:val="24"/>
                <w:shd w:fill="FFFFFF" w:val="clear"/>
              </w:rPr>
              <w:t xml:space="preserve">et al.</w:t>
            </w:r>
            <w:r>
              <w:rPr>
                <w:rFonts w:ascii="Arial" w:hAnsi="Arial" w:cs="Arial" w:eastAsia="Arial"/>
                <w:color w:val="000000"/>
                <w:spacing w:val="0"/>
                <w:position w:val="0"/>
                <w:sz w:val="24"/>
                <w:shd w:fill="FFFFFF" w:val="clear"/>
              </w:rPr>
              <w:t xml:space="preserve">, 2021</w:t>
            </w:r>
            <w:r>
              <w:rPr>
                <w:rFonts w:ascii="Arial" w:hAnsi="Arial" w:cs="Arial" w:eastAsia="Arial"/>
                <w:color w:val="000000"/>
                <w:spacing w:val="0"/>
                <w:position w:val="0"/>
                <w:sz w:val="24"/>
                <w:shd w:fill="auto" w:val="clear"/>
              </w:rPr>
              <w:t xml:space="preserve">). To ensure that the rooms are cleaned to the exacting standards of the Maldron Hotel Newcastle brand, every item on the checklist has been carefully considered and designed. For example, the evaluation of the furniture verifies that the ambience of the room is consistent with the design of the hotel. Maintaining beds in a style that promotes the brand of the hotel is important, as is the arrangement of the pillows and the linens on them. Maintaining a clean bathroom is crucial for look and well-being. Thorough cleaning improves the feeling of security and attention of the visitors to detail throughout their visit (</w:t>
            </w:r>
            <w:r>
              <w:rPr>
                <w:rFonts w:ascii="Arial" w:hAnsi="Arial" w:cs="Arial" w:eastAsia="Arial"/>
                <w:color w:val="000000"/>
                <w:spacing w:val="0"/>
                <w:position w:val="0"/>
                <w:sz w:val="24"/>
                <w:shd w:fill="FFFFFF" w:val="clear"/>
              </w:rPr>
              <w:t xml:space="preserve">Králiková </w:t>
            </w:r>
            <w:r>
              <w:rPr>
                <w:rFonts w:ascii="Arial" w:hAnsi="Arial" w:cs="Arial" w:eastAsia="Arial"/>
                <w:i/>
                <w:color w:val="000000"/>
                <w:spacing w:val="0"/>
                <w:position w:val="0"/>
                <w:sz w:val="24"/>
                <w:shd w:fill="FFFFFF" w:val="clear"/>
              </w:rPr>
              <w:t xml:space="preserve">et al.</w:t>
            </w:r>
            <w:r>
              <w:rPr>
                <w:rFonts w:ascii="Arial" w:hAnsi="Arial" w:cs="Arial" w:eastAsia="Arial"/>
                <w:color w:val="000000"/>
                <w:spacing w:val="0"/>
                <w:position w:val="0"/>
                <w:sz w:val="24"/>
                <w:shd w:fill="FFFFFF" w:val="clear"/>
              </w:rPr>
              <w:t xml:space="preserve">, 2020</w:t>
            </w:r>
            <w:r>
              <w:rPr>
                <w:rFonts w:ascii="Arial" w:hAnsi="Arial" w:cs="Arial" w:eastAsia="Arial"/>
                <w:color w:val="000000"/>
                <w:spacing w:val="0"/>
                <w:position w:val="0"/>
                <w:sz w:val="24"/>
                <w:shd w:fill="auto" w:val="clear"/>
              </w:rPr>
              <w:t xml:space="preserve">). The attention of the hotel to detail in maintaining its carpets and hard surfaces demonstrates its commitment to excellence. Checking the in-room amenities is crucial for the comfort and pleasure of guests. A tidy and well-furnished room is an indication of the efforts of the hotel to fulfil the demands of its visitors and enhance their experience. The bathrooms are inspected to make sure they are hygienic and clean, in keeping with the mission of Maldron Hotel Newcastle to provide its visitors with a safe and secure environment. Regular training sessions and seminars are necessary to enhance team performance. Regular training ensures that the housekeeping team is knowledgeable about the latest cleaning techniques, product applications, and industry standards (</w:t>
            </w:r>
            <w:r>
              <w:rPr>
                <w:rFonts w:ascii="Arial" w:hAnsi="Arial" w:cs="Arial" w:eastAsia="Arial"/>
                <w:color w:val="000000"/>
                <w:spacing w:val="0"/>
                <w:position w:val="0"/>
                <w:sz w:val="24"/>
                <w:shd w:fill="FFFFFF" w:val="clear"/>
              </w:rPr>
              <w:t xml:space="preserve">Kyalo, 2023</w:t>
            </w:r>
            <w:r>
              <w:rPr>
                <w:rFonts w:ascii="Arial" w:hAnsi="Arial" w:cs="Arial" w:eastAsia="Arial"/>
                <w:color w:val="000000"/>
                <w:spacing w:val="0"/>
                <w:position w:val="0"/>
                <w:sz w:val="24"/>
                <w:shd w:fill="auto" w:val="clear"/>
              </w:rPr>
              <w:t xml:space="preserve">). When there are no obstacles to information flow at any level, the capacity of the team to collaborate and exchange ideas is substantially increased. </w:t>
            </w:r>
          </w:p>
          <w:p>
            <w:pPr>
              <w:tabs>
                <w:tab w:val="left" w:pos="596" w:leader="none"/>
              </w:tabs>
              <w:spacing w:before="0" w:after="0" w:line="360"/>
              <w:ind w:right="0" w:left="0" w:firstLine="0"/>
              <w:jc w:val="both"/>
              <w:rPr>
                <w:spacing w:val="0"/>
                <w:position w:val="0"/>
              </w:rPr>
            </w:pPr>
            <w:r>
              <w:rPr>
                <w:rFonts w:ascii="Arial" w:hAnsi="Arial" w:cs="Arial" w:eastAsia="Arial"/>
                <w:color w:val="000000"/>
                <w:spacing w:val="0"/>
                <w:position w:val="0"/>
                <w:sz w:val="24"/>
                <w:shd w:fill="auto" w:val="clear"/>
              </w:rPr>
              <w:tab/>
              <w:t xml:space="preserve">Establishing a system of peer evaluations and rewards for exceptional work helps raise a sense of pride and ownership in the work of the team. When team members get frequent praise and rewards for their work, they become more committed to their work and generate better outcomes. Staff members who get cross-functional training are exposed to many aspects of housekeeping, which promotes flexibility and adaptation (</w:t>
            </w:r>
            <w:r>
              <w:rPr>
                <w:rFonts w:ascii="Arial" w:hAnsi="Arial" w:cs="Arial" w:eastAsia="Arial"/>
                <w:color w:val="000000"/>
                <w:spacing w:val="0"/>
                <w:position w:val="0"/>
                <w:sz w:val="24"/>
                <w:shd w:fill="FFFFFF" w:val="clear"/>
              </w:rPr>
              <w:t xml:space="preserve">Luu, 2021</w:t>
            </w:r>
            <w:r>
              <w:rPr>
                <w:rFonts w:ascii="Arial" w:hAnsi="Arial" w:cs="Arial" w:eastAsia="Arial"/>
                <w:color w:val="000000"/>
                <w:spacing w:val="0"/>
                <w:position w:val="0"/>
                <w:sz w:val="24"/>
                <w:shd w:fill="auto" w:val="clear"/>
              </w:rPr>
              <w:t xml:space="preserve">). This approach ensures that team members are prepared to handle a variety of tasks and can easily adapt to changing circumstances, thereby increasing the overall performance of the team. For a variety of reasons, the checklist is the most beneficial tool. It is, first and foremost, a comprehensive guide for thoroughly cleaning a single room. It provides a laborious and structured process that ensures consistency across areas. The structured format of the checklist facilitates easy onboarding for new team members and serves as a quick reference for seasoned staff (</w:t>
            </w:r>
            <w:r>
              <w:rPr>
                <w:rFonts w:ascii="Arial" w:hAnsi="Arial" w:cs="Arial" w:eastAsia="Arial"/>
                <w:color w:val="000000"/>
                <w:spacing w:val="0"/>
                <w:position w:val="0"/>
                <w:sz w:val="24"/>
                <w:shd w:fill="FFFFFF" w:val="clear"/>
              </w:rPr>
              <w:t xml:space="preserve">Chou-Zheng and Hatoum-Aslan, 2022</w:t>
            </w:r>
            <w:r>
              <w:rPr>
                <w:rFonts w:ascii="Arial" w:hAnsi="Arial" w:cs="Arial" w:eastAsia="Arial"/>
                <w:color w:val="000000"/>
                <w:spacing w:val="0"/>
                <w:position w:val="0"/>
                <w:sz w:val="24"/>
                <w:shd w:fill="auto" w:val="clear"/>
              </w:rPr>
              <w:t xml:space="preserve">). The checklist acts as a tangible and quantifiable method of quality control. With regular inspections and a final walkthrough, the team is able to assess their progress toward objectives in relation to predefined criteria.</w:t>
            </w:r>
          </w:p>
        </w:tc>
      </w:tr>
    </w:tbl>
    <w:p>
      <w:pPr>
        <w:spacing w:before="0" w:after="0" w:line="360"/>
        <w:ind w:right="0" w:left="0" w:firstLine="0"/>
        <w:jc w:val="both"/>
        <w:rPr>
          <w:rFonts w:ascii="Arial" w:hAnsi="Arial" w:cs="Arial" w:eastAsia="Arial"/>
          <w:color w:val="000000"/>
          <w:spacing w:val="0"/>
          <w:position w:val="0"/>
          <w:sz w:val="24"/>
          <w:shd w:fill="auto" w:val="clear"/>
        </w:rPr>
      </w:pPr>
    </w:p>
    <w:p>
      <w:pPr>
        <w:spacing w:before="0" w:after="0" w:line="360"/>
        <w:ind w:right="0" w:left="0" w:firstLine="0"/>
        <w:jc w:val="both"/>
        <w:rPr>
          <w:rFonts w:ascii="Arial" w:hAnsi="Arial" w:cs="Arial" w:eastAsia="Arial"/>
          <w:color w:val="000000"/>
          <w:spacing w:val="0"/>
          <w:position w:val="0"/>
          <w:sz w:val="24"/>
          <w:shd w:fill="auto" w:val="clear"/>
        </w:rPr>
      </w:pPr>
    </w:p>
    <w:p>
      <w:pPr>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 </w:t>
      </w:r>
    </w:p>
    <w:p>
      <w:pPr>
        <w:spacing w:before="0" w:after="160" w:line="259"/>
        <w:ind w:right="0" w:left="0" w:firstLine="0"/>
        <w:jc w:val="left"/>
        <w:rPr>
          <w:rFonts w:ascii="Arial" w:hAnsi="Arial" w:cs="Arial" w:eastAsia="Arial"/>
          <w:color w:val="000000"/>
          <w:spacing w:val="0"/>
          <w:position w:val="0"/>
          <w:sz w:val="24"/>
          <w:shd w:fill="auto" w:val="clear"/>
        </w:rPr>
      </w:pPr>
    </w:p>
    <w:p>
      <w:pPr>
        <w:spacing w:before="0" w:after="0" w:line="360"/>
        <w:ind w:right="0" w:left="0" w:firstLine="0"/>
        <w:jc w:val="both"/>
        <w:rPr>
          <w:rFonts w:ascii="Arial" w:hAnsi="Arial" w:cs="Arial" w:eastAsia="Arial"/>
          <w:color w:val="000000"/>
          <w:spacing w:val="0"/>
          <w:position w:val="0"/>
          <w:sz w:val="24"/>
          <w:shd w:fill="auto" w:val="clear"/>
        </w:rPr>
      </w:pPr>
    </w:p>
    <w:p>
      <w:pPr>
        <w:keepNext w:val="true"/>
        <w:keepLines w:val="true"/>
        <w:spacing w:before="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References</w:t>
      </w:r>
    </w:p>
    <w:p>
      <w:pPr>
        <w:spacing w:before="0" w:after="0" w:line="360"/>
        <w:ind w:right="0" w:left="720" w:hanging="72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Abele, A.E., Ellemers, N., Fiske, S.T., Koch, A. and Yzerbyt, V., 2021. Navigating the social world: Toward an integrated framework for evaluating self, individuals, and groups. </w:t>
      </w:r>
      <w:r>
        <w:rPr>
          <w:rFonts w:ascii="Arial" w:hAnsi="Arial" w:cs="Arial" w:eastAsia="Arial"/>
          <w:i/>
          <w:color w:val="000000"/>
          <w:spacing w:val="0"/>
          <w:position w:val="0"/>
          <w:sz w:val="24"/>
          <w:shd w:fill="FFFFFF" w:val="clear"/>
        </w:rPr>
        <w:t xml:space="preserve">Psychological Review</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128</w:t>
      </w:r>
      <w:r>
        <w:rPr>
          <w:rFonts w:ascii="Arial" w:hAnsi="Arial" w:cs="Arial" w:eastAsia="Arial"/>
          <w:color w:val="000000"/>
          <w:spacing w:val="0"/>
          <w:position w:val="0"/>
          <w:sz w:val="24"/>
          <w:shd w:fill="FFFFFF" w:val="clear"/>
        </w:rPr>
        <w:t xml:space="preserve">(2), p.290.</w:t>
      </w:r>
    </w:p>
    <w:p>
      <w:pPr>
        <w:spacing w:before="0" w:after="0" w:line="360"/>
        <w:ind w:right="0" w:left="720" w:hanging="72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Biron, M., De Cieri, H., Fulmer, I., Lin, C.H.V., Mayrhofer, W., Nyfoudi, M., Sanders, K., Shipton, H. and Sun, J.M.J., 2021. Structuring for innovative responses to human resource challenges: A skunkworks approach. </w:t>
      </w:r>
      <w:r>
        <w:rPr>
          <w:rFonts w:ascii="Arial" w:hAnsi="Arial" w:cs="Arial" w:eastAsia="Arial"/>
          <w:i/>
          <w:color w:val="000000"/>
          <w:spacing w:val="0"/>
          <w:position w:val="0"/>
          <w:sz w:val="24"/>
          <w:shd w:fill="auto" w:val="clear"/>
        </w:rPr>
        <w:t xml:space="preserve">Human Resource Management Review</w:t>
      </w:r>
      <w:r>
        <w:rPr>
          <w:rFonts w:ascii="Arial" w:hAnsi="Arial" w:cs="Arial" w:eastAsia="Arial"/>
          <w:color w:val="000000"/>
          <w:spacing w:val="0"/>
          <w:position w:val="0"/>
          <w:sz w:val="24"/>
          <w:shd w:fill="auto" w:val="clear"/>
        </w:rPr>
        <w:t xml:space="preserve">, </w:t>
      </w:r>
      <w:r>
        <w:rPr>
          <w:rFonts w:ascii="Arial" w:hAnsi="Arial" w:cs="Arial" w:eastAsia="Arial"/>
          <w:i/>
          <w:color w:val="000000"/>
          <w:spacing w:val="0"/>
          <w:position w:val="0"/>
          <w:sz w:val="24"/>
          <w:shd w:fill="auto" w:val="clear"/>
        </w:rPr>
        <w:t xml:space="preserve">31</w:t>
      </w:r>
      <w:r>
        <w:rPr>
          <w:rFonts w:ascii="Arial" w:hAnsi="Arial" w:cs="Arial" w:eastAsia="Arial"/>
          <w:color w:val="000000"/>
          <w:spacing w:val="0"/>
          <w:position w:val="0"/>
          <w:sz w:val="24"/>
          <w:shd w:fill="auto" w:val="clear"/>
        </w:rPr>
        <w:t xml:space="preserve">(2), p.100768.</w:t>
      </w:r>
    </w:p>
    <w:p>
      <w:pPr>
        <w:spacing w:before="0" w:after="0" w:line="360"/>
        <w:ind w:right="0" w:left="720" w:hanging="72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Chou-Zheng, L. and Hatoum-Aslan, A., 2022. Critical roles for ‘housekeeping’nucleases in type III CRISPR-Cas immunity. </w:t>
      </w:r>
      <w:r>
        <w:rPr>
          <w:rFonts w:ascii="Arial" w:hAnsi="Arial" w:cs="Arial" w:eastAsia="Arial"/>
          <w:i/>
          <w:color w:val="000000"/>
          <w:spacing w:val="0"/>
          <w:position w:val="0"/>
          <w:sz w:val="24"/>
          <w:shd w:fill="FFFFFF" w:val="clear"/>
        </w:rPr>
        <w:t xml:space="preserve">Elife</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11</w:t>
      </w:r>
      <w:r>
        <w:rPr>
          <w:rFonts w:ascii="Arial" w:hAnsi="Arial" w:cs="Arial" w:eastAsia="Arial"/>
          <w:color w:val="000000"/>
          <w:spacing w:val="0"/>
          <w:position w:val="0"/>
          <w:sz w:val="24"/>
          <w:shd w:fill="FFFFFF" w:val="clear"/>
        </w:rPr>
        <w:t xml:space="preserve">, p.e81897.</w:t>
      </w:r>
    </w:p>
    <w:p>
      <w:pPr>
        <w:spacing w:before="0" w:after="0" w:line="360"/>
        <w:ind w:right="0" w:left="720" w:hanging="72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Gajdzik, B. and Wolniak, R., 2022. Smart production workers in terms of creativity and innovation: The implication for open innovation. </w:t>
      </w:r>
      <w:r>
        <w:rPr>
          <w:rFonts w:ascii="Arial" w:hAnsi="Arial" w:cs="Arial" w:eastAsia="Arial"/>
          <w:i/>
          <w:color w:val="000000"/>
          <w:spacing w:val="0"/>
          <w:position w:val="0"/>
          <w:sz w:val="24"/>
          <w:shd w:fill="auto" w:val="clear"/>
        </w:rPr>
        <w:t xml:space="preserve">Journal of Open Innovation: Technology, Market, and Complexity</w:t>
      </w:r>
      <w:r>
        <w:rPr>
          <w:rFonts w:ascii="Arial" w:hAnsi="Arial" w:cs="Arial" w:eastAsia="Arial"/>
          <w:color w:val="000000"/>
          <w:spacing w:val="0"/>
          <w:position w:val="0"/>
          <w:sz w:val="24"/>
          <w:shd w:fill="auto" w:val="clear"/>
        </w:rPr>
        <w:t xml:space="preserve">, </w:t>
      </w:r>
      <w:r>
        <w:rPr>
          <w:rFonts w:ascii="Arial" w:hAnsi="Arial" w:cs="Arial" w:eastAsia="Arial"/>
          <w:i/>
          <w:color w:val="000000"/>
          <w:spacing w:val="0"/>
          <w:position w:val="0"/>
          <w:sz w:val="24"/>
          <w:shd w:fill="auto" w:val="clear"/>
        </w:rPr>
        <w:t xml:space="preserve">8</w:t>
      </w:r>
      <w:r>
        <w:rPr>
          <w:rFonts w:ascii="Arial" w:hAnsi="Arial" w:cs="Arial" w:eastAsia="Arial"/>
          <w:color w:val="000000"/>
          <w:spacing w:val="0"/>
          <w:position w:val="0"/>
          <w:sz w:val="24"/>
          <w:shd w:fill="auto" w:val="clear"/>
        </w:rPr>
        <w:t xml:space="preserve">(2), p.68.</w:t>
      </w:r>
    </w:p>
    <w:p>
      <w:pPr>
        <w:spacing w:before="0" w:after="0" w:line="360"/>
        <w:ind w:right="0" w:left="720" w:hanging="72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Hossain, M.S., Kannan, S.N. and Raman Nair, S.K.K., 2021. Factors influencing sustainable competitive advantage in the hospitality industry. </w:t>
      </w:r>
      <w:r>
        <w:rPr>
          <w:rFonts w:ascii="Arial" w:hAnsi="Arial" w:cs="Arial" w:eastAsia="Arial"/>
          <w:i/>
          <w:color w:val="000000"/>
          <w:spacing w:val="0"/>
          <w:position w:val="0"/>
          <w:sz w:val="24"/>
          <w:shd w:fill="auto" w:val="clear"/>
        </w:rPr>
        <w:t xml:space="preserve">Journal of Quality Assurance in Hospitality &amp; Tourism</w:t>
      </w:r>
      <w:r>
        <w:rPr>
          <w:rFonts w:ascii="Arial" w:hAnsi="Arial" w:cs="Arial" w:eastAsia="Arial"/>
          <w:color w:val="000000"/>
          <w:spacing w:val="0"/>
          <w:position w:val="0"/>
          <w:sz w:val="24"/>
          <w:shd w:fill="auto" w:val="clear"/>
        </w:rPr>
        <w:t xml:space="preserve">, </w:t>
      </w:r>
      <w:r>
        <w:rPr>
          <w:rFonts w:ascii="Arial" w:hAnsi="Arial" w:cs="Arial" w:eastAsia="Arial"/>
          <w:i/>
          <w:color w:val="000000"/>
          <w:spacing w:val="0"/>
          <w:position w:val="0"/>
          <w:sz w:val="24"/>
          <w:shd w:fill="auto" w:val="clear"/>
        </w:rPr>
        <w:t xml:space="preserve">22</w:t>
      </w:r>
      <w:r>
        <w:rPr>
          <w:rFonts w:ascii="Arial" w:hAnsi="Arial" w:cs="Arial" w:eastAsia="Arial"/>
          <w:color w:val="000000"/>
          <w:spacing w:val="0"/>
          <w:position w:val="0"/>
          <w:sz w:val="24"/>
          <w:shd w:fill="auto" w:val="clear"/>
        </w:rPr>
        <w:t xml:space="preserve">(6), pp.679-710.</w:t>
      </w:r>
    </w:p>
    <w:p>
      <w:pPr>
        <w:spacing w:before="0" w:after="0" w:line="360"/>
        <w:ind w:right="0" w:left="720" w:hanging="72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Kalra, D., Ghazal, T.M. and Afifi, M.A., 2020. Integration of collaboration systems in hospitality management as a comprehensive solution. </w:t>
      </w:r>
      <w:r>
        <w:rPr>
          <w:rFonts w:ascii="Arial" w:hAnsi="Arial" w:cs="Arial" w:eastAsia="Arial"/>
          <w:i/>
          <w:color w:val="000000"/>
          <w:spacing w:val="0"/>
          <w:position w:val="0"/>
          <w:sz w:val="24"/>
          <w:shd w:fill="auto" w:val="clear"/>
        </w:rPr>
        <w:t xml:space="preserve">International Journal of Advanced Science and Technology</w:t>
      </w:r>
      <w:r>
        <w:rPr>
          <w:rFonts w:ascii="Arial" w:hAnsi="Arial" w:cs="Arial" w:eastAsia="Arial"/>
          <w:color w:val="000000"/>
          <w:spacing w:val="0"/>
          <w:position w:val="0"/>
          <w:sz w:val="24"/>
          <w:shd w:fill="auto" w:val="clear"/>
        </w:rPr>
        <w:t xml:space="preserve">, </w:t>
      </w:r>
      <w:r>
        <w:rPr>
          <w:rFonts w:ascii="Arial" w:hAnsi="Arial" w:cs="Arial" w:eastAsia="Arial"/>
          <w:i/>
          <w:color w:val="000000"/>
          <w:spacing w:val="0"/>
          <w:position w:val="0"/>
          <w:sz w:val="24"/>
          <w:shd w:fill="auto" w:val="clear"/>
        </w:rPr>
        <w:t xml:space="preserve">29</w:t>
      </w:r>
      <w:r>
        <w:rPr>
          <w:rFonts w:ascii="Arial" w:hAnsi="Arial" w:cs="Arial" w:eastAsia="Arial"/>
          <w:color w:val="000000"/>
          <w:spacing w:val="0"/>
          <w:position w:val="0"/>
          <w:sz w:val="24"/>
          <w:shd w:fill="auto" w:val="clear"/>
        </w:rPr>
        <w:t xml:space="preserve">(8s), pp.3155-3173.</w:t>
      </w:r>
    </w:p>
    <w:p>
      <w:pPr>
        <w:spacing w:before="0" w:after="0" w:line="360"/>
        <w:ind w:right="0" w:left="720" w:hanging="72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Králiková, A., Peruthová, A. and Ryglová, K., 2020. Impact of destination image on satisfaction and loyalty. </w:t>
      </w:r>
      <w:r>
        <w:rPr>
          <w:rFonts w:ascii="Arial" w:hAnsi="Arial" w:cs="Arial" w:eastAsia="Arial"/>
          <w:i/>
          <w:color w:val="000000"/>
          <w:spacing w:val="0"/>
          <w:position w:val="0"/>
          <w:sz w:val="24"/>
          <w:shd w:fill="FFFFFF" w:val="clear"/>
        </w:rPr>
        <w:t xml:space="preserve">Acta Universitatis Agriculturae et Silviculturae Mendelianae Brunensis</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68</w:t>
      </w:r>
      <w:r>
        <w:rPr>
          <w:rFonts w:ascii="Arial" w:hAnsi="Arial" w:cs="Arial" w:eastAsia="Arial"/>
          <w:color w:val="000000"/>
          <w:spacing w:val="0"/>
          <w:position w:val="0"/>
          <w:sz w:val="24"/>
          <w:shd w:fill="FFFFFF" w:val="clear"/>
        </w:rPr>
        <w:t xml:space="preserve">(1).</w:t>
      </w:r>
    </w:p>
    <w:p>
      <w:pPr>
        <w:spacing w:before="0" w:after="0" w:line="360"/>
        <w:ind w:right="0" w:left="720" w:hanging="72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Kyalo, J., 2023. Effect of Short Course Training on Service Delivery in the Hospitality Industry in Housekeeping and Laundry Department of Kenya Utalii College. </w:t>
      </w:r>
      <w:r>
        <w:rPr>
          <w:rFonts w:ascii="Arial" w:hAnsi="Arial" w:cs="Arial" w:eastAsia="Arial"/>
          <w:i/>
          <w:color w:val="000000"/>
          <w:spacing w:val="0"/>
          <w:position w:val="0"/>
          <w:sz w:val="24"/>
          <w:shd w:fill="FFFFFF" w:val="clear"/>
        </w:rPr>
        <w:t xml:space="preserve">Journal of Hospitality and Tourism</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3</w:t>
      </w:r>
      <w:r>
        <w:rPr>
          <w:rFonts w:ascii="Arial" w:hAnsi="Arial" w:cs="Arial" w:eastAsia="Arial"/>
          <w:color w:val="000000"/>
          <w:spacing w:val="0"/>
          <w:position w:val="0"/>
          <w:sz w:val="24"/>
          <w:shd w:fill="FFFFFF" w:val="clear"/>
        </w:rPr>
        <w:t xml:space="preserve">(1), pp.14-30.</w:t>
      </w:r>
    </w:p>
    <w:p>
      <w:pPr>
        <w:spacing w:before="0" w:after="0" w:line="360"/>
        <w:ind w:right="0" w:left="720" w:hanging="72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Luu, T.T., 2021. Can human resource flexibility disentangle innovative work behavior among hospitality employees? The roles of harmonious passion and regulatory foci. </w:t>
      </w:r>
      <w:r>
        <w:rPr>
          <w:rFonts w:ascii="Arial" w:hAnsi="Arial" w:cs="Arial" w:eastAsia="Arial"/>
          <w:i/>
          <w:color w:val="000000"/>
          <w:spacing w:val="0"/>
          <w:position w:val="0"/>
          <w:sz w:val="24"/>
          <w:shd w:fill="FFFFFF" w:val="clear"/>
        </w:rPr>
        <w:t xml:space="preserve">International Journal of Contemporary Hospitality Management</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33</w:t>
      </w:r>
      <w:r>
        <w:rPr>
          <w:rFonts w:ascii="Arial" w:hAnsi="Arial" w:cs="Arial" w:eastAsia="Arial"/>
          <w:color w:val="000000"/>
          <w:spacing w:val="0"/>
          <w:position w:val="0"/>
          <w:sz w:val="24"/>
          <w:shd w:fill="FFFFFF" w:val="clear"/>
        </w:rPr>
        <w:t xml:space="preserve">(12), pp.4258-4285.</w:t>
      </w:r>
    </w:p>
    <w:p>
      <w:pPr>
        <w:spacing w:before="0" w:after="0" w:line="360"/>
        <w:ind w:right="0" w:left="720" w:hanging="720"/>
        <w:jc w:val="both"/>
        <w:rPr>
          <w:rFonts w:ascii="Arial" w:hAnsi="Arial" w:cs="Arial" w:eastAsia="Arial"/>
          <w:b/>
          <w:color w:val="000000"/>
          <w:spacing w:val="0"/>
          <w:position w:val="0"/>
          <w:sz w:val="24"/>
          <w:shd w:fill="auto" w:val="clear"/>
        </w:rPr>
      </w:pPr>
      <w:r>
        <w:rPr>
          <w:rFonts w:ascii="Arial" w:hAnsi="Arial" w:cs="Arial" w:eastAsia="Arial"/>
          <w:color w:val="000000"/>
          <w:spacing w:val="0"/>
          <w:position w:val="0"/>
          <w:sz w:val="24"/>
          <w:shd w:fill="auto" w:val="clear"/>
        </w:rPr>
        <w:t xml:space="preserve">Verma, P., Singh, M. and Aggarwal, N., 2020, June. The Effect of Next–Level Housekeeping via Technology on the Perceptions of the Hospitality Aspirants. In </w:t>
      </w:r>
      <w:r>
        <w:rPr>
          <w:rFonts w:ascii="Arial" w:hAnsi="Arial" w:cs="Arial" w:eastAsia="Arial"/>
          <w:i/>
          <w:color w:val="000000"/>
          <w:spacing w:val="0"/>
          <w:position w:val="0"/>
          <w:sz w:val="24"/>
          <w:shd w:fill="auto" w:val="clear"/>
        </w:rPr>
        <w:t xml:space="preserve">2020 8th International Conference on Reliability, Infocom Technologies and Optimization (Trends and Future Directions)(ICRITO)</w:t>
      </w:r>
      <w:r>
        <w:rPr>
          <w:rFonts w:ascii="Arial" w:hAnsi="Arial" w:cs="Arial" w:eastAsia="Arial"/>
          <w:color w:val="000000"/>
          <w:spacing w:val="0"/>
          <w:position w:val="0"/>
          <w:sz w:val="24"/>
          <w:shd w:fill="auto" w:val="clear"/>
        </w:rPr>
        <w:t xml:space="preserve"> (pp. 1150-1156). IEEE.</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num w:numId="29">
    <w:abstractNumId w:val="42"/>
  </w:num>
  <w:num w:numId="33">
    <w:abstractNumId w:val="36"/>
  </w:num>
  <w:num w:numId="36">
    <w:abstractNumId w:val="30"/>
  </w:num>
  <w:num w:numId="40">
    <w:abstractNumId w:val="24"/>
  </w:num>
  <w:num w:numId="44">
    <w:abstractNumId w:val="18"/>
  </w:num>
  <w:num w:numId="47">
    <w:abstractNumId w:val="12"/>
  </w:num>
  <w:num w:numId="50">
    <w:abstractNumId w:val="6"/>
  </w:num>
  <w:num w:numId="53">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embeddings/oleObject0.bin" Id="docRId0" Type="http://schemas.openxmlformats.org/officeDocument/2006/relationships/oleObject"/><Relationship Target="media/image0.wmf" Id="docRId1" Type="http://schemas.openxmlformats.org/officeDocument/2006/relationships/image"/><Relationship Target="numbering.xml" Id="docRId2" Type="http://schemas.openxmlformats.org/officeDocument/2006/relationships/numbering"/><Relationship Target="styles.xml" Id="docRId3" Type="http://schemas.openxmlformats.org/officeDocument/2006/relationships/styles"/></Relationships>
</file>