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B7CBE8C" w:rsidP="01455698" w:rsidRDefault="6B7CBE8C" w14:paraId="6CCDAA00" w14:textId="54D5F014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92"/>
          <w:szCs w:val="92"/>
          <w:u w:val="single"/>
          <w:lang w:val="en-US"/>
        </w:rPr>
      </w:pPr>
      <w:r w:rsidRPr="01455698" w:rsidR="7B7635F6">
        <w:rPr>
          <w:rFonts w:ascii="Arial" w:hAnsi="Arial" w:eastAsia="Arial" w:cs="Arial"/>
          <w:b w:val="1"/>
          <w:bCs w:val="1"/>
          <w:noProof w:val="0"/>
          <w:sz w:val="92"/>
          <w:szCs w:val="92"/>
          <w:u w:val="single"/>
          <w:lang w:val="en-US"/>
        </w:rPr>
        <w:t>PROPERTY LAW (BMLW6008)</w:t>
      </w:r>
    </w:p>
    <w:p w:rsidR="6B7CBE8C" w:rsidP="01455698" w:rsidRDefault="6B7CBE8C" w14:paraId="3424889C" w14:textId="066993BF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0C8196FE" w14:textId="73A85037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177F51D0" w14:textId="35C2D7B9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57E317E6" w14:textId="06103EE2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371C9A55" w14:textId="1CEEDD12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3814D25D" w14:textId="6064E5AD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  <w:r w:rsidRPr="01455698" w:rsidR="7B7635F6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  <w:t>EASEMENTS WITH REGARDS PARKING A VEHICLE</w:t>
      </w:r>
      <w:r w:rsidRPr="01455698" w:rsidR="590FAE11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  <w:t xml:space="preserve"> ON LAND</w:t>
      </w:r>
      <w:r w:rsidRPr="01455698" w:rsidR="7B7635F6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  <w:t xml:space="preserve"> AND SCENARIO QUESTION</w:t>
      </w:r>
      <w:r>
        <w:br/>
      </w:r>
    </w:p>
    <w:p w:rsidR="6B7CBE8C" w:rsidP="01455698" w:rsidRDefault="6B7CBE8C" w14:paraId="2F5AAC6D" w14:textId="022C9C09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51AD25B4" w14:textId="1E0F6E3D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</w:p>
    <w:p w:rsidR="6B7CBE8C" w:rsidP="01455698" w:rsidRDefault="6B7CBE8C" w14:paraId="376C7C9C" w14:textId="2C803045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</w:pPr>
      <w:r>
        <w:br/>
      </w:r>
      <w:r w:rsidRPr="16F0E856" w:rsidR="1A6AC8E0">
        <w:rPr>
          <w:rFonts w:ascii="Arial" w:hAnsi="Arial" w:eastAsia="Arial" w:cs="Arial"/>
          <w:b w:val="1"/>
          <w:bCs w:val="1"/>
          <w:noProof w:val="0"/>
          <w:sz w:val="48"/>
          <w:szCs w:val="48"/>
          <w:u w:val="single"/>
          <w:lang w:val="en-US"/>
        </w:rPr>
        <w:t xml:space="preserve">BY ARTUR ZACHARSKI </w:t>
      </w:r>
    </w:p>
    <w:p w:rsidR="16F0E856" w:rsidP="16F0E856" w:rsidRDefault="16F0E856" w14:paraId="38F2C48D" w14:textId="331EF58C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16F0E856" w:rsidP="16F0E856" w:rsidRDefault="16F0E856" w14:paraId="3C977B31" w14:textId="64973187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2E1C8514" w:rsidP="16F0E856" w:rsidRDefault="2E1C8514" w14:paraId="63FC6037" w14:textId="45AB46E2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</w:pPr>
      <w:r w:rsidRPr="16F0E856" w:rsidR="2E1C8514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  <w:t xml:space="preserve">PART 1: </w:t>
      </w:r>
      <w:r w:rsidRPr="16F0E856" w:rsidR="725D009D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  <w:t>EASEMENTS WITH REGARDS PARKING A VEHICLE ON LAND</w:t>
      </w:r>
    </w:p>
    <w:p w:rsidR="16F0E856" w:rsidP="16F0E856" w:rsidRDefault="16F0E856" w14:paraId="39ABB283" w14:textId="4FE3DEA2">
      <w:pPr>
        <w:pStyle w:val="Normal"/>
        <w:ind w:left="0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6B7CBE8C" w:rsidP="16F0E856" w:rsidRDefault="6B7CBE8C" w14:paraId="64C86EFC" w14:textId="774E2E75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5DA1CC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the broad subject of property law, </w:t>
      </w:r>
      <w:r w:rsidRPr="16F0E856" w:rsidR="5ADAB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there is no legal definition </w:t>
      </w:r>
      <w:r w:rsidRPr="16F0E856" w:rsidR="5ADAB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</w:t>
      </w:r>
      <w:r w:rsidRPr="16F0E856" w:rsidR="5ADAB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what could amount to an easement. </w:t>
      </w:r>
      <w:r w:rsidRPr="16F0E856" w:rsidR="0566AD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Essentially, within</w:t>
      </w:r>
      <w:r w:rsidRPr="16F0E856" w:rsidR="0566AD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property law, easements focus on the right to use another person's land</w:t>
      </w:r>
      <w:r w:rsidRPr="16F0E856" w:rsidR="5DA1CC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With this comes a series of righ</w:t>
      </w:r>
      <w:r w:rsidRPr="16F0E856" w:rsidR="3CF43F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ts and obligations that both the servient </w:t>
      </w:r>
      <w:r w:rsidRPr="16F0E856" w:rsidR="548500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dominant owner must follow. </w:t>
      </w:r>
      <w:r w:rsidRPr="16F0E856" w:rsidR="1CC6AD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servant</w:t>
      </w:r>
      <w:r w:rsidRPr="16F0E856" w:rsidR="548500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owner is the owner of the </w:t>
      </w:r>
      <w:r w:rsidRPr="16F0E856" w:rsidR="548500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servient</w:t>
      </w:r>
      <w:r w:rsidRPr="16F0E856" w:rsidR="548500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tenement (</w:t>
      </w:r>
      <w:r w:rsidRPr="16F0E856" w:rsidR="4B6834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</w:t>
      </w:r>
      <w:r w:rsidRPr="16F0E856" w:rsidR="548500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in which the easement is practiced) and the dominant owner </w:t>
      </w:r>
      <w:r w:rsidRPr="16F0E856" w:rsidR="785EBD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 the owner of the dominant tenement (The land that uses the right)</w:t>
      </w:r>
      <w:r w:rsidRPr="16F0E856" w:rsidR="0A0D1A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067F2C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(LexisNexis, 2023).</w:t>
      </w:r>
      <w:r w:rsidRPr="16F0E856" w:rsidR="0F0D8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3703A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There is no complete list of easements that could arise under property law due </w:t>
      </w:r>
      <w:r w:rsidRPr="16F0E856" w:rsidR="4F44DF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the complexity and variation one can be</w:t>
      </w:r>
      <w:r w:rsidRPr="16F0E856" w:rsidR="3703A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Easements are important in </w:t>
      </w:r>
      <w:r w:rsidRPr="16F0E856" w:rsidR="3703A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identifying</w:t>
      </w:r>
      <w:r w:rsidRPr="16F0E856" w:rsidR="3703A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what land can and cannot be used for with or without permission and the extent to which an easement can be put can vary from possessions</w:t>
      </w:r>
      <w:r w:rsidRPr="16F0E856" w:rsidR="4ED326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3BFA37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 land to even light itself</w:t>
      </w:r>
      <w:r w:rsidRPr="16F0E856" w:rsidR="3703A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728275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(</w:t>
      </w:r>
      <w:r w:rsidRPr="16F0E856" w:rsidR="743967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Law Commission, 2011).</w:t>
      </w:r>
      <w:r w:rsidRPr="16F0E856" w:rsidR="2AEE21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16C4DD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This essay will discuss the critical observations needed for an easement to be made </w:t>
      </w:r>
      <w:r w:rsidRPr="16F0E856" w:rsidR="1C2D0E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 regards</w:t>
      </w:r>
      <w:r w:rsidRPr="16F0E856" w:rsidR="16C4DD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vehicle </w:t>
      </w:r>
      <w:r w:rsidRPr="16F0E856" w:rsidR="60D54E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being able </w:t>
      </w:r>
      <w:r w:rsidRPr="16F0E856" w:rsidR="16C4DD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park on a </w:t>
      </w:r>
      <w:r w:rsidRPr="16F0E856" w:rsidR="3E96B2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property.</w:t>
      </w:r>
    </w:p>
    <w:p w:rsidR="16D41C08" w:rsidP="16F0E856" w:rsidRDefault="16D41C08" w14:paraId="56B46FA0" w14:textId="264C5D9B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  <w:r w:rsidRPr="16F0E856" w:rsidR="3E96B2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16F0E856" w:rsidR="6C48997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6C48997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establish</w:t>
      </w:r>
      <w:r w:rsidRPr="16F0E856" w:rsidR="6C48997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how an easement can be created for the use of parking a vehicle on another property, it is necessary to understand what makes an easement legal. Easements can only become legal if they meet the requirements set under </w:t>
      </w:r>
      <w:r w:rsidRPr="16F0E856" w:rsidR="666635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Section 1 of the Law of Property </w:t>
      </w:r>
      <w:r w:rsidRPr="16F0E856" w:rsidR="28BB7B3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16F0E856" w:rsidR="666635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ct 1925</w:t>
      </w:r>
      <w:r w:rsidRPr="16F0E856" w:rsidR="13D2B6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13D2B65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(LPA 1925)</w:t>
      </w:r>
      <w:r w:rsidRPr="16F0E856" w:rsidR="666635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. In which it describes that an easement can be granted </w:t>
      </w:r>
      <w:r w:rsidRPr="16F0E856" w:rsidR="250B1A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if a property is owned; outright, also known as title absolute</w:t>
      </w:r>
      <w:r w:rsidRPr="16F0E856" w:rsidR="5D4969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, or if the property is owned on a fixed term, also known as a leasehold. </w:t>
      </w:r>
      <w:r w:rsidRPr="16F0E856" w:rsidR="5D4969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Therefore, easements are unable to exist if </w:t>
      </w:r>
      <w:r w:rsidRPr="16F0E856" w:rsidR="6A16960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the duration of ownership of land is uncertain as seen under </w:t>
      </w:r>
      <w:r w:rsidRPr="16F0E856" w:rsidR="50A213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S.1(3) LPA </w:t>
      </w:r>
      <w:r w:rsidRPr="16F0E856" w:rsidR="5BED422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16F0E856" w:rsidR="50A2137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1925)</w:t>
      </w:r>
      <w:r w:rsidRPr="16F0E856" w:rsidR="65F2E1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16F0E856" w:rsidR="2E1A50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65F2E1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As seen under the </w:t>
      </w:r>
      <w:r w:rsidRPr="16F0E856" w:rsidR="65F2E1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judgement of Evershed MR in Re Ellenborough Park (1956), an easement must have four elements </w:t>
      </w:r>
      <w:r w:rsidRPr="16F0E856" w:rsidR="1A92275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in which the right </w:t>
      </w:r>
      <w:r w:rsidRPr="16F0E856" w:rsidR="1A92275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can be confirmed</w:t>
      </w:r>
      <w:r w:rsidRPr="16F0E856" w:rsidR="20F8BD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. It is </w:t>
      </w:r>
      <w:r w:rsidRPr="16F0E856" w:rsidR="20F8BD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stated</w:t>
      </w:r>
      <w:r w:rsidRPr="16F0E856" w:rsidR="20F8BD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that; there needs to be </w:t>
      </w:r>
      <w:r w:rsidRPr="16F0E856" w:rsidR="20F8BD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16F0E856" w:rsidR="73B26CC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20F8BDB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dominant and servient tenement, the easement needs to suit the dominant tenement, both the dominant and servient tene</w:t>
      </w:r>
      <w:r w:rsidRPr="16F0E856" w:rsidR="0B92F71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ment are not to be owned by the same person, and the easement needs to be </w:t>
      </w:r>
      <w:r w:rsidRPr="16F0E856" w:rsidR="30D1A4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capable of being written within a deed</w:t>
      </w:r>
      <w:r w:rsidRPr="16F0E856" w:rsidR="6F768A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6F768A1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(Tanfield Chambers, 2016). 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judgement of Evershed MR in Re Ellenborough Park (1956) is 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a great</w:t>
      </w:r>
      <w:r w:rsidRPr="16F0E856" w:rsidR="34557AC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example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to use 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in order to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identify</w:t>
      </w:r>
      <w:r w:rsidRPr="16F0E856" w:rsidR="16D41C0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what type of characteristics are needed for an easement to be confirmed. </w:t>
      </w:r>
      <w:r w:rsidRPr="16F0E856" w:rsidR="1A0E83C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More specifically, each one of these characteristics can be worded in such </w:t>
      </w:r>
      <w:r w:rsidRPr="16F0E856" w:rsidR="4EB72D7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a way as</w:t>
      </w:r>
      <w:r w:rsidRPr="16F0E856" w:rsidR="1A0E83C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to </w:t>
      </w:r>
      <w:r w:rsidRPr="16F0E856" w:rsidR="1A0E83C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establish</w:t>
      </w:r>
      <w:r w:rsidRPr="16F0E856" w:rsidR="1A0E83C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6F0E856" w:rsidR="3ABC112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the possibility in which a vehicle can park on another person's land.</w:t>
      </w:r>
      <w:r w:rsidRPr="16F0E856" w:rsidR="550308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370BB067" w:rsidP="16F0E856" w:rsidRDefault="370BB067" w14:paraId="371ABEEF" w14:textId="0606B6E5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  <w:r w:rsidRPr="16F0E856" w:rsidR="36AF516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With </w:t>
      </w:r>
      <w:r w:rsidRPr="16F0E856" w:rsidR="4C11A83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regards to</w:t>
      </w:r>
      <w:r w:rsidRPr="16F0E856" w:rsidR="36AF516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the necessity of a dominant and servient tenement being present, parking a vehicle can on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ly be possible if there is a piece of lan</w:t>
      </w:r>
      <w:r w:rsidRPr="16F0E856" w:rsidR="062F9CA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d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that could allow a </w:t>
      </w:r>
      <w:r w:rsidRPr="16F0E856" w:rsidR="71A3D5CD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vehicle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to park </w:t>
      </w:r>
      <w:r w:rsidRPr="16F0E856" w:rsidR="554C81C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stationary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with </w:t>
      </w:r>
      <w:r w:rsidRPr="16F0E856" w:rsidR="153FEB81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presumably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way in which </w:t>
      </w:r>
      <w:r w:rsidRPr="16F0E856" w:rsidR="32FEF09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the vehicle 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can access </w:t>
      </w:r>
      <w:r w:rsidRPr="16F0E856" w:rsidR="44839E38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it</w:t>
      </w:r>
      <w:r w:rsidRPr="16F0E856" w:rsidR="3048BA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.</w:t>
      </w:r>
      <w:bookmarkStart w:name="_Int_sOOesZGT" w:id="464095720"/>
      <w:r w:rsidRPr="16F0E856" w:rsidR="18F96FB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bookmarkStart w:name="_Int_UfW7Bsty" w:id="746611536"/>
      <w:r w:rsidRPr="16F0E856" w:rsidR="4BA6A577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With the</w:t>
      </w:r>
      <w:bookmarkEnd w:id="746611536"/>
      <w:bookmarkEnd w:id="464095720"/>
      <w:r w:rsidRPr="16F0E856" w:rsidR="4BA6A577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land </w:t>
      </w:r>
      <w:r w:rsidRPr="16F0E856" w:rsidR="31CAB13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on</w:t>
      </w:r>
      <w:r w:rsidRPr="16F0E856" w:rsidR="4BA6A577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which the </w:t>
      </w:r>
      <w:r w:rsidRPr="16F0E856" w:rsidR="487A76D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parking area is </w:t>
      </w:r>
      <w:r w:rsidRPr="16F0E856" w:rsidR="40410C3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possible</w:t>
      </w:r>
      <w:r w:rsidRPr="16F0E856" w:rsidR="487A76D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can be granted to the dominant </w:t>
      </w:r>
      <w:r w:rsidRPr="16F0E856" w:rsidR="59E9CEB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tenement (</w:t>
      </w:r>
      <w:r w:rsidRPr="16F0E856" w:rsidR="62C16DD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where the dominant owner wants to park their vehicle)</w:t>
      </w:r>
      <w:r w:rsidRPr="16F0E856" w:rsidR="487A76D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.</w:t>
      </w:r>
      <w:r w:rsidRPr="16F0E856" w:rsidR="7D3B6A6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Furthermore, burdens or restrictions </w:t>
      </w:r>
      <w:r w:rsidRPr="16F0E856" w:rsidR="65312B9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and</w:t>
      </w:r>
      <w:r w:rsidRPr="16F0E856" w:rsidR="7D3B6A6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obligations over a piece of land can be created if the dominant </w:t>
      </w:r>
      <w:r w:rsidRPr="16F0E856" w:rsidR="7DBE2B4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tenement is not </w:t>
      </w:r>
      <w:r w:rsidRPr="16F0E856" w:rsidR="7DBE2B4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identified</w:t>
      </w:r>
      <w:r w:rsidRPr="16F0E856" w:rsidR="7DBE2B4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. It could create uncertainty as to whether what can be used as a parking area or not. </w:t>
      </w:r>
      <w:r w:rsidRPr="16F0E856" w:rsidR="0894EEA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Also,</w:t>
      </w:r>
      <w:r w:rsidRPr="16F0E856" w:rsidR="0894EEA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</w:t>
      </w:r>
      <w:r w:rsidRPr="16F0E856" w:rsidR="7F7822A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hese are particularly difficult to put </w:t>
      </w:r>
      <w:r w:rsidRPr="16F0E856" w:rsidR="7F7822A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in</w:t>
      </w:r>
      <w:r w:rsidRPr="16F0E856" w:rsidR="7F7822A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practice as by law, any future owner of the dominant tenement can use the easement for its exact purpose. </w:t>
      </w:r>
    </w:p>
    <w:p w:rsidR="16F0E856" w:rsidP="16F0E856" w:rsidRDefault="16F0E856" w14:paraId="5C217078" w14:textId="66FFAA57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</w:p>
    <w:p w:rsidR="370BB067" w:rsidP="16F0E856" w:rsidRDefault="370BB067" w14:paraId="5D3D935F" w14:textId="0DF5C56C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Easements for parking</w:t>
      </w:r>
      <w:r w:rsidRPr="6CA8D392" w:rsidR="73CE9C0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 vehicle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must be 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recognised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as </w:t>
      </w:r>
      <w:r w:rsidRPr="6CA8D392" w:rsidR="2FABFC0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a 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benefit for the dominant tenement. In hindsight, what is the need of the easement if it will not 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benefit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the person 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requiring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one.</w:t>
      </w:r>
      <w:r w:rsidRPr="6CA8D392" w:rsidR="307319E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6CA8D392" w:rsidR="26B4272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For example, property A does not have enough room for parking a </w:t>
      </w:r>
      <w:r w:rsidRPr="6CA8D392" w:rsidR="4FFA4E6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vehicle,</w:t>
      </w:r>
      <w:r w:rsidRPr="6CA8D392" w:rsidR="26B4272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but property B </w:t>
      </w:r>
      <w:r w:rsidRPr="6CA8D392" w:rsidR="70A7DBD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does</w:t>
      </w:r>
      <w:r w:rsidRPr="6CA8D392" w:rsidR="26B4272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. </w:t>
      </w:r>
      <w:r w:rsidRPr="6CA8D392" w:rsidR="4747007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An </w:t>
      </w:r>
      <w:r w:rsidRPr="6CA8D392" w:rsidR="26B4272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easement would consist of the owner of p</w:t>
      </w:r>
      <w:r w:rsidRPr="6CA8D392" w:rsidR="53AAAF3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roperty B allowing the owner of property A to park under </w:t>
      </w:r>
      <w:r w:rsidRPr="6CA8D392" w:rsidR="7F83D37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negotiation</w:t>
      </w:r>
      <w:r w:rsidRPr="6CA8D392" w:rsidR="53AAAF3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with it being </w:t>
      </w:r>
      <w:bookmarkStart w:name="_Int_6OqkJZRy" w:id="391924747"/>
      <w:r w:rsidRPr="6CA8D392" w:rsidR="53AAAF3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sufficient enough</w:t>
      </w:r>
      <w:bookmarkEnd w:id="391924747"/>
      <w:r w:rsidRPr="6CA8D392" w:rsidR="35B3576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. Under the example,</w:t>
      </w:r>
      <w:r w:rsidRPr="6CA8D392" w:rsidR="2B006D4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the word</w:t>
      </w:r>
      <w:r w:rsidRPr="6CA8D392" w:rsidR="35B3576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6CA8D392" w:rsidR="0F95280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‘</w:t>
      </w:r>
      <w:r w:rsidRPr="6CA8D392" w:rsidR="35B3576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sufficient</w:t>
      </w:r>
      <w:r w:rsidRPr="6CA8D392" w:rsidR="6192D13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’</w:t>
      </w:r>
      <w:r w:rsidRPr="6CA8D392" w:rsidR="35B3576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would mean that nothing would block</w:t>
      </w:r>
      <w:r w:rsidRPr="6CA8D392" w:rsidR="3DCEEF8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6CA8D392" w:rsidR="050C6E9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or restrict </w:t>
      </w:r>
      <w:r w:rsidRPr="6CA8D392" w:rsidR="3DCEEF8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the dominant tenement </w:t>
      </w:r>
      <w:r w:rsidRPr="6CA8D392" w:rsidR="6964B47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from</w:t>
      </w:r>
      <w:r w:rsidRPr="6CA8D392" w:rsidR="3DCEEF8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enjoying the easement</w:t>
      </w:r>
      <w:r w:rsidRPr="6CA8D392" w:rsidR="5BCB1738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, like a locked gate to the property or a vehicle</w:t>
      </w:r>
      <w:r w:rsidRPr="6CA8D392" w:rsidR="7126A6D8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being parked there already</w:t>
      </w:r>
      <w:r w:rsidRPr="6CA8D392" w:rsidR="5BCB1738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6CA8D392" w:rsidR="25B9FBF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(</w:t>
      </w:r>
      <w:r w:rsidRPr="6CA8D392" w:rsidR="2CEE54C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London and Blenheim Estates v Ladbroke Retail Parks, 1992).</w:t>
      </w:r>
    </w:p>
    <w:p w:rsidR="370BB067" w:rsidP="16F0E856" w:rsidRDefault="370BB067" w14:paraId="17F98E5A" w14:textId="084C84F8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  <w:r w:rsidRPr="16F0E856" w:rsidR="4C49EDA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The fact that there </w:t>
      </w:r>
      <w:r w:rsidRPr="16F0E856" w:rsidR="64269BBE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have</w:t>
      </w:r>
      <w:r w:rsidRPr="16F0E856" w:rsidR="4C49EDA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to be two different owners of the dominant and servient tenement is foreseen.</w:t>
      </w:r>
      <w:r w:rsidRPr="16F0E856" w:rsidR="4C49EDA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As it is pointless to make an easement over your own land.</w:t>
      </w:r>
      <w:r w:rsidRPr="16F0E856" w:rsidR="2870319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With regards to a </w:t>
      </w:r>
      <w:r w:rsidRPr="16F0E856" w:rsidR="376F61D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landlord</w:t>
      </w:r>
      <w:r w:rsidRPr="16F0E856" w:rsidR="2870319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and </w:t>
      </w:r>
      <w:r w:rsidRPr="16F0E856" w:rsidR="23E428D4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tenant</w:t>
      </w:r>
      <w:r w:rsidRPr="16F0E856" w:rsidR="2870319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1DBB68E8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situation</w:t>
      </w:r>
      <w:r w:rsidRPr="16F0E856" w:rsidR="2870319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. The ‘principle of diversity</w:t>
      </w:r>
      <w:r w:rsidRPr="16F0E856" w:rsidR="2F777CD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’</w:t>
      </w:r>
      <w:r w:rsidRPr="16F0E856" w:rsidR="2870319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would be sufficient as </w:t>
      </w:r>
      <w:r w:rsidRPr="16F0E856" w:rsidR="04B5BCF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landlord</w:t>
      </w:r>
      <w:r w:rsidRPr="16F0E856" w:rsidR="058B399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s </w:t>
      </w:r>
      <w:r w:rsidRPr="16F0E856" w:rsidR="2870319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can own a freehold interest and grant a lease for a </w:t>
      </w:r>
      <w:r w:rsidRPr="16F0E856" w:rsidR="64EBC7B1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tenant but</w:t>
      </w:r>
      <w:r w:rsidRPr="16F0E856" w:rsidR="491DBF0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can allow easements for parking a vehicle to an extra piece of land if there is not </w:t>
      </w:r>
      <w:bookmarkStart w:name="_Int_32yI7Ehg" w:id="5116351"/>
      <w:r w:rsidRPr="16F0E856" w:rsidR="491DBF0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sufficient amount of</w:t>
      </w:r>
      <w:bookmarkEnd w:id="5116351"/>
      <w:r w:rsidRPr="16F0E856" w:rsidR="491DBF0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land to do so. </w:t>
      </w:r>
    </w:p>
    <w:p w:rsidR="6B7CBE8C" w:rsidP="16F0E856" w:rsidRDefault="6B7CBE8C" w14:paraId="20E45EFC" w14:textId="3293A2CE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  <w:r w:rsidRPr="16F0E856" w:rsidR="6DB960C7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Finally, </w:t>
      </w:r>
      <w:r w:rsidRPr="16F0E856" w:rsidR="51DC858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b</w:t>
      </w:r>
      <w:r w:rsidRPr="16F0E856" w:rsidR="21F46D5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eing able to write an easement within a deed is a legal necessity under S1(2)(a) LPA </w:t>
      </w:r>
      <w:r w:rsidRPr="16F0E856" w:rsidR="462104F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(</w:t>
      </w:r>
      <w:r w:rsidRPr="16F0E856" w:rsidR="21F46D5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1925</w:t>
      </w:r>
      <w:r w:rsidRPr="16F0E856" w:rsidR="77C3C48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)</w:t>
      </w:r>
      <w:r w:rsidRPr="16F0E856" w:rsidR="07A317B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. It explains how the grantor must be capable of writing it within a deed if he has the power to do so. </w:t>
      </w:r>
      <w:r w:rsidRPr="16F0E856" w:rsidR="431BCE3E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Otherwise, the easement would be considered illegal. </w:t>
      </w:r>
      <w:r w:rsidRPr="16F0E856" w:rsidR="37D4077E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With regards parking a vehicle. There must be four criteria met </w:t>
      </w:r>
      <w:r w:rsidRPr="16F0E856" w:rsidR="37D4077E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in order to</w:t>
      </w:r>
      <w:r w:rsidRPr="16F0E856" w:rsidR="37D4077E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achieve this capability.</w:t>
      </w:r>
      <w:r w:rsidRPr="16F0E856" w:rsidR="3989093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4D0BD36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Firstly, t</w:t>
      </w:r>
      <w:r w:rsidRPr="16F0E856" w:rsidR="3989093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he easement for the parking must clearly define what land the dominant owner can use and </w:t>
      </w:r>
      <w:r w:rsidRPr="16F0E856" w:rsidR="0D93B50E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should not be too vague as outlined in Harris v De Pinna (1886)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.</w:t>
      </w:r>
      <w:r w:rsidRPr="16F0E856" w:rsidR="38A7409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The parking easement cannot include any </w:t>
      </w:r>
      <w:r w:rsidRPr="16F0E856" w:rsidR="18B27F47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further 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cost</w:t>
      </w:r>
      <w:r w:rsidRPr="16F0E856" w:rsidR="619B313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4B178E8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from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the servient owner</w:t>
      </w:r>
      <w:r w:rsidRPr="16F0E856" w:rsidR="6B4EC20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and could be considered inconsistent</w:t>
      </w:r>
      <w:r w:rsidRPr="16F0E856" w:rsidR="58539A2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or pointless</w:t>
      </w:r>
      <w:r w:rsidRPr="16F0E856" w:rsidR="6B4EC20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if the servient owner would have to fund the parking </w:t>
      </w:r>
      <w:r w:rsidRPr="16F0E856" w:rsidR="5B5694B7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for</w:t>
      </w:r>
      <w:r w:rsidRPr="16F0E856" w:rsidR="6B4EC20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the dominant owner</w:t>
      </w:r>
      <w:r w:rsidRPr="16F0E856" w:rsidR="0B0954A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(Rance v Elvin 1985). </w:t>
      </w:r>
      <w:r w:rsidRPr="16F0E856" w:rsidR="5B37CA8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For example, </w:t>
      </w:r>
      <w:r w:rsidRPr="16F0E856" w:rsidR="589F310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a servient owner paying a lease over a piece of land that the dominant owner can park their vehicle, but the dominant owner does not contribute to that cost, </w:t>
      </w:r>
      <w:r w:rsidRPr="16F0E856" w:rsidR="589F310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ultimately parking</w:t>
      </w:r>
      <w:r w:rsidRPr="16F0E856" w:rsidR="589F3100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for free</w:t>
      </w:r>
      <w:r w:rsidRPr="16F0E856" w:rsidR="3134585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or </w:t>
      </w:r>
      <w:r w:rsidRPr="16F0E856" w:rsidR="2923DE3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have </w:t>
      </w:r>
      <w:r w:rsidRPr="16F0E856" w:rsidR="3134585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exclusive possession (</w:t>
      </w:r>
      <w:r w:rsidRPr="16F0E856" w:rsidR="31345859">
        <w:rPr>
          <w:rFonts w:ascii="Arial" w:hAnsi="Arial" w:eastAsia="Arial" w:cs="Arial"/>
          <w:b w:val="0"/>
          <w:bCs w:val="0"/>
          <w:noProof w:val="0"/>
          <w:color w:val="1D243C"/>
          <w:sz w:val="24"/>
          <w:szCs w:val="24"/>
          <w:lang w:val="en-US"/>
        </w:rPr>
        <w:t>Batchelor v Marlow, 2003).</w:t>
      </w:r>
      <w:r w:rsidRPr="16F0E856" w:rsidR="608BA911">
        <w:rPr>
          <w:rFonts w:ascii="Arial" w:hAnsi="Arial" w:eastAsia="Arial" w:cs="Arial"/>
          <w:b w:val="0"/>
          <w:bCs w:val="0"/>
          <w:noProof w:val="0"/>
          <w:color w:val="1D243C"/>
          <w:sz w:val="24"/>
          <w:szCs w:val="24"/>
          <w:lang w:val="en-US"/>
        </w:rPr>
        <w:t xml:space="preserve"> </w:t>
      </w:r>
      <w:r w:rsidRPr="16F0E856" w:rsidR="57DCC6D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The </w:t>
      </w:r>
      <w:r w:rsidRPr="16F0E856" w:rsidR="39E56F0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ouster</w:t>
      </w:r>
      <w:r w:rsidRPr="16F0E856" w:rsidR="57DCC6D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principle suggests that the servient owner cannot be </w:t>
      </w:r>
      <w:r w:rsidRPr="16F0E856" w:rsidR="7CC4F1D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completely</w:t>
      </w:r>
      <w:r w:rsidRPr="16F0E856" w:rsidR="57DCC6D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excluded from using their land when granting an easement for the dominant tenement. </w:t>
      </w:r>
      <w:r w:rsidRPr="16F0E856" w:rsidR="3338A31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Essentially</w:t>
      </w:r>
      <w:r w:rsidRPr="16F0E856" w:rsidR="57DCC6D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, the</w:t>
      </w:r>
      <w:r w:rsidRPr="16F0E856" w:rsidR="57DCC6D6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easement </w:t>
      </w:r>
      <w:r w:rsidRPr="16F0E856" w:rsidR="1F9E780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cannot be the right to permanently give away the </w:t>
      </w:r>
      <w:r w:rsidRPr="16F0E856" w:rsidR="77390E7D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servient</w:t>
      </w:r>
      <w:r w:rsidRPr="16F0E856" w:rsidR="1F9E780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tenement to the dominant </w:t>
      </w:r>
      <w:r w:rsidRPr="16F0E856" w:rsidR="1D93EC28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tenement</w:t>
      </w:r>
      <w:r w:rsidRPr="16F0E856" w:rsidR="1F9E780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3DAE6CE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(</w:t>
      </w:r>
      <w:r w:rsidRPr="16F0E856" w:rsidR="1189E21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LexisNexis, 2023</w:t>
      </w:r>
      <w:r w:rsidRPr="16F0E856" w:rsidR="3DAE6CEB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)</w:t>
      </w:r>
      <w:r w:rsidRPr="16F0E856" w:rsidR="4918DC6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.</w:t>
      </w:r>
      <w:r w:rsidRPr="16F0E856" w:rsidR="29A8105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</w:t>
      </w:r>
      <w:r w:rsidRPr="16F0E856" w:rsidR="29A8105C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Finally, t</w:t>
      </w:r>
      <w:r w:rsidRPr="16F0E856" w:rsidR="1D962AE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he law is </w:t>
      </w:r>
      <w:r w:rsidRPr="16F0E856" w:rsidR="1D962AE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very careful</w:t>
      </w:r>
      <w:r w:rsidRPr="16F0E856" w:rsidR="1D962AE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when it comes to a claim of a negative easement as it could cause problems for the servient owner.</w:t>
      </w:r>
      <w:r w:rsidRPr="16F0E856" w:rsidR="1D962AE9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With regards parking, a nega</w:t>
      </w:r>
      <w:r w:rsidRPr="16F0E856" w:rsidR="590EE175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tive easement would stop the servient owner from using the land granted to a certain extent. For example, building something on the property where a </w:t>
      </w:r>
      <w:r w:rsidRPr="16F0E856" w:rsidR="26B2F6EA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vehicle might park.</w:t>
      </w:r>
      <w:r w:rsidRPr="16F0E856" w:rsidR="4D42E89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This ca</w:t>
      </w:r>
      <w:r w:rsidRPr="16F0E856" w:rsidR="5ED9467F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n also relate to</w:t>
      </w:r>
      <w:r w:rsidRPr="16F0E856" w:rsidR="4D42E893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 xml:space="preserve"> the ouster principle as it restricts the main owner </w:t>
      </w:r>
      <w:r w:rsidRPr="16F0E856" w:rsidR="269AF7B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from using their land. (</w:t>
      </w:r>
      <w:r w:rsidRPr="16F0E856" w:rsidR="19EC4562"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  <w:t>LexisNexis, 2023).</w:t>
      </w:r>
    </w:p>
    <w:p w:rsidR="50699FDA" w:rsidP="16F0E856" w:rsidRDefault="50699FDA" w14:paraId="7AEB706F" w14:textId="73C59B15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</w:p>
    <w:p w:rsidR="50699FDA" w:rsidP="16F0E856" w:rsidRDefault="50699FDA" w14:paraId="34FCD294" w14:textId="090C5CEC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</w:p>
    <w:p w:rsidR="50699FDA" w:rsidP="16F0E856" w:rsidRDefault="50699FDA" w14:paraId="65090EC8" w14:textId="5C4C5288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</w:p>
    <w:p w:rsidR="50699FDA" w:rsidP="16F0E856" w:rsidRDefault="50699FDA" w14:paraId="32E871A5" w14:textId="0B66C7BE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</w:p>
    <w:p w:rsidR="50699FDA" w:rsidP="16F0E856" w:rsidRDefault="50699FDA" w14:paraId="3558B922" w14:textId="0686C5EC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</w:p>
    <w:p w:rsidR="50699FDA" w:rsidP="16F0E856" w:rsidRDefault="50699FDA" w14:paraId="21FCA8B6" w14:textId="0F195807">
      <w:pPr>
        <w:pStyle w:val="Normal"/>
        <w:spacing w:line="480" w:lineRule="auto"/>
        <w:ind w:left="0"/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</w:pPr>
    </w:p>
    <w:p w:rsidR="50699FDA" w:rsidP="16F0E856" w:rsidRDefault="50699FDA" w14:paraId="522CAF41" w14:textId="19BE1B98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color w:val="263050"/>
          <w:sz w:val="24"/>
          <w:szCs w:val="24"/>
          <w:lang w:val="en-US"/>
        </w:rPr>
      </w:pPr>
      <w:r w:rsidRPr="16F0E856" w:rsidR="551C4ED4">
        <w:rPr>
          <w:rFonts w:ascii="Arial" w:hAnsi="Arial" w:eastAsia="Arial" w:cs="Arial"/>
          <w:b w:val="1"/>
          <w:bCs w:val="1"/>
          <w:noProof w:val="0"/>
          <w:sz w:val="36"/>
          <w:szCs w:val="36"/>
          <w:u w:val="single"/>
          <w:lang w:val="en-US"/>
        </w:rPr>
        <w:t>PART 2: SCENARIO QUESTION</w:t>
      </w:r>
    </w:p>
    <w:p w:rsidR="50699FDA" w:rsidP="16F0E856" w:rsidRDefault="50699FDA" w14:paraId="4023D40B" w14:textId="598808ED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238AD8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property law, it is necessary to understand</w:t>
      </w:r>
      <w:r w:rsidRPr="16F0E856" w:rsidR="1A6E0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 property </w:t>
      </w:r>
      <w:r w:rsidRPr="16F0E856" w:rsidR="7E4BFC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can </w:t>
      </w:r>
      <w:r w:rsidRPr="16F0E856" w:rsidR="1A6E0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be sold as and what can be considered as </w:t>
      </w:r>
      <w:r w:rsidRPr="16F0E856" w:rsidR="345B32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personal item</w:t>
      </w:r>
      <w:r w:rsidRPr="16F0E856" w:rsidR="1A6E0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610322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order to</w:t>
      </w:r>
      <w:r w:rsidRPr="16F0E856" w:rsidR="1A6E0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avoid confusion</w:t>
      </w:r>
      <w:r w:rsidRPr="16F0E856" w:rsidR="1A6E0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to whether what is part of the</w:t>
      </w:r>
      <w:r w:rsidRPr="16F0E856" w:rsidR="1427BC0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property</w:t>
      </w:r>
      <w:r w:rsidRPr="16F0E856" w:rsidR="1A6E0C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or not.</w:t>
      </w:r>
      <w:r w:rsidRPr="16F0E856" w:rsidR="1CB9DB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1CB9DB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With regards to this case, it is important to underline key facts and terminology that can allow understanding as to whether Harrison is permitted to remove </w:t>
      </w:r>
      <w:r w:rsidRPr="16F0E856" w:rsidR="1CB9DB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valuable</w:t>
      </w:r>
      <w:r w:rsidRPr="16F0E856" w:rsidR="1CB9DB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13ADA5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items</w:t>
      </w:r>
      <w:r w:rsidRPr="16F0E856" w:rsidR="1CB9DB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within the house.</w:t>
      </w:r>
      <w:r w:rsidRPr="16F0E856" w:rsidR="1CB9DB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can be achieved by understanding </w:t>
      </w:r>
      <w:r w:rsidRPr="16F0E856" w:rsidR="4939DC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what vacant possessions are</w:t>
      </w:r>
      <w:r w:rsidRPr="16F0E856" w:rsidR="401D10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6F0E856" w:rsidR="288C4E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well as what </w:t>
      </w:r>
      <w:r w:rsidRPr="16F0E856" w:rsidR="1AAE22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forms</w:t>
      </w:r>
      <w:r w:rsidRPr="16F0E856" w:rsidR="288C4E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chattel</w:t>
      </w:r>
      <w:r w:rsidRPr="16F0E856" w:rsidR="48EB39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a fixture</w:t>
      </w:r>
      <w:r w:rsidRPr="16F0E856" w:rsidR="288C4E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6F0E856" w:rsidR="238AD8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2F45FC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50699FDA" w:rsidP="16F0E856" w:rsidRDefault="50699FDA" w14:paraId="5A691650" w14:textId="6B8DCF9C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6DF344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Firstly</w:t>
      </w:r>
      <w:r w:rsidRPr="16F0E856" w:rsidR="6DF344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it is describe</w:t>
      </w:r>
      <w:r w:rsidRPr="16F0E856" w:rsidR="4683A6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</w:t>
      </w:r>
      <w:r w:rsidRPr="16F0E856" w:rsidR="6DF344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6DF344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that Harrison</w:t>
      </w:r>
      <w:r w:rsidRPr="16F0E856" w:rsidR="3DB249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wants to sell</w:t>
      </w:r>
      <w:r w:rsidRPr="16F0E856" w:rsidR="6DF344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property </w:t>
      </w:r>
      <w:r w:rsidRPr="16F0E856" w:rsidR="1A659A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a</w:t>
      </w:r>
      <w:r w:rsidRPr="16F0E856" w:rsidR="6DF344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vacant possession. </w:t>
      </w:r>
      <w:r w:rsidRPr="16F0E856" w:rsidR="4D40377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vacant possession refers to the property and its condition during the process of a sale. It suggests that</w:t>
      </w:r>
      <w:r w:rsidRPr="16F0E856" w:rsidR="43B4A2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must be empty </w:t>
      </w:r>
      <w:r w:rsidRPr="16F0E856" w:rsidR="327C3E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of</w:t>
      </w:r>
      <w:r w:rsidRPr="16F0E856" w:rsidR="43B4A2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any occupation</w:t>
      </w:r>
      <w:r w:rsidRPr="16F0E856" w:rsidR="0EB2DF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tenant</w:t>
      </w:r>
      <w:r w:rsidRPr="16F0E856" w:rsidR="352B6B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6F0E856" w:rsidR="43B4A2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items, or anything that could restrict the buyer f</w:t>
      </w:r>
      <w:r w:rsidRPr="16F0E856" w:rsidR="3DD23E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rom entering or enjoying the property for their own use.</w:t>
      </w:r>
      <w:r w:rsidRPr="16F0E856" w:rsidR="5F5760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Properties </w:t>
      </w:r>
      <w:r w:rsidRPr="16F0E856" w:rsidR="237D0E7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that </w:t>
      </w:r>
      <w:r w:rsidRPr="16F0E856" w:rsidR="5F5760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are sold in vacant </w:t>
      </w:r>
      <w:r w:rsidRPr="16F0E856" w:rsidR="5F5760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possession</w:t>
      </w:r>
      <w:r w:rsidRPr="16F0E856" w:rsidR="5F5760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239CB6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ensure</w:t>
      </w:r>
      <w:r w:rsidRPr="16F0E856" w:rsidR="5F5760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smooth transaction between the seller and the buyer </w:t>
      </w:r>
      <w:r w:rsidRPr="16F0E856" w:rsidR="712123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</w:t>
      </w:r>
      <w:r w:rsidRPr="16F0E856" w:rsidR="712123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r w:rsidRPr="16F0E856" w:rsidR="1D9AAA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property</w:t>
      </w:r>
      <w:r w:rsidRPr="16F0E856" w:rsidR="1D9AAA3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being empty is the bare minimum a buyer would expect</w:t>
      </w:r>
      <w:r w:rsidRPr="16F0E856" w:rsidR="778AF6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(LexisNexis, 2023).</w:t>
      </w:r>
    </w:p>
    <w:p w:rsidR="50699FDA" w:rsidP="16F0E856" w:rsidRDefault="50699FDA" w14:paraId="0218873B" w14:textId="27EF7A47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4F920B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term ‘chattel’ </w:t>
      </w:r>
      <w:r w:rsidRPr="16F0E856" w:rsidR="656DCA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refers</w:t>
      </w:r>
      <w:r w:rsidRPr="16F0E856" w:rsidR="4F920B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any </w:t>
      </w:r>
      <w:r w:rsidRPr="16F0E856" w:rsidR="215C7A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personal</w:t>
      </w:r>
      <w:r w:rsidRPr="16F0E856" w:rsidR="4F920B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125D4A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belonging</w:t>
      </w:r>
      <w:r w:rsidRPr="16F0E856" w:rsidR="4F920B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can be considered moveable and is not permanently affixed to or any parts of the land or structure within the property. For exampl</w:t>
      </w:r>
      <w:r w:rsidRPr="16F0E856" w:rsidR="1A7F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e, objects such as furniture or clothing can be considered as a chattel as nothing is physically holding it to the </w:t>
      </w:r>
      <w:r w:rsidRPr="16F0E856" w:rsidR="255C02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property</w:t>
      </w:r>
      <w:r w:rsidRPr="16F0E856" w:rsidR="1A7F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6F0E856" w:rsidR="297812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Chattels'</w:t>
      </w:r>
      <w:r w:rsidRPr="16F0E856" w:rsidR="11631E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3EDDD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only characteristic is their mobility and </w:t>
      </w:r>
      <w:r w:rsidRPr="16F0E856" w:rsidR="3EDDD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identifying</w:t>
      </w:r>
      <w:r w:rsidRPr="16F0E856" w:rsidR="3EDDD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mobility can consist of </w:t>
      </w:r>
      <w:r w:rsidRPr="16F0E856" w:rsidR="47EC6B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 person</w:t>
      </w:r>
      <w:r w:rsidRPr="16F0E856" w:rsidR="3EDDD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3EDDD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being able to physically move</w:t>
      </w:r>
    </w:p>
    <w:p w:rsidR="50699FDA" w:rsidP="16F0E856" w:rsidRDefault="50699FDA" w14:paraId="3BA262F3" w14:textId="5C33B604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3EDDD9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object </w:t>
      </w:r>
      <w:r w:rsidRPr="16F0E856" w:rsidR="6C4864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whenever they please. </w:t>
      </w:r>
      <w:r w:rsidRPr="16F0E856" w:rsidR="4D51CE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It is fundamental to understand what can be considered as a chattel </w:t>
      </w:r>
      <w:r w:rsidRPr="16F0E856" w:rsidR="4A9B98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from</w:t>
      </w:r>
      <w:r w:rsidRPr="16F0E856" w:rsidR="4D51CE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any other property types due to ownership rights and legal responsib</w:t>
      </w:r>
      <w:r w:rsidRPr="16F0E856" w:rsidR="3F53D2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ilities</w:t>
      </w:r>
      <w:r w:rsidRPr="16F0E856" w:rsidR="46E40E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(Morrish Solicitors, 2016).</w:t>
      </w:r>
    </w:p>
    <w:p w:rsidR="50699FDA" w:rsidP="16F0E856" w:rsidRDefault="50699FDA" w14:paraId="05271F58" w14:textId="09A7058B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6876465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 the other hand, fixtures </w:t>
      </w:r>
      <w:r w:rsidRPr="16F0E856" w:rsidR="703E5A8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include chattels but instead of them being moveable, </w:t>
      </w:r>
      <w:r w:rsidRPr="16F0E856" w:rsidR="2900DB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fixtures consist of any object that is permanently fixed or attached to any parts of the property</w:t>
      </w:r>
      <w:r w:rsidRPr="16F0E856" w:rsidR="1B02DF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bookmarkStart w:name="_Int_rdra0fQo" w:id="1992760713"/>
      <w:r w:rsidRPr="16F0E856" w:rsidR="1B02DF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 this in mind, anything</w:t>
      </w:r>
      <w:bookmarkEnd w:id="1992760713"/>
      <w:r w:rsidRPr="16F0E856" w:rsidR="1B02DF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is considered a </w:t>
      </w:r>
      <w:r w:rsidRPr="16F0E856" w:rsidR="46F8334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fixture</w:t>
      </w:r>
      <w:r w:rsidRPr="16F0E856" w:rsidR="1B02DF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 be considered a part of the p</w:t>
      </w:r>
      <w:r w:rsidRPr="16F0E856" w:rsidR="3E9578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roperty. </w:t>
      </w:r>
      <w:r w:rsidRPr="16F0E856" w:rsidR="5C6A0D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Set under Holland v Hodgson (1872), </w:t>
      </w:r>
      <w:r w:rsidRPr="16F0E856" w:rsidR="5C6A0D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16F0E856" w:rsidR="0EE206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stablishing</w:t>
      </w:r>
      <w:r w:rsidRPr="16F0E856" w:rsidR="0EE206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whether an object is a fixture involves </w:t>
      </w:r>
      <w:r w:rsidRPr="16F0E856" w:rsidR="0B15971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consideration of </w:t>
      </w:r>
      <w:r w:rsidRPr="16F0E856" w:rsidR="0EE206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degree</w:t>
      </w:r>
      <w:r w:rsidRPr="16F0E856" w:rsidR="1DC5282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annexation</w:t>
      </w:r>
      <w:r w:rsidRPr="16F0E856" w:rsidR="35F4CC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6F0E856" w:rsidR="35F4CC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adaptabilit</w:t>
      </w:r>
      <w:r w:rsidRPr="16F0E856" w:rsidR="35F4CC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y to the land and </w:t>
      </w:r>
      <w:r w:rsidRPr="16F0E856" w:rsidR="6888C6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purpose of annexation</w:t>
      </w:r>
      <w:r w:rsidRPr="16F0E856" w:rsidR="3686412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6F0E856" w:rsidR="470446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term ‘annexation’ refers to the act of an object being fitted to a property. For example, screws or bolts can be consider</w:t>
      </w:r>
      <w:r w:rsidRPr="16F0E856" w:rsidR="0B8B90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ed an annexation of a door to a house. </w:t>
      </w:r>
      <w:r w:rsidRPr="16F0E856" w:rsidR="0B8B90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degree of annexation</w:t>
      </w:r>
      <w:r w:rsidRPr="16F0E856" w:rsidR="714499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724D1D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is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extent </w:t>
      </w:r>
      <w:r w:rsidRPr="16F0E856" w:rsidR="38FA6D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which an object is physically attached to the land or structure.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Essentially, the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0610BB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firmer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 item is attached, the higher the probability of it being considered a fi</w:t>
      </w:r>
      <w:r w:rsidRPr="16F0E856" w:rsidR="49FF3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xture</w:t>
      </w:r>
      <w:r w:rsidRPr="16F0E856" w:rsidR="7E8D26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6F0E856" w:rsidR="4F5D6A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Adaptability to the land considers </w:t>
      </w:r>
      <w:r w:rsidRPr="16F0E856" w:rsidR="272453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idea whether an object has been adapted or changed in such way that it </w:t>
      </w:r>
      <w:r w:rsidRPr="16F0E856" w:rsidR="7D0A429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holds</w:t>
      </w:r>
      <w:r w:rsidRPr="16F0E856" w:rsidR="272453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specific feature or function for the property and that if </w:t>
      </w:r>
      <w:r w:rsidRPr="16F0E856" w:rsidR="75F48C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such change suits the property correctly, it may as well be viewed as part of </w:t>
      </w:r>
      <w:r w:rsidRPr="16F0E856" w:rsidR="67F690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it.</w:t>
      </w:r>
      <w:r w:rsidRPr="16F0E856" w:rsidR="4F6D95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Lastly</w:t>
      </w:r>
      <w:r w:rsidRPr="16F0E856" w:rsidR="3BAF27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6F0E856" w:rsidR="33168D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purpose of </w:t>
      </w:r>
      <w:r w:rsidRPr="16F0E856" w:rsidR="46A082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annexation refers</w:t>
      </w:r>
      <w:r w:rsidRPr="16F0E856" w:rsidR="33168D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 the </w:t>
      </w:r>
      <w:r w:rsidRPr="16F0E856" w:rsidR="579B74A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owner's</w:t>
      </w:r>
      <w:r w:rsidRPr="16F0E856" w:rsidR="33168D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intention behind it. If the owner who</w:t>
      </w:r>
      <w:r w:rsidRPr="16F0E856" w:rsidR="71BB73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annexed the object to the property wanted it to be a part of </w:t>
      </w:r>
      <w:r w:rsidRPr="16F0E856" w:rsidR="21DE29D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</w:t>
      </w:r>
      <w:r w:rsidRPr="16F0E856" w:rsidR="71BB73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 it is more likely that it is a fixture</w:t>
      </w:r>
      <w:r w:rsidRPr="16F0E856" w:rsidR="0371E6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16F0E856" w:rsidR="0371E6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Elitestone</w:t>
      </w:r>
      <w:r w:rsidRPr="16F0E856" w:rsidR="0371E69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Ltd v Morris, 1997)</w:t>
      </w:r>
      <w:r w:rsidRPr="16F0E856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6F0E856" w:rsidR="7B5BB0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conclude, t</w:t>
      </w:r>
      <w:r w:rsidRPr="16F0E856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he information </w:t>
      </w:r>
      <w:r w:rsidRPr="16F0E856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stated</w:t>
      </w:r>
      <w:r w:rsidRPr="16F0E856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can be used and applied in the case of Olivia and what can be taken away from her future property. </w:t>
      </w:r>
    </w:p>
    <w:p w:rsidR="50699FDA" w:rsidP="16F0E856" w:rsidRDefault="50699FDA" w14:paraId="565F6331" w14:textId="2078BAA7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6CA8D392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With regards to the marble statue of adonis, the text specifies that it is </w:t>
      </w:r>
      <w:r w:rsidRPr="6CA8D392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made out of</w:t>
      </w:r>
      <w:r w:rsidRPr="6CA8D392" w:rsidR="6ABC082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marble and that Harrison cemented it to the ground to prevent anyone from stealing it. The key </w:t>
      </w:r>
      <w:r w:rsidRPr="6CA8D392" w:rsidR="02FBE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distinction </w:t>
      </w:r>
      <w:r w:rsidRPr="6CA8D392" w:rsidR="1C81EA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 to</w:t>
      </w:r>
      <w:r w:rsidRPr="6CA8D392" w:rsidR="02FBE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whether the statue can be classed as a fixture or chattel is in the idea that it is </w:t>
      </w:r>
      <w:r w:rsidRPr="6CA8D392" w:rsidR="693051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made from</w:t>
      </w:r>
      <w:r w:rsidRPr="6CA8D392" w:rsidR="02FBE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marble and that it is cemented to the ground. The fact that </w:t>
      </w:r>
      <w:r w:rsidRPr="6CA8D392" w:rsidR="762EC0C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it is made from marble suggests that the statue is of high value and that Harrison cementing it to the ground suggests that he had the direct intention to </w:t>
      </w:r>
      <w:r w:rsidRPr="6CA8D392" w:rsidR="31A777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affix it from being stolen. In hindsight, suggesting it is a fixture. However, it is not specified the s</w:t>
      </w:r>
      <w:r w:rsidRPr="6CA8D392" w:rsidR="583768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ize of the statue. The fact the Harrison had the suspicion of it being stolen suggests that the ordinary person could </w:t>
      </w:r>
      <w:r w:rsidRPr="6CA8D392" w:rsidR="583768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essentially pick</w:t>
      </w:r>
      <w:r w:rsidRPr="6CA8D392" w:rsidR="583768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up and take it. Furthermore, the fact that he had </w:t>
      </w:r>
      <w:r w:rsidRPr="6CA8D392" w:rsidR="470D3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purchased</w:t>
      </w:r>
      <w:r w:rsidRPr="6CA8D392" w:rsidR="470D3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statue in </w:t>
      </w:r>
      <w:r w:rsidRPr="6CA8D392" w:rsidR="3C39C9A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France</w:t>
      </w:r>
      <w:r w:rsidRPr="6CA8D392" w:rsidR="470D3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somehow transported it </w:t>
      </w:r>
      <w:r w:rsidRPr="6CA8D392" w:rsidR="3703C63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to the </w:t>
      </w:r>
      <w:r w:rsidRPr="6CA8D392" w:rsidR="27D536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cottage</w:t>
      </w:r>
      <w:r w:rsidRPr="6CA8D392" w:rsidR="470D3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CA8D392" w:rsidR="470D3D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suggests that it is small enough to carry it on person. By using common knowledge, the ordinary person would assume that the statue would be large and heavy </w:t>
      </w:r>
      <w:r w:rsidRPr="6CA8D392" w:rsidR="7C1F5E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making it </w:t>
      </w:r>
      <w:r w:rsidRPr="6CA8D392" w:rsidR="648E9C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merely</w:t>
      </w:r>
      <w:r w:rsidRPr="6CA8D392" w:rsidR="7C1F5E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impossible to pick it up without equipment. </w:t>
      </w:r>
      <w:bookmarkStart w:name="_Int_KyKWARa9" w:id="836258365"/>
      <w:r w:rsidRPr="6CA8D392" w:rsidR="7C1F5E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Him</w:t>
      </w:r>
      <w:bookmarkEnd w:id="836258365"/>
      <w:r w:rsidRPr="6CA8D392" w:rsidR="7C1F5E2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cementing it solidifies the idea that it is a fixture as it would be difficult to remove the </w:t>
      </w:r>
      <w:r w:rsidRPr="6CA8D392" w:rsidR="5AED9E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cemented statue without causing damage to itself and the ground around it</w:t>
      </w:r>
      <w:r w:rsidRPr="6CA8D392" w:rsidR="0AF55E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(Webb v Frank Bevis, 1940)</w:t>
      </w:r>
      <w:r w:rsidRPr="6CA8D392" w:rsidR="0AF55E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 </w:t>
      </w:r>
    </w:p>
    <w:p w:rsidR="50699FDA" w:rsidP="16F0E856" w:rsidRDefault="50699FDA" w14:paraId="062DABB1" w14:textId="556DA1F4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785EE1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Once again it is not specified the exact size of the </w:t>
      </w:r>
      <w:r w:rsidRPr="16F0E856" w:rsidR="368DCD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terracotta</w:t>
      </w:r>
      <w:r w:rsidRPr="16F0E856" w:rsidR="785EE1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plant pots. </w:t>
      </w:r>
      <w:r w:rsidRPr="16F0E856" w:rsidR="785EE1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Assuming that they are of regular size and weight, it is safe to assume that it is a chattel.</w:t>
      </w:r>
      <w:r w:rsidRPr="16F0E856" w:rsidR="785EE1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785EE1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This is due to the fact that an ordinary person can </w:t>
      </w:r>
      <w:r w:rsidRPr="16F0E856" w:rsidR="2D7101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pick it up and move it around.</w:t>
      </w:r>
      <w:r w:rsidRPr="16F0E856" w:rsidR="2D7101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However, the text specifies that the </w:t>
      </w:r>
      <w:r w:rsidRPr="16F0E856" w:rsidR="56EB18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terracotta</w:t>
      </w:r>
      <w:r w:rsidRPr="16F0E856" w:rsidR="2D7101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pots have ivy growing from and up the wall and</w:t>
      </w:r>
      <w:r w:rsidRPr="16F0E856" w:rsidR="091312F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around a</w:t>
      </w:r>
      <w:r w:rsidRPr="16F0E856" w:rsidR="2D7101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2D7101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bifold door. This suggests that they hold significant</w:t>
      </w:r>
      <w:r w:rsidRPr="16F0E856" w:rsidR="5057C2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value </w:t>
      </w:r>
      <w:r w:rsidRPr="16F0E856" w:rsidR="2E3BCD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</w:t>
      </w:r>
      <w:r w:rsidRPr="16F0E856" w:rsidR="5057C2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</w:t>
      </w:r>
      <w:r w:rsidRPr="16F0E856" w:rsidR="0D8E3FE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property </w:t>
      </w:r>
      <w:r w:rsidRPr="16F0E856" w:rsidR="5057C2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as ivy growing on the cottage can be considered as an aesthetic </w:t>
      </w:r>
      <w:r w:rsidRPr="16F0E856" w:rsidR="0A8E94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itself</w:t>
      </w:r>
      <w:r w:rsidRPr="16F0E856" w:rsidR="5057C2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16F0E856" w:rsidR="43763F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 this in mind, removing</w:t>
      </w:r>
      <w:r w:rsidRPr="16F0E856" w:rsidR="43763F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pots would result </w:t>
      </w:r>
      <w:r w:rsidRPr="16F0E856" w:rsidR="0BC948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</w:t>
      </w:r>
      <w:r w:rsidRPr="16F0E856" w:rsidR="43763F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ivy plant dying </w:t>
      </w:r>
      <w:r w:rsidRPr="16F0E856" w:rsidR="43763F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and essentially, losing</w:t>
      </w:r>
      <w:r w:rsidRPr="16F0E856" w:rsidR="43763F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its aesthetic look. This can result in the property looking different from when</w:t>
      </w:r>
      <w:r w:rsidRPr="16F0E856" w:rsidR="4A6E2D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Olivia had </w:t>
      </w:r>
      <w:r w:rsidRPr="16F0E856" w:rsidR="2C76D6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agreed on the contract</w:t>
      </w:r>
      <w:r w:rsidRPr="16F0E856" w:rsidR="4A6E2D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Under the circumstances presented in the text, the terracotta pots can be considered a</w:t>
      </w:r>
      <w:r w:rsidRPr="16F0E856" w:rsidR="02BAB5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 a</w:t>
      </w:r>
      <w:r w:rsidRPr="16F0E856" w:rsidR="4A6E2DC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fixture to the property as removing them would </w:t>
      </w:r>
      <w:r w:rsidRPr="16F0E856" w:rsidR="394402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cause the ivy to die and make the cottage look less attractive</w:t>
      </w:r>
      <w:r w:rsidRPr="16F0E856" w:rsidR="394402C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</w:t>
      </w:r>
    </w:p>
    <w:p w:rsidR="50699FDA" w:rsidP="16F0E856" w:rsidRDefault="50699FDA" w14:paraId="731EBA6A" w14:textId="73022026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Considering that the summer house can be of 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large size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weight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the fact that it is affixed to the ground with bolts</w:t>
      </w:r>
      <w:r w:rsidRPr="16F0E856" w:rsidR="130605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076CA9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uggest</w:t>
      </w:r>
      <w:r w:rsidRPr="16F0E856" w:rsidR="23C0F0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</w:t>
      </w:r>
      <w:r w:rsidRPr="16F0E856" w:rsidR="5A2BC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it is a fixture. </w:t>
      </w:r>
      <w:r w:rsidRPr="16F0E856" w:rsidR="4B3B25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degree of annexation can be satisfied</w:t>
      </w:r>
      <w:r w:rsidRPr="16F0E856" w:rsidR="196C9B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6F0E856" w:rsidR="4B3B25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it can be assumed that a summer house would be firmly affixed to the ground.</w:t>
      </w:r>
      <w:r w:rsidRPr="16F0E856" w:rsidR="5DF3E5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5DF3E5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Assuming that the house is not of small size.</w:t>
      </w:r>
      <w:r w:rsidRPr="16F0E856" w:rsidR="661E7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620803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</w:t>
      </w:r>
      <w:r w:rsidRPr="16F0E856" w:rsidR="661E7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 can be </w:t>
      </w:r>
      <w:r w:rsidRPr="16F0E856" w:rsidR="0B4DE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foreseen</w:t>
      </w:r>
      <w:r w:rsidRPr="16F0E856" w:rsidR="661E7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the land to be cha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nged in order to suit the size and </w:t>
      </w:r>
      <w:bookmarkStart w:name="_Int_UGZUP9sO" w:id="583691117"/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fitting</w:t>
      </w:r>
      <w:bookmarkEnd w:id="583691117"/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bookmarkStart w:name="_Int_hPsEFpoH" w:id="883933781"/>
      <w:r w:rsidRPr="16F0E856" w:rsidR="35CD1B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</w:t>
      </w:r>
      <w:bookmarkEnd w:id="883933781"/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house</w:t>
      </w:r>
      <w:r w:rsidRPr="16F0E856" w:rsidR="4DE5946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itself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 this in mind, the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purpose of annexation is </w:t>
      </w:r>
      <w:r w:rsidRPr="16F0E856" w:rsidR="4DF15A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inevitable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as without it being fixed </w:t>
      </w:r>
      <w:r w:rsidRPr="16F0E856" w:rsidR="478AC4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correctly</w:t>
      </w:r>
      <w:r w:rsidRPr="16F0E856" w:rsidR="3D4657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6F0E856" w:rsidR="478AC4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would result in the summer house </w:t>
      </w:r>
      <w:bookmarkStart w:name="_Int_LYyCJD7T" w:id="1411742396"/>
      <w:r w:rsidRPr="16F0E856" w:rsidR="4FF5E8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to fall</w:t>
      </w:r>
      <w:bookmarkEnd w:id="1411742396"/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caus</w:t>
      </w:r>
      <w:r w:rsidRPr="16F0E856" w:rsidR="251C58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</w:t>
      </w:r>
      <w:r w:rsidRPr="16F0E856" w:rsidR="63A910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damage. I</w:t>
      </w:r>
      <w:r w:rsidRPr="16F0E856" w:rsidR="09C5F3D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n conclusion, the summer house is a fixture and not a chattel</w:t>
      </w:r>
      <w:r w:rsidRPr="16F0E856" w:rsidR="5D533B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(Smith v City Petroleum, 1940).</w:t>
      </w:r>
    </w:p>
    <w:p w:rsidR="10C2CA24" w:rsidP="16F0E856" w:rsidRDefault="10C2CA24" w14:paraId="1E2EBAE7" w14:textId="4985CE3D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hot tub is a grey area as there are many </w:t>
      </w: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different types</w:t>
      </w: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 hot tubs. The text </w:t>
      </w: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directly specifies</w:t>
      </w: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</w:t>
      </w:r>
      <w:r w:rsidRPr="16F0E856" w:rsidR="0C5604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</w:t>
      </w: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hot tub is inflatable and with this</w:t>
      </w:r>
      <w:r w:rsidRPr="16F0E856" w:rsidR="6BA876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16F0E856" w:rsidR="0F4C75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it is clear it understand that an inflatable hot tu</w:t>
      </w:r>
      <w:r w:rsidRPr="16F0E856" w:rsidR="2FFA02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b cannot be bolted or affixed to the ground in any way other than building over it. Assuming nothing is built over the </w:t>
      </w:r>
      <w:r w:rsidRPr="16F0E856" w:rsidR="2FFA02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hot tub that would make it difficult to remove, remov</w:t>
      </w:r>
      <w:r w:rsidRPr="16F0E856" w:rsidR="01DBDA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ing </w:t>
      </w:r>
      <w:r w:rsidRPr="16F0E856" w:rsidR="3EB1EE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</w:t>
      </w:r>
      <w:r w:rsidRPr="16F0E856" w:rsidR="15DBC0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would consist of</w:t>
      </w:r>
      <w:r w:rsidRPr="16F0E856" w:rsidR="2FFA02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simply re</w:t>
      </w:r>
      <w:r w:rsidRPr="16F0E856" w:rsidR="3FD89F9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leasing</w:t>
      </w:r>
      <w:r w:rsidRPr="16F0E856" w:rsidR="2FFA02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water, disconnecting</w:t>
      </w:r>
      <w:r w:rsidRPr="16F0E856" w:rsidR="71551D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and deflating it. Suggesting it is a chattel. </w:t>
      </w:r>
      <w:r w:rsidRPr="16F0E856" w:rsidR="176CA34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hot tub can be compared to the case of </w:t>
      </w:r>
      <w:r w:rsidRPr="16F0E856" w:rsidR="7FCDA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Botham v TSB Bank plc (1997)</w:t>
      </w:r>
      <w:r w:rsidRPr="16F0E856" w:rsidR="2A1C344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, where carpets and curtains from the case were not sufficiently annexed. </w:t>
      </w:r>
    </w:p>
    <w:p w:rsidR="10C2CA24" w:rsidP="16F0E856" w:rsidRDefault="10C2CA24" w14:paraId="4351D661" w14:textId="537780FC">
      <w:pPr>
        <w:pStyle w:val="Normal"/>
        <w:spacing w:line="48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16F0E856" w:rsidR="10C2C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Tapestries are difficult to distinguish whether they are a chattel or a fixture </w:t>
      </w:r>
      <w:r w:rsidRPr="16F0E856" w:rsidR="10C2C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due to the fact that</w:t>
      </w:r>
      <w:r w:rsidRPr="16F0E856" w:rsidR="10C2C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they can be easily removed and that</w:t>
      </w:r>
      <w:r w:rsidRPr="16F0E856" w:rsidR="0721CC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affixing the tapestry itself could cause damage to it.</w:t>
      </w:r>
      <w:r w:rsidRPr="16F0E856" w:rsidR="0721CC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For example, Harrison would not nail the actual tapestry to the wall as that would cause holes in the art</w:t>
      </w:r>
      <w:r w:rsidRPr="16F0E856" w:rsidR="374482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With that in mind, </w:t>
      </w:r>
      <w:r w:rsidRPr="16F0E856" w:rsidR="7DD9BC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it is described that Harrison encased the </w:t>
      </w:r>
      <w:r w:rsidRPr="16F0E856" w:rsidR="5668361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tapestry</w:t>
      </w:r>
      <w:r w:rsidRPr="16F0E856" w:rsidR="7DD9BC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a frame </w:t>
      </w:r>
      <w:bookmarkStart w:name="_Int_zS7oMRCP" w:id="1544483438"/>
      <w:r w:rsidRPr="16F0E856" w:rsidR="7DD9BC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 order to</w:t>
      </w:r>
      <w:bookmarkEnd w:id="1544483438"/>
      <w:r w:rsidRPr="16F0E856" w:rsidR="7DD9BC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protect </w:t>
      </w:r>
      <w:r w:rsidRPr="16F0E856" w:rsidR="750EAD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</w:t>
      </w:r>
      <w:r w:rsidRPr="16F0E856" w:rsidR="7DD9BC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from the elements. This suggests that it is a chattel as one can remove the art without damaging it.</w:t>
      </w:r>
      <w:r w:rsidRPr="16F0E856" w:rsidR="7A9F54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This point can be reinforced with the fact that the case of Leigh V Taylor (1902) had </w:t>
      </w:r>
      <w:r w:rsidRPr="16F0E856" w:rsidR="3FE406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</w:t>
      </w:r>
      <w:r w:rsidRPr="16F0E856" w:rsidR="7A9F54B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10570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similar</w:t>
      </w:r>
      <w:r w:rsidRPr="16F0E856" w:rsidR="6CA158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16F0E856" w:rsidR="6CA158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situation</w:t>
      </w:r>
      <w:r w:rsidRPr="16F0E856" w:rsidR="6CA1586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Where a tapestry was encased to protect it from elements. Although the purpose of annexation was for the tapestry to b</w:t>
      </w:r>
      <w:r w:rsidRPr="16F0E856" w:rsidR="75AFEB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 enjoyed, it cannot be assumed that Olivia will enjoy it. </w:t>
      </w:r>
      <w:r w:rsidRPr="16F0E856" w:rsidR="280BD5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Therefore, it being a chattel. </w:t>
      </w:r>
    </w:p>
    <w:p w:rsidR="60CE56C4" w:rsidP="6CA8D392" w:rsidRDefault="60CE56C4" w14:paraId="7D5E52E9" w14:textId="1CEC10B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</w:pPr>
      <w:r w:rsidRPr="6CA8D392" w:rsidR="60CE56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</w:t>
      </w:r>
      <w:r w:rsidRPr="6CA8D392" w:rsidR="3A3E65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text describes the kitchen as </w:t>
      </w:r>
      <w:r w:rsidRPr="6CA8D392" w:rsidR="052C44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being</w:t>
      </w:r>
      <w:r w:rsidRPr="6CA8D392" w:rsidR="3A3E65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non-fitted but with integrated appliances. This suggests that anything within the kit</w:t>
      </w:r>
      <w:r w:rsidRPr="6CA8D392" w:rsidR="1990D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chen </w:t>
      </w:r>
      <w:r w:rsidRPr="6CA8D392" w:rsidR="5835BC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that can be classed as non-fitted can be a chattel and anything integrated</w:t>
      </w:r>
      <w:r w:rsidRPr="6CA8D392" w:rsidR="3F86944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,</w:t>
      </w:r>
      <w:r w:rsidRPr="6CA8D392" w:rsidR="5835BC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 fixture. This is </w:t>
      </w:r>
      <w:r w:rsidRPr="6CA8D392" w:rsidR="5835BC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established</w:t>
      </w:r>
      <w:r w:rsidRPr="6CA8D392" w:rsidR="5835BC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the actual wording </w:t>
      </w:r>
      <w:r w:rsidRPr="6CA8D392" w:rsidR="557F87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within</w:t>
      </w:r>
      <w:r w:rsidRPr="6CA8D392" w:rsidR="5835BC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the text, ‘non-fitted’ and </w:t>
      </w:r>
      <w:r w:rsidRPr="6CA8D392" w:rsidR="43D12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‘integrated</w:t>
      </w:r>
      <w:r w:rsidRPr="6CA8D392" w:rsidR="43D12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’.</w:t>
      </w:r>
      <w:r w:rsidRPr="6CA8D392" w:rsidR="43D12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Furthermore, they can be considered a fixture </w:t>
      </w:r>
      <w:r w:rsidRPr="6CA8D392" w:rsidR="5B61EB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since</w:t>
      </w:r>
      <w:r w:rsidRPr="6CA8D392" w:rsidR="43D12A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Harrison installed them himself </w:t>
      </w:r>
      <w:r w:rsidRPr="6CA8D392" w:rsidR="2FFA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with the intention of them</w:t>
      </w:r>
      <w:r w:rsidRPr="6CA8D392" w:rsidR="1ED906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to</w:t>
      </w:r>
      <w:r w:rsidRPr="6CA8D392" w:rsidR="2FFA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not </w:t>
      </w:r>
      <w:r w:rsidRPr="6CA8D392" w:rsidR="2FFA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be</w:t>
      </w:r>
      <w:r w:rsidRPr="6CA8D392" w:rsidR="2FFA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removed easily</w:t>
      </w:r>
      <w:r w:rsidRPr="6CA8D392" w:rsidR="1E517E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CA8D392" w:rsidR="60C612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and </w:t>
      </w:r>
      <w:r w:rsidRPr="6CA8D392" w:rsidR="2FFA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caus</w:t>
      </w:r>
      <w:r w:rsidRPr="6CA8D392" w:rsidR="60EDF0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ing</w:t>
      </w:r>
      <w:r w:rsidRPr="6CA8D392" w:rsidR="2FFA5B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damage</w:t>
      </w:r>
      <w:r w:rsidRPr="6CA8D392" w:rsidR="5BCE9DA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</w:t>
      </w:r>
      <w:r w:rsidRPr="6CA8D392" w:rsidR="7C7901A2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 xml:space="preserve">Vaudeville Electric Cinema </w:t>
      </w:r>
      <w:r w:rsidRPr="6CA8D392" w:rsidR="7C7901A2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>Lyd</w:t>
      </w:r>
      <w:r w:rsidRPr="6CA8D392" w:rsidR="7C7901A2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 xml:space="preserve"> v </w:t>
      </w:r>
      <w:r w:rsidRPr="6CA8D392" w:rsidR="7C7901A2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>Muriset</w:t>
      </w:r>
      <w:r w:rsidRPr="6CA8D392" w:rsidR="102F8ED4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 xml:space="preserve">, </w:t>
      </w:r>
      <w:r w:rsidRPr="6CA8D392" w:rsidR="7C7901A2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>1923</w:t>
      </w:r>
      <w:r w:rsidRPr="6CA8D392" w:rsidR="4BEC4233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>)</w:t>
      </w:r>
      <w:r w:rsidRPr="6CA8D392" w:rsidR="02E9157F">
        <w:rPr>
          <w:rFonts w:ascii="Arial" w:hAnsi="Arial" w:eastAsia="Arial" w:cs="Arial"/>
          <w:b w:val="0"/>
          <w:bCs w:val="0"/>
          <w:i w:val="0"/>
          <w:iCs w:val="0"/>
          <w:noProof w:val="0"/>
          <w:color w:val="263050"/>
          <w:sz w:val="24"/>
          <w:szCs w:val="24"/>
          <w:lang w:val="en-US"/>
        </w:rPr>
        <w:t>.</w:t>
      </w:r>
    </w:p>
    <w:p w:rsidR="23E28F4C" w:rsidP="16F0E856" w:rsidRDefault="23E28F4C" w14:paraId="2E0486FD" w14:textId="49671B6E">
      <w:pPr>
        <w:pStyle w:val="Normal"/>
        <w:spacing w:line="48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6CA8D392" w:rsidR="72F2AC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In conclusion, Olivia’s concern about Harrison being potentially able to remove </w:t>
      </w:r>
      <w:r w:rsidRPr="6CA8D392" w:rsidR="7FBFD9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 listed items from the </w:t>
      </w:r>
      <w:r w:rsidRPr="6CA8D392" w:rsidR="7A536E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household</w:t>
      </w:r>
      <w:r w:rsidRPr="6CA8D392" w:rsidR="7FBFD9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CA8D392" w:rsidR="2648C2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holds </w:t>
      </w:r>
      <w:r w:rsidRPr="6CA8D392" w:rsidR="2648C2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 </w:t>
      </w:r>
      <w:bookmarkStart w:name="_Int_ZpkXmrAz" w:id="254568981"/>
      <w:r w:rsidRPr="6CA8D392" w:rsidR="7FBFD9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strong</w:t>
      </w:r>
      <w:bookmarkEnd w:id="254568981"/>
      <w:r w:rsidRPr="6CA8D392" w:rsidR="7FBFD9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argument</w:t>
      </w:r>
      <w:r w:rsidRPr="6CA8D392" w:rsidR="7FBFD9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behind </w:t>
      </w:r>
      <w:r w:rsidRPr="6CA8D392" w:rsidR="3695E35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itself</w:t>
      </w:r>
      <w:r w:rsidRPr="6CA8D392" w:rsidR="7FBFD9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due to the complications and assumptions one must give. As explained, </w:t>
      </w:r>
      <w:r w:rsidRPr="6CA8D392" w:rsidR="7E2B79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if the current state of the listed items is assumed</w:t>
      </w:r>
      <w:r w:rsidRPr="6CA8D392" w:rsidR="7C8571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. Olivia would have the right to keep </w:t>
      </w:r>
      <w:r w:rsidRPr="6CA8D392" w:rsidR="2CA828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the statue, terracotta pots with ivy, summer house, and integrated appliances due to the effort and risk one must take when removi</w:t>
      </w:r>
      <w:r w:rsidRPr="6CA8D392" w:rsidR="149A6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ng them. Furthermore, the degree of annexation, intention of </w:t>
      </w:r>
      <w:r w:rsidRPr="6CA8D392" w:rsidR="059B35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Harrison</w:t>
      </w:r>
      <w:r w:rsidRPr="6CA8D392" w:rsidR="149A6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</w:t>
      </w:r>
      <w:r w:rsidRPr="6CA8D392" w:rsidR="401884E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6CA8D392" w:rsidR="149A6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purpose</w:t>
      </w:r>
      <w:r w:rsidRPr="6CA8D392" w:rsidR="149A65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of</w:t>
      </w:r>
      <w:r w:rsidRPr="6CA8D392" w:rsidR="1B00FB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annexation </w:t>
      </w:r>
      <w:r w:rsidRPr="6CA8D392" w:rsidR="7D8D11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would assume that Harrison would want </w:t>
      </w:r>
      <w:r w:rsidRPr="6CA8D392" w:rsidR="7D8D11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th</w:t>
      </w:r>
      <w:r w:rsidRPr="6CA8D392" w:rsidR="7D8D11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 listed items to stay in their place. </w:t>
      </w:r>
    </w:p>
    <w:p w:rsidR="23E28F4C" w:rsidP="16F0E856" w:rsidRDefault="23E28F4C" w14:paraId="1FC1B079" w14:textId="6DCB5DE4">
      <w:pPr>
        <w:pStyle w:val="Normal"/>
        <w:spacing w:line="48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16F0E856" w:rsidR="41004B1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Reference List</w:t>
      </w:r>
    </w:p>
    <w:p w:rsidR="23E28F4C" w:rsidP="01455698" w:rsidRDefault="23E28F4C" w14:paraId="1BF04F03" w14:textId="7EC37DE5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0382CEA4" w14:textId="5904A350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>Law Commission (2011)</w:t>
      </w:r>
      <w:r w:rsidRPr="01455698" w:rsidR="5659375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455698" w:rsidR="41004B1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Making Land Work: Easements, Covenants and Profits à Prendre</w:t>
      </w: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f7c02ab8a22f430a">
        <w:r w:rsidRPr="01455698" w:rsidR="41004B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https://assets.publishing.service.gov.uk/media/5a7c254040f0b61a825d6bc5/1067.pdf</w:t>
        </w:r>
      </w:hyperlink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03/12/2023)</w:t>
      </w:r>
    </w:p>
    <w:p w:rsidR="23E28F4C" w:rsidP="01455698" w:rsidRDefault="23E28F4C" w14:paraId="55C59418" w14:textId="362F79FB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03037188" w14:textId="502DBFC9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>Law of Property Act (1925)</w:t>
      </w:r>
      <w:r w:rsidRPr="01455698" w:rsidR="583BB3DF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Section 1. Available at: </w:t>
      </w:r>
      <w:hyperlink r:id="R16962eea48754063">
        <w:r w:rsidRPr="01455698" w:rsidR="41004B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https://www.legislation.gov.uk/ukpga/Geo5/15-16/20/section/1</w:t>
        </w:r>
      </w:hyperlink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23/11/2023).</w:t>
      </w:r>
    </w:p>
    <w:p w:rsidR="23E28F4C" w:rsidP="01455698" w:rsidRDefault="23E28F4C" w14:paraId="40F91025" w14:textId="4E349336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5CF29CE2" w14:textId="58BD09BA">
      <w:pPr>
        <w:pStyle w:val="ListParagraph"/>
        <w:numPr>
          <w:ilvl w:val="0"/>
          <w:numId w:val="9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01455698" w:rsidR="039FA5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LexisNexis (2023). </w:t>
      </w:r>
      <w:r w:rsidRPr="01455698" w:rsidR="039FA5A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Dealing with parking rights</w:t>
      </w:r>
      <w:r w:rsidRPr="01455698" w:rsidR="039FA5A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. Available at: </w:t>
      </w:r>
      <w:hyperlink r:id="R446b8ee87b1347b9">
        <w:r w:rsidRPr="01455698" w:rsidR="502EC74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https://www.lexisnexis.co.uk/legal/guidance/dealing-with-parking-rights</w:t>
        </w:r>
      </w:hyperlink>
      <w:r w:rsidRPr="01455698" w:rsidR="502EC74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01455698" w:rsidR="502EC74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01455698" w:rsidR="502EC74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08/12/2023).</w:t>
      </w:r>
    </w:p>
    <w:p w:rsidR="23E28F4C" w:rsidP="01455698" w:rsidRDefault="23E28F4C" w14:paraId="57410290" w14:textId="24E9E016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56389E22" w14:textId="1132A65D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>LexisNexis (2023)</w:t>
      </w:r>
      <w:r w:rsidRPr="01455698" w:rsidR="38E611AC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455698" w:rsidR="41004B1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Easement Definition</w:t>
      </w: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f76527b98d554327">
        <w:r w:rsidRPr="01455698" w:rsidR="41004B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https://www.lexisnexis.co.uk/legal/glossary/easement</w:t>
        </w:r>
      </w:hyperlink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03/12/2023).</w:t>
      </w:r>
    </w:p>
    <w:p w:rsidR="23E28F4C" w:rsidP="01455698" w:rsidRDefault="23E28F4C" w14:paraId="376E116A" w14:textId="5C142308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5D38950D" w14:textId="0A134080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>LexisNexis (2023)</w:t>
      </w:r>
      <w:r w:rsidRPr="01455698" w:rsidR="1115333B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01455698" w:rsidR="41004B1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Easements – nature and characteristics</w:t>
      </w:r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at: </w:t>
      </w:r>
      <w:hyperlink r:id="R2d696a543d284de8">
        <w:r w:rsidRPr="01455698" w:rsidR="41004B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https://www.lexisnexis.co.uk/legal/guidance/easements-nature-characteristics</w:t>
        </w:r>
      </w:hyperlink>
      <w:r w:rsidRPr="01455698" w:rsidR="41004B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on: 03/12/2023).</w:t>
      </w:r>
    </w:p>
    <w:p w:rsidR="23E28F4C" w:rsidP="01455698" w:rsidRDefault="23E28F4C" w14:paraId="11A0002C" w14:textId="37DA8E56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1739C8FF" w14:textId="7B541664">
      <w:pPr>
        <w:pStyle w:val="ListParagraph"/>
        <w:numPr>
          <w:ilvl w:val="0"/>
          <w:numId w:val="9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01455698" w:rsidR="3C1240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LexisNexis (2023). </w:t>
      </w:r>
      <w:r w:rsidRPr="01455698" w:rsidR="3C12405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Vacant Possession Definition. </w:t>
      </w:r>
      <w:r w:rsidRPr="01455698" w:rsidR="3C1240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Available at: </w:t>
      </w:r>
      <w:hyperlink r:id="R31c8afad63804276">
        <w:r w:rsidRPr="01455698" w:rsidR="3C12405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https://www.lexisnexis.co.uk/legal/glossary/vacant-possession</w:t>
        </w:r>
      </w:hyperlink>
      <w:r w:rsidRPr="01455698" w:rsidR="3C1240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</w:t>
      </w:r>
      <w:r w:rsidRPr="01455698" w:rsidR="3C1240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on:</w:t>
      </w:r>
      <w:r w:rsidRPr="01455698" w:rsidR="3C12405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08/12/2023).</w:t>
      </w:r>
    </w:p>
    <w:p w:rsidR="23E28F4C" w:rsidP="01455698" w:rsidRDefault="23E28F4C" w14:paraId="651541BD" w14:textId="6A9E231C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3882C195" w14:textId="57D20C58">
      <w:pPr>
        <w:pStyle w:val="ListParagraph"/>
        <w:numPr>
          <w:ilvl w:val="0"/>
          <w:numId w:val="9"/>
        </w:numPr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01455698" w:rsidR="65DC9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Morrish Solicitors (2016). </w:t>
      </w:r>
      <w:r w:rsidRPr="01455698" w:rsidR="65DC99B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What is the difference between a Chattel and a Fixture?</w:t>
      </w:r>
      <w:r w:rsidRPr="01455698" w:rsidR="65DC9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[online] Available at: </w:t>
      </w:r>
      <w:hyperlink r:id="Re0499dccc5b8460f">
        <w:r w:rsidRPr="01455698" w:rsidR="65DC99B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https://www.morrishsolicitors.com/what-is-the-difference-between-chattel-and-fixture/</w:t>
        </w:r>
      </w:hyperlink>
      <w:r w:rsidRPr="01455698" w:rsidR="65DC9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 </w:t>
      </w:r>
      <w:r w:rsidRPr="01455698" w:rsidR="65DC99B9">
        <w:rPr>
          <w:rFonts w:ascii="Arial" w:hAnsi="Arial" w:eastAsia="Arial" w:cs="Arial"/>
          <w:noProof w:val="0"/>
          <w:sz w:val="24"/>
          <w:szCs w:val="24"/>
          <w:lang w:val="en-US"/>
        </w:rPr>
        <w:t>on:</w:t>
      </w:r>
      <w:r w:rsidRPr="01455698" w:rsidR="65DC99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08/12/2023).</w:t>
      </w:r>
    </w:p>
    <w:p w:rsidR="23E28F4C" w:rsidP="01455698" w:rsidRDefault="23E28F4C" w14:paraId="63AB4D92" w14:textId="4735790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16F0E856" w:rsidRDefault="23E28F4C" w14:paraId="13D99476" w14:textId="7C8D6AB2">
      <w:pPr>
        <w:pStyle w:val="ListParagraph"/>
        <w:numPr>
          <w:ilvl w:val="0"/>
          <w:numId w:val="9"/>
        </w:numPr>
        <w:ind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16F0E856" w:rsidR="41004B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Tanfield Chambers (2016). </w:t>
      </w:r>
      <w:r w:rsidRPr="16F0E856" w:rsidR="41004B1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What is an easement and how are they created and used?</w:t>
      </w:r>
      <w:r w:rsidRPr="16F0E856" w:rsidR="41004B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Available at: </w:t>
      </w:r>
      <w:hyperlink r:id="R0ff4dbcf817b489b">
        <w:r w:rsidRPr="16F0E856" w:rsidR="41004B1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US"/>
          </w:rPr>
          <w:t>https://www.tanfieldchambers.co.uk/2016/02/16/what-is-an-easement-and-how-are-they-created-and-used/</w:t>
        </w:r>
      </w:hyperlink>
      <w:r w:rsidRPr="16F0E856" w:rsidR="41004B1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(Accessed on: 23/11/2023).</w:t>
      </w:r>
    </w:p>
    <w:p w:rsidR="16F0E856" w:rsidP="16F0E856" w:rsidRDefault="16F0E856" w14:paraId="1032A678" w14:textId="799F88BD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3E28F4C" w:rsidP="01455698" w:rsidRDefault="23E28F4C" w14:paraId="05D31419" w14:textId="78DE51F7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01455698" w:rsidR="41004B16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>Case Law List</w:t>
      </w:r>
    </w:p>
    <w:p w:rsidR="23E28F4C" w:rsidP="01455698" w:rsidRDefault="23E28F4C" w14:paraId="73D37C34" w14:textId="29A0CEE9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3E28F4C" w:rsidP="01455698" w:rsidRDefault="23E28F4C" w14:paraId="2CE6B30B" w14:textId="6C5C699D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color w:val="1D243C"/>
          <w:sz w:val="24"/>
          <w:szCs w:val="24"/>
          <w:lang w:val="en-US"/>
        </w:rPr>
      </w:pPr>
      <w:r w:rsidRPr="01455698" w:rsidR="4A6345DD">
        <w:rPr>
          <w:rFonts w:ascii="Arial" w:hAnsi="Arial" w:eastAsia="Arial" w:cs="Arial"/>
          <w:noProof w:val="0"/>
          <w:color w:val="1D243C"/>
          <w:sz w:val="24"/>
          <w:szCs w:val="24"/>
          <w:lang w:val="en-US"/>
        </w:rPr>
        <w:t>Batchelor v Marlow [2003] 1 WLR 764 (Accessed on: 08/12/2023).</w:t>
      </w:r>
    </w:p>
    <w:p w:rsidR="23E28F4C" w:rsidP="01455698" w:rsidRDefault="23E28F4C" w14:paraId="065C5946" w14:textId="455F06BB">
      <w:pPr>
        <w:pStyle w:val="Normal"/>
        <w:ind w:left="0"/>
        <w:rPr>
          <w:rFonts w:ascii="Arial" w:hAnsi="Arial" w:eastAsia="Arial" w:cs="Arial"/>
          <w:noProof w:val="0"/>
          <w:color w:val="1D243C"/>
          <w:sz w:val="24"/>
          <w:szCs w:val="24"/>
          <w:lang w:val="en-US"/>
        </w:rPr>
      </w:pPr>
    </w:p>
    <w:p w:rsidR="23E28F4C" w:rsidP="01455698" w:rsidRDefault="23E28F4C" w14:paraId="3ACB0B9A" w14:textId="49275F6C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  <w:r w:rsidRPr="01455698" w:rsidR="33E96B1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  <w:t>Botham v TSB Bank plc (1997) 73 P &amp; CR D1 (Accessed on: 08/12/2023).</w:t>
      </w:r>
    </w:p>
    <w:p w:rsidR="23E28F4C" w:rsidP="01455698" w:rsidRDefault="23E28F4C" w14:paraId="29366735" w14:textId="4376DA58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</w:p>
    <w:p w:rsidR="23E28F4C" w:rsidP="01455698" w:rsidRDefault="23E28F4C" w14:paraId="4A55526D" w14:textId="3265934D">
      <w:pPr>
        <w:pStyle w:val="ListParagraph"/>
        <w:numPr>
          <w:ilvl w:val="0"/>
          <w:numId w:val="10"/>
        </w:numPr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  <w:r w:rsidRPr="01455698" w:rsidR="6892CF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Elitestone</w:t>
      </w:r>
      <w:r w:rsidRPr="01455698" w:rsidR="6892CF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Ltd v Morris</w:t>
      </w:r>
      <w:r w:rsidRPr="01455698" w:rsidR="6892CF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(</w:t>
      </w:r>
      <w:r w:rsidRPr="01455698" w:rsidR="6892CF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1997)</w:t>
      </w:r>
      <w:r w:rsidRPr="01455698" w:rsidR="6892CF5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1 WLR 687 (Accessed on: 08/12/2023).</w:t>
      </w:r>
    </w:p>
    <w:p w:rsidR="23E28F4C" w:rsidP="01455698" w:rsidRDefault="23E28F4C" w14:paraId="7C10A9A2" w14:textId="2607B0D3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</w:pPr>
    </w:p>
    <w:p w:rsidR="23E28F4C" w:rsidP="01455698" w:rsidRDefault="23E28F4C" w14:paraId="3C56B0CA" w14:textId="09880ABD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color w:val="263050"/>
          <w:sz w:val="24"/>
          <w:szCs w:val="24"/>
          <w:lang w:val="en-US"/>
        </w:rPr>
      </w:pPr>
      <w:r w:rsidRPr="01455698" w:rsidR="2F94847D">
        <w:rPr>
          <w:rFonts w:ascii="Arial" w:hAnsi="Arial" w:eastAsia="Arial" w:cs="Arial"/>
          <w:noProof w:val="0"/>
          <w:color w:val="263050"/>
          <w:sz w:val="24"/>
          <w:szCs w:val="24"/>
          <w:lang w:val="en-US"/>
        </w:rPr>
        <w:t>Harris v De Pinna (1886)</w:t>
      </w:r>
      <w:r w:rsidRPr="01455698" w:rsidR="2F94847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33 Ch 238 (Accessed on: 08/12/2023).</w:t>
      </w:r>
    </w:p>
    <w:p w:rsidR="23E28F4C" w:rsidP="01455698" w:rsidRDefault="23E28F4C" w14:paraId="48F11FD8" w14:textId="04E81BB7">
      <w:pPr>
        <w:pStyle w:val="Normal"/>
        <w:ind w:left="0"/>
        <w:rPr>
          <w:rFonts w:ascii="Arial" w:hAnsi="Arial" w:eastAsia="Arial" w:cs="Arial"/>
          <w:noProof w:val="0"/>
          <w:color w:val="263050"/>
          <w:sz w:val="24"/>
          <w:szCs w:val="24"/>
          <w:lang w:val="en-US"/>
        </w:rPr>
      </w:pPr>
    </w:p>
    <w:p w:rsidR="23E28F4C" w:rsidP="01455698" w:rsidRDefault="23E28F4C" w14:paraId="1F285937" w14:textId="6B616321">
      <w:pPr>
        <w:pStyle w:val="ListParagraph"/>
        <w:numPr>
          <w:ilvl w:val="0"/>
          <w:numId w:val="10"/>
        </w:numPr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</w:pPr>
      <w:r w:rsidRPr="01455698" w:rsidR="6892CF5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Holland v Hodgson</w:t>
      </w:r>
      <w:r w:rsidRPr="01455698" w:rsidR="6892CF5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 xml:space="preserve"> (</w:t>
      </w:r>
      <w:r w:rsidRPr="01455698" w:rsidR="6892CF5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1872</w:t>
      </w:r>
      <w:r w:rsidRPr="01455698" w:rsidR="6892CF56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  <w:t>) LR 7 CP 328 (Accessed on: 08/12/2023).</w:t>
      </w:r>
    </w:p>
    <w:p w:rsidR="23E28F4C" w:rsidP="01455698" w:rsidRDefault="23E28F4C" w14:paraId="0B57D01F" w14:textId="6124B0A0">
      <w:pPr>
        <w:pStyle w:val="Normal"/>
        <w:ind w:left="0"/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3E28F4C" w:rsidP="6BFEB55D" w:rsidRDefault="23E28F4C" w14:paraId="62292D91" w14:textId="1575C023">
      <w:pPr>
        <w:pStyle w:val="ListParagraph"/>
        <w:numPr>
          <w:ilvl w:val="0"/>
          <w:numId w:val="10"/>
        </w:numPr>
        <w:ind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BFEB55D" w:rsidR="735C35A1">
        <w:rPr>
          <w:rFonts w:ascii="Arial" w:hAnsi="Arial" w:eastAsia="Arial" w:cs="Arial"/>
          <w:noProof w:val="0"/>
          <w:sz w:val="24"/>
          <w:szCs w:val="24"/>
          <w:lang w:val="en-US"/>
        </w:rPr>
        <w:t>Leigh V Taylor (1902) AC 157 (Accessed on: 08/12/2023).</w:t>
      </w:r>
    </w:p>
    <w:p w:rsidR="6BFEB55D" w:rsidP="6BFEB55D" w:rsidRDefault="6BFEB55D" w14:paraId="395F4866" w14:textId="0FA41407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308842CB" w14:textId="3357BAD6">
      <w:pPr>
        <w:pStyle w:val="ListParagraph"/>
        <w:numPr>
          <w:ilvl w:val="0"/>
          <w:numId w:val="10"/>
        </w:numPr>
        <w:spacing w:before="36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</w:pPr>
      <w:r w:rsidRPr="01455698" w:rsidR="0723871E">
        <w:rPr>
          <w:rFonts w:ascii="Arial" w:hAnsi="Arial" w:eastAsia="Arial" w:cs="Arial"/>
          <w:noProof w:val="0"/>
          <w:color w:val="auto"/>
          <w:sz w:val="24"/>
          <w:szCs w:val="24"/>
          <w:lang w:val="en-US"/>
        </w:rPr>
        <w:t>London and Blenheim Estates v Ladbroke Retail Parks (1992) 1 WLR 1278 (Accessed on: 08/12/2023).</w:t>
      </w:r>
    </w:p>
    <w:p w:rsidR="23E28F4C" w:rsidP="01455698" w:rsidRDefault="23E28F4C" w14:paraId="457736EC" w14:textId="5CCA164B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E28F4C" w:rsidP="01455698" w:rsidRDefault="23E28F4C" w14:paraId="44D9CD76" w14:textId="427FC06A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  <w:r w:rsidRPr="01455698" w:rsidR="41004B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  <w:t>Re Ellenborough Park (1955) EWCA Civ 4 (Accessed on: 23/11/2023).</w:t>
      </w:r>
    </w:p>
    <w:p w:rsidR="23E28F4C" w:rsidP="01455698" w:rsidRDefault="23E28F4C" w14:paraId="10F20C42" w14:textId="5FF56A94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"/>
        </w:rPr>
      </w:pPr>
    </w:p>
    <w:p w:rsidR="23E28F4C" w:rsidP="01455698" w:rsidRDefault="23E28F4C" w14:paraId="28B125E3" w14:textId="57A79049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4"/>
          <w:szCs w:val="24"/>
          <w:lang w:val="en"/>
        </w:rPr>
      </w:pPr>
      <w:r w:rsidRPr="01455698" w:rsidR="5AC98C0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Smith v City Petroleum </w:t>
      </w:r>
      <w:r w:rsidRPr="01455698" w:rsidR="7CF76217">
        <w:rPr>
          <w:rFonts w:ascii="Arial" w:hAnsi="Arial" w:eastAsia="Arial" w:cs="Arial"/>
          <w:noProof w:val="0"/>
          <w:sz w:val="24"/>
          <w:szCs w:val="24"/>
          <w:lang w:val="en"/>
        </w:rPr>
        <w:t>(</w:t>
      </w:r>
      <w:r w:rsidRPr="01455698" w:rsidR="5AC98C0B">
        <w:rPr>
          <w:rFonts w:ascii="Arial" w:hAnsi="Arial" w:eastAsia="Arial" w:cs="Arial"/>
          <w:noProof w:val="0"/>
          <w:sz w:val="24"/>
          <w:szCs w:val="24"/>
          <w:lang w:val="en"/>
        </w:rPr>
        <w:t>1940</w:t>
      </w:r>
      <w:r w:rsidRPr="01455698" w:rsidR="0203ED6E">
        <w:rPr>
          <w:rFonts w:ascii="Arial" w:hAnsi="Arial" w:eastAsia="Arial" w:cs="Arial"/>
          <w:noProof w:val="0"/>
          <w:sz w:val="24"/>
          <w:szCs w:val="24"/>
          <w:lang w:val="en"/>
        </w:rPr>
        <w:t>)</w:t>
      </w:r>
      <w:r w:rsidRPr="01455698" w:rsidR="5AC98C0B">
        <w:rPr>
          <w:rFonts w:ascii="Arial" w:hAnsi="Arial" w:eastAsia="Arial" w:cs="Arial"/>
          <w:noProof w:val="0"/>
          <w:sz w:val="24"/>
          <w:szCs w:val="24"/>
          <w:lang w:val="en"/>
        </w:rPr>
        <w:t xml:space="preserve"> 1 All ER 260 (Accessed on: 08/12/2023). </w:t>
      </w:r>
    </w:p>
    <w:p w:rsidR="23E28F4C" w:rsidP="01455698" w:rsidRDefault="23E28F4C" w14:paraId="7C289AC3" w14:textId="4D571152">
      <w:pPr>
        <w:pStyle w:val="Normal"/>
        <w:ind w:left="0"/>
        <w:rPr>
          <w:rFonts w:ascii="Arial" w:hAnsi="Arial" w:eastAsia="Arial" w:cs="Arial"/>
          <w:noProof w:val="0"/>
          <w:sz w:val="24"/>
          <w:szCs w:val="24"/>
          <w:lang w:val="en"/>
        </w:rPr>
      </w:pPr>
    </w:p>
    <w:p w:rsidR="23E28F4C" w:rsidP="01455698" w:rsidRDefault="23E28F4C" w14:paraId="0789ACCE" w14:textId="78E3A525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01455698" w:rsidR="41004B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Vaudeville Electric Cinema </w:t>
      </w:r>
      <w:r w:rsidRPr="01455698" w:rsidR="41004B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Lyd</w:t>
      </w:r>
      <w:r w:rsidRPr="01455698" w:rsidR="41004B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v </w:t>
      </w:r>
      <w:r w:rsidRPr="01455698" w:rsidR="41004B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Muriset</w:t>
      </w:r>
      <w:r w:rsidRPr="01455698" w:rsidR="41004B1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 (1923) 2 CH 74 (Accessed on: 08/12/2023).</w:t>
      </w:r>
    </w:p>
    <w:p w:rsidR="23E28F4C" w:rsidP="01455698" w:rsidRDefault="23E28F4C" w14:paraId="5DFFCF41" w14:textId="57F6A795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</w:p>
    <w:p w:rsidR="23E28F4C" w:rsidP="01455698" w:rsidRDefault="23E28F4C" w14:paraId="0A311C83" w14:textId="5733835F">
      <w:pPr>
        <w:pStyle w:val="ListParagraph"/>
        <w:numPr>
          <w:ilvl w:val="0"/>
          <w:numId w:val="10"/>
        </w:numPr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  <w:r w:rsidRPr="01455698" w:rsidR="1DA4EF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"/>
        </w:rPr>
        <w:t>Webb v Frank Bevis (1940) 1 All ER 247 (Accessed on: 08/12/2023).</w:t>
      </w:r>
    </w:p>
    <w:p w:rsidR="23E28F4C" w:rsidP="01455698" w:rsidRDefault="23E28F4C" w14:paraId="7919E418" w14:textId="18801D66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"/>
        </w:rPr>
      </w:pPr>
    </w:p>
    <w:p w:rsidR="23E28F4C" w:rsidP="01455698" w:rsidRDefault="23E28F4C" w14:paraId="7F3BFF87" w14:textId="5F3B6AE5">
      <w:pPr>
        <w:pStyle w:val="Normal"/>
        <w:ind w:left="0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N6B5b8f/AaH/i" int2:id="Cg3LxrNL">
      <int2:state int2:type="AugLoop_Text_Critique" int2:value="Rejected"/>
    </int2:textHash>
    <int2:bookmark int2:bookmarkName="_Int_LYyCJD7T" int2:invalidationBookmarkName="" int2:hashCode="l7BNA+kD2t/dbA" int2:id="nOfSi35C">
      <int2:state int2:type="AugLoop_Text_Critique" int2:value="Rejected"/>
    </int2:bookmark>
    <int2:bookmark int2:bookmarkName="_Int_hPsEFpoH" int2:invalidationBookmarkName="" int2:hashCode="Q+75piq7ix4WVP" int2:id="HkhPojvq">
      <int2:state int2:type="AugLoop_Text_Critique" int2:value="Rejected"/>
    </int2:bookmark>
    <int2:bookmark int2:bookmarkName="_Int_UGZUP9sO" int2:invalidationBookmarkName="" int2:hashCode="paWOGGjNeOGF3+" int2:id="nFJUITaW">
      <int2:state int2:type="AugLoop_Text_Critique" int2:value="Rejected"/>
    </int2:bookmark>
    <int2:bookmark int2:bookmarkName="_Int_zS7oMRCP" int2:invalidationBookmarkName="" int2:hashCode="e0dMsLOcF3PXGS" int2:id="dv0trVwY">
      <int2:state int2:type="AugLoop_Text_Critique" int2:value="Rejected"/>
    </int2:bookmark>
    <int2:bookmark int2:bookmarkName="_Int_KyKWARa9" int2:invalidationBookmarkName="" int2:hashCode="zkiEi6ILIy5w3J" int2:id="0CNUohCD">
      <int2:state int2:type="AugLoop_Text_Critique" int2:value="Rejected"/>
    </int2:bookmark>
    <int2:bookmark int2:bookmarkName="_Int_rdra0fQo" int2:invalidationBookmarkName="" int2:hashCode="5Ykpn+bsLAL72e" int2:id="6g4zIIEz">
      <int2:state int2:type="AugLoop_Text_Critique" int2:value="Rejected"/>
    </int2:bookmark>
    <int2:bookmark int2:bookmarkName="_Int_ZpkXmrAz" int2:invalidationBookmarkName="" int2:hashCode="ZCFnqym90kf6FJ" int2:id="F5yDa06F">
      <int2:state int2:type="AugLoop_Text_Critique" int2:value="Rejected"/>
    </int2:bookmark>
    <int2:bookmark int2:bookmarkName="_Int_sOOesZGT" int2:invalidationBookmarkName="" int2:hashCode="bugDGJYkbI6rce" int2:id="ylhvOx2h">
      <int2:state int2:type="AugLoop_Text_Critique" int2:value="Rejected"/>
    </int2:bookmark>
    <int2:bookmark int2:bookmarkName="_Int_32yI7Ehg" int2:invalidationBookmarkName="" int2:hashCode="mlCM5O0gOYq7i6" int2:id="5SdroEbQ">
      <int2:state int2:type="AugLoop_Text_Critique" int2:value="Rejected"/>
    </int2:bookmark>
    <int2:bookmark int2:bookmarkName="_Int_6OqkJZRy" int2:invalidationBookmarkName="" int2:hashCode="LxruPpyBYhVaBE" int2:id="AJd2eVQt">
      <int2:state int2:type="AugLoop_Text_Critique" int2:value="Rejected"/>
    </int2:bookmark>
    <int2:bookmark int2:bookmarkName="_Int_UfW7Bsty" int2:invalidationBookmarkName="" int2:hashCode="2KS50I2X5FrbTa" int2:id="Nqjcz4H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87e9e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ee9f3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da321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d6a3d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20a6a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94e39c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e1b77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ea5e6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07c5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326c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A525C7"/>
    <w:rsid w:val="0083AB13"/>
    <w:rsid w:val="00883116"/>
    <w:rsid w:val="00B8C5A0"/>
    <w:rsid w:val="00C6E968"/>
    <w:rsid w:val="00D5FE74"/>
    <w:rsid w:val="01455698"/>
    <w:rsid w:val="01577C7B"/>
    <w:rsid w:val="015FF2E6"/>
    <w:rsid w:val="01A9D131"/>
    <w:rsid w:val="01DBDA39"/>
    <w:rsid w:val="0203ED6E"/>
    <w:rsid w:val="0211A370"/>
    <w:rsid w:val="02239722"/>
    <w:rsid w:val="0232B921"/>
    <w:rsid w:val="025508BC"/>
    <w:rsid w:val="0271CED5"/>
    <w:rsid w:val="02B435E3"/>
    <w:rsid w:val="02BAB5B4"/>
    <w:rsid w:val="02D363F8"/>
    <w:rsid w:val="02D49CF3"/>
    <w:rsid w:val="02E9157F"/>
    <w:rsid w:val="02F43A68"/>
    <w:rsid w:val="02FBC347"/>
    <w:rsid w:val="02FBED8E"/>
    <w:rsid w:val="032D2D7F"/>
    <w:rsid w:val="0337129B"/>
    <w:rsid w:val="034D7AB1"/>
    <w:rsid w:val="034F2AE3"/>
    <w:rsid w:val="0371E696"/>
    <w:rsid w:val="03888035"/>
    <w:rsid w:val="039F7A97"/>
    <w:rsid w:val="039FA5AA"/>
    <w:rsid w:val="04070A2E"/>
    <w:rsid w:val="041902EC"/>
    <w:rsid w:val="04327EB1"/>
    <w:rsid w:val="046F3459"/>
    <w:rsid w:val="04791A76"/>
    <w:rsid w:val="049793A8"/>
    <w:rsid w:val="04B5BCF3"/>
    <w:rsid w:val="04C3D3B0"/>
    <w:rsid w:val="04EAFB44"/>
    <w:rsid w:val="04F9E258"/>
    <w:rsid w:val="050168BD"/>
    <w:rsid w:val="050216A1"/>
    <w:rsid w:val="050C6E95"/>
    <w:rsid w:val="052C44F3"/>
    <w:rsid w:val="05389513"/>
    <w:rsid w:val="0557E393"/>
    <w:rsid w:val="0566AD4B"/>
    <w:rsid w:val="057D27F5"/>
    <w:rsid w:val="058B399A"/>
    <w:rsid w:val="059099CA"/>
    <w:rsid w:val="059B353F"/>
    <w:rsid w:val="05DA18DA"/>
    <w:rsid w:val="060614CE"/>
    <w:rsid w:val="060B04BA"/>
    <w:rsid w:val="0610BB14"/>
    <w:rsid w:val="062F9CA6"/>
    <w:rsid w:val="06339F30"/>
    <w:rsid w:val="063D7664"/>
    <w:rsid w:val="0653D0A7"/>
    <w:rsid w:val="066B3460"/>
    <w:rsid w:val="067F2C7C"/>
    <w:rsid w:val="0686CBA5"/>
    <w:rsid w:val="071301A4"/>
    <w:rsid w:val="0721CC01"/>
    <w:rsid w:val="0723871E"/>
    <w:rsid w:val="0750A3AE"/>
    <w:rsid w:val="075A6208"/>
    <w:rsid w:val="076CA95F"/>
    <w:rsid w:val="076FE62E"/>
    <w:rsid w:val="079E0B08"/>
    <w:rsid w:val="07A317B2"/>
    <w:rsid w:val="07A7C837"/>
    <w:rsid w:val="07B5FC36"/>
    <w:rsid w:val="07CF6F91"/>
    <w:rsid w:val="081EA002"/>
    <w:rsid w:val="082F4AF9"/>
    <w:rsid w:val="086C6051"/>
    <w:rsid w:val="087035D5"/>
    <w:rsid w:val="088FBD4A"/>
    <w:rsid w:val="0894EEA4"/>
    <w:rsid w:val="08B5CB45"/>
    <w:rsid w:val="091312FE"/>
    <w:rsid w:val="09365429"/>
    <w:rsid w:val="0939DB69"/>
    <w:rsid w:val="0942A57C"/>
    <w:rsid w:val="097EE79D"/>
    <w:rsid w:val="099F81E1"/>
    <w:rsid w:val="09B0620A"/>
    <w:rsid w:val="09BE6C67"/>
    <w:rsid w:val="09C5F3DA"/>
    <w:rsid w:val="0A0D1A29"/>
    <w:rsid w:val="0A1164FC"/>
    <w:rsid w:val="0A586890"/>
    <w:rsid w:val="0A764BB2"/>
    <w:rsid w:val="0A82E79B"/>
    <w:rsid w:val="0A8E943F"/>
    <w:rsid w:val="0A9202CA"/>
    <w:rsid w:val="0AA203EC"/>
    <w:rsid w:val="0AB9EA0F"/>
    <w:rsid w:val="0AE45633"/>
    <w:rsid w:val="0AF55E75"/>
    <w:rsid w:val="0AF80B23"/>
    <w:rsid w:val="0B071053"/>
    <w:rsid w:val="0B0954A6"/>
    <w:rsid w:val="0B10E787"/>
    <w:rsid w:val="0B15971C"/>
    <w:rsid w:val="0B4DE929"/>
    <w:rsid w:val="0B5A3CC8"/>
    <w:rsid w:val="0B6DC1B8"/>
    <w:rsid w:val="0B8A9358"/>
    <w:rsid w:val="0B8B9024"/>
    <w:rsid w:val="0B92F717"/>
    <w:rsid w:val="0BA7D697"/>
    <w:rsid w:val="0BC9489B"/>
    <w:rsid w:val="0BCBB02C"/>
    <w:rsid w:val="0BEC6979"/>
    <w:rsid w:val="0C35C0B1"/>
    <w:rsid w:val="0C56045A"/>
    <w:rsid w:val="0C5650F8"/>
    <w:rsid w:val="0CA2E0B4"/>
    <w:rsid w:val="0CED57ED"/>
    <w:rsid w:val="0CF60D29"/>
    <w:rsid w:val="0D43A6F8"/>
    <w:rsid w:val="0D47CBDA"/>
    <w:rsid w:val="0D8839DA"/>
    <w:rsid w:val="0D8E3FEA"/>
    <w:rsid w:val="0D93B50E"/>
    <w:rsid w:val="0DF22159"/>
    <w:rsid w:val="0E1709BB"/>
    <w:rsid w:val="0E3EB115"/>
    <w:rsid w:val="0E52D7F3"/>
    <w:rsid w:val="0E75D5AF"/>
    <w:rsid w:val="0EB2DFF1"/>
    <w:rsid w:val="0EE206D8"/>
    <w:rsid w:val="0F053D08"/>
    <w:rsid w:val="0F0D8F91"/>
    <w:rsid w:val="0F240A3B"/>
    <w:rsid w:val="0F377C10"/>
    <w:rsid w:val="0F4C757C"/>
    <w:rsid w:val="0F8DF1BA"/>
    <w:rsid w:val="0F8F765B"/>
    <w:rsid w:val="0F952803"/>
    <w:rsid w:val="0FD57FF7"/>
    <w:rsid w:val="0FEAFB76"/>
    <w:rsid w:val="0FFAB2ED"/>
    <w:rsid w:val="102F8ED4"/>
    <w:rsid w:val="10570288"/>
    <w:rsid w:val="106958F2"/>
    <w:rsid w:val="107F6C9C"/>
    <w:rsid w:val="10AE3819"/>
    <w:rsid w:val="10C2CA24"/>
    <w:rsid w:val="10CBB43E"/>
    <w:rsid w:val="10D34C71"/>
    <w:rsid w:val="1115333B"/>
    <w:rsid w:val="11292B93"/>
    <w:rsid w:val="11516A60"/>
    <w:rsid w:val="11631EDB"/>
    <w:rsid w:val="117651D7"/>
    <w:rsid w:val="118896E3"/>
    <w:rsid w:val="1189E215"/>
    <w:rsid w:val="11A72680"/>
    <w:rsid w:val="11FBA25D"/>
    <w:rsid w:val="125D4A05"/>
    <w:rsid w:val="125EA0B1"/>
    <w:rsid w:val="1306053B"/>
    <w:rsid w:val="1342F6E1"/>
    <w:rsid w:val="134946D2"/>
    <w:rsid w:val="1349B768"/>
    <w:rsid w:val="13643360"/>
    <w:rsid w:val="13654EAD"/>
    <w:rsid w:val="13ADA525"/>
    <w:rsid w:val="13B70D5E"/>
    <w:rsid w:val="13B90E9F"/>
    <w:rsid w:val="13D2B650"/>
    <w:rsid w:val="13DA2131"/>
    <w:rsid w:val="13EC99FF"/>
    <w:rsid w:val="14024472"/>
    <w:rsid w:val="1418C1AF"/>
    <w:rsid w:val="1427BC07"/>
    <w:rsid w:val="144ED057"/>
    <w:rsid w:val="1486CCBE"/>
    <w:rsid w:val="149A6582"/>
    <w:rsid w:val="14C37A3D"/>
    <w:rsid w:val="14CE2410"/>
    <w:rsid w:val="14F1D3D1"/>
    <w:rsid w:val="14F9E526"/>
    <w:rsid w:val="151F3625"/>
    <w:rsid w:val="153FEB81"/>
    <w:rsid w:val="15AF201C"/>
    <w:rsid w:val="15DBC071"/>
    <w:rsid w:val="16A034D8"/>
    <w:rsid w:val="16A4DCF5"/>
    <w:rsid w:val="16C4DD79"/>
    <w:rsid w:val="16D41C08"/>
    <w:rsid w:val="16F0E856"/>
    <w:rsid w:val="17104EED"/>
    <w:rsid w:val="1711C1F3"/>
    <w:rsid w:val="17506271"/>
    <w:rsid w:val="176CA341"/>
    <w:rsid w:val="178DF77E"/>
    <w:rsid w:val="17F2DD02"/>
    <w:rsid w:val="180C2085"/>
    <w:rsid w:val="180FEF86"/>
    <w:rsid w:val="181CB7F5"/>
    <w:rsid w:val="182F908E"/>
    <w:rsid w:val="18372405"/>
    <w:rsid w:val="188C7FC2"/>
    <w:rsid w:val="18B27F47"/>
    <w:rsid w:val="18F96FB4"/>
    <w:rsid w:val="196C9B9F"/>
    <w:rsid w:val="1990D7B4"/>
    <w:rsid w:val="19B2E324"/>
    <w:rsid w:val="19B887E9"/>
    <w:rsid w:val="19E6F0C9"/>
    <w:rsid w:val="19EC4562"/>
    <w:rsid w:val="19F6F1EB"/>
    <w:rsid w:val="1A01AB36"/>
    <w:rsid w:val="1A0E83C7"/>
    <w:rsid w:val="1A285023"/>
    <w:rsid w:val="1A5C3F0C"/>
    <w:rsid w:val="1A659A09"/>
    <w:rsid w:val="1A6AC8E0"/>
    <w:rsid w:val="1A6E0C95"/>
    <w:rsid w:val="1A7185F6"/>
    <w:rsid w:val="1A742384"/>
    <w:rsid w:val="1A7FEADC"/>
    <w:rsid w:val="1A92275A"/>
    <w:rsid w:val="1AAE22A5"/>
    <w:rsid w:val="1AB0141A"/>
    <w:rsid w:val="1AD0A461"/>
    <w:rsid w:val="1B00FBE6"/>
    <w:rsid w:val="1B02DF1C"/>
    <w:rsid w:val="1B0EF289"/>
    <w:rsid w:val="1B31CA3A"/>
    <w:rsid w:val="1B479048"/>
    <w:rsid w:val="1B4EB385"/>
    <w:rsid w:val="1B82C12A"/>
    <w:rsid w:val="1BF5FA40"/>
    <w:rsid w:val="1C2D0E5C"/>
    <w:rsid w:val="1C724964"/>
    <w:rsid w:val="1C81EACC"/>
    <w:rsid w:val="1C93BB04"/>
    <w:rsid w:val="1C9894F7"/>
    <w:rsid w:val="1C99454A"/>
    <w:rsid w:val="1CA94416"/>
    <w:rsid w:val="1CB9DB44"/>
    <w:rsid w:val="1CBA83A5"/>
    <w:rsid w:val="1CC4B964"/>
    <w:rsid w:val="1CC6AD2F"/>
    <w:rsid w:val="1CD69D6B"/>
    <w:rsid w:val="1CE1237B"/>
    <w:rsid w:val="1D096600"/>
    <w:rsid w:val="1D0C7F50"/>
    <w:rsid w:val="1D0F765C"/>
    <w:rsid w:val="1D2E92AD"/>
    <w:rsid w:val="1D32FF61"/>
    <w:rsid w:val="1D4A56ED"/>
    <w:rsid w:val="1D51F8D3"/>
    <w:rsid w:val="1D5FF0E5"/>
    <w:rsid w:val="1D7281D6"/>
    <w:rsid w:val="1D81681E"/>
    <w:rsid w:val="1D8AED82"/>
    <w:rsid w:val="1D93EC28"/>
    <w:rsid w:val="1D962AE9"/>
    <w:rsid w:val="1D9AAA31"/>
    <w:rsid w:val="1DA4EF7F"/>
    <w:rsid w:val="1DA926B8"/>
    <w:rsid w:val="1DBB68E8"/>
    <w:rsid w:val="1DC4CE25"/>
    <w:rsid w:val="1DC52826"/>
    <w:rsid w:val="1DCD62CE"/>
    <w:rsid w:val="1E24265B"/>
    <w:rsid w:val="1E517E9F"/>
    <w:rsid w:val="1ED906D9"/>
    <w:rsid w:val="1EF95678"/>
    <w:rsid w:val="1EFBC146"/>
    <w:rsid w:val="1F23B35B"/>
    <w:rsid w:val="1F8F4ADD"/>
    <w:rsid w:val="1F9E7809"/>
    <w:rsid w:val="1FB70D5C"/>
    <w:rsid w:val="1FC9F31D"/>
    <w:rsid w:val="1FD035B9"/>
    <w:rsid w:val="1FF342DF"/>
    <w:rsid w:val="200EA110"/>
    <w:rsid w:val="201B016B"/>
    <w:rsid w:val="2066336F"/>
    <w:rsid w:val="20B1DC52"/>
    <w:rsid w:val="20D5170A"/>
    <w:rsid w:val="20F8BDBE"/>
    <w:rsid w:val="210FA903"/>
    <w:rsid w:val="212D535F"/>
    <w:rsid w:val="213C09A1"/>
    <w:rsid w:val="214036E6"/>
    <w:rsid w:val="2152DDBD"/>
    <w:rsid w:val="215C7A48"/>
    <w:rsid w:val="217A6BFC"/>
    <w:rsid w:val="2185FFAE"/>
    <w:rsid w:val="219A1E52"/>
    <w:rsid w:val="21A59962"/>
    <w:rsid w:val="21B6D1CC"/>
    <w:rsid w:val="21BD2339"/>
    <w:rsid w:val="21DE29D3"/>
    <w:rsid w:val="21F46D5A"/>
    <w:rsid w:val="220203D0"/>
    <w:rsid w:val="22336208"/>
    <w:rsid w:val="22983F48"/>
    <w:rsid w:val="230D7968"/>
    <w:rsid w:val="23211A09"/>
    <w:rsid w:val="2352A22D"/>
    <w:rsid w:val="235FDB32"/>
    <w:rsid w:val="237D0E73"/>
    <w:rsid w:val="238AD896"/>
    <w:rsid w:val="2394703F"/>
    <w:rsid w:val="239CB6DD"/>
    <w:rsid w:val="23C0F0D5"/>
    <w:rsid w:val="23C5DEA0"/>
    <w:rsid w:val="23CF3269"/>
    <w:rsid w:val="23E28F4C"/>
    <w:rsid w:val="23E428D4"/>
    <w:rsid w:val="23E97D14"/>
    <w:rsid w:val="242055C2"/>
    <w:rsid w:val="24FCD892"/>
    <w:rsid w:val="250B1A6C"/>
    <w:rsid w:val="251C58AF"/>
    <w:rsid w:val="255C0249"/>
    <w:rsid w:val="2599AF7A"/>
    <w:rsid w:val="25B9FBFC"/>
    <w:rsid w:val="25BC2623"/>
    <w:rsid w:val="260B05CB"/>
    <w:rsid w:val="26196C18"/>
    <w:rsid w:val="2648C2A6"/>
    <w:rsid w:val="264D1C41"/>
    <w:rsid w:val="2662D2CB"/>
    <w:rsid w:val="2672F38E"/>
    <w:rsid w:val="26818550"/>
    <w:rsid w:val="268805C1"/>
    <w:rsid w:val="269AF7B2"/>
    <w:rsid w:val="26B2F6EA"/>
    <w:rsid w:val="26B42726"/>
    <w:rsid w:val="271537E0"/>
    <w:rsid w:val="272453B0"/>
    <w:rsid w:val="275008FE"/>
    <w:rsid w:val="276AE8B5"/>
    <w:rsid w:val="27A6AFFD"/>
    <w:rsid w:val="27B4D8DF"/>
    <w:rsid w:val="27B53C79"/>
    <w:rsid w:val="27CE64D6"/>
    <w:rsid w:val="27D536ED"/>
    <w:rsid w:val="280471F3"/>
    <w:rsid w:val="280BD5D5"/>
    <w:rsid w:val="28223A24"/>
    <w:rsid w:val="28703199"/>
    <w:rsid w:val="28892B77"/>
    <w:rsid w:val="288C4EC8"/>
    <w:rsid w:val="28A2A38C"/>
    <w:rsid w:val="28BB7B33"/>
    <w:rsid w:val="28FE70B8"/>
    <w:rsid w:val="2900DB79"/>
    <w:rsid w:val="2923DE3A"/>
    <w:rsid w:val="29781263"/>
    <w:rsid w:val="297F1B1F"/>
    <w:rsid w:val="2987B06D"/>
    <w:rsid w:val="2996667F"/>
    <w:rsid w:val="29A8105C"/>
    <w:rsid w:val="29B40B29"/>
    <w:rsid w:val="29D951B4"/>
    <w:rsid w:val="29ECFE14"/>
    <w:rsid w:val="2A01A9DE"/>
    <w:rsid w:val="2A050219"/>
    <w:rsid w:val="2A0A485E"/>
    <w:rsid w:val="2A1C344B"/>
    <w:rsid w:val="2A46C2C9"/>
    <w:rsid w:val="2A724B9C"/>
    <w:rsid w:val="2A8F9746"/>
    <w:rsid w:val="2AA525C7"/>
    <w:rsid w:val="2AEE21C7"/>
    <w:rsid w:val="2AF2E396"/>
    <w:rsid w:val="2B006D4B"/>
    <w:rsid w:val="2B208D64"/>
    <w:rsid w:val="2B39B5C1"/>
    <w:rsid w:val="2B410098"/>
    <w:rsid w:val="2B4FDB8A"/>
    <w:rsid w:val="2BA0D27A"/>
    <w:rsid w:val="2BC3E8CE"/>
    <w:rsid w:val="2C08F0FE"/>
    <w:rsid w:val="2C237A21"/>
    <w:rsid w:val="2C2B67A7"/>
    <w:rsid w:val="2C3F218E"/>
    <w:rsid w:val="2C737488"/>
    <w:rsid w:val="2C76D602"/>
    <w:rsid w:val="2C88AD9C"/>
    <w:rsid w:val="2CA828AC"/>
    <w:rsid w:val="2CAFF78B"/>
    <w:rsid w:val="2CBC5DC5"/>
    <w:rsid w:val="2CEBABEB"/>
    <w:rsid w:val="2CEE54CC"/>
    <w:rsid w:val="2CF74745"/>
    <w:rsid w:val="2D0391C1"/>
    <w:rsid w:val="2D1B157D"/>
    <w:rsid w:val="2D249ED6"/>
    <w:rsid w:val="2D3CA2DB"/>
    <w:rsid w:val="2D71012C"/>
    <w:rsid w:val="2D730C18"/>
    <w:rsid w:val="2DA4C15F"/>
    <w:rsid w:val="2DC73808"/>
    <w:rsid w:val="2DDA9787"/>
    <w:rsid w:val="2DE01944"/>
    <w:rsid w:val="2E0C7807"/>
    <w:rsid w:val="2E0FFAD9"/>
    <w:rsid w:val="2E1A506C"/>
    <w:rsid w:val="2E1C8514"/>
    <w:rsid w:val="2E3BCD51"/>
    <w:rsid w:val="2E50E83A"/>
    <w:rsid w:val="2EC06F37"/>
    <w:rsid w:val="2F168AEA"/>
    <w:rsid w:val="2F39197D"/>
    <w:rsid w:val="2F45BCBF"/>
    <w:rsid w:val="2F45BCEE"/>
    <w:rsid w:val="2F45FC23"/>
    <w:rsid w:val="2F6446F0"/>
    <w:rsid w:val="2F6BED98"/>
    <w:rsid w:val="2F777CDC"/>
    <w:rsid w:val="2F7BE9A5"/>
    <w:rsid w:val="2F94847D"/>
    <w:rsid w:val="2FABFC09"/>
    <w:rsid w:val="2FB52D7A"/>
    <w:rsid w:val="2FFA02E3"/>
    <w:rsid w:val="2FFA5BBA"/>
    <w:rsid w:val="3048BAFF"/>
    <w:rsid w:val="307319EC"/>
    <w:rsid w:val="30D1A4E0"/>
    <w:rsid w:val="30E9C69F"/>
    <w:rsid w:val="3117BA06"/>
    <w:rsid w:val="31345859"/>
    <w:rsid w:val="31479B9B"/>
    <w:rsid w:val="315C1EBF"/>
    <w:rsid w:val="3162251A"/>
    <w:rsid w:val="3169B73A"/>
    <w:rsid w:val="318FCEE8"/>
    <w:rsid w:val="31A77752"/>
    <w:rsid w:val="31CAB133"/>
    <w:rsid w:val="31D2C461"/>
    <w:rsid w:val="31D34703"/>
    <w:rsid w:val="32050610"/>
    <w:rsid w:val="321013FE"/>
    <w:rsid w:val="325486EE"/>
    <w:rsid w:val="327C3EB6"/>
    <w:rsid w:val="327D5D81"/>
    <w:rsid w:val="32852187"/>
    <w:rsid w:val="32A38E5A"/>
    <w:rsid w:val="32DB7E76"/>
    <w:rsid w:val="32FEF09C"/>
    <w:rsid w:val="331176E2"/>
    <w:rsid w:val="33168DEF"/>
    <w:rsid w:val="332B9F49"/>
    <w:rsid w:val="332D191A"/>
    <w:rsid w:val="3338A31B"/>
    <w:rsid w:val="3343BFF4"/>
    <w:rsid w:val="3357AC9B"/>
    <w:rsid w:val="336F1764"/>
    <w:rsid w:val="3393E05A"/>
    <w:rsid w:val="33C16885"/>
    <w:rsid w:val="33E96B15"/>
    <w:rsid w:val="3436798C"/>
    <w:rsid w:val="34370032"/>
    <w:rsid w:val="344969CC"/>
    <w:rsid w:val="345028FC"/>
    <w:rsid w:val="34557ACA"/>
    <w:rsid w:val="345B328C"/>
    <w:rsid w:val="347F3C5D"/>
    <w:rsid w:val="3493BF81"/>
    <w:rsid w:val="349A2766"/>
    <w:rsid w:val="34C76FAA"/>
    <w:rsid w:val="34E7E2DE"/>
    <w:rsid w:val="34EFD064"/>
    <w:rsid w:val="34F37CFC"/>
    <w:rsid w:val="35064B0E"/>
    <w:rsid w:val="3512FC89"/>
    <w:rsid w:val="352B6B97"/>
    <w:rsid w:val="352D62B2"/>
    <w:rsid w:val="357EACDC"/>
    <w:rsid w:val="359427D3"/>
    <w:rsid w:val="35A6BC36"/>
    <w:rsid w:val="35ADBD19"/>
    <w:rsid w:val="35B35769"/>
    <w:rsid w:val="35B4FE43"/>
    <w:rsid w:val="35CD1BBB"/>
    <w:rsid w:val="35D249ED"/>
    <w:rsid w:val="35D2D093"/>
    <w:rsid w:val="35DF30EE"/>
    <w:rsid w:val="35F4CC77"/>
    <w:rsid w:val="3605AD75"/>
    <w:rsid w:val="36203681"/>
    <w:rsid w:val="367172B5"/>
    <w:rsid w:val="367B60B6"/>
    <w:rsid w:val="36834E3C"/>
    <w:rsid w:val="3683B33F"/>
    <w:rsid w:val="3686412A"/>
    <w:rsid w:val="368DCD2D"/>
    <w:rsid w:val="3695E359"/>
    <w:rsid w:val="3699468D"/>
    <w:rsid w:val="36A21B6F"/>
    <w:rsid w:val="36AECCEA"/>
    <w:rsid w:val="36AF5163"/>
    <w:rsid w:val="36C31A2C"/>
    <w:rsid w:val="36DB758E"/>
    <w:rsid w:val="3703A236"/>
    <w:rsid w:val="3703C635"/>
    <w:rsid w:val="370BB067"/>
    <w:rsid w:val="374482B3"/>
    <w:rsid w:val="37498D7A"/>
    <w:rsid w:val="375892AA"/>
    <w:rsid w:val="375F9BC4"/>
    <w:rsid w:val="376269DE"/>
    <w:rsid w:val="376E3E11"/>
    <w:rsid w:val="376EA0F4"/>
    <w:rsid w:val="376F61DC"/>
    <w:rsid w:val="37C4B3BB"/>
    <w:rsid w:val="37D4077E"/>
    <w:rsid w:val="38000BBC"/>
    <w:rsid w:val="381F1E9D"/>
    <w:rsid w:val="38277126"/>
    <w:rsid w:val="383DEBD0"/>
    <w:rsid w:val="38A7409F"/>
    <w:rsid w:val="38C0B0C7"/>
    <w:rsid w:val="38E611AC"/>
    <w:rsid w:val="38FA6D7A"/>
    <w:rsid w:val="3924DDD2"/>
    <w:rsid w:val="394402CA"/>
    <w:rsid w:val="3952AD80"/>
    <w:rsid w:val="39658700"/>
    <w:rsid w:val="396F1E2A"/>
    <w:rsid w:val="39890935"/>
    <w:rsid w:val="39D47C5E"/>
    <w:rsid w:val="39E56F0C"/>
    <w:rsid w:val="39F314FC"/>
    <w:rsid w:val="3A1B25E3"/>
    <w:rsid w:val="3A3E651B"/>
    <w:rsid w:val="3A92F73A"/>
    <w:rsid w:val="3AA641B6"/>
    <w:rsid w:val="3ABC112E"/>
    <w:rsid w:val="3AC10815"/>
    <w:rsid w:val="3AC75806"/>
    <w:rsid w:val="3AD55584"/>
    <w:rsid w:val="3AD91E98"/>
    <w:rsid w:val="3AEE7DE1"/>
    <w:rsid w:val="3B11B5D0"/>
    <w:rsid w:val="3B3758C8"/>
    <w:rsid w:val="3B56BF5F"/>
    <w:rsid w:val="3B572462"/>
    <w:rsid w:val="3B5F11E8"/>
    <w:rsid w:val="3B8216CF"/>
    <w:rsid w:val="3BAF27CE"/>
    <w:rsid w:val="3BB05318"/>
    <w:rsid w:val="3BC4F405"/>
    <w:rsid w:val="3BEBA314"/>
    <w:rsid w:val="3BFA378E"/>
    <w:rsid w:val="3C071C56"/>
    <w:rsid w:val="3C124051"/>
    <w:rsid w:val="3C39C9AE"/>
    <w:rsid w:val="3C5CD876"/>
    <w:rsid w:val="3C7F3042"/>
    <w:rsid w:val="3CBADB49"/>
    <w:rsid w:val="3CF43F92"/>
    <w:rsid w:val="3D4657AB"/>
    <w:rsid w:val="3D7246CB"/>
    <w:rsid w:val="3DAE6CEB"/>
    <w:rsid w:val="3DB249EC"/>
    <w:rsid w:val="3DC7D42E"/>
    <w:rsid w:val="3DCEDD48"/>
    <w:rsid w:val="3DCEEF84"/>
    <w:rsid w:val="3DD23E90"/>
    <w:rsid w:val="3DD5F840"/>
    <w:rsid w:val="3E1B00A3"/>
    <w:rsid w:val="3E261EA3"/>
    <w:rsid w:val="3E637FA7"/>
    <w:rsid w:val="3E8E6021"/>
    <w:rsid w:val="3E8EC524"/>
    <w:rsid w:val="3E9578A8"/>
    <w:rsid w:val="3E96B2AA"/>
    <w:rsid w:val="3EB1EEE5"/>
    <w:rsid w:val="3EBB6597"/>
    <w:rsid w:val="3EC6861F"/>
    <w:rsid w:val="3EDDD90A"/>
    <w:rsid w:val="3F1714D3"/>
    <w:rsid w:val="3F3E179B"/>
    <w:rsid w:val="3F3FE26E"/>
    <w:rsid w:val="3F53D212"/>
    <w:rsid w:val="3F680545"/>
    <w:rsid w:val="3F6D7BC3"/>
    <w:rsid w:val="3F869440"/>
    <w:rsid w:val="3FB6D104"/>
    <w:rsid w:val="3FC9319C"/>
    <w:rsid w:val="3FD89F99"/>
    <w:rsid w:val="3FE40678"/>
    <w:rsid w:val="3FE84D89"/>
    <w:rsid w:val="400A90F6"/>
    <w:rsid w:val="400AC9EB"/>
    <w:rsid w:val="401884EE"/>
    <w:rsid w:val="401BA3D7"/>
    <w:rsid w:val="401D102E"/>
    <w:rsid w:val="402A9585"/>
    <w:rsid w:val="40410C3C"/>
    <w:rsid w:val="4053C6C9"/>
    <w:rsid w:val="405735F8"/>
    <w:rsid w:val="406D2904"/>
    <w:rsid w:val="40B8C231"/>
    <w:rsid w:val="40DA8D79"/>
    <w:rsid w:val="41004B16"/>
    <w:rsid w:val="410E6F9A"/>
    <w:rsid w:val="410EC477"/>
    <w:rsid w:val="411DE1C3"/>
    <w:rsid w:val="4121B1BF"/>
    <w:rsid w:val="41682482"/>
    <w:rsid w:val="41ABF12A"/>
    <w:rsid w:val="41BB5B2D"/>
    <w:rsid w:val="42035111"/>
    <w:rsid w:val="420D4EFC"/>
    <w:rsid w:val="4214C393"/>
    <w:rsid w:val="42220436"/>
    <w:rsid w:val="424CDD1F"/>
    <w:rsid w:val="424EB595"/>
    <w:rsid w:val="426105F2"/>
    <w:rsid w:val="42A24E6B"/>
    <w:rsid w:val="42B1539B"/>
    <w:rsid w:val="42B9B224"/>
    <w:rsid w:val="42C5A17C"/>
    <w:rsid w:val="42EE71C6"/>
    <w:rsid w:val="43160070"/>
    <w:rsid w:val="431BCE3E"/>
    <w:rsid w:val="434231B8"/>
    <w:rsid w:val="4347C18B"/>
    <w:rsid w:val="436A23CD"/>
    <w:rsid w:val="43763FD9"/>
    <w:rsid w:val="43884E95"/>
    <w:rsid w:val="43B4A2D2"/>
    <w:rsid w:val="43D12A24"/>
    <w:rsid w:val="43EA85F6"/>
    <w:rsid w:val="43EC88CC"/>
    <w:rsid w:val="44321433"/>
    <w:rsid w:val="444D23FC"/>
    <w:rsid w:val="44558285"/>
    <w:rsid w:val="4467EA5B"/>
    <w:rsid w:val="446EAAE2"/>
    <w:rsid w:val="44839E38"/>
    <w:rsid w:val="44ACA3E1"/>
    <w:rsid w:val="44CB5893"/>
    <w:rsid w:val="4505F42E"/>
    <w:rsid w:val="4508FEB6"/>
    <w:rsid w:val="45546D98"/>
    <w:rsid w:val="458A843C"/>
    <w:rsid w:val="4594D63F"/>
    <w:rsid w:val="45BBDF74"/>
    <w:rsid w:val="45CDE494"/>
    <w:rsid w:val="45D08886"/>
    <w:rsid w:val="45E8F45D"/>
    <w:rsid w:val="4603BABC"/>
    <w:rsid w:val="462104FF"/>
    <w:rsid w:val="4683A692"/>
    <w:rsid w:val="46997206"/>
    <w:rsid w:val="4699D709"/>
    <w:rsid w:val="46A08206"/>
    <w:rsid w:val="46A4CF17"/>
    <w:rsid w:val="46A5BCA3"/>
    <w:rsid w:val="46D813FD"/>
    <w:rsid w:val="46E40E09"/>
    <w:rsid w:val="46F650B0"/>
    <w:rsid w:val="46F83343"/>
    <w:rsid w:val="470446B0"/>
    <w:rsid w:val="470D3DF9"/>
    <w:rsid w:val="472226B8"/>
    <w:rsid w:val="4726549D"/>
    <w:rsid w:val="472F12B7"/>
    <w:rsid w:val="4747007B"/>
    <w:rsid w:val="476150ED"/>
    <w:rsid w:val="478AC449"/>
    <w:rsid w:val="478CB244"/>
    <w:rsid w:val="478D2347"/>
    <w:rsid w:val="47BDD380"/>
    <w:rsid w:val="47EC6BF1"/>
    <w:rsid w:val="4835A76A"/>
    <w:rsid w:val="486BC067"/>
    <w:rsid w:val="487A76D2"/>
    <w:rsid w:val="4880E63A"/>
    <w:rsid w:val="48BC1EA3"/>
    <w:rsid w:val="48C224FE"/>
    <w:rsid w:val="48CC7701"/>
    <w:rsid w:val="48EB3955"/>
    <w:rsid w:val="4918DC6A"/>
    <w:rsid w:val="491DBF00"/>
    <w:rsid w:val="493409EE"/>
    <w:rsid w:val="4939DC2F"/>
    <w:rsid w:val="49544D1F"/>
    <w:rsid w:val="496DB6FD"/>
    <w:rsid w:val="49D112C8"/>
    <w:rsid w:val="49EEF89F"/>
    <w:rsid w:val="49FF3885"/>
    <w:rsid w:val="4A0E62F6"/>
    <w:rsid w:val="4A6345DD"/>
    <w:rsid w:val="4A6E2DCC"/>
    <w:rsid w:val="4A7D6E71"/>
    <w:rsid w:val="4A9B98D2"/>
    <w:rsid w:val="4AB6543C"/>
    <w:rsid w:val="4AB7AC7F"/>
    <w:rsid w:val="4AE52F6C"/>
    <w:rsid w:val="4B178E80"/>
    <w:rsid w:val="4B3B2510"/>
    <w:rsid w:val="4B6834F7"/>
    <w:rsid w:val="4B8B7DE7"/>
    <w:rsid w:val="4B9FD554"/>
    <w:rsid w:val="4BA6A577"/>
    <w:rsid w:val="4BD3F49D"/>
    <w:rsid w:val="4BDC346E"/>
    <w:rsid w:val="4BEC4233"/>
    <w:rsid w:val="4C094566"/>
    <w:rsid w:val="4C11A836"/>
    <w:rsid w:val="4C193ED2"/>
    <w:rsid w:val="4C47E2C2"/>
    <w:rsid w:val="4C49EDA5"/>
    <w:rsid w:val="4C7A8FE4"/>
    <w:rsid w:val="4C989975"/>
    <w:rsid w:val="4CE8BCE9"/>
    <w:rsid w:val="4CEA2675"/>
    <w:rsid w:val="4CFE0DD4"/>
    <w:rsid w:val="4D034ED2"/>
    <w:rsid w:val="4D0BD360"/>
    <w:rsid w:val="4D3B2F00"/>
    <w:rsid w:val="4D40377D"/>
    <w:rsid w:val="4D42E893"/>
    <w:rsid w:val="4D51CE6F"/>
    <w:rsid w:val="4DA62716"/>
    <w:rsid w:val="4DE59469"/>
    <w:rsid w:val="4DECEE98"/>
    <w:rsid w:val="4DF15AAD"/>
    <w:rsid w:val="4DFC64CB"/>
    <w:rsid w:val="4E01FE40"/>
    <w:rsid w:val="4E0EA590"/>
    <w:rsid w:val="4E6B2561"/>
    <w:rsid w:val="4E84E45F"/>
    <w:rsid w:val="4E85F6D6"/>
    <w:rsid w:val="4E8FE0A7"/>
    <w:rsid w:val="4EACD674"/>
    <w:rsid w:val="4EB72D7C"/>
    <w:rsid w:val="4ECBC7E5"/>
    <w:rsid w:val="4ED32685"/>
    <w:rsid w:val="4EDC9206"/>
    <w:rsid w:val="4F0EEF7D"/>
    <w:rsid w:val="4F14EF44"/>
    <w:rsid w:val="4F25BF2C"/>
    <w:rsid w:val="4F44DF97"/>
    <w:rsid w:val="4F5D6AA5"/>
    <w:rsid w:val="4F6D954C"/>
    <w:rsid w:val="4F88BEF9"/>
    <w:rsid w:val="4F920B04"/>
    <w:rsid w:val="4FA5BB2C"/>
    <w:rsid w:val="4FF5E8B5"/>
    <w:rsid w:val="4FFA4E6C"/>
    <w:rsid w:val="502EC746"/>
    <w:rsid w:val="503AFF6B"/>
    <w:rsid w:val="5057C26C"/>
    <w:rsid w:val="50699FDA"/>
    <w:rsid w:val="5069EA93"/>
    <w:rsid w:val="509621BC"/>
    <w:rsid w:val="509D4E1B"/>
    <w:rsid w:val="50A2137B"/>
    <w:rsid w:val="50BD220D"/>
    <w:rsid w:val="50CF1E0E"/>
    <w:rsid w:val="50DC00D6"/>
    <w:rsid w:val="50DDC7D8"/>
    <w:rsid w:val="50ECAFF5"/>
    <w:rsid w:val="5133948A"/>
    <w:rsid w:val="5152E23B"/>
    <w:rsid w:val="515ABAD2"/>
    <w:rsid w:val="519B5E53"/>
    <w:rsid w:val="519BB60E"/>
    <w:rsid w:val="51AF6399"/>
    <w:rsid w:val="51DC8586"/>
    <w:rsid w:val="51EB31D1"/>
    <w:rsid w:val="51FE8462"/>
    <w:rsid w:val="5205BAF4"/>
    <w:rsid w:val="5212A2AD"/>
    <w:rsid w:val="522811B5"/>
    <w:rsid w:val="52391E7C"/>
    <w:rsid w:val="5277D137"/>
    <w:rsid w:val="52888056"/>
    <w:rsid w:val="5291062B"/>
    <w:rsid w:val="52917F30"/>
    <w:rsid w:val="52B87235"/>
    <w:rsid w:val="52E216B3"/>
    <w:rsid w:val="52E23DF1"/>
    <w:rsid w:val="534B33FA"/>
    <w:rsid w:val="53585582"/>
    <w:rsid w:val="535967F9"/>
    <w:rsid w:val="5361FCCE"/>
    <w:rsid w:val="536FEC39"/>
    <w:rsid w:val="537CB288"/>
    <w:rsid w:val="539EE035"/>
    <w:rsid w:val="53AAAF33"/>
    <w:rsid w:val="53AC3528"/>
    <w:rsid w:val="53AE730E"/>
    <w:rsid w:val="53FF0CC2"/>
    <w:rsid w:val="541FA95F"/>
    <w:rsid w:val="54396747"/>
    <w:rsid w:val="54544296"/>
    <w:rsid w:val="546B354C"/>
    <w:rsid w:val="547795A7"/>
    <w:rsid w:val="54819A27"/>
    <w:rsid w:val="548500F8"/>
    <w:rsid w:val="548A82FD"/>
    <w:rsid w:val="54F425E3"/>
    <w:rsid w:val="54F5385A"/>
    <w:rsid w:val="54FC74BF"/>
    <w:rsid w:val="55030831"/>
    <w:rsid w:val="551C4ED4"/>
    <w:rsid w:val="5522D293"/>
    <w:rsid w:val="554C81C5"/>
    <w:rsid w:val="557F8748"/>
    <w:rsid w:val="55D63F5A"/>
    <w:rsid w:val="55EEC508"/>
    <w:rsid w:val="56593754"/>
    <w:rsid w:val="5666AFC5"/>
    <w:rsid w:val="5668361A"/>
    <w:rsid w:val="5682D4BC"/>
    <w:rsid w:val="569E177F"/>
    <w:rsid w:val="56C3BFEE"/>
    <w:rsid w:val="56CB3A40"/>
    <w:rsid w:val="56D92C17"/>
    <w:rsid w:val="56EB18DA"/>
    <w:rsid w:val="56EFA954"/>
    <w:rsid w:val="5708C68B"/>
    <w:rsid w:val="576AC9CF"/>
    <w:rsid w:val="57710809"/>
    <w:rsid w:val="57720FBB"/>
    <w:rsid w:val="578B9F43"/>
    <w:rsid w:val="579B74A1"/>
    <w:rsid w:val="57A832B6"/>
    <w:rsid w:val="57B587D6"/>
    <w:rsid w:val="57DCC6D6"/>
    <w:rsid w:val="57E0FC59"/>
    <w:rsid w:val="581EA51D"/>
    <w:rsid w:val="5835BCE5"/>
    <w:rsid w:val="583768FB"/>
    <w:rsid w:val="583BB3DF"/>
    <w:rsid w:val="58461150"/>
    <w:rsid w:val="58539A20"/>
    <w:rsid w:val="5853B8BA"/>
    <w:rsid w:val="58725158"/>
    <w:rsid w:val="5874FC78"/>
    <w:rsid w:val="58777B88"/>
    <w:rsid w:val="589F3100"/>
    <w:rsid w:val="58DA2FF3"/>
    <w:rsid w:val="58E7C86E"/>
    <w:rsid w:val="590EE175"/>
    <w:rsid w:val="590FAE11"/>
    <w:rsid w:val="591EA046"/>
    <w:rsid w:val="592FA13F"/>
    <w:rsid w:val="5939216D"/>
    <w:rsid w:val="59515837"/>
    <w:rsid w:val="59550B4A"/>
    <w:rsid w:val="5975A724"/>
    <w:rsid w:val="597CCCBA"/>
    <w:rsid w:val="5994F694"/>
    <w:rsid w:val="59CFE5E2"/>
    <w:rsid w:val="59E1E1B1"/>
    <w:rsid w:val="59E9CEBA"/>
    <w:rsid w:val="59F27050"/>
    <w:rsid w:val="59FB6EB5"/>
    <w:rsid w:val="5A2BC2A8"/>
    <w:rsid w:val="5A598FAA"/>
    <w:rsid w:val="5A8841E2"/>
    <w:rsid w:val="5AC1D128"/>
    <w:rsid w:val="5AC2362B"/>
    <w:rsid w:val="5AC98C0B"/>
    <w:rsid w:val="5ACA23B1"/>
    <w:rsid w:val="5ADABADC"/>
    <w:rsid w:val="5ADAE7D3"/>
    <w:rsid w:val="5AED9E98"/>
    <w:rsid w:val="5B37CA82"/>
    <w:rsid w:val="5B5645DF"/>
    <w:rsid w:val="5B5694B7"/>
    <w:rsid w:val="5B61EB8A"/>
    <w:rsid w:val="5BA9F21A"/>
    <w:rsid w:val="5BC17279"/>
    <w:rsid w:val="5BC844A7"/>
    <w:rsid w:val="5BCB1738"/>
    <w:rsid w:val="5BCE9DA7"/>
    <w:rsid w:val="5BED4228"/>
    <w:rsid w:val="5BF9E2E9"/>
    <w:rsid w:val="5C4580DE"/>
    <w:rsid w:val="5C493248"/>
    <w:rsid w:val="5C674201"/>
    <w:rsid w:val="5C6A0D57"/>
    <w:rsid w:val="5CB46D7C"/>
    <w:rsid w:val="5CD1909B"/>
    <w:rsid w:val="5D358396"/>
    <w:rsid w:val="5D496939"/>
    <w:rsid w:val="5D533B39"/>
    <w:rsid w:val="5D5D4222"/>
    <w:rsid w:val="5D641508"/>
    <w:rsid w:val="5D95B34A"/>
    <w:rsid w:val="5DA1CCF9"/>
    <w:rsid w:val="5DE0498D"/>
    <w:rsid w:val="5DE1513F"/>
    <w:rsid w:val="5DF3E512"/>
    <w:rsid w:val="5E1A0585"/>
    <w:rsid w:val="5E24C95A"/>
    <w:rsid w:val="5E316543"/>
    <w:rsid w:val="5E4515BD"/>
    <w:rsid w:val="5E5055CD"/>
    <w:rsid w:val="5E6480CE"/>
    <w:rsid w:val="5E842972"/>
    <w:rsid w:val="5EA688CB"/>
    <w:rsid w:val="5EB6F602"/>
    <w:rsid w:val="5ECA16DD"/>
    <w:rsid w:val="5ED9467F"/>
    <w:rsid w:val="5EEB71DC"/>
    <w:rsid w:val="5EED232B"/>
    <w:rsid w:val="5EF510B1"/>
    <w:rsid w:val="5F13F867"/>
    <w:rsid w:val="5F57608B"/>
    <w:rsid w:val="5F9D94D4"/>
    <w:rsid w:val="60043818"/>
    <w:rsid w:val="6012EADC"/>
    <w:rsid w:val="607D633D"/>
    <w:rsid w:val="608BA911"/>
    <w:rsid w:val="60AFA8D1"/>
    <w:rsid w:val="60C61255"/>
    <w:rsid w:val="60CE56C4"/>
    <w:rsid w:val="60D54E66"/>
    <w:rsid w:val="60E469F7"/>
    <w:rsid w:val="60EDF00C"/>
    <w:rsid w:val="60F64982"/>
    <w:rsid w:val="60F883B8"/>
    <w:rsid w:val="60FBD928"/>
    <w:rsid w:val="6103221D"/>
    <w:rsid w:val="613AB324"/>
    <w:rsid w:val="614F000A"/>
    <w:rsid w:val="6192D130"/>
    <w:rsid w:val="619B3133"/>
    <w:rsid w:val="61A9BF2B"/>
    <w:rsid w:val="61ABFA9C"/>
    <w:rsid w:val="61BBCA34"/>
    <w:rsid w:val="61C58763"/>
    <w:rsid w:val="62080304"/>
    <w:rsid w:val="6208F4B9"/>
    <w:rsid w:val="6224C3ED"/>
    <w:rsid w:val="623DEC4A"/>
    <w:rsid w:val="6295CBDF"/>
    <w:rsid w:val="6297246F"/>
    <w:rsid w:val="62C16DD5"/>
    <w:rsid w:val="632C7094"/>
    <w:rsid w:val="635597BF"/>
    <w:rsid w:val="638B20DC"/>
    <w:rsid w:val="63A91076"/>
    <w:rsid w:val="63C023B8"/>
    <w:rsid w:val="63C881D4"/>
    <w:rsid w:val="63CC845E"/>
    <w:rsid w:val="63D9BCAB"/>
    <w:rsid w:val="63E74993"/>
    <w:rsid w:val="63FD4176"/>
    <w:rsid w:val="64163612"/>
    <w:rsid w:val="64269BBE"/>
    <w:rsid w:val="642DEA44"/>
    <w:rsid w:val="644F8B11"/>
    <w:rsid w:val="647CA015"/>
    <w:rsid w:val="648E9CBB"/>
    <w:rsid w:val="64D7A93B"/>
    <w:rsid w:val="64D83FC3"/>
    <w:rsid w:val="64EBC7B1"/>
    <w:rsid w:val="64F16820"/>
    <w:rsid w:val="6520F96E"/>
    <w:rsid w:val="65312B9F"/>
    <w:rsid w:val="656DCAB3"/>
    <w:rsid w:val="65919C0F"/>
    <w:rsid w:val="6599B2DA"/>
    <w:rsid w:val="659C4251"/>
    <w:rsid w:val="65DA7D05"/>
    <w:rsid w:val="65DC99B9"/>
    <w:rsid w:val="65F2E1C1"/>
    <w:rsid w:val="660D1E59"/>
    <w:rsid w:val="661E7E5B"/>
    <w:rsid w:val="6652562C"/>
    <w:rsid w:val="6666353A"/>
    <w:rsid w:val="6673799C"/>
    <w:rsid w:val="66B0DF78"/>
    <w:rsid w:val="66E6FA39"/>
    <w:rsid w:val="66F7C47A"/>
    <w:rsid w:val="674DD6D4"/>
    <w:rsid w:val="67658B06"/>
    <w:rsid w:val="677EC28A"/>
    <w:rsid w:val="67889ED9"/>
    <w:rsid w:val="679E594E"/>
    <w:rsid w:val="67EE268D"/>
    <w:rsid w:val="67F6904F"/>
    <w:rsid w:val="67FB05DA"/>
    <w:rsid w:val="681FED67"/>
    <w:rsid w:val="684CAFD9"/>
    <w:rsid w:val="68764653"/>
    <w:rsid w:val="6888C6C1"/>
    <w:rsid w:val="6892CF56"/>
    <w:rsid w:val="689394DB"/>
    <w:rsid w:val="6907D9F0"/>
    <w:rsid w:val="69280439"/>
    <w:rsid w:val="693051BB"/>
    <w:rsid w:val="6944BF1B"/>
    <w:rsid w:val="6964B474"/>
    <w:rsid w:val="6996B6B1"/>
    <w:rsid w:val="6996D63B"/>
    <w:rsid w:val="69ABB0E6"/>
    <w:rsid w:val="69D886CE"/>
    <w:rsid w:val="69FADE41"/>
    <w:rsid w:val="6A169601"/>
    <w:rsid w:val="6A205F9F"/>
    <w:rsid w:val="6A2FD5D2"/>
    <w:rsid w:val="6A6DCED1"/>
    <w:rsid w:val="6A8E00BD"/>
    <w:rsid w:val="6AB426DF"/>
    <w:rsid w:val="6ABC0820"/>
    <w:rsid w:val="6AC6BA1B"/>
    <w:rsid w:val="6AD31BF2"/>
    <w:rsid w:val="6AFEE019"/>
    <w:rsid w:val="6B040A49"/>
    <w:rsid w:val="6B0D0331"/>
    <w:rsid w:val="6B0EECFB"/>
    <w:rsid w:val="6B32A69C"/>
    <w:rsid w:val="6B4A6435"/>
    <w:rsid w:val="6B4EC20A"/>
    <w:rsid w:val="6B7CBE8C"/>
    <w:rsid w:val="6B828B2E"/>
    <w:rsid w:val="6BA876F2"/>
    <w:rsid w:val="6BAAC207"/>
    <w:rsid w:val="6BCB359D"/>
    <w:rsid w:val="6BCBA633"/>
    <w:rsid w:val="6BD393B9"/>
    <w:rsid w:val="6BE4E9B5"/>
    <w:rsid w:val="6BEA82E1"/>
    <w:rsid w:val="6BFD88ED"/>
    <w:rsid w:val="6BFEB55D"/>
    <w:rsid w:val="6C4864D4"/>
    <w:rsid w:val="6C48997C"/>
    <w:rsid w:val="6C4FF740"/>
    <w:rsid w:val="6C818204"/>
    <w:rsid w:val="6CA15862"/>
    <w:rsid w:val="6CA8D392"/>
    <w:rsid w:val="6CB90307"/>
    <w:rsid w:val="6CF40299"/>
    <w:rsid w:val="6D0F71DD"/>
    <w:rsid w:val="6D300AE4"/>
    <w:rsid w:val="6D8E2BD9"/>
    <w:rsid w:val="6DA56F93"/>
    <w:rsid w:val="6DB960C7"/>
    <w:rsid w:val="6DDDF3F4"/>
    <w:rsid w:val="6DEBC7A1"/>
    <w:rsid w:val="6DF3441D"/>
    <w:rsid w:val="6E01CA68"/>
    <w:rsid w:val="6E4C59A4"/>
    <w:rsid w:val="6EB36D64"/>
    <w:rsid w:val="6ECE4F64"/>
    <w:rsid w:val="6EFF7232"/>
    <w:rsid w:val="6F02D5F2"/>
    <w:rsid w:val="6F31E9C0"/>
    <w:rsid w:val="6F5254B5"/>
    <w:rsid w:val="6F5CD9A9"/>
    <w:rsid w:val="6F768A11"/>
    <w:rsid w:val="6FA7869A"/>
    <w:rsid w:val="6FE05911"/>
    <w:rsid w:val="6FFA6223"/>
    <w:rsid w:val="700A1F8E"/>
    <w:rsid w:val="70224968"/>
    <w:rsid w:val="702BA35B"/>
    <w:rsid w:val="703E5A89"/>
    <w:rsid w:val="7041E54A"/>
    <w:rsid w:val="7055FC51"/>
    <w:rsid w:val="706A1FC5"/>
    <w:rsid w:val="7075A4F8"/>
    <w:rsid w:val="7091DE51"/>
    <w:rsid w:val="70A7DBD3"/>
    <w:rsid w:val="70CDBA21"/>
    <w:rsid w:val="70DD1055"/>
    <w:rsid w:val="70E20FA2"/>
    <w:rsid w:val="712123E7"/>
    <w:rsid w:val="7126A6D8"/>
    <w:rsid w:val="71449920"/>
    <w:rsid w:val="71551DB1"/>
    <w:rsid w:val="718C742A"/>
    <w:rsid w:val="71914D2D"/>
    <w:rsid w:val="719B02E6"/>
    <w:rsid w:val="71A3D5CD"/>
    <w:rsid w:val="71A43045"/>
    <w:rsid w:val="71BB7320"/>
    <w:rsid w:val="71C773BC"/>
    <w:rsid w:val="724D1DBC"/>
    <w:rsid w:val="725D009D"/>
    <w:rsid w:val="72601FEC"/>
    <w:rsid w:val="727794DF"/>
    <w:rsid w:val="72827537"/>
    <w:rsid w:val="7285F73E"/>
    <w:rsid w:val="72A7D420"/>
    <w:rsid w:val="72AA7F51"/>
    <w:rsid w:val="72CB54D1"/>
    <w:rsid w:val="72CFEF9F"/>
    <w:rsid w:val="72F2ACF0"/>
    <w:rsid w:val="72F8C696"/>
    <w:rsid w:val="730A2960"/>
    <w:rsid w:val="730F1C2E"/>
    <w:rsid w:val="735C35A1"/>
    <w:rsid w:val="737F6914"/>
    <w:rsid w:val="7384564E"/>
    <w:rsid w:val="73AC87B5"/>
    <w:rsid w:val="73B0E7A2"/>
    <w:rsid w:val="73B26CC4"/>
    <w:rsid w:val="73BC9812"/>
    <w:rsid w:val="73CE9C0A"/>
    <w:rsid w:val="73E8F8DD"/>
    <w:rsid w:val="73FBF04D"/>
    <w:rsid w:val="74396753"/>
    <w:rsid w:val="74763D78"/>
    <w:rsid w:val="74D26891"/>
    <w:rsid w:val="750EAD70"/>
    <w:rsid w:val="75117C46"/>
    <w:rsid w:val="75AFEB49"/>
    <w:rsid w:val="75F48CAC"/>
    <w:rsid w:val="7629CBF7"/>
    <w:rsid w:val="762EC0C5"/>
    <w:rsid w:val="7634392B"/>
    <w:rsid w:val="769C01BB"/>
    <w:rsid w:val="76E0D2EE"/>
    <w:rsid w:val="76E88864"/>
    <w:rsid w:val="770E58DA"/>
    <w:rsid w:val="77390E7D"/>
    <w:rsid w:val="778AF6DD"/>
    <w:rsid w:val="77BECA83"/>
    <w:rsid w:val="77C3C489"/>
    <w:rsid w:val="77E7FBC7"/>
    <w:rsid w:val="77F4E380"/>
    <w:rsid w:val="77FEA30A"/>
    <w:rsid w:val="785EBD04"/>
    <w:rsid w:val="785EE103"/>
    <w:rsid w:val="78AA293B"/>
    <w:rsid w:val="78B216C1"/>
    <w:rsid w:val="7940A1F9"/>
    <w:rsid w:val="797703D1"/>
    <w:rsid w:val="798CE428"/>
    <w:rsid w:val="79A9DB86"/>
    <w:rsid w:val="7A536E7E"/>
    <w:rsid w:val="7A9F54BF"/>
    <w:rsid w:val="7B28B489"/>
    <w:rsid w:val="7B2C8442"/>
    <w:rsid w:val="7B42A3B5"/>
    <w:rsid w:val="7B5BB0A3"/>
    <w:rsid w:val="7B7635F6"/>
    <w:rsid w:val="7BDB33A0"/>
    <w:rsid w:val="7BFFC186"/>
    <w:rsid w:val="7C106CC8"/>
    <w:rsid w:val="7C1F5E21"/>
    <w:rsid w:val="7C3ED57E"/>
    <w:rsid w:val="7C65158F"/>
    <w:rsid w:val="7C6E0890"/>
    <w:rsid w:val="7C7901A2"/>
    <w:rsid w:val="7C8571F9"/>
    <w:rsid w:val="7CAB4E56"/>
    <w:rsid w:val="7CACEE60"/>
    <w:rsid w:val="7CB8C1CA"/>
    <w:rsid w:val="7CC4F1DA"/>
    <w:rsid w:val="7CF76217"/>
    <w:rsid w:val="7D0A429C"/>
    <w:rsid w:val="7D18B2DF"/>
    <w:rsid w:val="7D3B6A6B"/>
    <w:rsid w:val="7D5FCB6A"/>
    <w:rsid w:val="7D6E242B"/>
    <w:rsid w:val="7D8D118C"/>
    <w:rsid w:val="7DBE2B44"/>
    <w:rsid w:val="7DD9BC7E"/>
    <w:rsid w:val="7E09D8F1"/>
    <w:rsid w:val="7E0F19EF"/>
    <w:rsid w:val="7E2B7971"/>
    <w:rsid w:val="7E4BFC57"/>
    <w:rsid w:val="7E5DE077"/>
    <w:rsid w:val="7E642504"/>
    <w:rsid w:val="7E8D268B"/>
    <w:rsid w:val="7F33990A"/>
    <w:rsid w:val="7F343BB4"/>
    <w:rsid w:val="7F67F071"/>
    <w:rsid w:val="7F7822A2"/>
    <w:rsid w:val="7F7E05F6"/>
    <w:rsid w:val="7F83D37C"/>
    <w:rsid w:val="7FAAEA50"/>
    <w:rsid w:val="7FBAB432"/>
    <w:rsid w:val="7FBFD9B8"/>
    <w:rsid w:val="7FCDA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A525C7"/>
  <w15:chartTrackingRefBased/>
  <w15:docId w15:val="{D2575E58-4BB1-4685-8905-225B41D995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f845d0fbe1643c1" /><Relationship Type="http://schemas.microsoft.com/office/2020/10/relationships/intelligence" Target="intelligence2.xml" Id="R3e6791c4abd44408" /><Relationship Type="http://schemas.openxmlformats.org/officeDocument/2006/relationships/hyperlink" Target="https://assets.publishing.service.gov.uk/media/5a7c254040f0b61a825d6bc5/1067.pdf" TargetMode="External" Id="Rf7c02ab8a22f430a" /><Relationship Type="http://schemas.openxmlformats.org/officeDocument/2006/relationships/hyperlink" Target="https://www.legislation.gov.uk/ukpga/Geo5/15-16/20/section/1" TargetMode="External" Id="R16962eea48754063" /><Relationship Type="http://schemas.openxmlformats.org/officeDocument/2006/relationships/hyperlink" Target="https://www.lexisnexis.co.uk/legal/guidance/dealing-with-parking-rights" TargetMode="External" Id="R446b8ee87b1347b9" /><Relationship Type="http://schemas.openxmlformats.org/officeDocument/2006/relationships/hyperlink" Target="https://www.lexisnexis.co.uk/legal/glossary/easement" TargetMode="External" Id="Rf76527b98d554327" /><Relationship Type="http://schemas.openxmlformats.org/officeDocument/2006/relationships/hyperlink" Target="https://www.lexisnexis.co.uk/legal/guidance/easements-nature-characteristics" TargetMode="External" Id="R2d696a543d284de8" /><Relationship Type="http://schemas.openxmlformats.org/officeDocument/2006/relationships/hyperlink" Target="https://www.lexisnexis.co.uk/legal/glossary/vacant-possession" TargetMode="External" Id="R31c8afad63804276" /><Relationship Type="http://schemas.openxmlformats.org/officeDocument/2006/relationships/hyperlink" Target="https://www.morrishsolicitors.com/what-is-the-difference-between-chattel-and-fixture/" TargetMode="External" Id="Re0499dccc5b8460f" /><Relationship Type="http://schemas.openxmlformats.org/officeDocument/2006/relationships/hyperlink" Target="https://www.tanfieldchambers.co.uk/2016/02/16/what-is-an-easement-and-how-are-they-created-and-used/" TargetMode="External" Id="R0ff4dbcf817b489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2023-11-22T14:12:25.0598767Z</dcterms:created>
  <dcterms:modified xsi:type="dcterms:W3CDTF">2023-12-15T17:09:12.1475905Z</dcterms:modified>
  <dc:creator>Artur Zacharski (2103167)</dc:creator>
  <lastModifiedBy>Artur Zacharski (2103167)</lastModifiedBy>
</coreProperties>
</file>