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818CD" w14:textId="02A837CD" w:rsidR="00BE6A74" w:rsidRPr="000740C5" w:rsidRDefault="00BE6A74" w:rsidP="00B42CFD">
      <w:pPr>
        <w:pStyle w:val="ListParagraph"/>
        <w:numPr>
          <w:ilvl w:val="0"/>
          <w:numId w:val="2"/>
        </w:numPr>
        <w:spacing w:after="0" w:line="276" w:lineRule="auto"/>
        <w:ind w:left="0"/>
        <w:jc w:val="both"/>
        <w:rPr>
          <w:rFonts w:eastAsia="Times New Roman" w:cs="Arial"/>
          <w:lang w:eastAsia="en-GB"/>
        </w:rPr>
      </w:pPr>
      <w:r w:rsidRPr="000740C5">
        <w:rPr>
          <w:rFonts w:eastAsia="Times New Roman" w:cs="Arial"/>
          <w:b/>
          <w:bCs/>
          <w:lang w:eastAsia="en-GB"/>
        </w:rPr>
        <w:t>Maintaining Professional Standards</w:t>
      </w:r>
    </w:p>
    <w:p w14:paraId="768C2BE3" w14:textId="6B6CB803" w:rsidR="00BE6A74" w:rsidRPr="000740C5" w:rsidRDefault="00BE6A74" w:rsidP="00B42CFD">
      <w:pPr>
        <w:spacing w:after="0" w:line="276" w:lineRule="auto"/>
        <w:jc w:val="both"/>
        <w:rPr>
          <w:rFonts w:eastAsia="Times New Roman" w:cs="Arial"/>
          <w:lang w:eastAsia="en-GB"/>
        </w:rPr>
      </w:pPr>
      <w:r w:rsidRPr="000740C5">
        <w:rPr>
          <w:rFonts w:eastAsia="Times New Roman" w:cs="Arial"/>
          <w:lang w:eastAsia="en-GB"/>
        </w:rPr>
        <w:t>Critically examine policing policies and procedures (e.g. PACE, Code of Ethics, NDM, use of BWV) aimed at reducing misconduct and malpractice by police officers. How might these increase public confidence in the police?</w:t>
      </w:r>
    </w:p>
    <w:p w14:paraId="7A7CA53D" w14:textId="77777777" w:rsidR="00BE6A74" w:rsidRPr="000740C5" w:rsidRDefault="00BE6A74" w:rsidP="00B42CFD">
      <w:pPr>
        <w:overflowPunct w:val="0"/>
        <w:autoSpaceDE w:val="0"/>
        <w:autoSpaceDN w:val="0"/>
        <w:adjustRightInd w:val="0"/>
        <w:spacing w:after="0" w:line="276" w:lineRule="auto"/>
        <w:jc w:val="both"/>
        <w:textAlignment w:val="baseline"/>
        <w:rPr>
          <w:rFonts w:eastAsia="Times New Roman" w:cs="Arial"/>
          <w:lang w:eastAsia="en-GB"/>
        </w:rPr>
      </w:pPr>
      <w:r w:rsidRPr="000740C5">
        <w:rPr>
          <w:rFonts w:eastAsia="Times New Roman" w:cs="Arial"/>
          <w:lang w:eastAsia="en-GB"/>
        </w:rPr>
        <w:t>Support your answer with relevant evidence drawn from academic sources.</w:t>
      </w:r>
    </w:p>
    <w:p w14:paraId="1ADC0614" w14:textId="77777777" w:rsidR="00BE6A74" w:rsidRPr="000740C5" w:rsidRDefault="00BE6A74" w:rsidP="00B42CFD">
      <w:pPr>
        <w:overflowPunct w:val="0"/>
        <w:autoSpaceDE w:val="0"/>
        <w:autoSpaceDN w:val="0"/>
        <w:adjustRightInd w:val="0"/>
        <w:spacing w:after="0" w:line="276" w:lineRule="auto"/>
        <w:jc w:val="both"/>
        <w:textAlignment w:val="baseline"/>
        <w:rPr>
          <w:rFonts w:eastAsia="Times New Roman" w:cs="Arial"/>
          <w:lang w:eastAsia="en-GB"/>
        </w:rPr>
      </w:pPr>
      <w:r w:rsidRPr="000740C5">
        <w:rPr>
          <w:rFonts w:eastAsia="Times New Roman" w:cs="Arial"/>
          <w:lang w:eastAsia="en-GB"/>
        </w:rPr>
        <w:t xml:space="preserve">NB – to </w:t>
      </w:r>
      <w:r w:rsidRPr="000740C5">
        <w:rPr>
          <w:rFonts w:eastAsia="Times New Roman" w:cs="Arial"/>
          <w:i/>
          <w:iCs/>
          <w:lang w:eastAsia="en-GB"/>
        </w:rPr>
        <w:t>critically examine</w:t>
      </w:r>
      <w:r w:rsidRPr="000740C5">
        <w:rPr>
          <w:rFonts w:eastAsia="Times New Roman" w:cs="Arial"/>
          <w:lang w:eastAsia="en-GB"/>
        </w:rPr>
        <w:t xml:space="preserve"> is to give a balanced answer that points out weaknesses as well as favourable aspects of the topic in question. </w:t>
      </w:r>
    </w:p>
    <w:p w14:paraId="05E1FCEB" w14:textId="77777777" w:rsidR="00BE6A74" w:rsidRPr="000740C5" w:rsidRDefault="00BE6A74" w:rsidP="00B42CFD">
      <w:pPr>
        <w:spacing w:after="0" w:line="276" w:lineRule="auto"/>
        <w:jc w:val="both"/>
        <w:rPr>
          <w:rFonts w:eastAsia="Times New Roman" w:cs="Arial"/>
          <w:lang w:eastAsia="en-GB"/>
        </w:rPr>
      </w:pPr>
      <w:r w:rsidRPr="000740C5">
        <w:rPr>
          <w:rFonts w:eastAsia="Times New Roman" w:cs="Arial"/>
          <w:b/>
          <w:bCs/>
          <w:lang w:eastAsia="en-GB"/>
        </w:rPr>
        <w:t>Word limit:</w:t>
      </w:r>
      <w:r w:rsidRPr="000740C5">
        <w:rPr>
          <w:rFonts w:eastAsia="Times New Roman" w:cs="Arial"/>
          <w:lang w:eastAsia="en-GB"/>
        </w:rPr>
        <w:t xml:space="preserve"> 1000 words.</w:t>
      </w:r>
    </w:p>
    <w:p w14:paraId="18CD7E92" w14:textId="77777777" w:rsidR="00BE6A74" w:rsidRPr="000740C5" w:rsidRDefault="00BE6A74" w:rsidP="00B42CFD">
      <w:pPr>
        <w:spacing w:after="0" w:line="276" w:lineRule="auto"/>
        <w:jc w:val="both"/>
        <w:rPr>
          <w:rFonts w:eastAsia="Times New Roman" w:cs="Arial"/>
          <w:color w:val="000000"/>
          <w:lang w:eastAsia="en-GB"/>
        </w:rPr>
      </w:pPr>
    </w:p>
    <w:p w14:paraId="748AE978" w14:textId="2F4FCEE0" w:rsidR="008C3782" w:rsidRPr="000740C5" w:rsidRDefault="00B1529D" w:rsidP="00B42CFD">
      <w:pPr>
        <w:overflowPunct w:val="0"/>
        <w:autoSpaceDE w:val="0"/>
        <w:autoSpaceDN w:val="0"/>
        <w:adjustRightInd w:val="0"/>
        <w:spacing w:after="0" w:line="276" w:lineRule="auto"/>
        <w:jc w:val="both"/>
        <w:textAlignment w:val="baseline"/>
        <w:rPr>
          <w:rFonts w:eastAsia="Times New Roman" w:cs="Arial"/>
          <w:color w:val="000000"/>
          <w:lang w:eastAsia="en-GB"/>
        </w:rPr>
      </w:pPr>
      <w:r w:rsidRPr="000740C5">
        <w:rPr>
          <w:rFonts w:eastAsia="Times New Roman" w:cs="Arial"/>
          <w:color w:val="000000"/>
          <w:lang w:eastAsia="en-GB"/>
        </w:rPr>
        <w:t xml:space="preserve">This essay will analyse the policy frameworks put in place to address misconduct and promote officer integrity. Specifically, it will examine in detail how the Police and Criminal Evidence Act (PACE), the Code of Ethics, the National Decision-Making Model (NDM), and Body-Worn Video (BWV) technology contribute to reducing misconduct and malpractice among officers. </w:t>
      </w:r>
      <w:r w:rsidR="00A037E7" w:rsidRPr="000740C5">
        <w:rPr>
          <w:rFonts w:eastAsia="Times New Roman" w:cs="Arial"/>
          <w:color w:val="000000"/>
          <w:lang w:eastAsia="en-GB"/>
        </w:rPr>
        <w:t>These regulations aim</w:t>
      </w:r>
      <w:r w:rsidR="00196DF2" w:rsidRPr="000740C5">
        <w:rPr>
          <w:rFonts w:eastAsia="Times New Roman" w:cs="Arial"/>
          <w:color w:val="000000"/>
          <w:lang w:eastAsia="en-GB"/>
        </w:rPr>
        <w:t xml:space="preserve"> to enhance accountability and ethical conduct within law enforcement agencies. The Police and Criminal Evidence Act </w:t>
      </w:r>
      <w:r w:rsidRPr="000740C5">
        <w:rPr>
          <w:rFonts w:eastAsia="Times New Roman" w:cs="Arial"/>
          <w:color w:val="000000"/>
          <w:lang w:eastAsia="en-GB"/>
        </w:rPr>
        <w:t xml:space="preserve">1984 </w:t>
      </w:r>
      <w:r w:rsidR="00196DF2" w:rsidRPr="000740C5">
        <w:rPr>
          <w:rFonts w:eastAsia="Times New Roman" w:cs="Arial"/>
          <w:color w:val="000000"/>
          <w:lang w:eastAsia="en-GB"/>
        </w:rPr>
        <w:t>establishes procedural safeguards, while the Code of Ethics delineates professional standards. Additionally, the National Decision</w:t>
      </w:r>
      <w:r w:rsidR="00380AE2" w:rsidRPr="000740C5">
        <w:rPr>
          <w:rFonts w:eastAsia="Times New Roman" w:cs="Arial"/>
          <w:color w:val="000000"/>
          <w:lang w:eastAsia="en-GB"/>
        </w:rPr>
        <w:t>-</w:t>
      </w:r>
      <w:r w:rsidR="00CC4FE6" w:rsidRPr="000740C5">
        <w:rPr>
          <w:rFonts w:eastAsia="Times New Roman" w:cs="Arial"/>
          <w:color w:val="000000"/>
          <w:lang w:eastAsia="en-GB"/>
        </w:rPr>
        <w:t>Making</w:t>
      </w:r>
      <w:r w:rsidR="00196DF2" w:rsidRPr="000740C5">
        <w:rPr>
          <w:rFonts w:eastAsia="Times New Roman" w:cs="Arial"/>
          <w:color w:val="000000"/>
          <w:lang w:eastAsia="en-GB"/>
        </w:rPr>
        <w:t xml:space="preserve"> Model (NDM) provides a systematic approach to decision-making.</w:t>
      </w:r>
      <w:r w:rsidR="003A208C" w:rsidRPr="000740C5">
        <w:rPr>
          <w:rFonts w:eastAsia="Times New Roman" w:cs="Arial"/>
          <w:color w:val="000000"/>
          <w:lang w:eastAsia="en-GB"/>
        </w:rPr>
        <w:t xml:space="preserve"> Body-worn video</w:t>
      </w:r>
      <w:r w:rsidR="00196DF2" w:rsidRPr="000740C5">
        <w:rPr>
          <w:rFonts w:eastAsia="Times New Roman" w:cs="Arial"/>
          <w:color w:val="000000"/>
          <w:lang w:eastAsia="en-GB"/>
        </w:rPr>
        <w:t xml:space="preserve"> (BWV) technology enhances transparency by recording interactions between officers and the public. Ultimately, the effective integration of these strategies has the potential to cultivate greater public trust in policing and improve community relations. This underscores the importance of a balanced evaluation of their respective strengths and weaknesses</w:t>
      </w:r>
      <w:r w:rsidR="00312685" w:rsidRPr="000740C5">
        <w:rPr>
          <w:rFonts w:eastAsia="Times New Roman" w:cs="Arial"/>
          <w:color w:val="000000"/>
          <w:lang w:eastAsia="en-GB"/>
        </w:rPr>
        <w:t xml:space="preserve"> </w:t>
      </w:r>
      <w:r w:rsidR="00312685" w:rsidRPr="000740C5">
        <w:rPr>
          <w:rFonts w:eastAsia="Times New Roman" w:cs="Arial"/>
          <w:lang w:eastAsia="en-GB"/>
        </w:rPr>
        <w:t>(College of Policing, 2013).</w:t>
      </w:r>
      <w:r w:rsidR="00EA5FE9" w:rsidRPr="000740C5">
        <w:rPr>
          <w:rFonts w:eastAsia="Times New Roman" w:cs="Arial"/>
          <w:lang w:eastAsia="en-GB"/>
        </w:rPr>
        <w:t xml:space="preserve"> </w:t>
      </w:r>
      <w:r w:rsidR="008C3782" w:rsidRPr="000740C5">
        <w:rPr>
          <w:rFonts w:eastAsia="Times New Roman" w:cs="Arial"/>
          <w:color w:val="000000"/>
          <w:lang w:eastAsia="en-GB"/>
        </w:rPr>
        <w:t xml:space="preserve">A thorough evaluation of the frameworks and strategies used by police departments to curb misconduct and encourage ethical behaviour reveals critical components </w:t>
      </w:r>
      <w:r w:rsidR="004C03F4" w:rsidRPr="000740C5">
        <w:rPr>
          <w:rFonts w:eastAsia="Times New Roman" w:cs="Arial"/>
          <w:color w:val="000000"/>
          <w:lang w:eastAsia="en-GB"/>
        </w:rPr>
        <w:t xml:space="preserve">of </w:t>
      </w:r>
      <w:r w:rsidR="008C3782" w:rsidRPr="000740C5">
        <w:rPr>
          <w:rFonts w:eastAsia="Times New Roman" w:cs="Arial"/>
          <w:color w:val="000000"/>
          <w:lang w:eastAsia="en-GB"/>
        </w:rPr>
        <w:t>PACE, the Code of Ethics, the NDM, and the use of BWV technology</w:t>
      </w:r>
      <w:r w:rsidR="00152367" w:rsidRPr="000740C5">
        <w:rPr>
          <w:rFonts w:eastAsia="Times New Roman" w:cs="Arial"/>
          <w:color w:val="000000"/>
          <w:lang w:eastAsia="en-GB"/>
        </w:rPr>
        <w:t xml:space="preserve"> (Home Office, 2013)</w:t>
      </w:r>
      <w:r w:rsidR="008C3782" w:rsidRPr="000740C5">
        <w:rPr>
          <w:rFonts w:eastAsia="Times New Roman" w:cs="Arial"/>
          <w:color w:val="000000"/>
          <w:lang w:eastAsia="en-GB"/>
        </w:rPr>
        <w:t>.</w:t>
      </w:r>
    </w:p>
    <w:p w14:paraId="74A4E533" w14:textId="77777777" w:rsidR="008C3782" w:rsidRPr="000740C5" w:rsidRDefault="008C3782" w:rsidP="00B42CFD">
      <w:pPr>
        <w:overflowPunct w:val="0"/>
        <w:autoSpaceDE w:val="0"/>
        <w:autoSpaceDN w:val="0"/>
        <w:adjustRightInd w:val="0"/>
        <w:spacing w:after="0" w:line="276" w:lineRule="auto"/>
        <w:jc w:val="both"/>
        <w:textAlignment w:val="baseline"/>
        <w:rPr>
          <w:rFonts w:eastAsia="Times New Roman" w:cs="Arial"/>
          <w:color w:val="000000"/>
          <w:lang w:eastAsia="en-GB"/>
        </w:rPr>
      </w:pPr>
    </w:p>
    <w:p w14:paraId="4043F100" w14:textId="6C6348A8" w:rsidR="00A029AF" w:rsidRPr="000740C5" w:rsidRDefault="00250696" w:rsidP="00B42CFD">
      <w:pPr>
        <w:overflowPunct w:val="0"/>
        <w:autoSpaceDE w:val="0"/>
        <w:autoSpaceDN w:val="0"/>
        <w:adjustRightInd w:val="0"/>
        <w:spacing w:after="0" w:line="276" w:lineRule="auto"/>
        <w:jc w:val="both"/>
        <w:textAlignment w:val="baseline"/>
        <w:rPr>
          <w:rFonts w:eastAsia="Times New Roman" w:cs="Arial"/>
          <w:lang w:eastAsia="en-GB"/>
        </w:rPr>
      </w:pPr>
      <w:r w:rsidRPr="000740C5">
        <w:rPr>
          <w:rFonts w:eastAsia="Times New Roman" w:cs="Arial"/>
          <w:lang w:eastAsia="en-GB"/>
        </w:rPr>
        <w:t xml:space="preserve">Firstly, </w:t>
      </w:r>
      <w:r w:rsidR="00965A3B" w:rsidRPr="000740C5">
        <w:rPr>
          <w:rFonts w:eastAsia="Times New Roman" w:cs="Arial"/>
          <w:lang w:eastAsia="en-GB"/>
        </w:rPr>
        <w:t>T</w:t>
      </w:r>
      <w:r w:rsidR="00CE0720" w:rsidRPr="000740C5">
        <w:rPr>
          <w:rFonts w:eastAsia="Times New Roman" w:cs="Arial"/>
          <w:lang w:eastAsia="en-GB"/>
        </w:rPr>
        <w:t>he Police and Criminal Evidence Act (PACE) of 1984 plays a fundamental role in shaping law enforcement practices in England and Wales. Enacted following the Brixton Riot in 1981 (The National Archives, 2024), this legislation establishes the legal framework governing police powers and criminal investigations. Despite the provisions outlined in PACE, research by Delsol (2011)</w:t>
      </w:r>
      <w:r w:rsidR="00095A12" w:rsidRPr="000740C5">
        <w:rPr>
          <w:rFonts w:eastAsia="Times New Roman" w:cs="Arial"/>
          <w:lang w:eastAsia="en-GB"/>
        </w:rPr>
        <w:t>,</w:t>
      </w:r>
      <w:r w:rsidR="00CE0720" w:rsidRPr="000740C5">
        <w:rPr>
          <w:rFonts w:eastAsia="Times New Roman" w:cs="Arial"/>
          <w:lang w:eastAsia="en-GB"/>
        </w:rPr>
        <w:t xml:space="preserve"> indicates that stop and search practices disproportionately affect minority communities, including individuals from Asian and Black backgrounds. These findings are supported by statistics within the report titled "Police Powers and Procedures, England and Wales, Year Ending 31 March 2020, Second Edition" (2020).</w:t>
      </w:r>
      <w:r w:rsidR="00C504EE" w:rsidRPr="000740C5">
        <w:rPr>
          <w:rFonts w:eastAsia="Times New Roman" w:cs="Arial"/>
          <w:lang w:eastAsia="en-GB"/>
        </w:rPr>
        <w:t xml:space="preserve"> This report states that </w:t>
      </w:r>
      <w:r w:rsidRPr="000740C5">
        <w:rPr>
          <w:rFonts w:eastAsia="Times New Roman" w:cs="Arial"/>
          <w:lang w:eastAsia="en-GB"/>
        </w:rPr>
        <w:t>“</w:t>
      </w:r>
      <w:bookmarkStart w:id="0" w:name="_Hlk193556865"/>
      <w:r w:rsidRPr="000740C5">
        <w:rPr>
          <w:rFonts w:eastAsia="Times New Roman" w:cs="Arial"/>
          <w:lang w:eastAsia="en-GB"/>
        </w:rPr>
        <w:t>Black, Asian and minority ethnic background were stopped at a rate 4.1 times higher than those who were from a White ethnic group</w:t>
      </w:r>
      <w:bookmarkEnd w:id="0"/>
      <w:r w:rsidRPr="000740C5">
        <w:rPr>
          <w:rFonts w:eastAsia="Times New Roman" w:cs="Arial"/>
          <w:lang w:eastAsia="en-GB"/>
        </w:rPr>
        <w:t xml:space="preserve">” (Home Office, 2020). This evidence shows that stop and search powers </w:t>
      </w:r>
      <w:r w:rsidR="00356246" w:rsidRPr="000740C5">
        <w:rPr>
          <w:rFonts w:eastAsia="Times New Roman" w:cs="Arial"/>
          <w:lang w:eastAsia="en-GB"/>
        </w:rPr>
        <w:t xml:space="preserve">are used </w:t>
      </w:r>
      <w:r w:rsidR="008B5F28" w:rsidRPr="000740C5">
        <w:rPr>
          <w:rFonts w:eastAsia="Times New Roman" w:cs="Arial"/>
          <w:lang w:eastAsia="en-GB"/>
        </w:rPr>
        <w:t>more</w:t>
      </w:r>
      <w:r w:rsidR="00356246" w:rsidRPr="000740C5">
        <w:rPr>
          <w:rFonts w:eastAsia="Times New Roman" w:cs="Arial"/>
          <w:lang w:eastAsia="en-GB"/>
        </w:rPr>
        <w:t xml:space="preserve"> on ethnic minority groups than</w:t>
      </w:r>
      <w:r w:rsidRPr="000740C5">
        <w:rPr>
          <w:rFonts w:eastAsia="Times New Roman" w:cs="Arial"/>
          <w:lang w:eastAsia="en-GB"/>
        </w:rPr>
        <w:t xml:space="preserve"> a person from a white background</w:t>
      </w:r>
      <w:r w:rsidR="007811F5" w:rsidRPr="000740C5">
        <w:rPr>
          <w:rFonts w:eastAsia="Times New Roman" w:cs="Arial"/>
          <w:lang w:eastAsia="en-GB"/>
        </w:rPr>
        <w:t>, according</w:t>
      </w:r>
      <w:r w:rsidR="008B5F28" w:rsidRPr="000740C5">
        <w:rPr>
          <w:rFonts w:eastAsia="Times New Roman" w:cs="Arial"/>
          <w:lang w:eastAsia="en-GB"/>
        </w:rPr>
        <w:t xml:space="preserve"> to GOV.UK, (2022) 81.7% of the UK population is people of white background. The other 18.3% of the UK population is from other backgrounds. Comparing these stats to the Home Office (2020) stats, that number is shockingly high. This does not increase public confidence in policing.</w:t>
      </w:r>
    </w:p>
    <w:p w14:paraId="0D04E2EE" w14:textId="77777777" w:rsidR="008C3782" w:rsidRPr="000740C5" w:rsidRDefault="008C3782" w:rsidP="00B42CFD">
      <w:pPr>
        <w:overflowPunct w:val="0"/>
        <w:autoSpaceDE w:val="0"/>
        <w:autoSpaceDN w:val="0"/>
        <w:adjustRightInd w:val="0"/>
        <w:spacing w:after="0" w:line="276" w:lineRule="auto"/>
        <w:jc w:val="both"/>
        <w:textAlignment w:val="baseline"/>
        <w:rPr>
          <w:rFonts w:eastAsia="Times New Roman" w:cs="Arial"/>
          <w:lang w:eastAsia="en-GB"/>
        </w:rPr>
      </w:pPr>
    </w:p>
    <w:p w14:paraId="74ACC98A" w14:textId="3D67F707" w:rsidR="008C3782" w:rsidRPr="000740C5" w:rsidRDefault="00A21C40" w:rsidP="00D2561E">
      <w:pPr>
        <w:overflowPunct w:val="0"/>
        <w:autoSpaceDE w:val="0"/>
        <w:autoSpaceDN w:val="0"/>
        <w:adjustRightInd w:val="0"/>
        <w:spacing w:after="0" w:line="276" w:lineRule="auto"/>
        <w:jc w:val="both"/>
        <w:textAlignment w:val="baseline"/>
        <w:rPr>
          <w:rFonts w:eastAsia="Times New Roman" w:cs="Arial"/>
          <w:lang w:eastAsia="en-GB"/>
        </w:rPr>
      </w:pPr>
      <w:r w:rsidRPr="000740C5">
        <w:rPr>
          <w:rFonts w:eastAsia="Times New Roman" w:cs="Arial"/>
          <w:lang w:eastAsia="en-GB"/>
        </w:rPr>
        <w:t>The Code of Ethics stands as a vital pillar of professional behaviour for police personnel. Created by the College of Policing, this code articulates the core principles and values expected of all officers, such as integrity, fairness, respect, accountability and many more. It not only sets clear behavioural expectations but also encourages officers to self-regulate by reflecting on their actions in the context of public trust and community accountability (College of Policing, 2014). Policing professionals are evaluated based on their ethical conduct, which must align with both legal standards and established ethical principles. The policing profession is committed to upholding high standards of integrity, which the public rightfully expects. This guidance delineates the expectations for ethical behaviour among all members of law enforcement, emphasising essential areas crucial for sustaining public trust and legitimacy. It is essential to clarify that the Code of Ethics does not dictate standards of conduct; instead, these are established by Police Conduct Regulations and employment agreements (College of Policing, 2024).</w:t>
      </w:r>
      <w:r w:rsidR="009E7346" w:rsidRPr="000740C5">
        <w:rPr>
          <w:rFonts w:eastAsia="Times New Roman" w:cs="Arial"/>
          <w:lang w:eastAsia="en-GB"/>
        </w:rPr>
        <w:t xml:space="preserve"> Even though the College of Policing wants officers to follow the </w:t>
      </w:r>
      <w:r w:rsidR="00652549" w:rsidRPr="000740C5">
        <w:rPr>
          <w:rFonts w:eastAsia="Times New Roman" w:cs="Arial"/>
          <w:lang w:eastAsia="en-GB"/>
        </w:rPr>
        <w:t xml:space="preserve">fundamental </w:t>
      </w:r>
      <w:r w:rsidR="009E7346" w:rsidRPr="000740C5">
        <w:rPr>
          <w:rFonts w:eastAsia="Times New Roman" w:cs="Arial"/>
          <w:lang w:eastAsia="en-GB"/>
        </w:rPr>
        <w:t>values of the code of ethics to improve public confidence in policing, according to Low and Owen-Evans</w:t>
      </w:r>
      <w:r w:rsidR="00652549" w:rsidRPr="000740C5">
        <w:rPr>
          <w:rFonts w:eastAsia="Times New Roman" w:cs="Arial"/>
          <w:lang w:eastAsia="en-GB"/>
        </w:rPr>
        <w:t>,</w:t>
      </w:r>
      <w:r w:rsidR="009E7346" w:rsidRPr="000740C5">
        <w:rPr>
          <w:rFonts w:eastAsia="Times New Roman" w:cs="Arial"/>
          <w:lang w:eastAsia="en-GB"/>
        </w:rPr>
        <w:t xml:space="preserve"> an article published </w:t>
      </w:r>
      <w:r w:rsidR="00652549" w:rsidRPr="000740C5">
        <w:rPr>
          <w:rFonts w:eastAsia="Times New Roman" w:cs="Arial"/>
          <w:lang w:eastAsia="en-GB"/>
        </w:rPr>
        <w:t xml:space="preserve">in 2024 </w:t>
      </w:r>
      <w:r w:rsidR="009E7346" w:rsidRPr="000740C5">
        <w:rPr>
          <w:rFonts w:eastAsia="Times New Roman" w:cs="Arial"/>
          <w:lang w:eastAsia="en-GB"/>
        </w:rPr>
        <w:t>stated that confidence in police has been at an all-time low</w:t>
      </w:r>
      <w:r w:rsidR="00652549" w:rsidRPr="000740C5">
        <w:rPr>
          <w:rFonts w:eastAsia="Times New Roman" w:cs="Arial"/>
          <w:lang w:eastAsia="en-GB"/>
        </w:rPr>
        <w:t xml:space="preserve">. This is due to </w:t>
      </w:r>
      <w:r w:rsidR="00652549" w:rsidRPr="000740C5">
        <w:rPr>
          <w:rFonts w:eastAsia="Times New Roman" w:cs="Arial"/>
          <w:lang w:eastAsia="en-GB"/>
        </w:rPr>
        <w:lastRenderedPageBreak/>
        <w:t>the way police handle local crimes and criminals (Low and Owen-Evans, 2024). Despite this fac</w:t>
      </w:r>
      <w:r w:rsidR="004E379D" w:rsidRPr="000740C5">
        <w:rPr>
          <w:rFonts w:eastAsia="Times New Roman" w:cs="Arial"/>
          <w:lang w:eastAsia="en-GB"/>
        </w:rPr>
        <w:t>t</w:t>
      </w:r>
      <w:r w:rsidR="00652549" w:rsidRPr="000740C5">
        <w:rPr>
          <w:rFonts w:eastAsia="Times New Roman" w:cs="Arial"/>
          <w:lang w:eastAsia="en-GB"/>
        </w:rPr>
        <w:t xml:space="preserve">, in the same article, they stated that “October 2024, YouGov reported that 54% of adults in Great Britain thought the police were doing a good job” (Low and Owen-Evans, 2024). </w:t>
      </w:r>
      <w:r w:rsidR="0031768C" w:rsidRPr="000740C5">
        <w:rPr>
          <w:rFonts w:eastAsia="Times New Roman" w:cs="Arial"/>
          <w:lang w:eastAsia="en-GB"/>
        </w:rPr>
        <w:t>However, codes of ethics are to reduce misconduct and malpractice and increase public confidence. These statistics show that public confidence in policing is</w:t>
      </w:r>
      <w:r w:rsidR="00652549" w:rsidRPr="000740C5">
        <w:rPr>
          <w:rFonts w:eastAsia="Times New Roman" w:cs="Arial"/>
          <w:lang w:eastAsia="en-GB"/>
        </w:rPr>
        <w:t xml:space="preserve"> not significantly high.</w:t>
      </w:r>
    </w:p>
    <w:p w14:paraId="70490FD6" w14:textId="77777777" w:rsidR="009E7346" w:rsidRPr="000740C5" w:rsidRDefault="009E7346" w:rsidP="00D2561E">
      <w:pPr>
        <w:overflowPunct w:val="0"/>
        <w:autoSpaceDE w:val="0"/>
        <w:autoSpaceDN w:val="0"/>
        <w:adjustRightInd w:val="0"/>
        <w:spacing w:after="0" w:line="276" w:lineRule="auto"/>
        <w:jc w:val="both"/>
        <w:textAlignment w:val="baseline"/>
      </w:pPr>
    </w:p>
    <w:p w14:paraId="173FCF75" w14:textId="30CBDF68" w:rsidR="00B738C2" w:rsidRPr="000740C5" w:rsidRDefault="008C3782" w:rsidP="00D2561E">
      <w:pPr>
        <w:overflowPunct w:val="0"/>
        <w:autoSpaceDE w:val="0"/>
        <w:autoSpaceDN w:val="0"/>
        <w:adjustRightInd w:val="0"/>
        <w:spacing w:after="0" w:line="276" w:lineRule="auto"/>
        <w:jc w:val="both"/>
        <w:textAlignment w:val="baseline"/>
      </w:pPr>
      <w:r w:rsidRPr="000740C5">
        <w:rPr>
          <w:rFonts w:eastAsia="Times New Roman" w:cs="Arial"/>
          <w:lang w:eastAsia="en-GB"/>
        </w:rPr>
        <w:t xml:space="preserve">The National Decision-Making Model (NDM) is </w:t>
      </w:r>
      <w:r w:rsidR="00343D77" w:rsidRPr="000740C5">
        <w:rPr>
          <w:rFonts w:eastAsia="Times New Roman" w:cs="Arial"/>
          <w:lang w:eastAsia="en-GB"/>
        </w:rPr>
        <w:t xml:space="preserve">a tool for officers to make decisions in any situation. This is </w:t>
      </w:r>
      <w:r w:rsidRPr="000740C5">
        <w:rPr>
          <w:rFonts w:eastAsia="Times New Roman" w:cs="Arial"/>
          <w:lang w:eastAsia="en-GB"/>
        </w:rPr>
        <w:t>another crucial element that supports effective policing. It equips officers with a systematic approach to making decisions in dynamic and often high-pressure situations. By guiding them through a logical assessment of facts, potential options, and the consequences of their actions, the NDM encourages a thoughtful decision-making process, especially in scenarios where public safety must be balanced against individual rights</w:t>
      </w:r>
      <w:r w:rsidR="00B232CA" w:rsidRPr="000740C5">
        <w:rPr>
          <w:rFonts w:eastAsia="Times New Roman" w:cs="Arial"/>
          <w:lang w:eastAsia="en-GB"/>
        </w:rPr>
        <w:t xml:space="preserve"> (College of Policing, 2013).</w:t>
      </w:r>
      <w:r w:rsidR="00D2561E" w:rsidRPr="000740C5">
        <w:rPr>
          <w:rFonts w:eastAsia="Times New Roman" w:cs="Arial"/>
          <w:lang w:eastAsia="en-GB"/>
        </w:rPr>
        <w:t xml:space="preserve"> </w:t>
      </w:r>
      <w:r w:rsidR="00A05ADC" w:rsidRPr="000740C5">
        <w:t>The National Decision Model (NDM) offers organi</w:t>
      </w:r>
      <w:r w:rsidR="00343D77" w:rsidRPr="000740C5">
        <w:t>s</w:t>
      </w:r>
      <w:r w:rsidR="00A05ADC" w:rsidRPr="000740C5">
        <w:t>ations a strong framework for effectively addressing operational challenges and policy matters with clarity, consistency, and accountability.</w:t>
      </w:r>
      <w:r w:rsidR="00D2561E" w:rsidRPr="000740C5">
        <w:t xml:space="preserve"> </w:t>
      </w:r>
      <w:r w:rsidR="00A05ADC" w:rsidRPr="000740C5">
        <w:t>By following the principles of the NDM, decision-makers can preserve the integrity of their choices while building public trust and confidence in the system.</w:t>
      </w:r>
      <w:r w:rsidR="00302BA7" w:rsidRPr="000740C5">
        <w:t xml:space="preserve"> </w:t>
      </w:r>
      <w:r w:rsidR="00343D77" w:rsidRPr="000740C5">
        <w:t xml:space="preserve">In NDM, there are five steps: gather information and intelligence, assess threats and risks, develop a working strategy, consider power and policies, identify options and contingency, and lastly, take action </w:t>
      </w:r>
      <w:r w:rsidR="004E379D" w:rsidRPr="000740C5">
        <w:t>to</w:t>
      </w:r>
      <w:r w:rsidR="00343D77" w:rsidRPr="000740C5">
        <w:t xml:space="preserve"> review what happened </w:t>
      </w:r>
      <w:r w:rsidR="00343D77" w:rsidRPr="000740C5">
        <w:rPr>
          <w:rFonts w:eastAsia="Times New Roman" w:cs="Arial"/>
          <w:lang w:eastAsia="en-GB"/>
        </w:rPr>
        <w:t>(College of Policing, 2013)</w:t>
      </w:r>
      <w:r w:rsidR="00343D77" w:rsidRPr="000740C5">
        <w:t xml:space="preserve">. </w:t>
      </w:r>
    </w:p>
    <w:p w14:paraId="52BBD3B1" w14:textId="77777777" w:rsidR="00343D77" w:rsidRPr="000740C5" w:rsidRDefault="00343D77" w:rsidP="00D2561E">
      <w:pPr>
        <w:overflowPunct w:val="0"/>
        <w:autoSpaceDE w:val="0"/>
        <w:autoSpaceDN w:val="0"/>
        <w:adjustRightInd w:val="0"/>
        <w:spacing w:after="0" w:line="276" w:lineRule="auto"/>
        <w:jc w:val="both"/>
        <w:textAlignment w:val="baseline"/>
      </w:pPr>
    </w:p>
    <w:p w14:paraId="601EA7E2" w14:textId="77777777" w:rsidR="00343D77" w:rsidRPr="000740C5" w:rsidRDefault="00343D77" w:rsidP="00D2561E">
      <w:pPr>
        <w:overflowPunct w:val="0"/>
        <w:autoSpaceDE w:val="0"/>
        <w:autoSpaceDN w:val="0"/>
        <w:adjustRightInd w:val="0"/>
        <w:spacing w:after="0" w:line="276" w:lineRule="auto"/>
        <w:jc w:val="both"/>
        <w:textAlignment w:val="baseline"/>
      </w:pPr>
    </w:p>
    <w:p w14:paraId="6258EC89" w14:textId="01166B1C" w:rsidR="00B30648" w:rsidRPr="000740C5" w:rsidRDefault="008C3782" w:rsidP="00A54086">
      <w:pPr>
        <w:jc w:val="both"/>
      </w:pPr>
      <w:r w:rsidRPr="000740C5">
        <w:rPr>
          <w:rFonts w:eastAsia="Times New Roman" w:cs="Arial"/>
          <w:lang w:eastAsia="en-GB"/>
        </w:rPr>
        <w:t>The incorporation of Body-Worn Video (BWV) technology marks a significant advancement in promoting accountability and transparency in law enforcement. By outfitting officers with cameras to document their interactions with the public, BWV not only provides an objective account of events but also acts as a deterrent against possible misconduct. The footage generated can serve as a valuable resource for training, internal investigations, and legal proceedings, ensuring accurate documentation of interactions.</w:t>
      </w:r>
      <w:r w:rsidR="007537E1" w:rsidRPr="000740C5">
        <w:rPr>
          <w:rFonts w:eastAsia="Times New Roman" w:cs="Arial"/>
          <w:lang w:eastAsia="en-GB"/>
        </w:rPr>
        <w:t xml:space="preserve"> </w:t>
      </w:r>
      <w:r w:rsidR="00B30648" w:rsidRPr="000740C5">
        <w:t xml:space="preserve">The use of body-worn video (BWV) in police forces across England and Wales has been established for some time, with generally positive evaluations. However, there's limited evidence on how BWV affects the everyday behaviours of police officers. </w:t>
      </w:r>
      <w:r w:rsidR="00A54086">
        <w:t xml:space="preserve">Harrison, </w:t>
      </w:r>
      <w:proofErr w:type="spellStart"/>
      <w:r w:rsidR="00A54086">
        <w:t>L’Hoiry</w:t>
      </w:r>
      <w:proofErr w:type="spellEnd"/>
      <w:r w:rsidR="00A54086">
        <w:t xml:space="preserve">, and </w:t>
      </w:r>
      <w:proofErr w:type="spellStart"/>
      <w:r w:rsidR="00A54086">
        <w:t>Santorso</w:t>
      </w:r>
      <w:proofErr w:type="spellEnd"/>
      <w:r w:rsidR="00A54086">
        <w:t xml:space="preserve"> (2021) explore the impact of Body-Worn Video (BWV) in an English police force, noting positive outcomes alongside privacy concerns. The public generally views BWV favourably, while police officers have mixed feelings, with some studies suggesting officers might use less intrusive methods but remain sceptical about its effectiveness. This article adds to the literature by examining BWV's benefits and its influence on officer behaviour in the chosen police force.</w:t>
      </w:r>
    </w:p>
    <w:p w14:paraId="0D058572" w14:textId="77777777" w:rsidR="00C87A18" w:rsidRPr="000740C5" w:rsidRDefault="00C87A18" w:rsidP="00B42CFD">
      <w:pPr>
        <w:overflowPunct w:val="0"/>
        <w:autoSpaceDE w:val="0"/>
        <w:autoSpaceDN w:val="0"/>
        <w:adjustRightInd w:val="0"/>
        <w:spacing w:after="0" w:line="276" w:lineRule="auto"/>
        <w:jc w:val="both"/>
        <w:textAlignment w:val="baseline"/>
        <w:rPr>
          <w:rFonts w:eastAsia="Times New Roman" w:cs="Arial"/>
          <w:lang w:eastAsia="en-GB"/>
        </w:rPr>
      </w:pPr>
    </w:p>
    <w:p w14:paraId="4E19BCAE" w14:textId="0FB4BE08" w:rsidR="00BE6A74" w:rsidRPr="000740C5" w:rsidRDefault="008C3782" w:rsidP="00900A6E">
      <w:pPr>
        <w:overflowPunct w:val="0"/>
        <w:autoSpaceDE w:val="0"/>
        <w:autoSpaceDN w:val="0"/>
        <w:adjustRightInd w:val="0"/>
        <w:spacing w:after="0" w:line="276" w:lineRule="auto"/>
        <w:jc w:val="both"/>
        <w:textAlignment w:val="baseline"/>
        <w:rPr>
          <w:rFonts w:eastAsia="Times New Roman" w:cs="Arial"/>
          <w:lang w:eastAsia="en-GB"/>
        </w:rPr>
      </w:pPr>
      <w:r w:rsidRPr="000740C5">
        <w:rPr>
          <w:rFonts w:eastAsia="Times New Roman" w:cs="Arial"/>
          <w:lang w:eastAsia="en-GB"/>
        </w:rPr>
        <w:t>While these measures are well-intended, it’s essential to recognize their limitations. Critiques often point out concerns like insufficient training in the implementation of these policies, inconsistencies in enforcement, and organizational cultures that may unintentionally condone unethical behaviour. Furthermore, the use of BWV raises privacy issues regarding the storage and use of recordings, necessitating robust policies to safeguard individuals' rights while balancing the need for transparency.</w:t>
      </w:r>
      <w:r w:rsidR="00D2561E" w:rsidRPr="000740C5">
        <w:rPr>
          <w:rFonts w:eastAsia="Times New Roman" w:cs="Arial"/>
          <w:lang w:eastAsia="en-GB"/>
        </w:rPr>
        <w:t xml:space="preserve"> </w:t>
      </w:r>
      <w:r w:rsidRPr="000740C5">
        <w:rPr>
          <w:rFonts w:eastAsia="Times New Roman" w:cs="Arial"/>
          <w:lang w:eastAsia="en-GB"/>
        </w:rPr>
        <w:t xml:space="preserve">When these frameworks are implemented effectively, they can significantly bolster public confidence in policing. Clear guidelines and oversight mechanisms reassure communities that law enforcement agencies are committed to ethical conduct and accountability. This, in turn, nurtures safer environments and strengthens the relationship between law enforcement and the communities they serve. </w:t>
      </w:r>
    </w:p>
    <w:p w14:paraId="70CEDD41" w14:textId="77777777" w:rsidR="00155054" w:rsidRPr="000740C5" w:rsidRDefault="00155054" w:rsidP="00B42CFD">
      <w:pPr>
        <w:tabs>
          <w:tab w:val="left" w:pos="1995"/>
        </w:tabs>
        <w:spacing w:after="0" w:line="276" w:lineRule="auto"/>
        <w:jc w:val="both"/>
        <w:rPr>
          <w:rFonts w:eastAsia="Times New Roman" w:cs="Arial"/>
          <w:lang w:eastAsia="en-GB"/>
        </w:rPr>
      </w:pPr>
    </w:p>
    <w:p w14:paraId="2C4E861A" w14:textId="77777777" w:rsidR="00BE6A74" w:rsidRPr="000740C5" w:rsidRDefault="00BE6A74" w:rsidP="00B42CFD">
      <w:pPr>
        <w:spacing w:after="0" w:line="276" w:lineRule="auto"/>
        <w:jc w:val="both"/>
        <w:rPr>
          <w:rFonts w:eastAsia="Times New Roman" w:cs="Arial"/>
          <w:lang w:eastAsia="en-GB"/>
        </w:rPr>
      </w:pPr>
    </w:p>
    <w:p w14:paraId="1D02664A" w14:textId="77777777" w:rsidR="002D07EF" w:rsidRDefault="002D07EF" w:rsidP="00B42CFD">
      <w:pPr>
        <w:spacing w:after="0" w:line="276" w:lineRule="auto"/>
        <w:jc w:val="both"/>
        <w:rPr>
          <w:rFonts w:eastAsia="Times New Roman" w:cs="Arial"/>
          <w:lang w:eastAsia="en-GB"/>
        </w:rPr>
      </w:pPr>
    </w:p>
    <w:p w14:paraId="12BA0128" w14:textId="77777777" w:rsidR="00C478F9" w:rsidRDefault="00C478F9" w:rsidP="00B42CFD">
      <w:pPr>
        <w:spacing w:after="0" w:line="276" w:lineRule="auto"/>
        <w:jc w:val="both"/>
        <w:rPr>
          <w:rFonts w:eastAsia="Times New Roman" w:cs="Arial"/>
          <w:lang w:eastAsia="en-GB"/>
        </w:rPr>
      </w:pPr>
    </w:p>
    <w:p w14:paraId="2D75B646" w14:textId="77777777" w:rsidR="00A54086" w:rsidRDefault="00A54086" w:rsidP="00B42CFD">
      <w:pPr>
        <w:spacing w:after="0" w:line="276" w:lineRule="auto"/>
        <w:jc w:val="both"/>
        <w:rPr>
          <w:rFonts w:eastAsia="Times New Roman" w:cs="Arial"/>
          <w:lang w:eastAsia="en-GB"/>
        </w:rPr>
      </w:pPr>
    </w:p>
    <w:p w14:paraId="7F95342B" w14:textId="77777777" w:rsidR="00C478F9" w:rsidRDefault="00C478F9" w:rsidP="00B42CFD">
      <w:pPr>
        <w:spacing w:after="0" w:line="276" w:lineRule="auto"/>
        <w:jc w:val="both"/>
        <w:rPr>
          <w:rFonts w:eastAsia="Times New Roman" w:cs="Arial"/>
          <w:lang w:eastAsia="en-GB"/>
        </w:rPr>
      </w:pPr>
    </w:p>
    <w:p w14:paraId="71E2E489" w14:textId="77777777" w:rsidR="00C478F9" w:rsidRDefault="00C478F9" w:rsidP="00B42CFD">
      <w:pPr>
        <w:spacing w:after="0" w:line="276" w:lineRule="auto"/>
        <w:jc w:val="both"/>
        <w:rPr>
          <w:rFonts w:eastAsia="Times New Roman" w:cs="Arial"/>
          <w:lang w:eastAsia="en-GB"/>
        </w:rPr>
      </w:pPr>
    </w:p>
    <w:p w14:paraId="4C8ABA35" w14:textId="77777777" w:rsidR="00A54086" w:rsidRPr="000740C5" w:rsidRDefault="00A54086" w:rsidP="00B42CFD">
      <w:pPr>
        <w:spacing w:after="0" w:line="276" w:lineRule="auto"/>
        <w:jc w:val="both"/>
        <w:rPr>
          <w:rFonts w:eastAsia="Times New Roman" w:cs="Arial"/>
          <w:lang w:eastAsia="en-GB"/>
        </w:rPr>
      </w:pPr>
    </w:p>
    <w:p w14:paraId="6925A6C3" w14:textId="77777777" w:rsidR="008D164D" w:rsidRPr="000740C5" w:rsidRDefault="008D164D" w:rsidP="00B42CFD">
      <w:pPr>
        <w:spacing w:after="0" w:line="276" w:lineRule="auto"/>
        <w:jc w:val="both"/>
        <w:rPr>
          <w:rFonts w:eastAsia="Times New Roman" w:cs="Arial"/>
          <w:lang w:eastAsia="en-GB"/>
        </w:rPr>
      </w:pPr>
    </w:p>
    <w:p w14:paraId="67DADB8D" w14:textId="4AC3E51C" w:rsidR="00BE6A74" w:rsidRPr="000740C5" w:rsidRDefault="00BE6A74" w:rsidP="00B42CFD">
      <w:pPr>
        <w:pStyle w:val="ListParagraph"/>
        <w:numPr>
          <w:ilvl w:val="0"/>
          <w:numId w:val="2"/>
        </w:numPr>
        <w:spacing w:after="0" w:line="276" w:lineRule="auto"/>
        <w:ind w:left="0"/>
        <w:jc w:val="both"/>
        <w:rPr>
          <w:rFonts w:eastAsia="Times New Roman" w:cs="Arial"/>
          <w:b/>
          <w:bCs/>
          <w:lang w:eastAsia="en-GB"/>
        </w:rPr>
      </w:pPr>
      <w:r w:rsidRPr="000740C5">
        <w:rPr>
          <w:rFonts w:eastAsia="Times New Roman" w:cs="Arial"/>
          <w:b/>
          <w:bCs/>
          <w:lang w:eastAsia="en-GB"/>
        </w:rPr>
        <w:lastRenderedPageBreak/>
        <w:t>Public Protection</w:t>
      </w:r>
    </w:p>
    <w:p w14:paraId="52258E8E" w14:textId="77777777" w:rsidR="00BE6A74" w:rsidRPr="000740C5" w:rsidRDefault="00BE6A74" w:rsidP="00B42CFD">
      <w:pPr>
        <w:spacing w:after="0" w:line="276" w:lineRule="auto"/>
        <w:jc w:val="both"/>
        <w:rPr>
          <w:rFonts w:eastAsia="Times New Roman" w:cs="Arial"/>
          <w:lang w:eastAsia="en-GB"/>
        </w:rPr>
      </w:pPr>
      <w:r w:rsidRPr="000740C5">
        <w:rPr>
          <w:rFonts w:eastAsia="Times New Roman" w:cs="Arial"/>
          <w:lang w:eastAsia="en-GB"/>
        </w:rPr>
        <w:t xml:space="preserve">What characteristics (socio-economic, psychological etc.) can make a person vulnerable to exploitation to criminal gangs? </w:t>
      </w:r>
    </w:p>
    <w:p w14:paraId="05DAD1BB" w14:textId="77777777" w:rsidR="00BE6A74" w:rsidRPr="000740C5" w:rsidRDefault="00BE6A74" w:rsidP="00B42CFD">
      <w:pPr>
        <w:overflowPunct w:val="0"/>
        <w:autoSpaceDE w:val="0"/>
        <w:autoSpaceDN w:val="0"/>
        <w:adjustRightInd w:val="0"/>
        <w:spacing w:after="0" w:line="276" w:lineRule="auto"/>
        <w:jc w:val="both"/>
        <w:textAlignment w:val="baseline"/>
        <w:rPr>
          <w:rFonts w:eastAsia="Times New Roman" w:cs="Arial"/>
          <w:lang w:eastAsia="en-GB"/>
        </w:rPr>
      </w:pPr>
      <w:r w:rsidRPr="000740C5">
        <w:rPr>
          <w:rFonts w:eastAsia="Times New Roman" w:cs="Arial"/>
          <w:lang w:eastAsia="en-GB"/>
        </w:rPr>
        <w:t>Your answer must be based on academic research.</w:t>
      </w:r>
    </w:p>
    <w:p w14:paraId="36AC94E1" w14:textId="77777777" w:rsidR="00BE6A74" w:rsidRPr="000740C5" w:rsidRDefault="00BE6A74" w:rsidP="00B42CFD">
      <w:pPr>
        <w:spacing w:after="0" w:line="276" w:lineRule="auto"/>
        <w:jc w:val="both"/>
        <w:rPr>
          <w:rFonts w:eastAsia="Times New Roman" w:cs="Arial"/>
          <w:lang w:eastAsia="en-GB"/>
        </w:rPr>
      </w:pPr>
      <w:r w:rsidRPr="000740C5">
        <w:rPr>
          <w:rFonts w:eastAsia="Times New Roman" w:cs="Arial"/>
          <w:b/>
          <w:bCs/>
          <w:lang w:eastAsia="en-GB"/>
        </w:rPr>
        <w:t xml:space="preserve">Word limit: </w:t>
      </w:r>
      <w:r w:rsidRPr="000740C5">
        <w:rPr>
          <w:rFonts w:eastAsia="Times New Roman" w:cs="Arial"/>
          <w:lang w:eastAsia="en-GB"/>
        </w:rPr>
        <w:t>1000 words.</w:t>
      </w:r>
    </w:p>
    <w:p w14:paraId="2D391539" w14:textId="77777777" w:rsidR="008C3782" w:rsidRPr="000740C5" w:rsidRDefault="008C3782" w:rsidP="00B42CFD">
      <w:pPr>
        <w:spacing w:after="0" w:line="276" w:lineRule="auto"/>
        <w:jc w:val="both"/>
        <w:rPr>
          <w:rFonts w:eastAsia="Times New Roman" w:cs="Arial"/>
          <w:color w:val="000000"/>
          <w:lang w:eastAsia="en-GB"/>
        </w:rPr>
      </w:pPr>
    </w:p>
    <w:p w14:paraId="69F9FAD8" w14:textId="6E41DF8A" w:rsidR="00D2618D" w:rsidRPr="000740C5" w:rsidRDefault="003A7771" w:rsidP="00B42CFD">
      <w:pPr>
        <w:spacing w:after="0" w:line="276" w:lineRule="auto"/>
        <w:jc w:val="both"/>
        <w:rPr>
          <w:rFonts w:eastAsia="Times New Roman" w:cs="Arial"/>
          <w:color w:val="000000"/>
          <w:lang w:eastAsia="en-GB"/>
        </w:rPr>
      </w:pPr>
      <w:bookmarkStart w:id="1" w:name="_Hlk194959304"/>
      <w:bookmarkStart w:id="2" w:name="_Hlk193726744"/>
      <w:r w:rsidRPr="000740C5">
        <w:rPr>
          <w:rFonts w:eastAsia="Times New Roman" w:cs="Arial"/>
          <w:color w:val="000000"/>
          <w:lang w:eastAsia="en-GB"/>
        </w:rPr>
        <w:t>This essay looks at two important aspects of gang involvement. First, it discusses how social and personal factors make individuals vulnerable to gangs. It explores how low income often leads to poverty, which limits access to basic resources, quality education, and stable jobs. Without these, people may feel desperate and see gang membership as an appealing option. The essay also examines how age, particularly among teens and young adults, affects the likelihood of gang involvement. During these years, individuals seek identity and a sense of belonging. Gangs can offer a false feeling of community and safety. Mental health issues like depression and anxiety can make people feel more isolated, increasing their vulnerability to gangs. Additionally, physical or cognitive disabilities can make individuals rely on others for support, making them easy targets for gang recruiters who promise friendship and protection. Lastly, the essay discusses how poverty relates to the need for financial stability. In areas with few job opportunities, some may feel pushed to join gangs for potential economic benefits. This not only keeps the cycle of crime going but also highlights systemic issues that need attention to reduce the appeal of gang life. By looking at these connected factors, the essay aims to help readers understand why some people get involved in gangs and what changes are necessary to address this issue.</w:t>
      </w:r>
    </w:p>
    <w:bookmarkEnd w:id="1"/>
    <w:p w14:paraId="1CC28E58" w14:textId="77777777" w:rsidR="00B42CFD" w:rsidRPr="000740C5" w:rsidRDefault="00B42CFD" w:rsidP="00B42CFD">
      <w:pPr>
        <w:spacing w:after="0" w:line="276" w:lineRule="auto"/>
        <w:jc w:val="both"/>
        <w:rPr>
          <w:rFonts w:eastAsia="Times New Roman" w:cs="Arial"/>
          <w:color w:val="000000"/>
          <w:lang w:eastAsia="en-GB"/>
        </w:rPr>
      </w:pPr>
    </w:p>
    <w:p w14:paraId="2AC480DB" w14:textId="6418057F" w:rsidR="003D7C91" w:rsidRPr="000740C5" w:rsidRDefault="00740E43" w:rsidP="00B42CFD">
      <w:pPr>
        <w:jc w:val="both"/>
        <w:rPr>
          <w:color w:val="000000"/>
        </w:rPr>
      </w:pPr>
      <w:r w:rsidRPr="000740C5">
        <w:rPr>
          <w:color w:val="000000"/>
        </w:rPr>
        <w:t>Firstly</w:t>
      </w:r>
      <w:r w:rsidR="00AF0F7D" w:rsidRPr="000740C5">
        <w:rPr>
          <w:color w:val="000000"/>
        </w:rPr>
        <w:t>,</w:t>
      </w:r>
      <w:r w:rsidRPr="000740C5">
        <w:rPr>
          <w:color w:val="000000"/>
        </w:rPr>
        <w:t xml:space="preserve"> t</w:t>
      </w:r>
      <w:r w:rsidR="003D7C91" w:rsidRPr="000740C5">
        <w:rPr>
          <w:color w:val="000000"/>
        </w:rPr>
        <w:t>he concept of vulnerability is fundamental across various academic disciplines, providing a critical framework for examining the complexities of social and economic disparities. This multifaceted term is extensively applied in fields such as sociology, public health, geography, and disaster studies. Vulnerability typically refers to individuals or groups who face an elevated risk of experiencing losses, whether those losses are economic, social, or related to health. A consensus among researchers indicates that vulnerability is predominantly a socially constructed phenomenon influenced by systemic inequalities and socio-political contexts</w:t>
      </w:r>
      <w:r w:rsidR="00A72492" w:rsidRPr="000740C5">
        <w:rPr>
          <w:color w:val="000000"/>
        </w:rPr>
        <w:t xml:space="preserve"> (Numans et al., </w:t>
      </w:r>
      <w:r w:rsidR="00A72492" w:rsidRPr="000740C5">
        <w:t>2020).</w:t>
      </w:r>
      <w:r w:rsidR="003A7771" w:rsidRPr="000740C5">
        <w:t xml:space="preserve"> </w:t>
      </w:r>
      <w:r w:rsidR="003D7C91" w:rsidRPr="000740C5">
        <w:rPr>
          <w:color w:val="000000"/>
        </w:rPr>
        <w:t>The review indicates that the notion of socio-economic vulnerability is rooted in a political-economic framework</w:t>
      </w:r>
      <w:r w:rsidR="000B41F6" w:rsidRPr="000740C5">
        <w:rPr>
          <w:color w:val="000000"/>
        </w:rPr>
        <w:t xml:space="preserve"> </w:t>
      </w:r>
      <w:r w:rsidR="001F0F96" w:rsidRPr="000740C5">
        <w:rPr>
          <w:color w:val="000000"/>
        </w:rPr>
        <w:t xml:space="preserve">such as The Strain theory by Merton, </w:t>
      </w:r>
      <w:r w:rsidR="00BE2905" w:rsidRPr="000740C5">
        <w:rPr>
          <w:color w:val="000000"/>
        </w:rPr>
        <w:t>R.</w:t>
      </w:r>
      <w:r w:rsidR="00256F9D" w:rsidRPr="000740C5">
        <w:rPr>
          <w:color w:val="000000"/>
        </w:rPr>
        <w:t xml:space="preserve"> (2025)</w:t>
      </w:r>
      <w:r w:rsidR="00570220" w:rsidRPr="000740C5">
        <w:rPr>
          <w:color w:val="000000"/>
        </w:rPr>
        <w:t>, which emphasises the pressures and strains that people feel</w:t>
      </w:r>
      <w:r w:rsidR="0015127E" w:rsidRPr="000740C5">
        <w:rPr>
          <w:color w:val="000000"/>
        </w:rPr>
        <w:t>,</w:t>
      </w:r>
      <w:r w:rsidR="00A0695B" w:rsidRPr="000740C5">
        <w:rPr>
          <w:color w:val="000000"/>
        </w:rPr>
        <w:t xml:space="preserve"> like being in poverty, having a </w:t>
      </w:r>
      <w:r w:rsidR="00A0695B" w:rsidRPr="000740C5">
        <w:rPr>
          <w:rFonts w:eastAsia="Times New Roman" w:cs="Arial"/>
          <w:color w:val="000000"/>
          <w:lang w:eastAsia="en-GB"/>
        </w:rPr>
        <w:t>lack of access to education and employment opportunities, create environments that</w:t>
      </w:r>
      <w:r w:rsidR="0051749A" w:rsidRPr="000740C5">
        <w:rPr>
          <w:rFonts w:eastAsia="Times New Roman" w:cs="Arial"/>
          <w:color w:val="000000"/>
          <w:lang w:eastAsia="en-GB"/>
        </w:rPr>
        <w:t xml:space="preserve"> lead to illegi</w:t>
      </w:r>
      <w:r w:rsidR="00694CB5" w:rsidRPr="000740C5">
        <w:rPr>
          <w:rFonts w:eastAsia="Times New Roman" w:cs="Arial"/>
          <w:color w:val="000000"/>
          <w:lang w:eastAsia="en-GB"/>
        </w:rPr>
        <w:t>timate activities and</w:t>
      </w:r>
      <w:r w:rsidR="00A0695B" w:rsidRPr="000740C5">
        <w:rPr>
          <w:rFonts w:eastAsia="Times New Roman" w:cs="Arial"/>
          <w:color w:val="000000"/>
          <w:lang w:eastAsia="en-GB"/>
        </w:rPr>
        <w:t xml:space="preserve"> facilitate gang recruitment</w:t>
      </w:r>
      <w:r w:rsidR="00694CB5" w:rsidRPr="000740C5">
        <w:rPr>
          <w:color w:val="000000"/>
        </w:rPr>
        <w:t>.</w:t>
      </w:r>
      <w:r w:rsidR="00A54086">
        <w:rPr>
          <w:color w:val="000000"/>
        </w:rPr>
        <w:t xml:space="preserve"> These are the factors that make a person vulnerable to exploitation.</w:t>
      </w:r>
      <w:r w:rsidR="007D3108" w:rsidRPr="000740C5">
        <w:rPr>
          <w:color w:val="000000"/>
        </w:rPr>
        <w:t xml:space="preserve"> Thi</w:t>
      </w:r>
      <w:r w:rsidR="00570220" w:rsidRPr="000740C5">
        <w:rPr>
          <w:color w:val="000000"/>
        </w:rPr>
        <w:t>s</w:t>
      </w:r>
      <w:r w:rsidR="00425060" w:rsidRPr="000740C5">
        <w:rPr>
          <w:color w:val="000000"/>
        </w:rPr>
        <w:t xml:space="preserve"> posits</w:t>
      </w:r>
      <w:r w:rsidR="003D7C91" w:rsidRPr="000740C5">
        <w:rPr>
          <w:color w:val="000000"/>
        </w:rPr>
        <w:t xml:space="preserve"> that individuals' vulnerability is intrinsically connected to broader socio-political conditions and their restricted access to essential resources</w:t>
      </w:r>
      <w:r w:rsidR="00134D77" w:rsidRPr="000740C5">
        <w:rPr>
          <w:color w:val="000000"/>
        </w:rPr>
        <w:t xml:space="preserve"> </w:t>
      </w:r>
      <w:r w:rsidR="007E2370" w:rsidRPr="000740C5">
        <w:rPr>
          <w:color w:val="000000"/>
        </w:rPr>
        <w:t>(Biswas, 2023).</w:t>
      </w:r>
      <w:r w:rsidR="003A7771" w:rsidRPr="000740C5">
        <w:rPr>
          <w:color w:val="000000"/>
        </w:rPr>
        <w:t xml:space="preserve"> </w:t>
      </w:r>
      <w:r w:rsidR="003D7C91" w:rsidRPr="000740C5">
        <w:rPr>
          <w:color w:val="000000"/>
        </w:rPr>
        <w:t xml:space="preserve">Additionally, the paper highlights key figures who have been influential in this field </w:t>
      </w:r>
      <w:r w:rsidR="00283552" w:rsidRPr="000740C5">
        <w:rPr>
          <w:color w:val="000000"/>
        </w:rPr>
        <w:t>and</w:t>
      </w:r>
      <w:r w:rsidR="003D7C91" w:rsidRPr="000740C5">
        <w:rPr>
          <w:color w:val="000000"/>
        </w:rPr>
        <w:t xml:space="preserve"> assesses the predominant methodologies utilized in studying this concept. The findings reveal a significant reliance on quantitative approaches and index-based methods, which have proven instrumental in measuring vulnerability and enabling comparative analyses across diverse contexts</w:t>
      </w:r>
      <w:r w:rsidR="003B0F29" w:rsidRPr="000740C5">
        <w:rPr>
          <w:color w:val="000000"/>
        </w:rPr>
        <w:t xml:space="preserve"> (Numans et al., </w:t>
      </w:r>
      <w:r w:rsidR="003B0F29" w:rsidRPr="000740C5">
        <w:t>2020)</w:t>
      </w:r>
      <w:r w:rsidR="003D7C91" w:rsidRPr="000740C5">
        <w:t>.</w:t>
      </w:r>
    </w:p>
    <w:p w14:paraId="3B7FD2E2" w14:textId="77777777" w:rsidR="00851247" w:rsidRPr="000740C5" w:rsidRDefault="00851247" w:rsidP="00B42CFD">
      <w:pPr>
        <w:spacing w:after="0" w:line="276" w:lineRule="auto"/>
        <w:jc w:val="both"/>
        <w:rPr>
          <w:rFonts w:eastAsia="Times New Roman" w:cs="Arial"/>
          <w:color w:val="000000"/>
          <w:lang w:eastAsia="en-GB"/>
        </w:rPr>
      </w:pPr>
    </w:p>
    <w:p w14:paraId="10FBA78A" w14:textId="1C43D2A5" w:rsidR="00D172FF" w:rsidRPr="0071361E" w:rsidRDefault="00740E43" w:rsidP="00D172FF">
      <w:pPr>
        <w:jc w:val="both"/>
      </w:pPr>
      <w:r w:rsidRPr="000740C5">
        <w:rPr>
          <w:rFonts w:eastAsia="Times New Roman" w:cs="Arial"/>
          <w:color w:val="000000"/>
          <w:lang w:eastAsia="en-GB"/>
        </w:rPr>
        <w:t>Secondly</w:t>
      </w:r>
      <w:r w:rsidR="007B5191" w:rsidRPr="000740C5">
        <w:rPr>
          <w:rFonts w:eastAsia="Times New Roman" w:cs="Arial"/>
          <w:color w:val="000000"/>
          <w:lang w:eastAsia="en-GB"/>
        </w:rPr>
        <w:t>,</w:t>
      </w:r>
      <w:r w:rsidRPr="000740C5">
        <w:rPr>
          <w:rFonts w:eastAsia="Times New Roman" w:cs="Arial"/>
          <w:color w:val="000000"/>
          <w:lang w:eastAsia="en-GB"/>
        </w:rPr>
        <w:t xml:space="preserve"> t</w:t>
      </w:r>
      <w:r w:rsidR="008C3782" w:rsidRPr="000740C5">
        <w:rPr>
          <w:rFonts w:eastAsia="Times New Roman" w:cs="Arial"/>
          <w:color w:val="000000"/>
          <w:lang w:eastAsia="en-GB"/>
        </w:rPr>
        <w:t xml:space="preserve">he Psychological </w:t>
      </w:r>
      <w:r w:rsidR="007B5191" w:rsidRPr="000740C5">
        <w:rPr>
          <w:rFonts w:eastAsia="Times New Roman" w:cs="Arial"/>
          <w:color w:val="000000"/>
          <w:lang w:eastAsia="en-GB"/>
        </w:rPr>
        <w:t>t</w:t>
      </w:r>
      <w:r w:rsidR="008C3782" w:rsidRPr="000740C5">
        <w:rPr>
          <w:rFonts w:eastAsia="Times New Roman" w:cs="Arial"/>
          <w:color w:val="000000"/>
          <w:lang w:eastAsia="en-GB"/>
        </w:rPr>
        <w:t xml:space="preserve">raits of </w:t>
      </w:r>
      <w:r w:rsidR="007B5191" w:rsidRPr="000740C5">
        <w:rPr>
          <w:rFonts w:eastAsia="Times New Roman" w:cs="Arial"/>
          <w:color w:val="000000"/>
          <w:lang w:eastAsia="en-GB"/>
        </w:rPr>
        <w:t>i</w:t>
      </w:r>
      <w:r w:rsidR="008C3782" w:rsidRPr="000740C5">
        <w:rPr>
          <w:rFonts w:eastAsia="Times New Roman" w:cs="Arial"/>
          <w:color w:val="000000"/>
          <w:lang w:eastAsia="en-GB"/>
        </w:rPr>
        <w:t xml:space="preserve">ndividuals </w:t>
      </w:r>
      <w:r w:rsidR="007B5191" w:rsidRPr="000740C5">
        <w:rPr>
          <w:rFonts w:eastAsia="Times New Roman" w:cs="Arial"/>
          <w:color w:val="000000"/>
          <w:lang w:eastAsia="en-GB"/>
        </w:rPr>
        <w:t>e</w:t>
      </w:r>
      <w:r w:rsidR="008C3782" w:rsidRPr="000740C5">
        <w:rPr>
          <w:rFonts w:eastAsia="Times New Roman" w:cs="Arial"/>
          <w:color w:val="000000"/>
          <w:lang w:eastAsia="en-GB"/>
        </w:rPr>
        <w:t xml:space="preserve">xploited by </w:t>
      </w:r>
      <w:r w:rsidR="007B5191" w:rsidRPr="000740C5">
        <w:rPr>
          <w:rFonts w:eastAsia="Times New Roman" w:cs="Arial"/>
          <w:color w:val="000000"/>
          <w:lang w:eastAsia="en-GB"/>
        </w:rPr>
        <w:t>c</w:t>
      </w:r>
      <w:r w:rsidR="008C3782" w:rsidRPr="000740C5">
        <w:rPr>
          <w:rFonts w:eastAsia="Times New Roman" w:cs="Arial"/>
          <w:color w:val="000000"/>
          <w:lang w:eastAsia="en-GB"/>
        </w:rPr>
        <w:t xml:space="preserve">riminal </w:t>
      </w:r>
      <w:r w:rsidR="007B5191" w:rsidRPr="000740C5">
        <w:rPr>
          <w:rFonts w:eastAsia="Times New Roman" w:cs="Arial"/>
          <w:color w:val="000000"/>
          <w:lang w:eastAsia="en-GB"/>
        </w:rPr>
        <w:t>g</w:t>
      </w:r>
      <w:r w:rsidR="008C3782" w:rsidRPr="000740C5">
        <w:rPr>
          <w:rFonts w:eastAsia="Times New Roman" w:cs="Arial"/>
          <w:color w:val="000000"/>
          <w:lang w:eastAsia="en-GB"/>
        </w:rPr>
        <w:t>angs</w:t>
      </w:r>
      <w:r w:rsidR="00851247" w:rsidRPr="000740C5">
        <w:rPr>
          <w:rFonts w:eastAsia="Times New Roman" w:cs="Arial"/>
          <w:color w:val="000000"/>
          <w:lang w:eastAsia="en-GB"/>
        </w:rPr>
        <w:t xml:space="preserve"> </w:t>
      </w:r>
      <w:r w:rsidR="00136B24" w:rsidRPr="000740C5">
        <w:rPr>
          <w:rFonts w:eastAsia="Times New Roman" w:cs="Arial"/>
          <w:color w:val="000000"/>
          <w:lang w:eastAsia="en-GB"/>
        </w:rPr>
        <w:t>i</w:t>
      </w:r>
      <w:r w:rsidR="008C3782" w:rsidRPr="000740C5">
        <w:rPr>
          <w:rFonts w:eastAsia="Times New Roman" w:cs="Arial"/>
          <w:color w:val="000000"/>
          <w:lang w:eastAsia="en-GB"/>
        </w:rPr>
        <w:t>n this essay, you could delve into psychological characteristics, such as low self-esteem, a desire for belonging, or past trauma, that may make individuals more vulnerable to exploitation. Additionally, it could discuss how manipulation and grooming techniques used by gangs exploit these traits to recruit new members</w:t>
      </w:r>
      <w:r w:rsidR="00BD2625" w:rsidRPr="000740C5">
        <w:rPr>
          <w:rFonts w:eastAsia="Times New Roman" w:cs="Arial"/>
          <w:color w:val="000000"/>
          <w:lang w:eastAsia="en-GB"/>
        </w:rPr>
        <w:t xml:space="preserve"> (Harris et al., 2011)</w:t>
      </w:r>
      <w:r w:rsidR="001E5643" w:rsidRPr="000740C5">
        <w:rPr>
          <w:rFonts w:eastAsia="Times New Roman" w:cs="Arial"/>
          <w:color w:val="000000"/>
          <w:lang w:eastAsia="en-GB"/>
        </w:rPr>
        <w:t xml:space="preserve">. </w:t>
      </w:r>
      <w:r w:rsidR="00135C76" w:rsidRPr="000740C5">
        <w:rPr>
          <w:rFonts w:eastAsia="Times New Roman" w:cs="Arial"/>
          <w:color w:val="000000"/>
          <w:lang w:eastAsia="en-GB"/>
        </w:rPr>
        <w:t xml:space="preserve">Murray and </w:t>
      </w:r>
      <w:r w:rsidR="006A1B1F" w:rsidRPr="000740C5">
        <w:rPr>
          <w:rFonts w:eastAsia="Times New Roman" w:cs="Arial"/>
          <w:color w:val="000000"/>
          <w:lang w:eastAsia="en-GB"/>
        </w:rPr>
        <w:t>Farrington</w:t>
      </w:r>
      <w:r w:rsidR="004C409E" w:rsidRPr="000740C5">
        <w:rPr>
          <w:rFonts w:eastAsia="Times New Roman" w:cs="Arial"/>
          <w:color w:val="000000"/>
          <w:lang w:eastAsia="en-GB"/>
        </w:rPr>
        <w:t xml:space="preserve"> (2010) advise of risk factors that</w:t>
      </w:r>
      <w:r w:rsidR="009D2E07" w:rsidRPr="000740C5">
        <w:rPr>
          <w:rFonts w:eastAsia="Times New Roman" w:cs="Arial"/>
          <w:color w:val="000000"/>
          <w:lang w:eastAsia="en-GB"/>
        </w:rPr>
        <w:t xml:space="preserve"> families face such as the environment, parental influence and biology</w:t>
      </w:r>
      <w:r w:rsidR="002D07EF" w:rsidRPr="000740C5">
        <w:rPr>
          <w:rFonts w:eastAsia="Times New Roman" w:cs="Arial"/>
          <w:color w:val="000000"/>
          <w:lang w:eastAsia="en-GB"/>
        </w:rPr>
        <w:t xml:space="preserve"> (Scirp.org, 2023)</w:t>
      </w:r>
      <w:r w:rsidR="009D2E07" w:rsidRPr="000740C5">
        <w:rPr>
          <w:rFonts w:eastAsia="Times New Roman" w:cs="Arial"/>
          <w:color w:val="000000"/>
          <w:lang w:eastAsia="en-GB"/>
        </w:rPr>
        <w:t xml:space="preserve">. </w:t>
      </w:r>
      <w:r w:rsidR="00777C2E" w:rsidRPr="000740C5">
        <w:rPr>
          <w:rFonts w:eastAsia="Times New Roman" w:cs="Arial"/>
          <w:color w:val="000000"/>
          <w:lang w:eastAsia="en-GB"/>
        </w:rPr>
        <w:t xml:space="preserve">Static and or Dynamic factors have an influence. </w:t>
      </w:r>
      <w:r w:rsidR="00D172FF">
        <w:t xml:space="preserve">Psychological aspects play an essential role in assessing an individual’s susceptibility to being exploited by criminal networks. Individuals who experience low self-esteem, lack self-confidence, or have traumatic life experiences are often more vulnerable to manipulation by gangs. These organizations actively seek out those who exhibit emotional or psychological struggles, as they can be more easily swayed by the promises of belonging, acceptance, and a newfound identity. For instance, young people dealing with mental health challenges or past trauma may find themselves particularly at risk. In their search for validation and support, they may see gangs as a source of camaraderie and purpose, which can be extremely appealing to someone who feels isolated or inadequate. The Youth Justice Board highlighted in their (2015) report that these psychological vulnerabilities make it easier for gangs to exploit </w:t>
      </w:r>
      <w:r w:rsidR="00D172FF">
        <w:lastRenderedPageBreak/>
        <w:t>young individuals, ultimately drawing them into a cycle of criminal behaviour that can be difficult to escape. The interplay between psychological factors and gang involvement underscores the need for appropriate mental health support and interventions aimed at at-risk populations. Recognising and addressing these underlying issues could significantly reduce the likelihood of exploitation and help foster healthier pathways for vulnerable individuals Alleyne and Wood (2010).</w:t>
      </w:r>
    </w:p>
    <w:p w14:paraId="75F3ECD6" w14:textId="6435BD29" w:rsidR="005976A4" w:rsidRDefault="00564CB8" w:rsidP="00136B24">
      <w:pPr>
        <w:spacing w:after="0" w:line="276" w:lineRule="auto"/>
        <w:jc w:val="both"/>
        <w:rPr>
          <w:color w:val="000000"/>
        </w:rPr>
      </w:pPr>
      <w:r>
        <w:rPr>
          <w:color w:val="000000"/>
        </w:rPr>
        <w:t xml:space="preserve">Gang members exhibited a notably stronger anti-authority sentiment when compared to their nongang counterparts. This prevailing attitude likely stems from a range of socio-economic factors and experiences that shape their views on legitimacy and power structures. Both gang-affiliated youth and those on the periphery of gang culture placed a heightened emphasis on social status, suggesting that their identities are heavily influenced by perceptions of respect, dominance, and acceptance within their communities. Furthermore, gang members often demonstrated a tendency to blame victims for the situations they found themselves in, employing a series of euphemisms </w:t>
      </w:r>
      <w:proofErr w:type="gramStart"/>
      <w:r>
        <w:rPr>
          <w:color w:val="000000"/>
        </w:rPr>
        <w:t>as a means to</w:t>
      </w:r>
      <w:proofErr w:type="gramEnd"/>
      <w:r>
        <w:rPr>
          <w:color w:val="000000"/>
        </w:rPr>
        <w:t xml:space="preserve"> justify their actions and mitigate feelings of guilt. This rationalization serves to protect their self-image and reinforce their choice of lifestyle. In contrast, peripheral youth tended to shift the responsibility for violent or delinquent behaviour towards their superiors, highlighting a more hierarchical understanding of power dynamics within their environments (Biswas, 2023). This distinction in perceptions reveals underlying differences in accountability and moral reasoning between the two groups.</w:t>
      </w:r>
    </w:p>
    <w:p w14:paraId="703D49D4" w14:textId="77777777" w:rsidR="00564CB8" w:rsidRDefault="00564CB8" w:rsidP="00136B24">
      <w:pPr>
        <w:spacing w:after="0" w:line="276" w:lineRule="auto"/>
        <w:jc w:val="both"/>
        <w:rPr>
          <w:color w:val="000000"/>
        </w:rPr>
      </w:pPr>
    </w:p>
    <w:p w14:paraId="1AC00AEF" w14:textId="77777777" w:rsidR="00564CB8" w:rsidRDefault="00564CB8" w:rsidP="00564CB8">
      <w:pPr>
        <w:jc w:val="both"/>
      </w:pPr>
      <w:r>
        <w:t>The sense of belonging that gangs offer can be particularly attractive to individuals who feel socially isolated or have experienced rejection. The allure of camaraderie, loyalty, and mutual support within a gang can be a strong motivator for those who feel disconnected from the broader community. Furthermore, gangs often use psychological manipulation techniques, including grooming and emotional blackmail, to entice vulnerable individuals to join their ranks. The recruitment process can take advantage of feelings of loneliness, depression, or anxiety to establish control over potential members (Klein, 2005).</w:t>
      </w:r>
    </w:p>
    <w:p w14:paraId="453EF168" w14:textId="77777777" w:rsidR="00564CB8" w:rsidRPr="000740C5" w:rsidRDefault="00564CB8" w:rsidP="00136B24">
      <w:pPr>
        <w:spacing w:after="0" w:line="276" w:lineRule="auto"/>
        <w:jc w:val="both"/>
        <w:rPr>
          <w:color w:val="000000"/>
        </w:rPr>
      </w:pPr>
    </w:p>
    <w:p w14:paraId="2FCA2815" w14:textId="77777777" w:rsidR="00136B24" w:rsidRPr="000740C5" w:rsidRDefault="00136B24" w:rsidP="00136B24">
      <w:pPr>
        <w:spacing w:after="0" w:line="276" w:lineRule="auto"/>
        <w:jc w:val="both"/>
        <w:rPr>
          <w:color w:val="000000"/>
        </w:rPr>
      </w:pPr>
    </w:p>
    <w:p w14:paraId="23228E8C" w14:textId="59137056" w:rsidR="00660FA9" w:rsidRPr="000740C5" w:rsidRDefault="00A14A10" w:rsidP="00C95380">
      <w:pPr>
        <w:jc w:val="both"/>
        <w:rPr>
          <w:color w:val="000000"/>
        </w:rPr>
      </w:pPr>
      <w:bookmarkStart w:id="3" w:name="_Hlk194958115"/>
      <w:r w:rsidRPr="000740C5">
        <w:rPr>
          <w:rFonts w:eastAsia="Times New Roman" w:cs="Arial"/>
          <w:color w:val="000000"/>
          <w:lang w:eastAsia="en-GB"/>
        </w:rPr>
        <w:t>In conclusion</w:t>
      </w:r>
      <w:r w:rsidR="00FE1F72" w:rsidRPr="000740C5">
        <w:rPr>
          <w:rFonts w:eastAsia="Times New Roman" w:cs="Arial"/>
          <w:color w:val="000000"/>
          <w:lang w:eastAsia="en-GB"/>
        </w:rPr>
        <w:t>, this essay provides</w:t>
      </w:r>
      <w:r w:rsidR="00660FA9" w:rsidRPr="000740C5">
        <w:rPr>
          <w:rFonts w:eastAsia="Times New Roman" w:cs="Arial"/>
          <w:color w:val="000000"/>
          <w:lang w:eastAsia="en-GB"/>
        </w:rPr>
        <w:t xml:space="preserve"> a detailed examination of the intricate relationship between socioeconomic factors and psychological characteristics, revealing how they collectively influence gang involvement. They explore how economic conditions, such as poverty and lack of access to education and employment opportunities, create environments that facilitate gang recruitment. Additionally, the essays delve into the psychological aspects, including the need for belonging, identity, and resilience, demonstrating how these internal drives can lead individuals to seek out gangs as a source of community and support. Collectively, these insights underscore the importance of addressing both socioeconomic and psychological dimensions to develop effective interventions aimed at reducing gang participation.</w:t>
      </w:r>
    </w:p>
    <w:p w14:paraId="0E1DAA7F" w14:textId="77777777" w:rsidR="00660FA9" w:rsidRDefault="00660FA9" w:rsidP="00B42CFD">
      <w:pPr>
        <w:spacing w:after="0" w:line="276" w:lineRule="auto"/>
        <w:jc w:val="both"/>
        <w:rPr>
          <w:rFonts w:eastAsia="Times New Roman" w:cs="Arial"/>
          <w:lang w:eastAsia="en-GB"/>
        </w:rPr>
      </w:pPr>
    </w:p>
    <w:p w14:paraId="37DD8BFF" w14:textId="77777777" w:rsidR="00493F5F" w:rsidRDefault="00493F5F" w:rsidP="00B42CFD">
      <w:pPr>
        <w:spacing w:after="0" w:line="276" w:lineRule="auto"/>
        <w:jc w:val="both"/>
        <w:rPr>
          <w:rFonts w:eastAsia="Times New Roman" w:cs="Arial"/>
          <w:lang w:eastAsia="en-GB"/>
        </w:rPr>
      </w:pPr>
    </w:p>
    <w:p w14:paraId="01F51E1B" w14:textId="77777777" w:rsidR="00493F5F" w:rsidRDefault="00493F5F" w:rsidP="00B42CFD">
      <w:pPr>
        <w:spacing w:after="0" w:line="276" w:lineRule="auto"/>
        <w:jc w:val="both"/>
        <w:rPr>
          <w:rFonts w:eastAsia="Times New Roman" w:cs="Arial"/>
          <w:lang w:eastAsia="en-GB"/>
        </w:rPr>
      </w:pPr>
    </w:p>
    <w:p w14:paraId="3D6C76D4" w14:textId="77777777" w:rsidR="00493F5F" w:rsidRDefault="00493F5F" w:rsidP="00B42CFD">
      <w:pPr>
        <w:spacing w:after="0" w:line="276" w:lineRule="auto"/>
        <w:jc w:val="both"/>
        <w:rPr>
          <w:rFonts w:eastAsia="Times New Roman" w:cs="Arial"/>
          <w:lang w:eastAsia="en-GB"/>
        </w:rPr>
      </w:pPr>
    </w:p>
    <w:p w14:paraId="076915C1" w14:textId="77777777" w:rsidR="00493F5F" w:rsidRDefault="00493F5F" w:rsidP="00B42CFD">
      <w:pPr>
        <w:spacing w:after="0" w:line="276" w:lineRule="auto"/>
        <w:jc w:val="both"/>
        <w:rPr>
          <w:rFonts w:eastAsia="Times New Roman" w:cs="Arial"/>
          <w:lang w:eastAsia="en-GB"/>
        </w:rPr>
      </w:pPr>
    </w:p>
    <w:p w14:paraId="5AAC5D0C" w14:textId="77777777" w:rsidR="00493F5F" w:rsidRDefault="00493F5F" w:rsidP="00B42CFD">
      <w:pPr>
        <w:spacing w:after="0" w:line="276" w:lineRule="auto"/>
        <w:jc w:val="both"/>
        <w:rPr>
          <w:rFonts w:eastAsia="Times New Roman" w:cs="Arial"/>
          <w:lang w:eastAsia="en-GB"/>
        </w:rPr>
      </w:pPr>
    </w:p>
    <w:p w14:paraId="04A1247B" w14:textId="77777777" w:rsidR="00493F5F" w:rsidRDefault="00493F5F" w:rsidP="00B42CFD">
      <w:pPr>
        <w:spacing w:after="0" w:line="276" w:lineRule="auto"/>
        <w:jc w:val="both"/>
        <w:rPr>
          <w:rFonts w:eastAsia="Times New Roman" w:cs="Arial"/>
          <w:lang w:eastAsia="en-GB"/>
        </w:rPr>
      </w:pPr>
    </w:p>
    <w:p w14:paraId="5A42E009" w14:textId="77777777" w:rsidR="00493F5F" w:rsidRDefault="00493F5F" w:rsidP="00B42CFD">
      <w:pPr>
        <w:spacing w:after="0" w:line="276" w:lineRule="auto"/>
        <w:jc w:val="both"/>
        <w:rPr>
          <w:rFonts w:eastAsia="Times New Roman" w:cs="Arial"/>
          <w:lang w:eastAsia="en-GB"/>
        </w:rPr>
      </w:pPr>
    </w:p>
    <w:p w14:paraId="2FBE1A50" w14:textId="77777777" w:rsidR="00493F5F" w:rsidRDefault="00493F5F" w:rsidP="00B42CFD">
      <w:pPr>
        <w:spacing w:after="0" w:line="276" w:lineRule="auto"/>
        <w:jc w:val="both"/>
        <w:rPr>
          <w:rFonts w:eastAsia="Times New Roman" w:cs="Arial"/>
          <w:lang w:eastAsia="en-GB"/>
        </w:rPr>
      </w:pPr>
    </w:p>
    <w:p w14:paraId="1B53DC0E" w14:textId="77777777" w:rsidR="00493F5F" w:rsidRDefault="00493F5F" w:rsidP="00B42CFD">
      <w:pPr>
        <w:spacing w:after="0" w:line="276" w:lineRule="auto"/>
        <w:jc w:val="both"/>
        <w:rPr>
          <w:rFonts w:eastAsia="Times New Roman" w:cs="Arial"/>
          <w:lang w:eastAsia="en-GB"/>
        </w:rPr>
      </w:pPr>
    </w:p>
    <w:p w14:paraId="6460621E" w14:textId="77777777" w:rsidR="00493F5F" w:rsidRDefault="00493F5F" w:rsidP="00B42CFD">
      <w:pPr>
        <w:spacing w:after="0" w:line="276" w:lineRule="auto"/>
        <w:jc w:val="both"/>
        <w:rPr>
          <w:rFonts w:eastAsia="Times New Roman" w:cs="Arial"/>
          <w:lang w:eastAsia="en-GB"/>
        </w:rPr>
      </w:pPr>
    </w:p>
    <w:p w14:paraId="325618E4" w14:textId="77777777" w:rsidR="00493F5F" w:rsidRDefault="00493F5F" w:rsidP="00B42CFD">
      <w:pPr>
        <w:spacing w:after="0" w:line="276" w:lineRule="auto"/>
        <w:jc w:val="both"/>
        <w:rPr>
          <w:rFonts w:eastAsia="Times New Roman" w:cs="Arial"/>
          <w:lang w:eastAsia="en-GB"/>
        </w:rPr>
      </w:pPr>
    </w:p>
    <w:p w14:paraId="2F032A0D" w14:textId="77777777" w:rsidR="00493F5F" w:rsidRDefault="00493F5F" w:rsidP="00B42CFD">
      <w:pPr>
        <w:spacing w:after="0" w:line="276" w:lineRule="auto"/>
        <w:jc w:val="both"/>
        <w:rPr>
          <w:rFonts w:eastAsia="Times New Roman" w:cs="Arial"/>
          <w:lang w:eastAsia="en-GB"/>
        </w:rPr>
      </w:pPr>
    </w:p>
    <w:p w14:paraId="51750880" w14:textId="77777777" w:rsidR="00493F5F" w:rsidRDefault="00493F5F" w:rsidP="00B42CFD">
      <w:pPr>
        <w:spacing w:after="0" w:line="276" w:lineRule="auto"/>
        <w:jc w:val="both"/>
        <w:rPr>
          <w:rFonts w:eastAsia="Times New Roman" w:cs="Arial"/>
          <w:lang w:eastAsia="en-GB"/>
        </w:rPr>
      </w:pPr>
    </w:p>
    <w:p w14:paraId="1D1AF578" w14:textId="77777777" w:rsidR="00493F5F" w:rsidRPr="000740C5" w:rsidRDefault="00493F5F" w:rsidP="00B42CFD">
      <w:pPr>
        <w:spacing w:after="0" w:line="276" w:lineRule="auto"/>
        <w:jc w:val="both"/>
        <w:rPr>
          <w:rFonts w:eastAsia="Times New Roman" w:cs="Arial"/>
          <w:lang w:eastAsia="en-GB"/>
        </w:rPr>
      </w:pPr>
    </w:p>
    <w:bookmarkEnd w:id="2"/>
    <w:bookmarkEnd w:id="3"/>
    <w:p w14:paraId="25115BAB" w14:textId="77777777" w:rsidR="00155054" w:rsidRPr="000740C5" w:rsidRDefault="00155054" w:rsidP="00B42CFD">
      <w:pPr>
        <w:spacing w:after="0" w:line="276" w:lineRule="auto"/>
        <w:jc w:val="both"/>
        <w:rPr>
          <w:rFonts w:eastAsia="Times New Roman" w:cs="Arial"/>
          <w:lang w:eastAsia="en-GB"/>
        </w:rPr>
      </w:pPr>
    </w:p>
    <w:p w14:paraId="5A583434" w14:textId="1A6CE94D" w:rsidR="00BE6A74" w:rsidRPr="000740C5" w:rsidRDefault="00BE6A74" w:rsidP="00B42CFD">
      <w:pPr>
        <w:pStyle w:val="ListParagraph"/>
        <w:numPr>
          <w:ilvl w:val="0"/>
          <w:numId w:val="2"/>
        </w:numPr>
        <w:overflowPunct w:val="0"/>
        <w:autoSpaceDE w:val="0"/>
        <w:autoSpaceDN w:val="0"/>
        <w:adjustRightInd w:val="0"/>
        <w:spacing w:after="0" w:line="276" w:lineRule="auto"/>
        <w:ind w:left="0"/>
        <w:jc w:val="both"/>
        <w:textAlignment w:val="baseline"/>
        <w:rPr>
          <w:rFonts w:eastAsia="Times New Roman" w:cs="Arial"/>
          <w:lang w:eastAsia="en-GB"/>
        </w:rPr>
      </w:pPr>
      <w:r w:rsidRPr="000740C5">
        <w:rPr>
          <w:rFonts w:eastAsia="Times New Roman" w:cs="Arial"/>
          <w:b/>
          <w:bCs/>
          <w:lang w:eastAsia="en-GB"/>
        </w:rPr>
        <w:lastRenderedPageBreak/>
        <w:t>Vulnerability &amp; Risk</w:t>
      </w:r>
    </w:p>
    <w:p w14:paraId="04D78D14" w14:textId="77777777" w:rsidR="00BE6A74" w:rsidRPr="000740C5" w:rsidRDefault="00BE6A74" w:rsidP="00B42CFD">
      <w:pPr>
        <w:overflowPunct w:val="0"/>
        <w:autoSpaceDE w:val="0"/>
        <w:autoSpaceDN w:val="0"/>
        <w:adjustRightInd w:val="0"/>
        <w:spacing w:after="0" w:line="276" w:lineRule="auto"/>
        <w:jc w:val="both"/>
        <w:textAlignment w:val="baseline"/>
        <w:rPr>
          <w:rFonts w:eastAsia="Times New Roman" w:cs="Arial"/>
          <w:lang w:eastAsia="en-GB"/>
        </w:rPr>
      </w:pPr>
      <w:r w:rsidRPr="000740C5">
        <w:rPr>
          <w:rFonts w:eastAsia="Times New Roman" w:cs="Arial"/>
          <w:lang w:eastAsia="en-GB"/>
        </w:rPr>
        <w:t>Is early intervention an effective means of preventing young people from offending? What increases or detracts from its effectiveness?</w:t>
      </w:r>
    </w:p>
    <w:p w14:paraId="5C4BF81A" w14:textId="77777777" w:rsidR="00BE6A74" w:rsidRPr="000740C5" w:rsidRDefault="00BE6A74" w:rsidP="00B42CFD">
      <w:pPr>
        <w:overflowPunct w:val="0"/>
        <w:autoSpaceDE w:val="0"/>
        <w:autoSpaceDN w:val="0"/>
        <w:adjustRightInd w:val="0"/>
        <w:spacing w:after="0" w:line="276" w:lineRule="auto"/>
        <w:jc w:val="both"/>
        <w:textAlignment w:val="baseline"/>
        <w:rPr>
          <w:rFonts w:eastAsia="Times New Roman" w:cs="Arial"/>
          <w:lang w:eastAsia="en-GB"/>
        </w:rPr>
      </w:pPr>
      <w:r w:rsidRPr="000740C5">
        <w:rPr>
          <w:rFonts w:eastAsia="Times New Roman" w:cs="Arial"/>
          <w:lang w:eastAsia="en-GB"/>
        </w:rPr>
        <w:t>Your answer must be based on academic research.</w:t>
      </w:r>
    </w:p>
    <w:p w14:paraId="6979F45B" w14:textId="77777777" w:rsidR="00BE6A74" w:rsidRPr="000740C5" w:rsidRDefault="00BE6A74" w:rsidP="00B42CFD">
      <w:pPr>
        <w:spacing w:after="0" w:line="276" w:lineRule="auto"/>
        <w:jc w:val="both"/>
        <w:rPr>
          <w:rFonts w:eastAsia="Times New Roman" w:cs="Arial"/>
          <w:lang w:eastAsia="en-GB"/>
        </w:rPr>
      </w:pPr>
      <w:r w:rsidRPr="000740C5">
        <w:rPr>
          <w:rFonts w:eastAsia="Times New Roman" w:cs="Arial"/>
          <w:b/>
          <w:bCs/>
          <w:lang w:eastAsia="en-GB"/>
        </w:rPr>
        <w:t xml:space="preserve">Word limit: </w:t>
      </w:r>
      <w:r w:rsidRPr="000740C5">
        <w:rPr>
          <w:rFonts w:eastAsia="Times New Roman" w:cs="Arial"/>
          <w:lang w:eastAsia="en-GB"/>
        </w:rPr>
        <w:t>1000 words.</w:t>
      </w:r>
    </w:p>
    <w:p w14:paraId="336ED531" w14:textId="77777777" w:rsidR="00AE256A" w:rsidRPr="000740C5" w:rsidRDefault="00AE256A" w:rsidP="00B42CFD">
      <w:pPr>
        <w:spacing w:after="0" w:line="276" w:lineRule="auto"/>
        <w:jc w:val="both"/>
        <w:rPr>
          <w:rFonts w:eastAsia="Times New Roman" w:cs="Arial"/>
          <w:lang w:eastAsia="en-GB"/>
        </w:rPr>
      </w:pPr>
    </w:p>
    <w:p w14:paraId="0C81928A" w14:textId="3F1C82A8" w:rsidR="00AE256A" w:rsidRPr="000740C5" w:rsidRDefault="00AE256A" w:rsidP="00AE256A">
      <w:pPr>
        <w:spacing w:after="0" w:line="276" w:lineRule="auto"/>
        <w:jc w:val="both"/>
        <w:rPr>
          <w:rFonts w:eastAsia="Times New Roman" w:cs="Arial"/>
          <w:lang w:eastAsia="en-GB"/>
        </w:rPr>
      </w:pPr>
      <w:r w:rsidRPr="000740C5">
        <w:rPr>
          <w:rFonts w:eastAsia="Times New Roman" w:cs="Arial"/>
          <w:lang w:eastAsia="en-GB"/>
        </w:rPr>
        <w:t xml:space="preserve">The essay will </w:t>
      </w:r>
      <w:r w:rsidR="000F7DDB" w:rsidRPr="000740C5">
        <w:rPr>
          <w:rFonts w:eastAsia="Times New Roman" w:cs="Arial"/>
          <w:lang w:eastAsia="en-GB"/>
        </w:rPr>
        <w:t>analyse</w:t>
      </w:r>
      <w:r w:rsidRPr="000740C5">
        <w:rPr>
          <w:rFonts w:eastAsia="Times New Roman" w:cs="Arial"/>
          <w:lang w:eastAsia="en-GB"/>
        </w:rPr>
        <w:t xml:space="preserve"> key issues related to early intervention programs for young people. One significant argument is that not all individuals benefit from these interventions; in some cases, participation might actually reinforce negative </w:t>
      </w:r>
      <w:r w:rsidR="000F7DDB" w:rsidRPr="000740C5">
        <w:rPr>
          <w:rFonts w:eastAsia="Times New Roman" w:cs="Arial"/>
          <w:lang w:eastAsia="en-GB"/>
        </w:rPr>
        <w:t>behaviours</w:t>
      </w:r>
      <w:r w:rsidRPr="000740C5">
        <w:rPr>
          <w:rFonts w:eastAsia="Times New Roman" w:cs="Arial"/>
          <w:lang w:eastAsia="en-GB"/>
        </w:rPr>
        <w:t xml:space="preserve"> instead of alleviating them. This suggests that a one-size-fits-all approach may not be effective, making it necessary to tailor interventions to the diverse backgrounds and experiences of youth.</w:t>
      </w:r>
      <w:r w:rsidR="00E47794" w:rsidRPr="000740C5">
        <w:rPr>
          <w:rFonts w:eastAsia="Times New Roman" w:cs="Arial"/>
          <w:lang w:eastAsia="en-GB"/>
        </w:rPr>
        <w:t xml:space="preserve"> By exploring these complexities, the essay aims to provide a deeper understanding of the implications of early intervention programs for both young people and society at large.</w:t>
      </w:r>
      <w:r w:rsidR="00C478F9">
        <w:rPr>
          <w:rFonts w:eastAsia="Times New Roman" w:cs="Arial"/>
          <w:lang w:eastAsia="en-GB"/>
        </w:rPr>
        <w:t xml:space="preserve"> </w:t>
      </w:r>
      <w:r w:rsidRPr="000740C5">
        <w:rPr>
          <w:rFonts w:eastAsia="Times New Roman" w:cs="Arial"/>
          <w:lang w:eastAsia="en-GB"/>
        </w:rPr>
        <w:t xml:space="preserve">Another crucial aspect to consider is the role of </w:t>
      </w:r>
      <w:r w:rsidR="00C20DC2" w:rsidRPr="000740C5">
        <w:rPr>
          <w:rFonts w:eastAsia="Times New Roman" w:cs="Arial"/>
          <w:lang w:eastAsia="en-GB"/>
        </w:rPr>
        <w:t>socioeconomic</w:t>
      </w:r>
      <w:r w:rsidRPr="000740C5">
        <w:rPr>
          <w:rFonts w:eastAsia="Times New Roman" w:cs="Arial"/>
          <w:lang w:eastAsia="en-GB"/>
        </w:rPr>
        <w:t xml:space="preserve"> factors in the success of these programs. Critics point out that the effectiveness of early interventions can be heavily influenced by </w:t>
      </w:r>
      <w:r w:rsidR="00C20DC2" w:rsidRPr="000740C5">
        <w:rPr>
          <w:rFonts w:eastAsia="Times New Roman" w:cs="Arial"/>
          <w:lang w:eastAsia="en-GB"/>
        </w:rPr>
        <w:t>participants' socio-economic status</w:t>
      </w:r>
      <w:r w:rsidRPr="000740C5">
        <w:rPr>
          <w:rFonts w:eastAsia="Times New Roman" w:cs="Arial"/>
          <w:lang w:eastAsia="en-GB"/>
        </w:rPr>
        <w:t>. Without addressing underlying issues like poverty and access to education and healthcare, the impact of these programs may be limited.</w:t>
      </w:r>
    </w:p>
    <w:p w14:paraId="3EB64DDC" w14:textId="77777777" w:rsidR="007A33ED" w:rsidRPr="000740C5" w:rsidRDefault="007A33ED" w:rsidP="00AE256A">
      <w:pPr>
        <w:spacing w:after="0" w:line="276" w:lineRule="auto"/>
        <w:jc w:val="both"/>
        <w:rPr>
          <w:rFonts w:eastAsia="Times New Roman" w:cs="Arial"/>
          <w:lang w:eastAsia="en-GB"/>
        </w:rPr>
      </w:pPr>
    </w:p>
    <w:p w14:paraId="53191261" w14:textId="350A9381" w:rsidR="00AE256A" w:rsidRPr="000740C5" w:rsidRDefault="007A33ED" w:rsidP="00AE256A">
      <w:pPr>
        <w:spacing w:after="0" w:line="276" w:lineRule="auto"/>
        <w:jc w:val="both"/>
        <w:rPr>
          <w:rFonts w:eastAsia="Times New Roman" w:cs="Arial"/>
          <w:lang w:eastAsia="en-GB"/>
        </w:rPr>
      </w:pPr>
      <w:r w:rsidRPr="000740C5">
        <w:rPr>
          <w:rFonts w:eastAsia="Times New Roman" w:cs="Arial"/>
          <w:lang w:eastAsia="en-GB"/>
        </w:rPr>
        <w:t xml:space="preserve">Lauber </w:t>
      </w:r>
      <w:r w:rsidR="00C478F9">
        <w:rPr>
          <w:rFonts w:eastAsia="Times New Roman" w:cs="Arial"/>
          <w:lang w:eastAsia="en-GB"/>
        </w:rPr>
        <w:t>(</w:t>
      </w:r>
      <w:r w:rsidRPr="000740C5">
        <w:rPr>
          <w:rFonts w:eastAsia="Times New Roman" w:cs="Arial"/>
          <w:lang w:eastAsia="en-GB"/>
        </w:rPr>
        <w:t>1993</w:t>
      </w:r>
      <w:r w:rsidR="00C478F9">
        <w:rPr>
          <w:rFonts w:eastAsia="Times New Roman" w:cs="Arial"/>
          <w:lang w:eastAsia="en-GB"/>
        </w:rPr>
        <w:t>)</w:t>
      </w:r>
      <w:r w:rsidRPr="000740C5">
        <w:rPr>
          <w:rFonts w:eastAsia="Times New Roman" w:cs="Arial"/>
          <w:lang w:eastAsia="en-GB"/>
        </w:rPr>
        <w:t xml:space="preserve">, </w:t>
      </w:r>
      <w:r w:rsidR="009075C0" w:rsidRPr="000740C5">
        <w:rPr>
          <w:rFonts w:eastAsia="Times New Roman" w:cs="Arial"/>
          <w:lang w:eastAsia="en-GB"/>
        </w:rPr>
        <w:t>advises that a developmental pathway is defined</w:t>
      </w:r>
      <w:r w:rsidR="00C0436C" w:rsidRPr="000740C5">
        <w:rPr>
          <w:rFonts w:eastAsia="Times New Roman" w:cs="Arial"/>
          <w:lang w:eastAsia="en-GB"/>
        </w:rPr>
        <w:t xml:space="preserve"> as the stages of behaviour that unfold over time in a predictable order</w:t>
      </w:r>
      <w:r w:rsidR="00A10D4C" w:rsidRPr="000740C5">
        <w:rPr>
          <w:rFonts w:eastAsia="Times New Roman" w:cs="Arial"/>
          <w:lang w:eastAsia="en-GB"/>
        </w:rPr>
        <w:t xml:space="preserve">. Research by Farrington (2003) indicates that criminal activity tends to peak during </w:t>
      </w:r>
      <w:r w:rsidR="006E0492">
        <w:rPr>
          <w:rFonts w:eastAsia="Times New Roman" w:cs="Arial"/>
          <w:lang w:eastAsia="en-GB"/>
        </w:rPr>
        <w:t xml:space="preserve">the </w:t>
      </w:r>
      <w:r w:rsidR="00A10D4C" w:rsidRPr="000740C5">
        <w:rPr>
          <w:rFonts w:eastAsia="Times New Roman" w:cs="Arial"/>
          <w:lang w:eastAsia="en-GB"/>
        </w:rPr>
        <w:t>late teenage years, specifically between the ages of 16 and 24. This pattern highlights that early involvement in crime is often a precursor to a longer criminal career. Consequently, it underscores the importance of implementing early intervention strategies to address and prevent such behaviours.</w:t>
      </w:r>
      <w:r w:rsidR="00F176CD" w:rsidRPr="000740C5">
        <w:rPr>
          <w:rFonts w:eastAsia="Times New Roman" w:cs="Arial"/>
          <w:lang w:eastAsia="en-GB"/>
        </w:rPr>
        <w:t xml:space="preserve"> </w:t>
      </w:r>
      <w:r w:rsidR="00AE256A" w:rsidRPr="000740C5">
        <w:rPr>
          <w:rFonts w:eastAsia="Times New Roman" w:cs="Arial"/>
          <w:lang w:eastAsia="en-GB"/>
        </w:rPr>
        <w:t>Additionally, concerns about resource allocation arise, with some critics arguing that funding for early interventions could potentially be better spent on broader preventive measures that benefit larger populations. This highlights the need for a careful evaluation of funding decisions to ensure that resources are not diverted from other essential services.</w:t>
      </w:r>
      <w:r w:rsidR="00795AEA" w:rsidRPr="000740C5">
        <w:rPr>
          <w:rFonts w:eastAsia="Times New Roman" w:cs="Arial"/>
          <w:lang w:eastAsia="en-GB"/>
        </w:rPr>
        <w:t xml:space="preserve"> </w:t>
      </w:r>
      <w:r w:rsidR="00BF22DD" w:rsidRPr="000740C5">
        <w:rPr>
          <w:rFonts w:eastAsia="Times New Roman" w:cs="Arial"/>
          <w:lang w:eastAsia="en-GB"/>
        </w:rPr>
        <w:t>This can cause d</w:t>
      </w:r>
      <w:r w:rsidR="00F354FC" w:rsidRPr="000740C5">
        <w:rPr>
          <w:rFonts w:eastAsia="Times New Roman" w:cs="Arial"/>
          <w:lang w:eastAsia="en-GB"/>
        </w:rPr>
        <w:t>isplacement</w:t>
      </w:r>
      <w:r w:rsidR="006460DC" w:rsidRPr="000740C5">
        <w:rPr>
          <w:rFonts w:eastAsia="Times New Roman" w:cs="Arial"/>
          <w:lang w:eastAsia="en-GB"/>
        </w:rPr>
        <w:t xml:space="preserve"> of crime</w:t>
      </w:r>
      <w:r w:rsidR="00BF22DD" w:rsidRPr="000740C5">
        <w:rPr>
          <w:rFonts w:eastAsia="Times New Roman" w:cs="Arial"/>
          <w:lang w:eastAsia="en-GB"/>
        </w:rPr>
        <w:t xml:space="preserve">, </w:t>
      </w:r>
      <w:r w:rsidR="006460DC" w:rsidRPr="000740C5">
        <w:rPr>
          <w:rFonts w:eastAsia="Times New Roman" w:cs="Arial"/>
          <w:lang w:eastAsia="en-GB"/>
        </w:rPr>
        <w:t xml:space="preserve">such as temporal, spatial, target, tactical and functional. </w:t>
      </w:r>
    </w:p>
    <w:p w14:paraId="06A02B04" w14:textId="77777777" w:rsidR="00BE6A74" w:rsidRPr="000740C5" w:rsidRDefault="00BE6A74" w:rsidP="00B42CFD">
      <w:pPr>
        <w:spacing w:after="0" w:line="276" w:lineRule="auto"/>
        <w:jc w:val="both"/>
        <w:rPr>
          <w:rFonts w:eastAsia="Times New Roman" w:cs="Arial"/>
          <w:lang w:eastAsia="en-GB"/>
        </w:rPr>
      </w:pPr>
    </w:p>
    <w:p w14:paraId="7ED7C2D7" w14:textId="06297FAD" w:rsidR="00C7445D" w:rsidRPr="000740C5" w:rsidRDefault="00C7445D" w:rsidP="00C7445D">
      <w:pPr>
        <w:spacing w:after="0" w:line="276" w:lineRule="auto"/>
        <w:jc w:val="both"/>
        <w:rPr>
          <w:rFonts w:eastAsia="Times New Roman" w:cs="Arial"/>
          <w:lang w:eastAsia="en-GB"/>
        </w:rPr>
      </w:pPr>
      <w:r w:rsidRPr="000740C5">
        <w:rPr>
          <w:rFonts w:eastAsia="Times New Roman" w:cs="Arial"/>
          <w:lang w:eastAsia="en-GB"/>
        </w:rPr>
        <w:t>Early intervention refers to the proactive identification and provision of tailored support for children and young people who are at risk of facing negative developmental, emotional, or educational outcomes. This approach emphasizes the importance of addressing potential challenges early on, often during critical developmental periods, to enhance the likelihood of positive growth and resilience. By implementing targeted strategies and resources, such as counselling, special education services, or family support programs, early intervention aims to mitigate risks and foster a supportive environment that allows young individuals to thrive academically, socially, and emotionally</w:t>
      </w:r>
      <w:r w:rsidR="002D3D96" w:rsidRPr="000740C5">
        <w:rPr>
          <w:rFonts w:eastAsia="Times New Roman" w:cs="Arial"/>
          <w:lang w:eastAsia="en-GB"/>
        </w:rPr>
        <w:t xml:space="preserve"> (Early Intervention Foundation, 2024)</w:t>
      </w:r>
      <w:r w:rsidRPr="000740C5">
        <w:rPr>
          <w:rFonts w:eastAsia="Times New Roman" w:cs="Arial"/>
          <w:lang w:eastAsia="en-GB"/>
        </w:rPr>
        <w:t>.</w:t>
      </w:r>
    </w:p>
    <w:p w14:paraId="079D4EDE" w14:textId="77777777" w:rsidR="00C7445D" w:rsidRPr="000740C5" w:rsidRDefault="00C7445D" w:rsidP="00B42CFD">
      <w:pPr>
        <w:spacing w:after="0" w:line="276" w:lineRule="auto"/>
        <w:jc w:val="both"/>
        <w:rPr>
          <w:rFonts w:eastAsia="Times New Roman" w:cs="Arial"/>
          <w:lang w:eastAsia="en-GB"/>
        </w:rPr>
      </w:pPr>
    </w:p>
    <w:p w14:paraId="7DF3879D" w14:textId="5276384C" w:rsidR="008C3782" w:rsidRPr="000740C5" w:rsidRDefault="00812257" w:rsidP="00B42CFD">
      <w:pPr>
        <w:spacing w:after="0" w:line="276" w:lineRule="auto"/>
        <w:jc w:val="both"/>
        <w:rPr>
          <w:rFonts w:eastAsia="Times New Roman" w:cs="Arial"/>
          <w:lang w:eastAsia="en-GB"/>
        </w:rPr>
      </w:pPr>
      <w:r w:rsidRPr="000740C5">
        <w:rPr>
          <w:rFonts w:eastAsia="Times New Roman" w:cs="Arial"/>
          <w:lang w:eastAsia="en-GB"/>
        </w:rPr>
        <w:t>Early intervention has proven to be an effective strategy for preventing youth from engaging in criminal behaviour. By identifying at-risk individuals and providing them with support and resources, we can address underlying issues before they escalate. However, the challenges we face today are significant. The modern youth, influenced by factors such as technology, peer pressure, and socioeconomic disparities, complicates the effectiveness of these interventions. As a result, while early intervention remains a vital approach, it requires a nuanced understanding of the contemporary environment shaping young people's lives to truly make a difference. Early intervention can effectively prevent young people from offending, but given the complexities of today's youth, it is challenging</w:t>
      </w:r>
      <w:r w:rsidR="00E24660" w:rsidRPr="000740C5">
        <w:rPr>
          <w:rFonts w:eastAsia="Times New Roman" w:cs="Arial"/>
          <w:lang w:eastAsia="en-GB"/>
        </w:rPr>
        <w:t xml:space="preserve"> (Allchild.org, 2023).</w:t>
      </w:r>
    </w:p>
    <w:p w14:paraId="7562F0C1" w14:textId="77777777" w:rsidR="00155054" w:rsidRPr="000740C5" w:rsidRDefault="00155054" w:rsidP="00B42CFD">
      <w:pPr>
        <w:spacing w:after="0" w:line="276" w:lineRule="auto"/>
        <w:jc w:val="both"/>
        <w:rPr>
          <w:rFonts w:eastAsia="Times New Roman" w:cs="Arial"/>
          <w:lang w:eastAsia="en-GB"/>
        </w:rPr>
      </w:pPr>
    </w:p>
    <w:p w14:paraId="4989D094" w14:textId="3C14052A" w:rsidR="002B184E" w:rsidRPr="000740C5" w:rsidRDefault="002B184E" w:rsidP="002B184E">
      <w:pPr>
        <w:spacing w:after="0" w:line="276" w:lineRule="auto"/>
        <w:jc w:val="both"/>
        <w:rPr>
          <w:rFonts w:eastAsia="Times New Roman" w:cs="Arial"/>
          <w:lang w:eastAsia="en-GB"/>
        </w:rPr>
      </w:pPr>
      <w:r w:rsidRPr="000740C5">
        <w:rPr>
          <w:rFonts w:eastAsia="Times New Roman" w:cs="Arial"/>
          <w:lang w:eastAsia="en-GB"/>
        </w:rPr>
        <w:t>Youth crime prevention programmes</w:t>
      </w:r>
      <w:r w:rsidR="006E0492">
        <w:rPr>
          <w:rFonts w:eastAsia="Times New Roman" w:cs="Arial"/>
          <w:lang w:eastAsia="en-GB"/>
        </w:rPr>
        <w:t>, such as Action4Youth, are designed to support juveniles deemed at</w:t>
      </w:r>
      <w:r w:rsidRPr="000740C5">
        <w:rPr>
          <w:rFonts w:eastAsia="Times New Roman" w:cs="Arial"/>
          <w:lang w:eastAsia="en-GB"/>
        </w:rPr>
        <w:t xml:space="preserve"> </w:t>
      </w:r>
      <w:r w:rsidR="00505E3C">
        <w:rPr>
          <w:rFonts w:eastAsia="Times New Roman" w:cs="Arial"/>
          <w:lang w:eastAsia="en-GB"/>
        </w:rPr>
        <w:t>risk</w:t>
      </w:r>
      <w:r w:rsidRPr="000740C5">
        <w:rPr>
          <w:rFonts w:eastAsia="Times New Roman" w:cs="Arial"/>
          <w:lang w:eastAsia="en-GB"/>
        </w:rPr>
        <w:t xml:space="preserve"> of criminal behaviour, those involved in anti-social activities, or with histories of legal issues. Participation is voluntary, requiring agreement from parents or carers regarding the planned activities. Referrals are typically made by the police but can also come from youth offending teams, social workers, teachers, or parents. Before the programme begins, youth workers assess the young person to determine the most suitable support and to ensure the programme's effectiveness, involving the youth in the evaluation process</w:t>
      </w:r>
      <w:r w:rsidR="00B71424" w:rsidRPr="000740C5">
        <w:rPr>
          <w:rFonts w:eastAsia="Times New Roman" w:cs="Arial"/>
          <w:lang w:eastAsia="en-GB"/>
        </w:rPr>
        <w:t> (UK Rules, 2023).</w:t>
      </w:r>
      <w:r w:rsidR="005D47AD" w:rsidRPr="000740C5">
        <w:rPr>
          <w:rFonts w:eastAsia="Times New Roman" w:cs="Arial"/>
          <w:lang w:eastAsia="en-GB"/>
        </w:rPr>
        <w:t xml:space="preserve"> </w:t>
      </w:r>
    </w:p>
    <w:p w14:paraId="47139A60" w14:textId="77777777" w:rsidR="002B184E" w:rsidRPr="000740C5" w:rsidRDefault="002B184E" w:rsidP="002B184E">
      <w:pPr>
        <w:spacing w:after="0" w:line="276" w:lineRule="auto"/>
        <w:jc w:val="both"/>
        <w:rPr>
          <w:rFonts w:eastAsia="Times New Roman" w:cs="Arial"/>
          <w:lang w:eastAsia="en-GB"/>
        </w:rPr>
      </w:pPr>
    </w:p>
    <w:p w14:paraId="3AC8E121" w14:textId="519729A0" w:rsidR="002B184E" w:rsidRPr="000740C5" w:rsidRDefault="002B184E" w:rsidP="002B184E">
      <w:pPr>
        <w:spacing w:after="0" w:line="276" w:lineRule="auto"/>
        <w:jc w:val="both"/>
        <w:rPr>
          <w:rFonts w:eastAsia="Times New Roman" w:cs="Arial"/>
          <w:lang w:eastAsia="en-GB"/>
        </w:rPr>
      </w:pPr>
      <w:r w:rsidRPr="000740C5">
        <w:rPr>
          <w:rFonts w:eastAsia="Times New Roman" w:cs="Arial"/>
          <w:lang w:eastAsia="en-GB"/>
        </w:rPr>
        <w:t>There are various types of programmes</w:t>
      </w:r>
      <w:r w:rsidR="00867960" w:rsidRPr="000740C5">
        <w:rPr>
          <w:rFonts w:eastAsia="Times New Roman" w:cs="Arial"/>
          <w:lang w:eastAsia="en-GB"/>
        </w:rPr>
        <w:t xml:space="preserve"> like Youth crime prevention</w:t>
      </w:r>
      <w:r w:rsidR="006F5BF5" w:rsidRPr="000740C5">
        <w:rPr>
          <w:rFonts w:eastAsia="Times New Roman" w:cs="Arial"/>
          <w:lang w:eastAsia="en-GB"/>
        </w:rPr>
        <w:t>.</w:t>
      </w:r>
      <w:r w:rsidRPr="000740C5">
        <w:rPr>
          <w:rFonts w:eastAsia="Times New Roman" w:cs="Arial"/>
          <w:lang w:eastAsia="en-GB"/>
        </w:rPr>
        <w:t xml:space="preserve"> </w:t>
      </w:r>
      <w:r w:rsidR="006F5BF5" w:rsidRPr="000740C5">
        <w:rPr>
          <w:rFonts w:eastAsia="Times New Roman" w:cs="Arial"/>
          <w:lang w:eastAsia="en-GB"/>
        </w:rPr>
        <w:t>S</w:t>
      </w:r>
      <w:r w:rsidRPr="000740C5">
        <w:rPr>
          <w:rFonts w:eastAsia="Times New Roman" w:cs="Arial"/>
          <w:lang w:eastAsia="en-GB"/>
        </w:rPr>
        <w:t>ome are Youth Inclusion Programmes serve individuals aged 8 to 17, usually lasting around six months, with extensions available for additional support. Youth Inclusion and Support Panels, aim to reduce crime among children aged 8 to 13 by providing access to local services. Minors have different legal rights than adults, with services including educational assistance and mental health support. An intervention plan outlines activities that must be agreed upon by the young person, their family, and youth workers, detailing expectations and support arrangements</w:t>
      </w:r>
      <w:r w:rsidR="00451F68" w:rsidRPr="000740C5">
        <w:rPr>
          <w:rFonts w:eastAsia="Times New Roman" w:cs="Arial"/>
          <w:lang w:eastAsia="en-GB"/>
        </w:rPr>
        <w:t> (UK Rules, 2023)</w:t>
      </w:r>
      <w:r w:rsidRPr="000740C5">
        <w:rPr>
          <w:rFonts w:eastAsia="Times New Roman" w:cs="Arial"/>
          <w:lang w:eastAsia="en-GB"/>
        </w:rPr>
        <w:t>.</w:t>
      </w:r>
      <w:r w:rsidR="00867960" w:rsidRPr="000740C5">
        <w:rPr>
          <w:rFonts w:eastAsia="Times New Roman" w:cs="Arial"/>
          <w:lang w:eastAsia="en-GB"/>
        </w:rPr>
        <w:t xml:space="preserve"> </w:t>
      </w:r>
    </w:p>
    <w:p w14:paraId="5827EC04" w14:textId="2BF802A1" w:rsidR="00155054" w:rsidRPr="000740C5" w:rsidRDefault="00155054" w:rsidP="00B42CFD">
      <w:pPr>
        <w:spacing w:after="0" w:line="276" w:lineRule="auto"/>
        <w:jc w:val="both"/>
        <w:rPr>
          <w:rFonts w:eastAsia="Times New Roman" w:cs="Arial"/>
          <w:lang w:eastAsia="en-GB"/>
        </w:rPr>
      </w:pPr>
    </w:p>
    <w:p w14:paraId="0E96385D" w14:textId="1871AEB2" w:rsidR="00155054" w:rsidRPr="000740C5" w:rsidRDefault="00A40E86" w:rsidP="00B42CFD">
      <w:pPr>
        <w:spacing w:after="0" w:line="276" w:lineRule="auto"/>
        <w:jc w:val="both"/>
        <w:rPr>
          <w:rFonts w:eastAsia="Times New Roman" w:cs="Arial"/>
          <w:lang w:eastAsia="en-GB"/>
        </w:rPr>
      </w:pPr>
      <w:r w:rsidRPr="000740C5">
        <w:rPr>
          <w:rFonts w:eastAsia="Times New Roman" w:cs="Arial"/>
          <w:lang w:eastAsia="en-GB"/>
        </w:rPr>
        <w:t xml:space="preserve">Multisystemic Therapy (MST) is a rigorous, </w:t>
      </w:r>
      <w:r w:rsidR="006E0492">
        <w:rPr>
          <w:rFonts w:eastAsia="Times New Roman" w:cs="Arial"/>
          <w:lang w:eastAsia="en-GB"/>
        </w:rPr>
        <w:t>family-centred</w:t>
      </w:r>
      <w:r w:rsidRPr="000740C5">
        <w:rPr>
          <w:rFonts w:eastAsia="Times New Roman" w:cs="Arial"/>
          <w:lang w:eastAsia="en-GB"/>
        </w:rPr>
        <w:t xml:space="preserve"> and community-oriented intervention designed to address and mitigate the serious anti-social </w:t>
      </w:r>
      <w:r w:rsidR="00860E29" w:rsidRPr="000740C5">
        <w:rPr>
          <w:rFonts w:eastAsia="Times New Roman" w:cs="Arial"/>
          <w:lang w:eastAsia="en-GB"/>
        </w:rPr>
        <w:t>behaviours</w:t>
      </w:r>
      <w:r w:rsidRPr="000740C5">
        <w:rPr>
          <w:rFonts w:eastAsia="Times New Roman" w:cs="Arial"/>
          <w:lang w:eastAsia="en-GB"/>
        </w:rPr>
        <w:t xml:space="preserve"> exhibited by children and adolescents</w:t>
      </w:r>
      <w:r w:rsidR="00D07CF1">
        <w:rPr>
          <w:rFonts w:eastAsia="Times New Roman" w:cs="Arial"/>
          <w:lang w:eastAsia="en-GB"/>
        </w:rPr>
        <w:t xml:space="preserve"> </w:t>
      </w:r>
      <w:r w:rsidR="00D07CF1" w:rsidRPr="00D07CF1">
        <w:rPr>
          <w:rFonts w:eastAsia="Times New Roman" w:cs="Arial"/>
          <w:lang w:eastAsia="en-GB"/>
        </w:rPr>
        <w:t>(Youth Endowment Fund, n.d.)</w:t>
      </w:r>
      <w:r w:rsidRPr="000740C5">
        <w:rPr>
          <w:rFonts w:eastAsia="Times New Roman" w:cs="Arial"/>
          <w:lang w:eastAsia="en-GB"/>
        </w:rPr>
        <w:t xml:space="preserve">. This approach focuses on making meaningful and lasting changes within the interconnected social systems in which these young individuals operate, including their home environments, educational settings, community resources, and peer relationships. By engaging families in the therapeutic process, MST empowers them to identify and leverage their strengths while developing effective strategies to improve communication, resolve conflicts, and enhance support networks. Additionally, the intervention collaborates with schools and community organizations to create a comprehensive support system that addresses the unique challenges faced by each child or adolescent, ultimately fostering healthier </w:t>
      </w:r>
      <w:r w:rsidR="002E3517" w:rsidRPr="000740C5">
        <w:rPr>
          <w:rFonts w:eastAsia="Times New Roman" w:cs="Arial"/>
          <w:lang w:eastAsia="en-GB"/>
        </w:rPr>
        <w:t>behaviours</w:t>
      </w:r>
      <w:r w:rsidRPr="000740C5">
        <w:rPr>
          <w:rFonts w:eastAsia="Times New Roman" w:cs="Arial"/>
          <w:lang w:eastAsia="en-GB"/>
        </w:rPr>
        <w:t xml:space="preserve"> and promoting positive developmental outcomes.</w:t>
      </w:r>
      <w:r w:rsidR="00A43123" w:rsidRPr="000740C5">
        <w:rPr>
          <w:rFonts w:eastAsia="Times New Roman" w:cs="Arial"/>
          <w:lang w:eastAsia="en-GB"/>
        </w:rPr>
        <w:t xml:space="preserve"> </w:t>
      </w:r>
      <w:r w:rsidRPr="000740C5">
        <w:rPr>
          <w:rFonts w:eastAsia="Times New Roman" w:cs="Arial"/>
          <w:lang w:eastAsia="en-GB"/>
        </w:rPr>
        <w:t xml:space="preserve">MST is a comprehensive intervention focused on families and communities, aiming to foster positive changes across different social environments (such as home, school, community, and peer relationships) that play a role in the serious anti-social </w:t>
      </w:r>
      <w:r w:rsidR="002E3517" w:rsidRPr="000740C5">
        <w:rPr>
          <w:rFonts w:eastAsia="Times New Roman" w:cs="Arial"/>
          <w:lang w:eastAsia="en-GB"/>
        </w:rPr>
        <w:t>behaviour</w:t>
      </w:r>
      <w:r w:rsidRPr="000740C5">
        <w:rPr>
          <w:rFonts w:eastAsia="Times New Roman" w:cs="Arial"/>
          <w:lang w:eastAsia="en-GB"/>
        </w:rPr>
        <w:t xml:space="preserve"> of children and adolescents</w:t>
      </w:r>
      <w:r w:rsidR="00A43123" w:rsidRPr="000740C5">
        <w:rPr>
          <w:rFonts w:eastAsia="Times New Roman" w:cs="Arial"/>
          <w:lang w:eastAsia="en-GB"/>
        </w:rPr>
        <w:t xml:space="preserve"> (Mason and Prior, 2008)</w:t>
      </w:r>
      <w:r w:rsidRPr="000740C5">
        <w:rPr>
          <w:rFonts w:eastAsia="Times New Roman" w:cs="Arial"/>
          <w:lang w:eastAsia="en-GB"/>
        </w:rPr>
        <w:t>.</w:t>
      </w:r>
    </w:p>
    <w:p w14:paraId="7452A589" w14:textId="77777777" w:rsidR="00155054" w:rsidRPr="000740C5" w:rsidRDefault="00155054" w:rsidP="00B42CFD">
      <w:pPr>
        <w:spacing w:after="0" w:line="276" w:lineRule="auto"/>
        <w:jc w:val="both"/>
        <w:rPr>
          <w:rFonts w:eastAsia="Times New Roman" w:cs="Arial"/>
          <w:lang w:eastAsia="en-GB"/>
        </w:rPr>
      </w:pPr>
    </w:p>
    <w:p w14:paraId="10B4BC77" w14:textId="56831CAD" w:rsidR="008C3782" w:rsidRPr="000740C5" w:rsidRDefault="002E3517" w:rsidP="002E3517">
      <w:pPr>
        <w:spacing w:after="0" w:line="276" w:lineRule="auto"/>
        <w:jc w:val="both"/>
        <w:rPr>
          <w:rFonts w:eastAsia="Times New Roman" w:cs="Arial"/>
          <w:lang w:eastAsia="en-GB"/>
        </w:rPr>
      </w:pPr>
      <w:r w:rsidRPr="000740C5">
        <w:rPr>
          <w:rFonts w:eastAsia="Times New Roman" w:cs="Arial"/>
          <w:lang w:eastAsia="en-GB"/>
        </w:rPr>
        <w:t>In conclusion, early intervention programs play a crucial role in supporting at-risk youth by addressing potential developmental, emotional, and educational challenges before they escalate. However, their effectiveness depends on a multitude of factors, including individual backgrounds, socio-economic conditions, and the specific needs of each young person. A one-size-fits-all approach may not yield the desired results, underscoring the importance of tailoring interventions to accommodate diverse circumstances.</w:t>
      </w:r>
      <w:r w:rsidR="00B65409" w:rsidRPr="000740C5">
        <w:rPr>
          <w:rFonts w:eastAsia="Times New Roman" w:cs="Arial"/>
          <w:lang w:eastAsia="en-GB"/>
        </w:rPr>
        <w:t xml:space="preserve"> </w:t>
      </w:r>
      <w:r w:rsidRPr="000740C5">
        <w:rPr>
          <w:rFonts w:eastAsia="Times New Roman" w:cs="Arial"/>
          <w:lang w:eastAsia="en-GB"/>
        </w:rPr>
        <w:t>Moreover, while early intervention strategies like Multisystemic Therapy and Youth Inclusion Programs show promise, they must be complemented by broader systemic support to tackle underlying issues such as poverty and limited access to education and healthcare. The allocation of resources also warrants careful consideration to ensure funding is directed toward solutions that are both effective and sustainable.</w:t>
      </w:r>
      <w:r w:rsidR="00B65409" w:rsidRPr="000740C5">
        <w:rPr>
          <w:rFonts w:eastAsia="Times New Roman" w:cs="Arial"/>
          <w:lang w:eastAsia="en-GB"/>
        </w:rPr>
        <w:t xml:space="preserve"> </w:t>
      </w:r>
      <w:r w:rsidRPr="000740C5">
        <w:rPr>
          <w:rFonts w:eastAsia="Times New Roman" w:cs="Arial"/>
          <w:lang w:eastAsia="en-GB"/>
        </w:rPr>
        <w:t>Ultimately, while early intervention has the potential to substantially reduce youth crime and foster positive development, it is essential to continually adapt these programs to the complexities of modern society. By doing so, we can enhance their effectiveness, ensuring that young individuals have the support they need to thrive and contribute positively to their communities.</w:t>
      </w:r>
    </w:p>
    <w:p w14:paraId="4CCA04F2" w14:textId="77777777" w:rsidR="008C3782" w:rsidRDefault="008C3782" w:rsidP="00B42CFD">
      <w:pPr>
        <w:spacing w:after="0" w:line="276" w:lineRule="auto"/>
        <w:jc w:val="both"/>
        <w:rPr>
          <w:rFonts w:eastAsia="Times New Roman" w:cs="Arial"/>
          <w:lang w:eastAsia="en-GB"/>
        </w:rPr>
      </w:pPr>
    </w:p>
    <w:p w14:paraId="7F54B195" w14:textId="77777777" w:rsidR="00493F5F" w:rsidRDefault="00493F5F" w:rsidP="00B42CFD">
      <w:pPr>
        <w:spacing w:after="0" w:line="276" w:lineRule="auto"/>
        <w:jc w:val="both"/>
        <w:rPr>
          <w:rFonts w:eastAsia="Times New Roman" w:cs="Arial"/>
          <w:lang w:eastAsia="en-GB"/>
        </w:rPr>
      </w:pPr>
    </w:p>
    <w:p w14:paraId="1F978540" w14:textId="77777777" w:rsidR="00493F5F" w:rsidRDefault="00493F5F" w:rsidP="00B42CFD">
      <w:pPr>
        <w:spacing w:after="0" w:line="276" w:lineRule="auto"/>
        <w:jc w:val="both"/>
        <w:rPr>
          <w:rFonts w:eastAsia="Times New Roman" w:cs="Arial"/>
          <w:lang w:eastAsia="en-GB"/>
        </w:rPr>
      </w:pPr>
    </w:p>
    <w:p w14:paraId="28999268" w14:textId="77777777" w:rsidR="00493F5F" w:rsidRDefault="00493F5F" w:rsidP="00B42CFD">
      <w:pPr>
        <w:spacing w:after="0" w:line="276" w:lineRule="auto"/>
        <w:jc w:val="both"/>
        <w:rPr>
          <w:rFonts w:eastAsia="Times New Roman" w:cs="Arial"/>
          <w:lang w:eastAsia="en-GB"/>
        </w:rPr>
      </w:pPr>
    </w:p>
    <w:p w14:paraId="59681BED" w14:textId="77777777" w:rsidR="00493F5F" w:rsidRDefault="00493F5F" w:rsidP="00B42CFD">
      <w:pPr>
        <w:spacing w:after="0" w:line="276" w:lineRule="auto"/>
        <w:jc w:val="both"/>
        <w:rPr>
          <w:rFonts w:eastAsia="Times New Roman" w:cs="Arial"/>
          <w:lang w:eastAsia="en-GB"/>
        </w:rPr>
      </w:pPr>
    </w:p>
    <w:p w14:paraId="61E5AF30" w14:textId="77777777" w:rsidR="00493F5F" w:rsidRDefault="00493F5F" w:rsidP="00B42CFD">
      <w:pPr>
        <w:spacing w:after="0" w:line="276" w:lineRule="auto"/>
        <w:jc w:val="both"/>
        <w:rPr>
          <w:rFonts w:eastAsia="Times New Roman" w:cs="Arial"/>
          <w:lang w:eastAsia="en-GB"/>
        </w:rPr>
      </w:pPr>
    </w:p>
    <w:p w14:paraId="6DE3A06F" w14:textId="77777777" w:rsidR="00493F5F" w:rsidRDefault="00493F5F" w:rsidP="00B42CFD">
      <w:pPr>
        <w:spacing w:after="0" w:line="276" w:lineRule="auto"/>
        <w:jc w:val="both"/>
        <w:rPr>
          <w:rFonts w:eastAsia="Times New Roman" w:cs="Arial"/>
          <w:lang w:eastAsia="en-GB"/>
        </w:rPr>
      </w:pPr>
    </w:p>
    <w:p w14:paraId="0D204585" w14:textId="77777777" w:rsidR="00493F5F" w:rsidRDefault="00493F5F" w:rsidP="00B42CFD">
      <w:pPr>
        <w:spacing w:after="0" w:line="276" w:lineRule="auto"/>
        <w:jc w:val="both"/>
        <w:rPr>
          <w:rFonts w:eastAsia="Times New Roman" w:cs="Arial"/>
          <w:lang w:eastAsia="en-GB"/>
        </w:rPr>
      </w:pPr>
    </w:p>
    <w:p w14:paraId="691C13F6" w14:textId="77777777" w:rsidR="00493F5F" w:rsidRDefault="00493F5F" w:rsidP="00B42CFD">
      <w:pPr>
        <w:spacing w:after="0" w:line="276" w:lineRule="auto"/>
        <w:jc w:val="both"/>
        <w:rPr>
          <w:rFonts w:eastAsia="Times New Roman" w:cs="Arial"/>
          <w:lang w:eastAsia="en-GB"/>
        </w:rPr>
      </w:pPr>
    </w:p>
    <w:p w14:paraId="4DB8EDE5" w14:textId="77777777" w:rsidR="00493F5F" w:rsidRDefault="00493F5F" w:rsidP="00B42CFD">
      <w:pPr>
        <w:spacing w:after="0" w:line="276" w:lineRule="auto"/>
        <w:jc w:val="both"/>
        <w:rPr>
          <w:rFonts w:eastAsia="Times New Roman" w:cs="Arial"/>
          <w:lang w:eastAsia="en-GB"/>
        </w:rPr>
      </w:pPr>
    </w:p>
    <w:p w14:paraId="5ED714E2" w14:textId="77777777" w:rsidR="00493F5F" w:rsidRDefault="00493F5F" w:rsidP="00B42CFD">
      <w:pPr>
        <w:spacing w:after="0" w:line="276" w:lineRule="auto"/>
        <w:jc w:val="both"/>
        <w:rPr>
          <w:rFonts w:eastAsia="Times New Roman" w:cs="Arial"/>
          <w:lang w:eastAsia="en-GB"/>
        </w:rPr>
      </w:pPr>
    </w:p>
    <w:p w14:paraId="18EA47B9" w14:textId="77777777" w:rsidR="00493F5F" w:rsidRDefault="00493F5F" w:rsidP="00B42CFD">
      <w:pPr>
        <w:spacing w:after="0" w:line="276" w:lineRule="auto"/>
        <w:jc w:val="both"/>
        <w:rPr>
          <w:rFonts w:eastAsia="Times New Roman" w:cs="Arial"/>
          <w:lang w:eastAsia="en-GB"/>
        </w:rPr>
      </w:pPr>
    </w:p>
    <w:p w14:paraId="79EFF296" w14:textId="77777777" w:rsidR="00493F5F" w:rsidRPr="000740C5" w:rsidRDefault="00493F5F" w:rsidP="00B42CFD">
      <w:pPr>
        <w:spacing w:after="0" w:line="276" w:lineRule="auto"/>
        <w:jc w:val="both"/>
        <w:rPr>
          <w:rFonts w:eastAsia="Times New Roman" w:cs="Arial"/>
          <w:lang w:eastAsia="en-GB"/>
        </w:rPr>
      </w:pPr>
    </w:p>
    <w:p w14:paraId="499EF7C4" w14:textId="77777777" w:rsidR="00BE6A74" w:rsidRPr="000740C5" w:rsidRDefault="00BE6A74" w:rsidP="00B42CFD">
      <w:pPr>
        <w:spacing w:after="0" w:line="276" w:lineRule="auto"/>
        <w:jc w:val="both"/>
        <w:rPr>
          <w:rFonts w:eastAsia="Times New Roman" w:cs="Arial"/>
          <w:lang w:eastAsia="en-GB"/>
        </w:rPr>
      </w:pPr>
    </w:p>
    <w:p w14:paraId="729406B2" w14:textId="17B8199F" w:rsidR="00BE6A74" w:rsidRPr="000740C5" w:rsidRDefault="00BE6A74" w:rsidP="00B42CFD">
      <w:pPr>
        <w:pStyle w:val="ListParagraph"/>
        <w:numPr>
          <w:ilvl w:val="0"/>
          <w:numId w:val="2"/>
        </w:numPr>
        <w:overflowPunct w:val="0"/>
        <w:autoSpaceDE w:val="0"/>
        <w:autoSpaceDN w:val="0"/>
        <w:adjustRightInd w:val="0"/>
        <w:spacing w:after="0" w:line="276" w:lineRule="auto"/>
        <w:ind w:left="0"/>
        <w:jc w:val="both"/>
        <w:textAlignment w:val="baseline"/>
        <w:rPr>
          <w:rFonts w:eastAsia="Times New Roman" w:cs="Arial"/>
          <w:lang w:eastAsia="en-GB"/>
        </w:rPr>
      </w:pPr>
      <w:r w:rsidRPr="000740C5">
        <w:rPr>
          <w:rFonts w:eastAsia="Times New Roman" w:cs="Arial"/>
          <w:b/>
          <w:bCs/>
          <w:lang w:eastAsia="en-GB"/>
        </w:rPr>
        <w:lastRenderedPageBreak/>
        <w:t xml:space="preserve"> Valuing Difference &amp; Inclusion</w:t>
      </w:r>
    </w:p>
    <w:p w14:paraId="37184845" w14:textId="72B8D0B1" w:rsidR="004F19B3" w:rsidRPr="000740C5" w:rsidRDefault="00BE6A74" w:rsidP="00B42CFD">
      <w:pPr>
        <w:overflowPunct w:val="0"/>
        <w:autoSpaceDE w:val="0"/>
        <w:autoSpaceDN w:val="0"/>
        <w:adjustRightInd w:val="0"/>
        <w:spacing w:after="0" w:line="276" w:lineRule="auto"/>
        <w:jc w:val="both"/>
        <w:textAlignment w:val="baseline"/>
        <w:rPr>
          <w:rFonts w:eastAsia="Times New Roman" w:cs="Arial"/>
          <w:lang w:eastAsia="en-GB"/>
        </w:rPr>
      </w:pPr>
      <w:r w:rsidRPr="000740C5">
        <w:rPr>
          <w:rFonts w:eastAsia="Times New Roman" w:cs="Arial"/>
          <w:lang w:eastAsia="en-GB"/>
        </w:rPr>
        <w:t>How effectively has policing adapted to accommodate diversity within the UK?</w:t>
      </w:r>
    </w:p>
    <w:p w14:paraId="14DD475D" w14:textId="77777777" w:rsidR="00BE6A74" w:rsidRPr="000740C5" w:rsidRDefault="00BE6A74" w:rsidP="00B42CFD">
      <w:pPr>
        <w:overflowPunct w:val="0"/>
        <w:autoSpaceDE w:val="0"/>
        <w:autoSpaceDN w:val="0"/>
        <w:adjustRightInd w:val="0"/>
        <w:spacing w:after="0" w:line="276" w:lineRule="auto"/>
        <w:jc w:val="both"/>
        <w:textAlignment w:val="baseline"/>
        <w:rPr>
          <w:rFonts w:eastAsia="Times New Roman" w:cs="Arial"/>
          <w:lang w:eastAsia="en-GB"/>
        </w:rPr>
      </w:pPr>
      <w:r w:rsidRPr="000740C5">
        <w:rPr>
          <w:rFonts w:eastAsia="Times New Roman" w:cs="Arial"/>
          <w:lang w:eastAsia="en-GB"/>
        </w:rPr>
        <w:t>Consider the police force itself and/or the way police engage with diverse communities.</w:t>
      </w:r>
    </w:p>
    <w:p w14:paraId="08077A2E" w14:textId="77777777" w:rsidR="00BE6A74" w:rsidRPr="000740C5" w:rsidRDefault="00BE6A74" w:rsidP="00B42CFD">
      <w:pPr>
        <w:overflowPunct w:val="0"/>
        <w:autoSpaceDE w:val="0"/>
        <w:autoSpaceDN w:val="0"/>
        <w:adjustRightInd w:val="0"/>
        <w:spacing w:after="0" w:line="276" w:lineRule="auto"/>
        <w:jc w:val="both"/>
        <w:textAlignment w:val="baseline"/>
        <w:rPr>
          <w:rFonts w:eastAsia="Times New Roman" w:cs="Arial"/>
          <w:lang w:eastAsia="en-GB"/>
        </w:rPr>
      </w:pPr>
      <w:r w:rsidRPr="000740C5">
        <w:rPr>
          <w:rFonts w:eastAsia="Times New Roman" w:cs="Arial"/>
          <w:lang w:eastAsia="en-GB"/>
        </w:rPr>
        <w:t>Support your answer with relevant evidence drawn from academic sources.</w:t>
      </w:r>
    </w:p>
    <w:p w14:paraId="21E6DD73" w14:textId="77777777" w:rsidR="00BE6A74" w:rsidRPr="000740C5" w:rsidRDefault="00BE6A74" w:rsidP="00B42CFD">
      <w:pPr>
        <w:spacing w:after="0" w:line="276" w:lineRule="auto"/>
        <w:jc w:val="both"/>
        <w:rPr>
          <w:rFonts w:eastAsia="Times New Roman" w:cs="Arial"/>
          <w:lang w:eastAsia="en-GB"/>
        </w:rPr>
      </w:pPr>
      <w:r w:rsidRPr="000740C5">
        <w:rPr>
          <w:rFonts w:eastAsia="Times New Roman" w:cs="Arial"/>
          <w:b/>
          <w:bCs/>
          <w:lang w:eastAsia="en-GB"/>
        </w:rPr>
        <w:t xml:space="preserve">Word limit: </w:t>
      </w:r>
      <w:r w:rsidRPr="000740C5">
        <w:rPr>
          <w:rFonts w:eastAsia="Times New Roman" w:cs="Arial"/>
          <w:lang w:eastAsia="en-GB"/>
        </w:rPr>
        <w:t>1000 words.</w:t>
      </w:r>
    </w:p>
    <w:p w14:paraId="24700C19" w14:textId="77777777" w:rsidR="00E879B6" w:rsidRPr="000740C5" w:rsidRDefault="00E879B6" w:rsidP="00B42CFD">
      <w:pPr>
        <w:jc w:val="both"/>
      </w:pPr>
    </w:p>
    <w:p w14:paraId="584EA68B" w14:textId="6367BCA1" w:rsidR="006455F0" w:rsidRPr="000740C5" w:rsidRDefault="006455F0" w:rsidP="00B42CFD">
      <w:pPr>
        <w:jc w:val="both"/>
      </w:pPr>
      <w:bookmarkStart w:id="4" w:name="_Hlk194588137"/>
      <w:r w:rsidRPr="000740C5">
        <w:t>This paper will explore the intricate relationship between diversity and policing in the UK. It will begin by analysing the current demographic trends and their implications for law enforcement practices. Following this, it will examine case studies that highlight successful community policing initiatives that have embraced diversity. The paper will also consider the challenges faced by police forces in adapting to diverse populations before concluding with recommendations for future policies and practices aimed at fostering inclusive and effective policing. By addressing these aspects, the paper aims to underscore the necessity for a nuanced understanding of diversity within the policing framework in the UK.</w:t>
      </w:r>
    </w:p>
    <w:p w14:paraId="5A392749" w14:textId="7DEC2667" w:rsidR="00E067F8" w:rsidRPr="000740C5" w:rsidRDefault="00F37D76" w:rsidP="00F37D76">
      <w:pPr>
        <w:jc w:val="both"/>
      </w:pPr>
      <w:r w:rsidRPr="000740C5">
        <w:t xml:space="preserve">The United Kingdom is a diverse society </w:t>
      </w:r>
      <w:r w:rsidR="00D122F5" w:rsidRPr="000740C5">
        <w:t>of</w:t>
      </w:r>
      <w:r w:rsidRPr="000740C5">
        <w:t xml:space="preserve"> </w:t>
      </w:r>
      <w:r w:rsidR="00D122F5" w:rsidRPr="000740C5">
        <w:t>various</w:t>
      </w:r>
      <w:r w:rsidRPr="000740C5">
        <w:t xml:space="preserve"> ethnicities, cultures, languages, and religions. This diversity has been shaped over centuries through historical events such as immigration, colonialism, and globalization. The UK is home to various communities, each contributing to the </w:t>
      </w:r>
      <w:r w:rsidR="00D122F5" w:rsidRPr="000740C5">
        <w:t>nation's social fabric and cultural landscape</w:t>
      </w:r>
      <w:r w:rsidRPr="000740C5">
        <w:t xml:space="preserve">. As such, understanding diversity is essential </w:t>
      </w:r>
      <w:r w:rsidR="00D122F5" w:rsidRPr="000740C5">
        <w:t>for social cohesion and</w:t>
      </w:r>
      <w:r w:rsidRPr="000740C5">
        <w:t xml:space="preserve"> fostering mutual respect and inclusivity within society.</w:t>
      </w:r>
      <w:r w:rsidR="001975AC" w:rsidRPr="000740C5">
        <w:t xml:space="preserve"> </w:t>
      </w:r>
      <w:r w:rsidR="00267D53" w:rsidRPr="000740C5">
        <w:t xml:space="preserve">There are </w:t>
      </w:r>
      <w:r w:rsidR="007E6032" w:rsidRPr="000740C5">
        <w:t xml:space="preserve">nine protected characteristics that come under the </w:t>
      </w:r>
      <w:r w:rsidR="00505E3C">
        <w:t xml:space="preserve">Equality Act (2010): age, sex, gender reassignment, sexuality, sexual orientation, race, religion, marriage or civil partnership, disability, and </w:t>
      </w:r>
      <w:r w:rsidR="0096533E" w:rsidRPr="000740C5">
        <w:t>pregnanc</w:t>
      </w:r>
      <w:r w:rsidR="00CD0D2C" w:rsidRPr="000740C5">
        <w:t>y</w:t>
      </w:r>
      <w:r w:rsidR="00E23182" w:rsidRPr="000740C5">
        <w:t xml:space="preserve">. </w:t>
      </w:r>
      <w:r w:rsidR="00BC6C47" w:rsidRPr="000740C5">
        <w:t xml:space="preserve">By law the police are required to accommodate </w:t>
      </w:r>
      <w:r w:rsidR="00A1683F" w:rsidRPr="000740C5">
        <w:t>diversity within the UK.</w:t>
      </w:r>
    </w:p>
    <w:p w14:paraId="12DC00C7" w14:textId="4F9A32BF" w:rsidR="009D274C" w:rsidRPr="000740C5" w:rsidRDefault="00F37D76" w:rsidP="00F37D76">
      <w:pPr>
        <w:jc w:val="both"/>
      </w:pPr>
      <w:r w:rsidRPr="000740C5">
        <w:t>Effective policing requires a deep understanding of the communities they serve</w:t>
      </w:r>
      <w:r w:rsidR="00505E3C">
        <w:t>; the importance of adhering</w:t>
      </w:r>
      <w:r w:rsidR="008845D3" w:rsidRPr="000740C5">
        <w:t xml:space="preserve"> to </w:t>
      </w:r>
      <w:r w:rsidR="001E7BA8" w:rsidRPr="000740C5">
        <w:t>individual needs within the community is an important part of inclusion</w:t>
      </w:r>
      <w:r w:rsidR="0099660C" w:rsidRPr="000740C5">
        <w:t xml:space="preserve"> and</w:t>
      </w:r>
      <w:r w:rsidR="00E23182" w:rsidRPr="000740C5">
        <w:t xml:space="preserve"> how the police engage with the community.</w:t>
      </w:r>
      <w:r w:rsidRPr="000740C5">
        <w:t xml:space="preserve"> As the demographic landscape of the UK evolves, so too must law enforcement practices. Police forces are increasingly called upon to engage with </w:t>
      </w:r>
      <w:r w:rsidR="00D122F5" w:rsidRPr="000740C5">
        <w:t>various</w:t>
      </w:r>
      <w:r w:rsidRPr="000740C5">
        <w:t xml:space="preserve"> cultural norms, values, and expectations. Adapting policing strategies to reflect this diversity is crucial for building trust and maintaining public safety. Responsive policing can help mitigate issues such as racial profiling, discrimination, and community unrest while promoting greater cooperation between law enforcement and the communities they aim to protect.</w:t>
      </w:r>
    </w:p>
    <w:p w14:paraId="4180E4E4" w14:textId="77B3CF5E" w:rsidR="009D274C" w:rsidRPr="000740C5" w:rsidRDefault="00F6775F" w:rsidP="00A404EB">
      <w:pPr>
        <w:jc w:val="both"/>
      </w:pPr>
      <w:r w:rsidRPr="000740C5">
        <w:t>Cohen</w:t>
      </w:r>
      <w:r w:rsidR="00D511AC" w:rsidRPr="000740C5">
        <w:t>’s</w:t>
      </w:r>
      <w:r w:rsidRPr="000740C5">
        <w:t xml:space="preserve"> (1955) </w:t>
      </w:r>
      <w:r w:rsidR="00D511AC" w:rsidRPr="000740C5">
        <w:t xml:space="preserve">Subcultural theory states that deviance and delinquency </w:t>
      </w:r>
      <w:r w:rsidR="005A52FA" w:rsidRPr="000740C5">
        <w:t>are a result of</w:t>
      </w:r>
      <w:r w:rsidR="00FB6841" w:rsidRPr="000740C5">
        <w:t xml:space="preserve"> the creation of subcultures. Subcultures are a part of a diverse society and </w:t>
      </w:r>
      <w:r w:rsidR="005A52FA" w:rsidRPr="000740C5">
        <w:t xml:space="preserve">are </w:t>
      </w:r>
      <w:r w:rsidR="00FB6841" w:rsidRPr="000740C5">
        <w:t>important to acknowle</w:t>
      </w:r>
      <w:r w:rsidR="00300A8D" w:rsidRPr="000740C5">
        <w:t>dge from a policing perspective.</w:t>
      </w:r>
      <w:r w:rsidR="005A52FA" w:rsidRPr="000740C5">
        <w:t xml:space="preserve"> </w:t>
      </w:r>
      <w:r w:rsidR="001F09B5" w:rsidRPr="000740C5">
        <w:t xml:space="preserve">Policing has changed over time to be more inclusive, such as </w:t>
      </w:r>
      <w:r w:rsidR="006F47C9" w:rsidRPr="000740C5">
        <w:t xml:space="preserve">British policewomen were </w:t>
      </w:r>
      <w:r w:rsidR="00712C7B" w:rsidRPr="000740C5">
        <w:t xml:space="preserve">first </w:t>
      </w:r>
      <w:r w:rsidR="006F47C9" w:rsidRPr="000740C5">
        <w:t>appointed in 1914.</w:t>
      </w:r>
      <w:r w:rsidR="00E52B55" w:rsidRPr="000740C5">
        <w:t xml:space="preserve"> </w:t>
      </w:r>
      <w:r w:rsidR="005A52FA" w:rsidRPr="00DB3087">
        <w:t>Etaugh, C. (2016)</w:t>
      </w:r>
      <w:r w:rsidR="005A52FA" w:rsidRPr="000740C5">
        <w:t xml:space="preserve"> </w:t>
      </w:r>
      <w:r w:rsidR="00F22C34" w:rsidRPr="000740C5">
        <w:t xml:space="preserve">advises that females are more </w:t>
      </w:r>
      <w:r w:rsidR="005A52FA" w:rsidRPr="000740C5">
        <w:t>affected by social context factors; however, they</w:t>
      </w:r>
      <w:r w:rsidR="00B62BF1" w:rsidRPr="000740C5">
        <w:t xml:space="preserve"> also have a higher threshold of resilience. </w:t>
      </w:r>
      <w:r w:rsidR="006F47C9" w:rsidRPr="000740C5">
        <w:t xml:space="preserve"> </w:t>
      </w:r>
      <w:r w:rsidR="00BC12FB" w:rsidRPr="000740C5">
        <w:t xml:space="preserve">‘Ideal victim’ is also a gendered issue where </w:t>
      </w:r>
      <w:r w:rsidR="00DA120A" w:rsidRPr="000740C5">
        <w:t xml:space="preserve">women are more likely to be dealt with positively if they fit a stereotype. </w:t>
      </w:r>
      <w:r w:rsidR="006F47C9" w:rsidRPr="000740C5">
        <w:t>The Police and Criminal Evidence Act of 1984 changed how arrests and interrogations were handled</w:t>
      </w:r>
      <w:r w:rsidR="00D716D0" w:rsidRPr="000740C5">
        <w:t xml:space="preserve"> based on the Brixton </w:t>
      </w:r>
      <w:r w:rsidR="00E8321D" w:rsidRPr="000740C5">
        <w:t xml:space="preserve">riots and the cultural impact this had on the community </w:t>
      </w:r>
      <w:r w:rsidR="007A5C14" w:rsidRPr="000740C5">
        <w:t>(Academia.edu, 2025).</w:t>
      </w:r>
    </w:p>
    <w:p w14:paraId="39F27E5E" w14:textId="4DED1F7F" w:rsidR="00F450AB" w:rsidRDefault="00F450AB" w:rsidP="00F450AB">
      <w:pPr>
        <w:jc w:val="both"/>
      </w:pPr>
      <w:r w:rsidRPr="000740C5">
        <w:t xml:space="preserve">Diversity stands as a primary strategic focus for us, particularly underscored by the Black Lives Matter movement and the tragic death of </w:t>
      </w:r>
      <w:r w:rsidR="00A90C1A" w:rsidRPr="000740C5">
        <w:t xml:space="preserve">Stephen </w:t>
      </w:r>
      <w:r w:rsidR="00623D32" w:rsidRPr="000740C5">
        <w:t>Lawrence.</w:t>
      </w:r>
      <w:r w:rsidRPr="000740C5">
        <w:t xml:space="preserve"> It is crucial to confront the injustices experienced by ethnic minorities, and improvements in policing practices are necessary. As </w:t>
      </w:r>
      <w:r w:rsidR="00C73B05" w:rsidRPr="000740C5">
        <w:t>a</w:t>
      </w:r>
      <w:r w:rsidRPr="000740C5">
        <w:t xml:space="preserve"> professional organization for the service, we strive to set an example by fostering equality and diversity in both our work and our workforce. To deepen our understanding of professional needs, we are creating connections with police members through secondments</w:t>
      </w:r>
      <w:r w:rsidR="00691638" w:rsidRPr="000740C5">
        <w:t xml:space="preserve"> (College of Policing, 2021)</w:t>
      </w:r>
      <w:r w:rsidRPr="000740C5">
        <w:t>.</w:t>
      </w:r>
      <w:r w:rsidR="00BF375B" w:rsidRPr="000740C5">
        <w:t xml:space="preserve"> </w:t>
      </w:r>
      <w:r w:rsidR="005262F4" w:rsidRPr="000740C5">
        <w:t xml:space="preserve">Even </w:t>
      </w:r>
      <w:r w:rsidR="005A52FA" w:rsidRPr="000740C5">
        <w:t>wider-reaching reforms such as The Wolfe Report</w:t>
      </w:r>
      <w:r w:rsidR="006A4DD0" w:rsidRPr="000740C5">
        <w:t xml:space="preserve"> has </w:t>
      </w:r>
      <w:proofErr w:type="gramStart"/>
      <w:r w:rsidR="006A4DD0" w:rsidRPr="000740C5">
        <w:t>had an effect on</w:t>
      </w:r>
      <w:proofErr w:type="gramEnd"/>
      <w:r w:rsidR="006A4DD0" w:rsidRPr="000740C5">
        <w:t xml:space="preserve"> </w:t>
      </w:r>
      <w:r w:rsidR="00DD0707" w:rsidRPr="000740C5">
        <w:t xml:space="preserve">how the criminal justice system has adapted </w:t>
      </w:r>
      <w:r w:rsidR="00326AF6" w:rsidRPr="000740C5">
        <w:t>to diversity and inclusion.</w:t>
      </w:r>
    </w:p>
    <w:p w14:paraId="358398D1" w14:textId="71DEDC35" w:rsidR="00C95380" w:rsidRPr="000740C5" w:rsidRDefault="00972247" w:rsidP="00F450AB">
      <w:pPr>
        <w:jc w:val="both"/>
      </w:pPr>
      <w:r>
        <w:t>Policing in the UK has made significant strides in adapting to diversity, particularly in recruitment practices. Over the years, the police force has actively worked to reflect the diverse communities it serves. This includes campaigns aimed at attracting candidates from various ethnic, cultural, and social backgrounds, with the goal of creating a workforce that better represents society. The introduction of positive action measures, such as outreach programs targeting underrepresented groups, has been key to these efforts. However, challenges remain in achieving full representation, and ongoing work is needed to address issues related to the retention and progression of diverse officers (Home Office, 2022).</w:t>
      </w:r>
    </w:p>
    <w:p w14:paraId="279392B8" w14:textId="6E550455" w:rsidR="009D274C" w:rsidRPr="000740C5" w:rsidRDefault="00F450AB" w:rsidP="00F450AB">
      <w:pPr>
        <w:jc w:val="both"/>
      </w:pPr>
      <w:r w:rsidRPr="000740C5">
        <w:lastRenderedPageBreak/>
        <w:t xml:space="preserve">Within </w:t>
      </w:r>
      <w:r w:rsidR="00BF375B" w:rsidRPr="000740C5">
        <w:t>the police</w:t>
      </w:r>
      <w:r w:rsidRPr="000740C5">
        <w:t xml:space="preserve"> organi</w:t>
      </w:r>
      <w:r w:rsidR="00972247">
        <w:t>s</w:t>
      </w:r>
      <w:r w:rsidRPr="000740C5">
        <w:t xml:space="preserve">ation, </w:t>
      </w:r>
      <w:r w:rsidR="00BF375B" w:rsidRPr="000740C5">
        <w:t>they</w:t>
      </w:r>
      <w:r w:rsidRPr="000740C5">
        <w:t xml:space="preserve"> have launched staff </w:t>
      </w:r>
      <w:proofErr w:type="gramStart"/>
      <w:r w:rsidRPr="000740C5">
        <w:t>networks</w:t>
      </w:r>
      <w:proofErr w:type="gramEnd"/>
      <w:r w:rsidRPr="000740C5">
        <w:t xml:space="preserve"> and an inclusion program aimed at integrating diversity into our culture. However, feedback suggests that our efforts need to better resonate with lived experiences. This strategy prioritizes our workforce while extending to broader Diversity, Equality, and Inclusion (DEI) initiatives within the profession. </w:t>
      </w:r>
      <w:r w:rsidR="0015765C" w:rsidRPr="000740C5">
        <w:t xml:space="preserve">Equity is also </w:t>
      </w:r>
      <w:r w:rsidR="00CF152C" w:rsidRPr="000740C5">
        <w:t>increasing</w:t>
      </w:r>
      <w:r w:rsidR="002A43F8" w:rsidRPr="000740C5">
        <w:t xml:space="preserve"> in this field to be more inclusively needs based to the community. </w:t>
      </w:r>
      <w:r w:rsidRPr="000740C5">
        <w:t>We are partnering with stakeholders to apply evidence-based practices and evaluate the real impact of our work rather than merely ensuring compliance. The Chief Executive and the Senior Management Team are dedicated to championing this initiative, highlighting our collective responsibility to advance our strategy</w:t>
      </w:r>
      <w:r w:rsidR="00C73B05" w:rsidRPr="000740C5">
        <w:t xml:space="preserve"> (College of Policing, 2021)</w:t>
      </w:r>
      <w:r w:rsidRPr="000740C5">
        <w:t>.</w:t>
      </w:r>
    </w:p>
    <w:p w14:paraId="5B93E995" w14:textId="55890135" w:rsidR="00313700" w:rsidRPr="000740C5" w:rsidRDefault="00313700" w:rsidP="00313700">
      <w:pPr>
        <w:jc w:val="both"/>
      </w:pPr>
      <w:r w:rsidRPr="000740C5">
        <w:t>In conclusion, the interplay between diversity and policing in the United Kingdom is both complex and vital for fostering a truly inclusive society. As the demographic landscape continues to evolve, law enforcement agencies must not only acknowledge this diversity but actively engage with it to build trust within communities. The case studies and initiatives explored throughout the paper demonstrate that effective, responsive policing can lead to successful outcomes, enhancing public safety and community relations. However, challenges remain in fully integrating diverse perspectives within law enforcement practices. The commitment to diversity, equality, and inclusion should be reflected in every aspect of policing, from recruitment to community engagement.</w:t>
      </w:r>
      <w:r w:rsidR="00F71085" w:rsidRPr="000740C5">
        <w:t xml:space="preserve"> </w:t>
      </w:r>
      <w:r w:rsidRPr="000740C5">
        <w:t>To move forward, the recommendations for enhanced policies and practices must emphasize collaboration with community members, continuous evaluation of initiatives, and a genuine commitment to addressing the unique challenges faced by minority groups. By prioritizing these efforts, the policing framework in the UK can evolve into a more inclusive and effective entity that not only serves its communities but truly embodies the ideals of justice and equality for all.</w:t>
      </w:r>
    </w:p>
    <w:p w14:paraId="35D116C5" w14:textId="77777777" w:rsidR="009D274C" w:rsidRPr="000740C5" w:rsidRDefault="009D274C" w:rsidP="00313700">
      <w:pPr>
        <w:jc w:val="both"/>
      </w:pPr>
    </w:p>
    <w:p w14:paraId="485C551F" w14:textId="77777777" w:rsidR="007F1EE4" w:rsidRPr="000740C5" w:rsidRDefault="007F1EE4" w:rsidP="00313700">
      <w:pPr>
        <w:jc w:val="both"/>
      </w:pPr>
    </w:p>
    <w:bookmarkEnd w:id="4"/>
    <w:p w14:paraId="6ED63F01" w14:textId="77777777" w:rsidR="007F1EE4" w:rsidRDefault="007F1EE4" w:rsidP="00313700">
      <w:pPr>
        <w:jc w:val="both"/>
      </w:pPr>
    </w:p>
    <w:p w14:paraId="47468186" w14:textId="77777777" w:rsidR="008C6488" w:rsidRDefault="008C6488" w:rsidP="00313700">
      <w:pPr>
        <w:jc w:val="both"/>
      </w:pPr>
    </w:p>
    <w:p w14:paraId="1A3793AF" w14:textId="77777777" w:rsidR="008C6488" w:rsidRDefault="008C6488" w:rsidP="00313700">
      <w:pPr>
        <w:jc w:val="both"/>
      </w:pPr>
    </w:p>
    <w:p w14:paraId="0A92BC80" w14:textId="77777777" w:rsidR="008C6488" w:rsidRDefault="008C6488" w:rsidP="00313700">
      <w:pPr>
        <w:jc w:val="both"/>
      </w:pPr>
    </w:p>
    <w:p w14:paraId="17C9DA83" w14:textId="77777777" w:rsidR="008C6488" w:rsidRDefault="008C6488" w:rsidP="00313700">
      <w:pPr>
        <w:jc w:val="both"/>
      </w:pPr>
    </w:p>
    <w:p w14:paraId="1CEE5C6F" w14:textId="77777777" w:rsidR="008C6488" w:rsidRDefault="008C6488" w:rsidP="00313700">
      <w:pPr>
        <w:jc w:val="both"/>
      </w:pPr>
    </w:p>
    <w:p w14:paraId="28663A66" w14:textId="77777777" w:rsidR="008C6488" w:rsidRDefault="008C6488" w:rsidP="00313700">
      <w:pPr>
        <w:jc w:val="both"/>
      </w:pPr>
    </w:p>
    <w:p w14:paraId="178092C4" w14:textId="77777777" w:rsidR="008C6488" w:rsidRDefault="008C6488" w:rsidP="00313700">
      <w:pPr>
        <w:jc w:val="both"/>
      </w:pPr>
    </w:p>
    <w:p w14:paraId="0520192A" w14:textId="77777777" w:rsidR="008C6488" w:rsidRDefault="008C6488" w:rsidP="00313700">
      <w:pPr>
        <w:jc w:val="both"/>
      </w:pPr>
    </w:p>
    <w:p w14:paraId="21A2AE06" w14:textId="77777777" w:rsidR="008C6488" w:rsidRDefault="008C6488" w:rsidP="00313700">
      <w:pPr>
        <w:jc w:val="both"/>
      </w:pPr>
    </w:p>
    <w:p w14:paraId="4BE89014" w14:textId="77777777" w:rsidR="008C6488" w:rsidRDefault="008C6488" w:rsidP="00313700">
      <w:pPr>
        <w:jc w:val="both"/>
      </w:pPr>
    </w:p>
    <w:p w14:paraId="064DBE59" w14:textId="77777777" w:rsidR="008C6488" w:rsidRDefault="008C6488" w:rsidP="00313700">
      <w:pPr>
        <w:jc w:val="both"/>
      </w:pPr>
    </w:p>
    <w:p w14:paraId="68B2279D" w14:textId="77777777" w:rsidR="008C6488" w:rsidRDefault="008C6488" w:rsidP="00313700">
      <w:pPr>
        <w:jc w:val="both"/>
      </w:pPr>
    </w:p>
    <w:p w14:paraId="35503402" w14:textId="77777777" w:rsidR="008C6488" w:rsidRDefault="008C6488" w:rsidP="00313700">
      <w:pPr>
        <w:jc w:val="both"/>
      </w:pPr>
    </w:p>
    <w:p w14:paraId="3F747F29" w14:textId="77777777" w:rsidR="008C6488" w:rsidRDefault="008C6488" w:rsidP="00313700">
      <w:pPr>
        <w:jc w:val="both"/>
      </w:pPr>
    </w:p>
    <w:p w14:paraId="57B8FE12" w14:textId="77777777" w:rsidR="008C6488" w:rsidRDefault="008C6488" w:rsidP="00313700">
      <w:pPr>
        <w:jc w:val="both"/>
      </w:pPr>
    </w:p>
    <w:p w14:paraId="3795FF26" w14:textId="77777777" w:rsidR="008C6488" w:rsidRDefault="008C6488" w:rsidP="00313700">
      <w:pPr>
        <w:jc w:val="both"/>
      </w:pPr>
    </w:p>
    <w:p w14:paraId="52645A71" w14:textId="77777777" w:rsidR="008C6488" w:rsidRDefault="008C6488" w:rsidP="00313700">
      <w:pPr>
        <w:jc w:val="both"/>
      </w:pPr>
    </w:p>
    <w:p w14:paraId="565E21B9" w14:textId="77777777" w:rsidR="008C6488" w:rsidRPr="000740C5" w:rsidRDefault="008C6488" w:rsidP="00313700">
      <w:pPr>
        <w:jc w:val="both"/>
      </w:pPr>
    </w:p>
    <w:p w14:paraId="6D7A3D8E" w14:textId="40122311" w:rsidR="0062611E" w:rsidRPr="000740C5" w:rsidRDefault="00E65D3E" w:rsidP="00C504EE">
      <w:r w:rsidRPr="000740C5">
        <w:lastRenderedPageBreak/>
        <w:t>Reference</w:t>
      </w:r>
    </w:p>
    <w:p w14:paraId="209E784E" w14:textId="77777777" w:rsidR="002943FA" w:rsidRPr="000740C5" w:rsidRDefault="002943FA" w:rsidP="00C504EE">
      <w:r w:rsidRPr="000740C5">
        <w:t>Academia.edu. (2025). </w:t>
      </w:r>
      <w:r w:rsidRPr="000740C5">
        <w:rPr>
          <w:i/>
          <w:iCs/>
        </w:rPr>
        <w:t>Academia.edu - Find Research Papers, Topics, Researchers</w:t>
      </w:r>
      <w:r w:rsidRPr="000740C5">
        <w:t>. [online] Available at: https://www.academia.edu/?h=10896922 [Accessed 3 Mar. 2025].</w:t>
      </w:r>
    </w:p>
    <w:p w14:paraId="20FEDA8A" w14:textId="6F2824D2" w:rsidR="009F3508" w:rsidRPr="000740C5" w:rsidRDefault="002943FA" w:rsidP="00C504EE">
      <w:r w:rsidRPr="000740C5">
        <w:t>‌</w:t>
      </w:r>
      <w:r w:rsidR="009F3508" w:rsidRPr="000740C5">
        <w:t>Allchild.org. (2023). </w:t>
      </w:r>
      <w:r w:rsidR="009F3508" w:rsidRPr="000740C5">
        <w:rPr>
          <w:i/>
          <w:iCs/>
        </w:rPr>
        <w:t>AllChild</w:t>
      </w:r>
      <w:r w:rsidR="009F3508" w:rsidRPr="000740C5">
        <w:t>. [online] Available at: https://www.allchild.org/resource/childrens-social-care-and-early-intervention---whats-the-evidence [Accessed 3 Mar. 2025].</w:t>
      </w:r>
    </w:p>
    <w:p w14:paraId="365558F5" w14:textId="177FE848" w:rsidR="002E31D3" w:rsidRPr="000740C5" w:rsidRDefault="002E31D3" w:rsidP="00C504EE">
      <w:r w:rsidRPr="000740C5">
        <w:t>Alleyne, E. and Wood, J.L. (2010). Gang involvement: psychological and behavioral characteristics of gang members, peripheral youth, and nongang Youth. </w:t>
      </w:r>
      <w:r w:rsidRPr="000740C5">
        <w:rPr>
          <w:i/>
          <w:iCs/>
        </w:rPr>
        <w:t>Aggressive Behavior</w:t>
      </w:r>
      <w:r w:rsidRPr="000740C5">
        <w:t>, [online] 36(6), pp.423–436. doi:https://doi.org/10.1002/ab.20360.</w:t>
      </w:r>
    </w:p>
    <w:p w14:paraId="6D1519C6" w14:textId="032109BD" w:rsidR="00600470" w:rsidRPr="000740C5" w:rsidRDefault="002E31D3" w:rsidP="00C504EE">
      <w:r w:rsidRPr="000740C5">
        <w:t>‌</w:t>
      </w:r>
      <w:r w:rsidR="006731C6" w:rsidRPr="000740C5">
        <w:t>Biswas, S. (2023). A review of socio-economic vulnerability: The emergence of its theoretical concepts, models and methodologies. doi:https://doi.org/10.1016/j.nhres.2023.05.005.</w:t>
      </w:r>
    </w:p>
    <w:p w14:paraId="431F37DD" w14:textId="2EBBB860" w:rsidR="00422783" w:rsidRPr="000740C5" w:rsidRDefault="00422783" w:rsidP="00C504EE">
      <w:r w:rsidRPr="00422783">
        <w:t>Britannica (2016). Strain theory. In: </w:t>
      </w:r>
      <w:r w:rsidRPr="00422783">
        <w:rPr>
          <w:i/>
          <w:iCs/>
        </w:rPr>
        <w:t>Encyclopædia Britannica</w:t>
      </w:r>
      <w:r w:rsidRPr="00422783">
        <w:t>. [online] Available at: https://www.britannica.com/topic/strain-theory-sociology.</w:t>
      </w:r>
    </w:p>
    <w:p w14:paraId="6990B81E" w14:textId="08239BA2" w:rsidR="00A21C40" w:rsidRPr="000740C5" w:rsidRDefault="00A21C40" w:rsidP="00A21C40">
      <w:r w:rsidRPr="000740C5">
        <w:t>College of Policing (2013). </w:t>
      </w:r>
      <w:r w:rsidRPr="000740C5">
        <w:rPr>
          <w:i/>
          <w:iCs/>
        </w:rPr>
        <w:t>National Decision Model</w:t>
      </w:r>
      <w:r w:rsidRPr="000740C5">
        <w:t xml:space="preserve">. [online] College of Policing. Available at: </w:t>
      </w:r>
      <w:hyperlink r:id="rId8" w:history="1">
        <w:r w:rsidRPr="000740C5">
          <w:rPr>
            <w:rStyle w:val="Hyperlink"/>
          </w:rPr>
          <w:t>https://www.college.police.uk/app/national-decision-model/national-decision-model?highlight=national%20decision%20model</w:t>
        </w:r>
      </w:hyperlink>
      <w:r w:rsidRPr="000740C5">
        <w:t>.</w:t>
      </w:r>
    </w:p>
    <w:p w14:paraId="15AD1572" w14:textId="4FA0645C" w:rsidR="00A21C40" w:rsidRPr="000740C5" w:rsidRDefault="00A21C40" w:rsidP="00C504EE">
      <w:r w:rsidRPr="000740C5">
        <w:t>College of policing (2014). </w:t>
      </w:r>
      <w:r w:rsidRPr="000740C5">
        <w:rPr>
          <w:i/>
          <w:iCs/>
        </w:rPr>
        <w:t>Code of Ethics</w:t>
      </w:r>
      <w:r w:rsidRPr="000740C5">
        <w:t xml:space="preserve">. [online] Available at: </w:t>
      </w:r>
      <w:hyperlink r:id="rId9" w:history="1">
        <w:r w:rsidR="009E7346" w:rsidRPr="000740C5">
          <w:rPr>
            <w:rStyle w:val="Hyperlink"/>
          </w:rPr>
          <w:t>https://assets.publishing.service.gov.uk/media/5a7d867140f0b65084e75b94/Code_of_Ethics_2014_Web_Accessible.pdf</w:t>
        </w:r>
      </w:hyperlink>
      <w:r w:rsidRPr="000740C5">
        <w:t>.</w:t>
      </w:r>
      <w:r w:rsidR="009E7346" w:rsidRPr="000740C5">
        <w:t xml:space="preserve"> </w:t>
      </w:r>
    </w:p>
    <w:p w14:paraId="67F4FB36" w14:textId="77777777" w:rsidR="00691638" w:rsidRPr="000740C5" w:rsidRDefault="00691638" w:rsidP="00C504EE">
      <w:r w:rsidRPr="000740C5">
        <w:t>College of Policing (2021). </w:t>
      </w:r>
      <w:r w:rsidRPr="000740C5">
        <w:rPr>
          <w:i/>
          <w:iCs/>
        </w:rPr>
        <w:t>Diversity, equality and inclusion strategy 2021-2024</w:t>
      </w:r>
      <w:r w:rsidRPr="000740C5">
        <w:t>. [online] Available at: https://assets.college.police.uk/s3fs-public/2021-10/Diversity-equality-and-inclusion-strategy.pdf.</w:t>
      </w:r>
    </w:p>
    <w:p w14:paraId="7B14632D" w14:textId="30725457" w:rsidR="006F64EE" w:rsidRPr="000740C5" w:rsidRDefault="00691638" w:rsidP="00C504EE">
      <w:r w:rsidRPr="000740C5">
        <w:t>‌</w:t>
      </w:r>
      <w:r w:rsidR="006F64EE" w:rsidRPr="000740C5">
        <w:t>College of Policing (2024). </w:t>
      </w:r>
      <w:r w:rsidR="006F64EE" w:rsidRPr="000740C5">
        <w:rPr>
          <w:i/>
          <w:iCs/>
        </w:rPr>
        <w:t>Ethical policing principles</w:t>
      </w:r>
      <w:r w:rsidR="006F64EE" w:rsidRPr="000740C5">
        <w:t xml:space="preserve">. [online] www.college.police.uk. Available at: </w:t>
      </w:r>
      <w:hyperlink r:id="rId10" w:history="1">
        <w:r w:rsidR="00A70FF4" w:rsidRPr="000740C5">
          <w:rPr>
            <w:rStyle w:val="Hyperlink"/>
          </w:rPr>
          <w:t>https://www.college.police.uk/ethics/code-of-ethics/principles</w:t>
        </w:r>
      </w:hyperlink>
      <w:r w:rsidR="006F64EE" w:rsidRPr="000740C5">
        <w:t>.</w:t>
      </w:r>
    </w:p>
    <w:p w14:paraId="743EEC12" w14:textId="12063750" w:rsidR="00A70FF4" w:rsidRPr="000740C5" w:rsidRDefault="00A70FF4" w:rsidP="00C504EE">
      <w:r w:rsidRPr="000740C5">
        <w:t>College Of Policing (2024). </w:t>
      </w:r>
      <w:r w:rsidRPr="000740C5">
        <w:rPr>
          <w:i/>
          <w:iCs/>
        </w:rPr>
        <w:t>Guidance for ethical and professional behaviour in policing</w:t>
      </w:r>
      <w:r w:rsidRPr="000740C5">
        <w:t xml:space="preserve">. [online] College of Policing. Available at: </w:t>
      </w:r>
      <w:hyperlink r:id="rId11" w:history="1">
        <w:r w:rsidR="00BA55BC" w:rsidRPr="000740C5">
          <w:rPr>
            <w:rStyle w:val="Hyperlink"/>
          </w:rPr>
          <w:t>https://www.college.police.uk/ethics/code-of-ethics/guidance</w:t>
        </w:r>
      </w:hyperlink>
      <w:r w:rsidRPr="000740C5">
        <w:t>.</w:t>
      </w:r>
    </w:p>
    <w:p w14:paraId="0F6F67C8" w14:textId="77777777" w:rsidR="00D30517" w:rsidRPr="000740C5" w:rsidRDefault="00D30517" w:rsidP="00C504EE">
      <w:r w:rsidRPr="000740C5">
        <w:t>Delsol, R. (2011). Stop and search – renewed powers, less accountability? </w:t>
      </w:r>
      <w:r w:rsidRPr="000740C5">
        <w:rPr>
          <w:i/>
          <w:iCs/>
        </w:rPr>
        <w:t>Criminal Justice Matters</w:t>
      </w:r>
      <w:r w:rsidRPr="000740C5">
        <w:t>, 86(1), pp.20–21. doi:https://doi.org/10.1080/09627251.2011.646186.</w:t>
      </w:r>
    </w:p>
    <w:p w14:paraId="238F7A76" w14:textId="43615399" w:rsidR="00150FCF" w:rsidRPr="000740C5" w:rsidRDefault="00150FCF" w:rsidP="00C504EE">
      <w:r w:rsidRPr="000740C5">
        <w:t>Early Intervention Foundation (2024). </w:t>
      </w:r>
      <w:r w:rsidRPr="000740C5">
        <w:rPr>
          <w:i/>
          <w:iCs/>
        </w:rPr>
        <w:t>What is early intervention?</w:t>
      </w:r>
      <w:r w:rsidRPr="000740C5">
        <w:t xml:space="preserve"> [online] Early Intervention Foundation. Available at: </w:t>
      </w:r>
      <w:hyperlink r:id="rId12" w:history="1">
        <w:r w:rsidR="00DB3087" w:rsidRPr="000740C5">
          <w:rPr>
            <w:rStyle w:val="Hyperlink"/>
          </w:rPr>
          <w:t>https://www.eif.org.uk/why-it-matters/what-is-early-intervention</w:t>
        </w:r>
      </w:hyperlink>
      <w:r w:rsidRPr="000740C5">
        <w:t>.</w:t>
      </w:r>
    </w:p>
    <w:p w14:paraId="0D878D4C" w14:textId="547D2CEC" w:rsidR="00DB3087" w:rsidRPr="000740C5" w:rsidRDefault="00DB3087" w:rsidP="00C504EE">
      <w:r w:rsidRPr="00DB3087">
        <w:t>Etaugh, C. (2016). Psychology of Gender: History and Development of the Field. </w:t>
      </w:r>
      <w:r w:rsidRPr="00DB3087">
        <w:rPr>
          <w:i/>
          <w:iCs/>
        </w:rPr>
        <w:t>The Wiley Blackwell Encyclopedia of Gender and Sexuality Studies</w:t>
      </w:r>
      <w:r w:rsidRPr="00DB3087">
        <w:t>, pp.1–12. doi:https://doi.org/10.1002/9781118663219.wbegss442.</w:t>
      </w:r>
    </w:p>
    <w:p w14:paraId="0537BF04" w14:textId="1534350B" w:rsidR="000740C5" w:rsidRDefault="000740C5" w:rsidP="00C504EE">
      <w:r w:rsidRPr="000740C5">
        <w:t>Farrington, D. P. (2003). Developmental and life-course criminology: Key theoretical and empirical issues. Criminology, 41, 221–255.</w:t>
      </w:r>
    </w:p>
    <w:p w14:paraId="362C3CF9" w14:textId="528303D5" w:rsidR="00F60650" w:rsidRPr="000740C5" w:rsidRDefault="00F60650" w:rsidP="00C504EE">
      <w:r w:rsidRPr="00F60650">
        <w:t>FINDINGS FROM ACROSS THE UK. (n.d.). Available at: https://www.nes.scot.nhs.uk/media/m01f5ubp/nesd0981-mst-flyer-1-2.pdf.</w:t>
      </w:r>
    </w:p>
    <w:p w14:paraId="5171A451" w14:textId="71F441C5" w:rsidR="00886732" w:rsidRPr="000740C5" w:rsidRDefault="00150FCF" w:rsidP="00C504EE">
      <w:r w:rsidRPr="000740C5">
        <w:t>‌</w:t>
      </w:r>
      <w:r w:rsidR="00886732" w:rsidRPr="000740C5">
        <w:t>Handa, H. (n.d.). </w:t>
      </w:r>
      <w:r w:rsidR="00886732" w:rsidRPr="000740C5">
        <w:rPr>
          <w:i/>
          <w:iCs/>
        </w:rPr>
        <w:t>Indian Journal of Integrated Research in Law LAWS FOR PREVENTION OF ORGANISED CRIMES IN INDIA: A COMPREHENSIVE ANALYSIS</w:t>
      </w:r>
      <w:r w:rsidR="00886732" w:rsidRPr="000740C5">
        <w:t>. [online] Available at: https://ijirl.com/wp-content/uploads/2024/03/LAWS-FOR-PREVENTION-OF-ORGANISED-CRIMES-IN-INDIA-A-COMPREHENSIVE-ANALYSIS.pdf [Accessed 15 Feb. 2025].</w:t>
      </w:r>
    </w:p>
    <w:p w14:paraId="3D016DB2" w14:textId="77777777" w:rsidR="008200BF" w:rsidRPr="000740C5" w:rsidRDefault="008200BF" w:rsidP="00C504EE">
      <w:r w:rsidRPr="000740C5">
        <w:t>Harris, D., Turner, R., Garrett, I. and Atkinson, S. (2011). </w:t>
      </w:r>
      <w:r w:rsidRPr="000740C5">
        <w:rPr>
          <w:i/>
          <w:iCs/>
        </w:rPr>
        <w:t>Understanding the psychology of gang violence: implications for designing effective violence interventions</w:t>
      </w:r>
      <w:r w:rsidRPr="000740C5">
        <w:t>. [online] Available at: https://assets.publishing.service.gov.uk/government/uploads/system/uploads/attachment_data/file/217379/research-gang-violence.pdf.</w:t>
      </w:r>
    </w:p>
    <w:p w14:paraId="78B67269" w14:textId="6F3FA3AD" w:rsidR="00906C99" w:rsidRPr="000740C5" w:rsidRDefault="008200BF" w:rsidP="00C504EE">
      <w:r w:rsidRPr="000740C5">
        <w:lastRenderedPageBreak/>
        <w:t>‌</w:t>
      </w:r>
      <w:r w:rsidR="00906C99" w:rsidRPr="000740C5">
        <w:t>Harrison, K., L’Hoiry, X. and Santorso, S. (2021). Exploring the impact of body-worn video on the everyday behaviours of police officers. </w:t>
      </w:r>
      <w:r w:rsidR="00906C99" w:rsidRPr="000740C5">
        <w:rPr>
          <w:i/>
          <w:iCs/>
        </w:rPr>
        <w:t>The Police Journal: Theory, Practice and Principles</w:t>
      </w:r>
      <w:r w:rsidR="00906C99" w:rsidRPr="000740C5">
        <w:t>, [online] 95(2), p.0032258X2110008. doi:https://doi.org/10.1177/0032258x211000834.</w:t>
      </w:r>
    </w:p>
    <w:p w14:paraId="3D24108B" w14:textId="7DA31158" w:rsidR="003C6816" w:rsidRPr="000740C5" w:rsidRDefault="003C6816" w:rsidP="00C504EE">
      <w:r w:rsidRPr="000740C5">
        <w:t>Home Office (2013). </w:t>
      </w:r>
      <w:r w:rsidRPr="000740C5">
        <w:rPr>
          <w:i/>
          <w:iCs/>
        </w:rPr>
        <w:t>Police and Criminal Evidence Act 1984 (PACE) Codes of Practice</w:t>
      </w:r>
      <w:r w:rsidRPr="000740C5">
        <w:t xml:space="preserve">. [online] GOV.UK. Available at: </w:t>
      </w:r>
      <w:hyperlink r:id="rId13" w:history="1">
        <w:r w:rsidR="00C504EE" w:rsidRPr="000740C5">
          <w:rPr>
            <w:rStyle w:val="Hyperlink"/>
          </w:rPr>
          <w:t>https://www.gov.uk/guidance/police-and-criminal-evidence-act-1984-pace-codes-of-practice</w:t>
        </w:r>
      </w:hyperlink>
      <w:r w:rsidRPr="000740C5">
        <w:t>.</w:t>
      </w:r>
    </w:p>
    <w:p w14:paraId="7F7C6AC2" w14:textId="3EBE831D" w:rsidR="00C504EE" w:rsidRDefault="00C504EE" w:rsidP="00C504EE">
      <w:r w:rsidRPr="000740C5">
        <w:t xml:space="preserve">Home office. 2020. Police powers and procedures, England and Wales, year ending 31 March 2020 – Second Edition. [Online]. [22 March 2025]. Available from: </w:t>
      </w:r>
      <w:hyperlink r:id="rId14" w:history="1">
        <w:r w:rsidR="00972247" w:rsidRPr="00B37842">
          <w:rPr>
            <w:rStyle w:val="Hyperlink"/>
          </w:rPr>
          <w:t>https://assets.publishing.service.gov.uk/government/uploads/system/uploads/attachment_data/file/935355/police-powers-procedures-mar20-hosb3120.pdf</w:t>
        </w:r>
      </w:hyperlink>
    </w:p>
    <w:p w14:paraId="55F720D6" w14:textId="4CA377AF" w:rsidR="00972247" w:rsidRDefault="00972247" w:rsidP="00C504EE">
      <w:r w:rsidRPr="00972247">
        <w:t>Home Office (2022). </w:t>
      </w:r>
      <w:r w:rsidRPr="00972247">
        <w:rPr>
          <w:i/>
          <w:iCs/>
        </w:rPr>
        <w:t>Police workforce, England and Wales: 31 March 2021</w:t>
      </w:r>
      <w:r w:rsidRPr="00972247">
        <w:t xml:space="preserve">. [online] GOV.UK. Available at: </w:t>
      </w:r>
      <w:hyperlink r:id="rId15" w:history="1">
        <w:r w:rsidR="00564CB8" w:rsidRPr="00972247">
          <w:rPr>
            <w:rStyle w:val="Hyperlink"/>
          </w:rPr>
          <w:t>https://www.gov.uk/government/statistics/police-workforce-england-and-wales-31-march-2021/police-workforce-england-and-wales-31-march-2021</w:t>
        </w:r>
      </w:hyperlink>
      <w:r w:rsidRPr="00972247">
        <w:t>.</w:t>
      </w:r>
    </w:p>
    <w:p w14:paraId="3FD48301" w14:textId="18C75344" w:rsidR="00564CB8" w:rsidRPr="000740C5" w:rsidRDefault="00564CB8" w:rsidP="00C504EE">
      <w:r w:rsidRPr="00564CB8">
        <w:t>Klein, M.W. (2005). The Value of Comparisons in Street Gang Research. </w:t>
      </w:r>
      <w:r w:rsidRPr="00564CB8">
        <w:rPr>
          <w:i/>
          <w:iCs/>
        </w:rPr>
        <w:t>Journal of Contemporary Criminal Justice</w:t>
      </w:r>
      <w:r w:rsidRPr="00564CB8">
        <w:t xml:space="preserve">, 21(2), pp.135–152. </w:t>
      </w:r>
      <w:proofErr w:type="spellStart"/>
      <w:proofErr w:type="gramStart"/>
      <w:r w:rsidRPr="00564CB8">
        <w:t>doi:https</w:t>
      </w:r>
      <w:proofErr w:type="spellEnd"/>
      <w:r w:rsidRPr="00564CB8">
        <w:t>://doi.org/10.1177/1043986204272911</w:t>
      </w:r>
      <w:proofErr w:type="gramEnd"/>
      <w:r w:rsidRPr="00564CB8">
        <w:t>.</w:t>
      </w:r>
    </w:p>
    <w:p w14:paraId="018F6BDC" w14:textId="454ADCE8" w:rsidR="003F77A8" w:rsidRPr="000740C5" w:rsidRDefault="003F77A8" w:rsidP="00C504EE">
      <w:r w:rsidRPr="000740C5">
        <w:t>Lambert, T. (2021). </w:t>
      </w:r>
      <w:r w:rsidRPr="000740C5">
        <w:rPr>
          <w:i/>
          <w:iCs/>
        </w:rPr>
        <w:t>A BRIEF HISTORY OF THE BRITISH POLICE</w:t>
      </w:r>
      <w:r w:rsidRPr="000740C5">
        <w:t xml:space="preserve">. [online] Local Histories. Available at: </w:t>
      </w:r>
      <w:hyperlink r:id="rId16" w:history="1">
        <w:r w:rsidR="009E7346" w:rsidRPr="000740C5">
          <w:rPr>
            <w:rStyle w:val="Hyperlink"/>
          </w:rPr>
          <w:t>https://localhistories.org/a-brief-history-of-the-british-police/</w:t>
        </w:r>
      </w:hyperlink>
      <w:r w:rsidRPr="000740C5">
        <w:t>.</w:t>
      </w:r>
    </w:p>
    <w:p w14:paraId="51E22CEA" w14:textId="4A6CEC57" w:rsidR="009E7346" w:rsidRPr="000740C5" w:rsidRDefault="009E7346" w:rsidP="00C504EE">
      <w:r w:rsidRPr="000740C5">
        <w:t>Low, N. and Owen-Evans, R. (2024). </w:t>
      </w:r>
      <w:r w:rsidRPr="000740C5">
        <w:rPr>
          <w:i/>
          <w:iCs/>
        </w:rPr>
        <w:t>Public trust and confidence in the police</w:t>
      </w:r>
      <w:r w:rsidRPr="000740C5">
        <w:t xml:space="preserve">. [online] UK Parliament . Available at: </w:t>
      </w:r>
      <w:hyperlink r:id="rId17" w:history="1">
        <w:r w:rsidR="004E379D" w:rsidRPr="000740C5">
          <w:rPr>
            <w:rStyle w:val="Hyperlink"/>
          </w:rPr>
          <w:t>https://post.parliament.uk/public-trust-and-confidence-in-the-police/</w:t>
        </w:r>
      </w:hyperlink>
      <w:r w:rsidRPr="000740C5">
        <w:t>.</w:t>
      </w:r>
      <w:r w:rsidR="004E379D" w:rsidRPr="000740C5">
        <w:t xml:space="preserve"> </w:t>
      </w:r>
    </w:p>
    <w:p w14:paraId="1DEC3A33" w14:textId="78C71EF9" w:rsidR="000F646B" w:rsidRPr="000740C5" w:rsidRDefault="003F77A8" w:rsidP="00C504EE">
      <w:r w:rsidRPr="000740C5">
        <w:t>‌</w:t>
      </w:r>
      <w:r w:rsidR="000F646B" w:rsidRPr="000740C5">
        <w:t>Lum, C., Koper, C.S., Wilson, D.B., Stoltz, M., Goodier, M., Eggins, E., Higginson, A. and Mazerolle, L. (2020). Body</w:t>
      </w:r>
      <w:r w:rsidR="000F646B" w:rsidRPr="000740C5">
        <w:rPr>
          <w:rFonts w:ascii="Cambria Math" w:hAnsi="Cambria Math" w:cs="Cambria Math"/>
        </w:rPr>
        <w:t>‐</w:t>
      </w:r>
      <w:r w:rsidR="000F646B" w:rsidRPr="000740C5">
        <w:t>worn cameras</w:t>
      </w:r>
      <w:r w:rsidR="000F646B" w:rsidRPr="000740C5">
        <w:rPr>
          <w:rFonts w:cs="Aptos"/>
        </w:rPr>
        <w:t>’</w:t>
      </w:r>
      <w:r w:rsidR="000F646B" w:rsidRPr="000740C5">
        <w:t xml:space="preserve"> effects on police officers and citizen behavior: A systematic review.</w:t>
      </w:r>
      <w:r w:rsidR="000F646B" w:rsidRPr="000740C5">
        <w:rPr>
          <w:rFonts w:cs="Aptos"/>
        </w:rPr>
        <w:t> </w:t>
      </w:r>
      <w:r w:rsidR="000F646B" w:rsidRPr="000740C5">
        <w:rPr>
          <w:i/>
          <w:iCs/>
        </w:rPr>
        <w:t>Campbell Systematic Reviews</w:t>
      </w:r>
      <w:r w:rsidR="000F646B" w:rsidRPr="000740C5">
        <w:t>, [online] 16(3). doi:https://doi.org/10.1002/cl2.1112.</w:t>
      </w:r>
    </w:p>
    <w:p w14:paraId="63C4DF1A" w14:textId="77777777" w:rsidR="008A5DBC" w:rsidRPr="000740C5" w:rsidRDefault="008A5DBC" w:rsidP="00C504EE">
      <w:r w:rsidRPr="000740C5">
        <w:t>Mason, P. and Prior, D. (2008). </w:t>
      </w:r>
      <w:r w:rsidRPr="000740C5">
        <w:rPr>
          <w:i/>
          <w:iCs/>
        </w:rPr>
        <w:t>Engaging Young People who Offend Source document Engaging Young People who Offend 2</w:t>
      </w:r>
      <w:r w:rsidRPr="000740C5">
        <w:t>. [online] Available at: https://assets.publishing.service.gov.uk/media/5a7d0020e5274a2af0ae2c36/Final_EYP_source.pdf.</w:t>
      </w:r>
    </w:p>
    <w:p w14:paraId="6321B053" w14:textId="622BC15C" w:rsidR="0082447A" w:rsidRPr="000740C5" w:rsidRDefault="0082447A" w:rsidP="00C504EE">
      <w:r w:rsidRPr="000740C5">
        <w:t>Numans, W., Regenmortel, T.V., Schalk, R. and Boog, J. (2020). Vulnerable persons in society: an insider’s perspective. </w:t>
      </w:r>
      <w:r w:rsidRPr="000740C5">
        <w:rPr>
          <w:i/>
          <w:iCs/>
        </w:rPr>
        <w:t>International Journal of Qualitative Studies on Health and Well-being</w:t>
      </w:r>
      <w:r w:rsidRPr="000740C5">
        <w:t>, [online] 16(1), p.1863598. doi:https://doi.org/10.1080/17482631.2020.1863598</w:t>
      </w:r>
      <w:r w:rsidR="007F1EE4" w:rsidRPr="000740C5">
        <w:t xml:space="preserve">. </w:t>
      </w:r>
    </w:p>
    <w:p w14:paraId="760F73A6" w14:textId="38F339FF" w:rsidR="006A1B1F" w:rsidRPr="000740C5" w:rsidRDefault="006A1B1F" w:rsidP="00C504EE">
      <w:r w:rsidRPr="006A1B1F">
        <w:t>Scirp.org. (2023). </w:t>
      </w:r>
      <w:r w:rsidRPr="006A1B1F">
        <w:rPr>
          <w:i/>
          <w:iCs/>
        </w:rPr>
        <w:t>Murray, J. and Farrington, D. P. (2010) Risk factors for conduct disorder and deliquency Key findings from longitudinal studies. Canadian Journal of Psychiatry, 55, 633-642. - References - Scientific Research Publishing</w:t>
      </w:r>
      <w:r w:rsidRPr="006A1B1F">
        <w:t>. [online] Available at: https://www.scirp.org/reference/referencespapers?referenceid=386074 [Accessed 24 Mar. 2025].</w:t>
      </w:r>
    </w:p>
    <w:p w14:paraId="591149F5" w14:textId="26E1E463" w:rsidR="002A2B93" w:rsidRPr="000740C5" w:rsidRDefault="002A2B93" w:rsidP="00C504EE">
      <w:r w:rsidRPr="002A2B93">
        <w:t>Stancu, A. (2021). SUBCULTURAL THEORIES OF DELINQUENCY AND CRIME. </w:t>
      </w:r>
      <w:r w:rsidRPr="002A2B93">
        <w:rPr>
          <w:i/>
          <w:iCs/>
        </w:rPr>
        <w:t>Journal of Law and Administrative Sciences</w:t>
      </w:r>
      <w:r w:rsidRPr="002A2B93">
        <w:t>, [online] 16(16). Available at: https://jolas.ro/wp-content/uploads/2021/12/jolas16a11.pdf.</w:t>
      </w:r>
    </w:p>
    <w:p w14:paraId="3A73A0E4" w14:textId="71D806A9" w:rsidR="00F80A5D" w:rsidRPr="000740C5" w:rsidRDefault="00E65D3E" w:rsidP="00C504EE">
      <w:r w:rsidRPr="000740C5">
        <w:t>‌</w:t>
      </w:r>
      <w:r w:rsidR="00F80A5D" w:rsidRPr="000740C5">
        <w:t>The National Archives. (2024). </w:t>
      </w:r>
      <w:r w:rsidR="00F80A5D" w:rsidRPr="000740C5">
        <w:rPr>
          <w:i/>
          <w:iCs/>
        </w:rPr>
        <w:t>The Brixton riots and the Scarman Report</w:t>
      </w:r>
      <w:r w:rsidR="00F80A5D" w:rsidRPr="000740C5">
        <w:t xml:space="preserve">. [online] Available at: </w:t>
      </w:r>
      <w:hyperlink r:id="rId18" w:history="1">
        <w:r w:rsidR="00652549" w:rsidRPr="000740C5">
          <w:rPr>
            <w:rStyle w:val="Hyperlink"/>
          </w:rPr>
          <w:t>https://www.nationalarchives.gov.uk/explore-the-collection/stories/the-brixton-riots-and-the-scarman-report/</w:t>
        </w:r>
      </w:hyperlink>
      <w:r w:rsidR="00F80A5D" w:rsidRPr="000740C5">
        <w:t>.</w:t>
      </w:r>
    </w:p>
    <w:p w14:paraId="1579616D" w14:textId="2ABCB295" w:rsidR="00652549" w:rsidRDefault="00652549" w:rsidP="00C504EE">
      <w:r w:rsidRPr="000740C5">
        <w:t>YouGov (2023). </w:t>
      </w:r>
      <w:r w:rsidRPr="000740C5">
        <w:rPr>
          <w:i/>
          <w:iCs/>
        </w:rPr>
        <w:t>Are the police doing a good job?</w:t>
      </w:r>
      <w:r w:rsidRPr="000740C5">
        <w:t xml:space="preserve"> [online] yougov.co.uk. Available at: </w:t>
      </w:r>
      <w:hyperlink r:id="rId19" w:history="1">
        <w:r w:rsidRPr="000740C5">
          <w:rPr>
            <w:rStyle w:val="Hyperlink"/>
          </w:rPr>
          <w:t>https://yougov.co.uk/topics/politics/trackers/are-the-police-doing-a-good-job</w:t>
        </w:r>
      </w:hyperlink>
      <w:r w:rsidRPr="000740C5">
        <w:t xml:space="preserve">. </w:t>
      </w:r>
    </w:p>
    <w:p w14:paraId="10BDA4E7" w14:textId="7289C665" w:rsidR="000A7534" w:rsidRPr="000740C5" w:rsidRDefault="000A7534" w:rsidP="00C504EE">
      <w:r w:rsidRPr="000A7534">
        <w:t>Youth Endowment Fund. (n.d.). Multi-Systemic Therapy. [online] Available at: https://youthendowmentfund.org.uk/toolkit/multi-systemic-therapy-2/. ‌</w:t>
      </w:r>
    </w:p>
    <w:p w14:paraId="21348E33" w14:textId="77777777" w:rsidR="00D172FF" w:rsidRPr="00D172FF" w:rsidRDefault="00F80A5D" w:rsidP="00D172FF">
      <w:r w:rsidRPr="000740C5">
        <w:t>‌</w:t>
      </w:r>
      <w:r w:rsidR="00D172FF" w:rsidRPr="00D172FF">
        <w:t>Youth Justice Board (2015). </w:t>
      </w:r>
      <w:r w:rsidR="00D172FF" w:rsidRPr="00D172FF">
        <w:rPr>
          <w:i/>
          <w:iCs/>
        </w:rPr>
        <w:t>Keeping children in care out of trouble: an independent review chaired by Lord Laming Response by the Youth Justice Board for England and Wales to the call for views and evidence</w:t>
      </w:r>
      <w:r w:rsidR="00D172FF" w:rsidRPr="00D172FF">
        <w:t xml:space="preserve">. [online] Available at: </w:t>
      </w:r>
      <w:r w:rsidR="00D172FF" w:rsidRPr="00D172FF">
        <w:lastRenderedPageBreak/>
        <w:t>https://assets.publishing.service.gov.uk/government/uploads/system/uploads/attachment_data/file/543582/YJB_response_Laming_Review_keeping_children_in_care_out_of_custody.pdf.</w:t>
      </w:r>
    </w:p>
    <w:p w14:paraId="4F5828EA" w14:textId="59AA64B6" w:rsidR="00B8678E" w:rsidRPr="000740C5" w:rsidRDefault="00D172FF" w:rsidP="00D56494">
      <w:r w:rsidRPr="00D172FF">
        <w:t>‌</w:t>
      </w:r>
    </w:p>
    <w:sectPr w:rsidR="00B8678E" w:rsidRPr="000740C5" w:rsidSect="004E7AF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DC256D"/>
    <w:multiLevelType w:val="hybridMultilevel"/>
    <w:tmpl w:val="3E2EF262"/>
    <w:lvl w:ilvl="0" w:tplc="7336546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16378B"/>
    <w:multiLevelType w:val="multilevel"/>
    <w:tmpl w:val="1D604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6280C09"/>
    <w:multiLevelType w:val="hybridMultilevel"/>
    <w:tmpl w:val="B524D9CE"/>
    <w:lvl w:ilvl="0" w:tplc="58ECB470">
      <w:start w:val="1"/>
      <w:numFmt w:val="decimal"/>
      <w:lvlText w:val="%1."/>
      <w:lvlJc w:val="left"/>
      <w:pPr>
        <w:ind w:left="927" w:hanging="360"/>
      </w:pPr>
      <w:rPr>
        <w:rFonts w:hint="default"/>
        <w:b/>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6A3658EB"/>
    <w:multiLevelType w:val="hybridMultilevel"/>
    <w:tmpl w:val="8A80F7AC"/>
    <w:lvl w:ilvl="0" w:tplc="5CAED518">
      <w:start w:val="1"/>
      <w:numFmt w:val="upperLetter"/>
      <w:lvlText w:val="%1."/>
      <w:lvlJc w:val="left"/>
      <w:pPr>
        <w:ind w:left="495" w:hanging="360"/>
      </w:pPr>
      <w:rPr>
        <w:rFonts w:hint="default"/>
      </w:rPr>
    </w:lvl>
    <w:lvl w:ilvl="1" w:tplc="08090019" w:tentative="1">
      <w:start w:val="1"/>
      <w:numFmt w:val="lowerLetter"/>
      <w:lvlText w:val="%2."/>
      <w:lvlJc w:val="left"/>
      <w:pPr>
        <w:ind w:left="1215" w:hanging="360"/>
      </w:pPr>
    </w:lvl>
    <w:lvl w:ilvl="2" w:tplc="0809001B" w:tentative="1">
      <w:start w:val="1"/>
      <w:numFmt w:val="lowerRoman"/>
      <w:lvlText w:val="%3."/>
      <w:lvlJc w:val="right"/>
      <w:pPr>
        <w:ind w:left="1935" w:hanging="180"/>
      </w:pPr>
    </w:lvl>
    <w:lvl w:ilvl="3" w:tplc="0809000F" w:tentative="1">
      <w:start w:val="1"/>
      <w:numFmt w:val="decimal"/>
      <w:lvlText w:val="%4."/>
      <w:lvlJc w:val="left"/>
      <w:pPr>
        <w:ind w:left="2655" w:hanging="360"/>
      </w:pPr>
    </w:lvl>
    <w:lvl w:ilvl="4" w:tplc="08090019" w:tentative="1">
      <w:start w:val="1"/>
      <w:numFmt w:val="lowerLetter"/>
      <w:lvlText w:val="%5."/>
      <w:lvlJc w:val="left"/>
      <w:pPr>
        <w:ind w:left="3375" w:hanging="360"/>
      </w:pPr>
    </w:lvl>
    <w:lvl w:ilvl="5" w:tplc="0809001B" w:tentative="1">
      <w:start w:val="1"/>
      <w:numFmt w:val="lowerRoman"/>
      <w:lvlText w:val="%6."/>
      <w:lvlJc w:val="right"/>
      <w:pPr>
        <w:ind w:left="4095" w:hanging="180"/>
      </w:pPr>
    </w:lvl>
    <w:lvl w:ilvl="6" w:tplc="0809000F" w:tentative="1">
      <w:start w:val="1"/>
      <w:numFmt w:val="decimal"/>
      <w:lvlText w:val="%7."/>
      <w:lvlJc w:val="left"/>
      <w:pPr>
        <w:ind w:left="4815" w:hanging="360"/>
      </w:pPr>
    </w:lvl>
    <w:lvl w:ilvl="7" w:tplc="08090019" w:tentative="1">
      <w:start w:val="1"/>
      <w:numFmt w:val="lowerLetter"/>
      <w:lvlText w:val="%8."/>
      <w:lvlJc w:val="left"/>
      <w:pPr>
        <w:ind w:left="5535" w:hanging="360"/>
      </w:pPr>
    </w:lvl>
    <w:lvl w:ilvl="8" w:tplc="0809001B" w:tentative="1">
      <w:start w:val="1"/>
      <w:numFmt w:val="lowerRoman"/>
      <w:lvlText w:val="%9."/>
      <w:lvlJc w:val="right"/>
      <w:pPr>
        <w:ind w:left="6255" w:hanging="180"/>
      </w:pPr>
    </w:lvl>
  </w:abstractNum>
  <w:num w:numId="1" w16cid:durableId="862475340">
    <w:abstractNumId w:val="2"/>
  </w:num>
  <w:num w:numId="2" w16cid:durableId="1831746605">
    <w:abstractNumId w:val="0"/>
  </w:num>
  <w:num w:numId="3" w16cid:durableId="173425415">
    <w:abstractNumId w:val="3"/>
  </w:num>
  <w:num w:numId="4" w16cid:durableId="17236715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520DD4E7-0E3C-4232-AA9F-252E0952B86E}"/>
    <w:docVar w:name="dgnword-eventsink" w:val="1051499248"/>
  </w:docVars>
  <w:rsids>
    <w:rsidRoot w:val="00BE6A74"/>
    <w:rsid w:val="00053307"/>
    <w:rsid w:val="00054EBF"/>
    <w:rsid w:val="000740C5"/>
    <w:rsid w:val="00095A12"/>
    <w:rsid w:val="000A7534"/>
    <w:rsid w:val="000B41F6"/>
    <w:rsid w:val="000C168B"/>
    <w:rsid w:val="000C64E8"/>
    <w:rsid w:val="000D455A"/>
    <w:rsid w:val="000D4C25"/>
    <w:rsid w:val="000D5EB8"/>
    <w:rsid w:val="000E4DE0"/>
    <w:rsid w:val="000E54FF"/>
    <w:rsid w:val="000E758F"/>
    <w:rsid w:val="000E7DAA"/>
    <w:rsid w:val="000F646B"/>
    <w:rsid w:val="000F7473"/>
    <w:rsid w:val="000F7DDB"/>
    <w:rsid w:val="00103855"/>
    <w:rsid w:val="00105B16"/>
    <w:rsid w:val="00107F67"/>
    <w:rsid w:val="001128E8"/>
    <w:rsid w:val="00134D77"/>
    <w:rsid w:val="00135C76"/>
    <w:rsid w:val="00136B24"/>
    <w:rsid w:val="00142193"/>
    <w:rsid w:val="00142606"/>
    <w:rsid w:val="00150FCF"/>
    <w:rsid w:val="0015127E"/>
    <w:rsid w:val="0015209A"/>
    <w:rsid w:val="001522E3"/>
    <w:rsid w:val="00152367"/>
    <w:rsid w:val="0015305F"/>
    <w:rsid w:val="001544EC"/>
    <w:rsid w:val="00155054"/>
    <w:rsid w:val="0015765C"/>
    <w:rsid w:val="00183EC0"/>
    <w:rsid w:val="00184FB5"/>
    <w:rsid w:val="00186A4B"/>
    <w:rsid w:val="00196DF2"/>
    <w:rsid w:val="001975AC"/>
    <w:rsid w:val="00197EFD"/>
    <w:rsid w:val="001C13D7"/>
    <w:rsid w:val="001D73F6"/>
    <w:rsid w:val="001D765E"/>
    <w:rsid w:val="001E52D8"/>
    <w:rsid w:val="001E5643"/>
    <w:rsid w:val="001E7BA8"/>
    <w:rsid w:val="001F09B5"/>
    <w:rsid w:val="001F0BC5"/>
    <w:rsid w:val="001F0F96"/>
    <w:rsid w:val="00207795"/>
    <w:rsid w:val="002406CC"/>
    <w:rsid w:val="00250696"/>
    <w:rsid w:val="00256F9D"/>
    <w:rsid w:val="00261AE1"/>
    <w:rsid w:val="00267D53"/>
    <w:rsid w:val="00283552"/>
    <w:rsid w:val="00284F5C"/>
    <w:rsid w:val="002931A0"/>
    <w:rsid w:val="002943FA"/>
    <w:rsid w:val="002A2B93"/>
    <w:rsid w:val="002A43F8"/>
    <w:rsid w:val="002A6210"/>
    <w:rsid w:val="002B0EDF"/>
    <w:rsid w:val="002B184E"/>
    <w:rsid w:val="002C3B08"/>
    <w:rsid w:val="002D07EF"/>
    <w:rsid w:val="002D3D96"/>
    <w:rsid w:val="002E0E36"/>
    <w:rsid w:val="002E31D3"/>
    <w:rsid w:val="002E3517"/>
    <w:rsid w:val="00300A8D"/>
    <w:rsid w:val="00302BA7"/>
    <w:rsid w:val="00312685"/>
    <w:rsid w:val="00313700"/>
    <w:rsid w:val="0031768C"/>
    <w:rsid w:val="003246C1"/>
    <w:rsid w:val="00326AF6"/>
    <w:rsid w:val="0034324C"/>
    <w:rsid w:val="00343D77"/>
    <w:rsid w:val="00356246"/>
    <w:rsid w:val="00361231"/>
    <w:rsid w:val="003717EF"/>
    <w:rsid w:val="00380AE2"/>
    <w:rsid w:val="00386001"/>
    <w:rsid w:val="003A208C"/>
    <w:rsid w:val="003A7771"/>
    <w:rsid w:val="003B0F29"/>
    <w:rsid w:val="003C6816"/>
    <w:rsid w:val="003D7C91"/>
    <w:rsid w:val="003F3A3C"/>
    <w:rsid w:val="003F77A8"/>
    <w:rsid w:val="003F7A9E"/>
    <w:rsid w:val="00403037"/>
    <w:rsid w:val="00403CBC"/>
    <w:rsid w:val="00422783"/>
    <w:rsid w:val="00425060"/>
    <w:rsid w:val="00427E0C"/>
    <w:rsid w:val="00445825"/>
    <w:rsid w:val="004460C1"/>
    <w:rsid w:val="00446C91"/>
    <w:rsid w:val="00451F68"/>
    <w:rsid w:val="00455D2F"/>
    <w:rsid w:val="0048212A"/>
    <w:rsid w:val="00493F5F"/>
    <w:rsid w:val="004C03F4"/>
    <w:rsid w:val="004C409E"/>
    <w:rsid w:val="004D0B2C"/>
    <w:rsid w:val="004E379D"/>
    <w:rsid w:val="004E7AF6"/>
    <w:rsid w:val="004F19B3"/>
    <w:rsid w:val="004F797D"/>
    <w:rsid w:val="00505E3C"/>
    <w:rsid w:val="0051749A"/>
    <w:rsid w:val="005262F2"/>
    <w:rsid w:val="005262F4"/>
    <w:rsid w:val="00530B15"/>
    <w:rsid w:val="005363EC"/>
    <w:rsid w:val="005604CA"/>
    <w:rsid w:val="00564CB8"/>
    <w:rsid w:val="00570220"/>
    <w:rsid w:val="00571225"/>
    <w:rsid w:val="00590098"/>
    <w:rsid w:val="005948DE"/>
    <w:rsid w:val="005976A4"/>
    <w:rsid w:val="005A52FA"/>
    <w:rsid w:val="005B7445"/>
    <w:rsid w:val="005C6702"/>
    <w:rsid w:val="005D049C"/>
    <w:rsid w:val="005D47AD"/>
    <w:rsid w:val="00600113"/>
    <w:rsid w:val="00600470"/>
    <w:rsid w:val="00623D32"/>
    <w:rsid w:val="0062611E"/>
    <w:rsid w:val="006455F0"/>
    <w:rsid w:val="006460DC"/>
    <w:rsid w:val="006501C6"/>
    <w:rsid w:val="00652549"/>
    <w:rsid w:val="00660FA9"/>
    <w:rsid w:val="006679FB"/>
    <w:rsid w:val="0067104C"/>
    <w:rsid w:val="006731C6"/>
    <w:rsid w:val="006810B0"/>
    <w:rsid w:val="00691638"/>
    <w:rsid w:val="00694CB5"/>
    <w:rsid w:val="006A1B1F"/>
    <w:rsid w:val="006A4DD0"/>
    <w:rsid w:val="006A6A7F"/>
    <w:rsid w:val="006E0492"/>
    <w:rsid w:val="006F47C9"/>
    <w:rsid w:val="006F5BF5"/>
    <w:rsid w:val="006F64EE"/>
    <w:rsid w:val="00700820"/>
    <w:rsid w:val="007070C6"/>
    <w:rsid w:val="007100D9"/>
    <w:rsid w:val="007117FC"/>
    <w:rsid w:val="00712C7B"/>
    <w:rsid w:val="00740E43"/>
    <w:rsid w:val="00743D42"/>
    <w:rsid w:val="007537E1"/>
    <w:rsid w:val="0077501E"/>
    <w:rsid w:val="00777C2E"/>
    <w:rsid w:val="007811F5"/>
    <w:rsid w:val="00795AEA"/>
    <w:rsid w:val="007A33ED"/>
    <w:rsid w:val="007A5C14"/>
    <w:rsid w:val="007B36D7"/>
    <w:rsid w:val="007B5191"/>
    <w:rsid w:val="007B5451"/>
    <w:rsid w:val="007D3108"/>
    <w:rsid w:val="007D6930"/>
    <w:rsid w:val="007E2370"/>
    <w:rsid w:val="007E6032"/>
    <w:rsid w:val="007F1EE4"/>
    <w:rsid w:val="00812257"/>
    <w:rsid w:val="00815ED6"/>
    <w:rsid w:val="008200BF"/>
    <w:rsid w:val="0082447A"/>
    <w:rsid w:val="008322A3"/>
    <w:rsid w:val="00840B96"/>
    <w:rsid w:val="00851247"/>
    <w:rsid w:val="00852340"/>
    <w:rsid w:val="00860E29"/>
    <w:rsid w:val="00867960"/>
    <w:rsid w:val="008845D3"/>
    <w:rsid w:val="00886732"/>
    <w:rsid w:val="00886D04"/>
    <w:rsid w:val="008A5DBC"/>
    <w:rsid w:val="008B5F28"/>
    <w:rsid w:val="008C1B90"/>
    <w:rsid w:val="008C3782"/>
    <w:rsid w:val="008C6488"/>
    <w:rsid w:val="008D120C"/>
    <w:rsid w:val="008D164D"/>
    <w:rsid w:val="008E48E8"/>
    <w:rsid w:val="008F3AED"/>
    <w:rsid w:val="008F5821"/>
    <w:rsid w:val="00900A6E"/>
    <w:rsid w:val="00906C99"/>
    <w:rsid w:val="009075C0"/>
    <w:rsid w:val="00915ED4"/>
    <w:rsid w:val="00922FE9"/>
    <w:rsid w:val="0096533E"/>
    <w:rsid w:val="00965A3B"/>
    <w:rsid w:val="0096628F"/>
    <w:rsid w:val="0096672C"/>
    <w:rsid w:val="00972247"/>
    <w:rsid w:val="0099660C"/>
    <w:rsid w:val="009A4EE9"/>
    <w:rsid w:val="009B3200"/>
    <w:rsid w:val="009D274C"/>
    <w:rsid w:val="009D2E07"/>
    <w:rsid w:val="009D6411"/>
    <w:rsid w:val="009E7346"/>
    <w:rsid w:val="009F3508"/>
    <w:rsid w:val="00A01A08"/>
    <w:rsid w:val="00A029AF"/>
    <w:rsid w:val="00A037E7"/>
    <w:rsid w:val="00A05ADC"/>
    <w:rsid w:val="00A0695B"/>
    <w:rsid w:val="00A10D4C"/>
    <w:rsid w:val="00A14A10"/>
    <w:rsid w:val="00A1683F"/>
    <w:rsid w:val="00A21C40"/>
    <w:rsid w:val="00A404EB"/>
    <w:rsid w:val="00A40E86"/>
    <w:rsid w:val="00A4167B"/>
    <w:rsid w:val="00A43123"/>
    <w:rsid w:val="00A54086"/>
    <w:rsid w:val="00A70FF4"/>
    <w:rsid w:val="00A72492"/>
    <w:rsid w:val="00A733E5"/>
    <w:rsid w:val="00A801EA"/>
    <w:rsid w:val="00A90C1A"/>
    <w:rsid w:val="00AC028C"/>
    <w:rsid w:val="00AD0882"/>
    <w:rsid w:val="00AE256A"/>
    <w:rsid w:val="00AF0F7D"/>
    <w:rsid w:val="00AF5F95"/>
    <w:rsid w:val="00B1529D"/>
    <w:rsid w:val="00B232CA"/>
    <w:rsid w:val="00B30648"/>
    <w:rsid w:val="00B35EFA"/>
    <w:rsid w:val="00B42CFD"/>
    <w:rsid w:val="00B47BC0"/>
    <w:rsid w:val="00B52194"/>
    <w:rsid w:val="00B56CDA"/>
    <w:rsid w:val="00B62BF1"/>
    <w:rsid w:val="00B65409"/>
    <w:rsid w:val="00B71424"/>
    <w:rsid w:val="00B71A1E"/>
    <w:rsid w:val="00B738C2"/>
    <w:rsid w:val="00B75051"/>
    <w:rsid w:val="00B76129"/>
    <w:rsid w:val="00B84E51"/>
    <w:rsid w:val="00B8678E"/>
    <w:rsid w:val="00BA55BC"/>
    <w:rsid w:val="00BC12FB"/>
    <w:rsid w:val="00BC6C47"/>
    <w:rsid w:val="00BD2625"/>
    <w:rsid w:val="00BE1CD1"/>
    <w:rsid w:val="00BE2905"/>
    <w:rsid w:val="00BE6A74"/>
    <w:rsid w:val="00BF22DD"/>
    <w:rsid w:val="00BF375B"/>
    <w:rsid w:val="00C0436C"/>
    <w:rsid w:val="00C06870"/>
    <w:rsid w:val="00C13A54"/>
    <w:rsid w:val="00C16381"/>
    <w:rsid w:val="00C20DC2"/>
    <w:rsid w:val="00C24AD6"/>
    <w:rsid w:val="00C3149B"/>
    <w:rsid w:val="00C478F9"/>
    <w:rsid w:val="00C504EE"/>
    <w:rsid w:val="00C73B05"/>
    <w:rsid w:val="00C7445D"/>
    <w:rsid w:val="00C87A18"/>
    <w:rsid w:val="00C95380"/>
    <w:rsid w:val="00CB0573"/>
    <w:rsid w:val="00CC4FE6"/>
    <w:rsid w:val="00CD0D2C"/>
    <w:rsid w:val="00CD28CE"/>
    <w:rsid w:val="00CD557D"/>
    <w:rsid w:val="00CE0720"/>
    <w:rsid w:val="00CE50A8"/>
    <w:rsid w:val="00CF1005"/>
    <w:rsid w:val="00CF152C"/>
    <w:rsid w:val="00D005C3"/>
    <w:rsid w:val="00D07CF1"/>
    <w:rsid w:val="00D122F5"/>
    <w:rsid w:val="00D172FF"/>
    <w:rsid w:val="00D2561E"/>
    <w:rsid w:val="00D2618D"/>
    <w:rsid w:val="00D30517"/>
    <w:rsid w:val="00D511AC"/>
    <w:rsid w:val="00D56494"/>
    <w:rsid w:val="00D716D0"/>
    <w:rsid w:val="00D91EE6"/>
    <w:rsid w:val="00DA120A"/>
    <w:rsid w:val="00DB3087"/>
    <w:rsid w:val="00DB39A0"/>
    <w:rsid w:val="00DB75E8"/>
    <w:rsid w:val="00DC1ED0"/>
    <w:rsid w:val="00DD0707"/>
    <w:rsid w:val="00DD4840"/>
    <w:rsid w:val="00DE47FC"/>
    <w:rsid w:val="00DE4A0E"/>
    <w:rsid w:val="00DF4DA3"/>
    <w:rsid w:val="00E067F8"/>
    <w:rsid w:val="00E22F2E"/>
    <w:rsid w:val="00E23182"/>
    <w:rsid w:val="00E24660"/>
    <w:rsid w:val="00E40675"/>
    <w:rsid w:val="00E47794"/>
    <w:rsid w:val="00E52B55"/>
    <w:rsid w:val="00E65D3E"/>
    <w:rsid w:val="00E670C1"/>
    <w:rsid w:val="00E73C80"/>
    <w:rsid w:val="00E8321D"/>
    <w:rsid w:val="00E840F7"/>
    <w:rsid w:val="00E879B6"/>
    <w:rsid w:val="00EA370D"/>
    <w:rsid w:val="00EA5FE9"/>
    <w:rsid w:val="00EA7C2D"/>
    <w:rsid w:val="00EB3066"/>
    <w:rsid w:val="00EC5D79"/>
    <w:rsid w:val="00ED0088"/>
    <w:rsid w:val="00EF2965"/>
    <w:rsid w:val="00F02BEE"/>
    <w:rsid w:val="00F176CD"/>
    <w:rsid w:val="00F22C34"/>
    <w:rsid w:val="00F27EA8"/>
    <w:rsid w:val="00F30F5F"/>
    <w:rsid w:val="00F354FC"/>
    <w:rsid w:val="00F37D76"/>
    <w:rsid w:val="00F450AB"/>
    <w:rsid w:val="00F572ED"/>
    <w:rsid w:val="00F60650"/>
    <w:rsid w:val="00F62DEF"/>
    <w:rsid w:val="00F6775F"/>
    <w:rsid w:val="00F71085"/>
    <w:rsid w:val="00F80A5D"/>
    <w:rsid w:val="00FB6841"/>
    <w:rsid w:val="00FD3E68"/>
    <w:rsid w:val="00FE1F72"/>
    <w:rsid w:val="00FF1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D37F8"/>
  <w15:chartTrackingRefBased/>
  <w15:docId w15:val="{1D1C8E71-6DC2-4253-87BD-C5ED89367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A74"/>
    <w:rPr>
      <w:kern w:val="0"/>
    </w:rPr>
  </w:style>
  <w:style w:type="paragraph" w:styleId="Heading1">
    <w:name w:val="heading 1"/>
    <w:basedOn w:val="Normal"/>
    <w:next w:val="Normal"/>
    <w:link w:val="Heading1Char"/>
    <w:uiPriority w:val="9"/>
    <w:qFormat/>
    <w:rsid w:val="00BE6A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6A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6A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6A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6A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6A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6A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6A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6A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A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6A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6A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6A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6A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6A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6A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6A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6A74"/>
    <w:rPr>
      <w:rFonts w:eastAsiaTheme="majorEastAsia" w:cstheme="majorBidi"/>
      <w:color w:val="272727" w:themeColor="text1" w:themeTint="D8"/>
    </w:rPr>
  </w:style>
  <w:style w:type="paragraph" w:styleId="Title">
    <w:name w:val="Title"/>
    <w:basedOn w:val="Normal"/>
    <w:next w:val="Normal"/>
    <w:link w:val="TitleChar"/>
    <w:uiPriority w:val="10"/>
    <w:qFormat/>
    <w:rsid w:val="00BE6A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6A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6A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6A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6A74"/>
    <w:pPr>
      <w:spacing w:before="160"/>
      <w:jc w:val="center"/>
    </w:pPr>
    <w:rPr>
      <w:i/>
      <w:iCs/>
      <w:color w:val="404040" w:themeColor="text1" w:themeTint="BF"/>
    </w:rPr>
  </w:style>
  <w:style w:type="character" w:customStyle="1" w:styleId="QuoteChar">
    <w:name w:val="Quote Char"/>
    <w:basedOn w:val="DefaultParagraphFont"/>
    <w:link w:val="Quote"/>
    <w:uiPriority w:val="29"/>
    <w:rsid w:val="00BE6A74"/>
    <w:rPr>
      <w:i/>
      <w:iCs/>
      <w:color w:val="404040" w:themeColor="text1" w:themeTint="BF"/>
    </w:rPr>
  </w:style>
  <w:style w:type="paragraph" w:styleId="ListParagraph">
    <w:name w:val="List Paragraph"/>
    <w:basedOn w:val="Normal"/>
    <w:uiPriority w:val="34"/>
    <w:qFormat/>
    <w:rsid w:val="00BE6A74"/>
    <w:pPr>
      <w:ind w:left="720"/>
      <w:contextualSpacing/>
    </w:pPr>
  </w:style>
  <w:style w:type="character" w:styleId="IntenseEmphasis">
    <w:name w:val="Intense Emphasis"/>
    <w:basedOn w:val="DefaultParagraphFont"/>
    <w:uiPriority w:val="21"/>
    <w:qFormat/>
    <w:rsid w:val="00BE6A74"/>
    <w:rPr>
      <w:i/>
      <w:iCs/>
      <w:color w:val="0F4761" w:themeColor="accent1" w:themeShade="BF"/>
    </w:rPr>
  </w:style>
  <w:style w:type="paragraph" w:styleId="IntenseQuote">
    <w:name w:val="Intense Quote"/>
    <w:basedOn w:val="Normal"/>
    <w:next w:val="Normal"/>
    <w:link w:val="IntenseQuoteChar"/>
    <w:uiPriority w:val="30"/>
    <w:qFormat/>
    <w:rsid w:val="00BE6A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6A74"/>
    <w:rPr>
      <w:i/>
      <w:iCs/>
      <w:color w:val="0F4761" w:themeColor="accent1" w:themeShade="BF"/>
    </w:rPr>
  </w:style>
  <w:style w:type="character" w:styleId="IntenseReference">
    <w:name w:val="Intense Reference"/>
    <w:basedOn w:val="DefaultParagraphFont"/>
    <w:uiPriority w:val="32"/>
    <w:qFormat/>
    <w:rsid w:val="00BE6A74"/>
    <w:rPr>
      <w:b/>
      <w:bCs/>
      <w:smallCaps/>
      <w:color w:val="0F4761" w:themeColor="accent1" w:themeShade="BF"/>
      <w:spacing w:val="5"/>
    </w:rPr>
  </w:style>
  <w:style w:type="character" w:styleId="CommentReference">
    <w:name w:val="annotation reference"/>
    <w:basedOn w:val="DefaultParagraphFont"/>
    <w:uiPriority w:val="99"/>
    <w:semiHidden/>
    <w:unhideWhenUsed/>
    <w:rsid w:val="00530B15"/>
    <w:rPr>
      <w:sz w:val="16"/>
      <w:szCs w:val="16"/>
    </w:rPr>
  </w:style>
  <w:style w:type="paragraph" w:styleId="CommentText">
    <w:name w:val="annotation text"/>
    <w:basedOn w:val="Normal"/>
    <w:link w:val="CommentTextChar"/>
    <w:uiPriority w:val="99"/>
    <w:unhideWhenUsed/>
    <w:rsid w:val="00530B15"/>
    <w:pPr>
      <w:spacing w:line="240" w:lineRule="auto"/>
    </w:pPr>
    <w:rPr>
      <w:sz w:val="20"/>
      <w:szCs w:val="20"/>
    </w:rPr>
  </w:style>
  <w:style w:type="character" w:customStyle="1" w:styleId="CommentTextChar">
    <w:name w:val="Comment Text Char"/>
    <w:basedOn w:val="DefaultParagraphFont"/>
    <w:link w:val="CommentText"/>
    <w:uiPriority w:val="99"/>
    <w:rsid w:val="00530B15"/>
    <w:rPr>
      <w:kern w:val="0"/>
      <w:sz w:val="20"/>
      <w:szCs w:val="20"/>
    </w:rPr>
  </w:style>
  <w:style w:type="paragraph" w:styleId="CommentSubject">
    <w:name w:val="annotation subject"/>
    <w:basedOn w:val="CommentText"/>
    <w:next w:val="CommentText"/>
    <w:link w:val="CommentSubjectChar"/>
    <w:uiPriority w:val="99"/>
    <w:semiHidden/>
    <w:unhideWhenUsed/>
    <w:rsid w:val="00530B15"/>
    <w:rPr>
      <w:b/>
      <w:bCs/>
    </w:rPr>
  </w:style>
  <w:style w:type="character" w:customStyle="1" w:styleId="CommentSubjectChar">
    <w:name w:val="Comment Subject Char"/>
    <w:basedOn w:val="CommentTextChar"/>
    <w:link w:val="CommentSubject"/>
    <w:uiPriority w:val="99"/>
    <w:semiHidden/>
    <w:rsid w:val="00530B15"/>
    <w:rPr>
      <w:b/>
      <w:bCs/>
      <w:kern w:val="0"/>
      <w:sz w:val="20"/>
      <w:szCs w:val="20"/>
    </w:rPr>
  </w:style>
  <w:style w:type="character" w:styleId="Hyperlink">
    <w:name w:val="Hyperlink"/>
    <w:basedOn w:val="DefaultParagraphFont"/>
    <w:uiPriority w:val="99"/>
    <w:unhideWhenUsed/>
    <w:rsid w:val="00A70FF4"/>
    <w:rPr>
      <w:color w:val="467886" w:themeColor="hyperlink"/>
      <w:u w:val="single"/>
    </w:rPr>
  </w:style>
  <w:style w:type="character" w:styleId="UnresolvedMention">
    <w:name w:val="Unresolved Mention"/>
    <w:basedOn w:val="DefaultParagraphFont"/>
    <w:uiPriority w:val="99"/>
    <w:semiHidden/>
    <w:unhideWhenUsed/>
    <w:rsid w:val="00A70FF4"/>
    <w:rPr>
      <w:color w:val="605E5C"/>
      <w:shd w:val="clear" w:color="auto" w:fill="E1DFDD"/>
    </w:rPr>
  </w:style>
  <w:style w:type="character" w:styleId="FollowedHyperlink">
    <w:name w:val="FollowedHyperlink"/>
    <w:basedOn w:val="DefaultParagraphFont"/>
    <w:uiPriority w:val="99"/>
    <w:semiHidden/>
    <w:unhideWhenUsed/>
    <w:rsid w:val="00AE256A"/>
    <w:rPr>
      <w:color w:val="96607D" w:themeColor="followedHyperlink"/>
      <w:u w:val="single"/>
    </w:rPr>
  </w:style>
  <w:style w:type="paragraph" w:styleId="NormalWeb">
    <w:name w:val="Normal (Web)"/>
    <w:basedOn w:val="Normal"/>
    <w:uiPriority w:val="99"/>
    <w:semiHidden/>
    <w:unhideWhenUsed/>
    <w:rsid w:val="00F80A5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423967">
      <w:bodyDiv w:val="1"/>
      <w:marLeft w:val="0"/>
      <w:marRight w:val="0"/>
      <w:marTop w:val="0"/>
      <w:marBottom w:val="0"/>
      <w:divBdr>
        <w:top w:val="none" w:sz="0" w:space="0" w:color="auto"/>
        <w:left w:val="none" w:sz="0" w:space="0" w:color="auto"/>
        <w:bottom w:val="none" w:sz="0" w:space="0" w:color="auto"/>
        <w:right w:val="none" w:sz="0" w:space="0" w:color="auto"/>
      </w:divBdr>
    </w:div>
    <w:div w:id="159152892">
      <w:bodyDiv w:val="1"/>
      <w:marLeft w:val="0"/>
      <w:marRight w:val="0"/>
      <w:marTop w:val="0"/>
      <w:marBottom w:val="0"/>
      <w:divBdr>
        <w:top w:val="none" w:sz="0" w:space="0" w:color="auto"/>
        <w:left w:val="none" w:sz="0" w:space="0" w:color="auto"/>
        <w:bottom w:val="none" w:sz="0" w:space="0" w:color="auto"/>
        <w:right w:val="none" w:sz="0" w:space="0" w:color="auto"/>
      </w:divBdr>
    </w:div>
    <w:div w:id="187957678">
      <w:bodyDiv w:val="1"/>
      <w:marLeft w:val="0"/>
      <w:marRight w:val="0"/>
      <w:marTop w:val="0"/>
      <w:marBottom w:val="0"/>
      <w:divBdr>
        <w:top w:val="none" w:sz="0" w:space="0" w:color="auto"/>
        <w:left w:val="none" w:sz="0" w:space="0" w:color="auto"/>
        <w:bottom w:val="none" w:sz="0" w:space="0" w:color="auto"/>
        <w:right w:val="none" w:sz="0" w:space="0" w:color="auto"/>
      </w:divBdr>
    </w:div>
    <w:div w:id="227229008">
      <w:bodyDiv w:val="1"/>
      <w:marLeft w:val="0"/>
      <w:marRight w:val="0"/>
      <w:marTop w:val="0"/>
      <w:marBottom w:val="0"/>
      <w:divBdr>
        <w:top w:val="none" w:sz="0" w:space="0" w:color="auto"/>
        <w:left w:val="none" w:sz="0" w:space="0" w:color="auto"/>
        <w:bottom w:val="none" w:sz="0" w:space="0" w:color="auto"/>
        <w:right w:val="none" w:sz="0" w:space="0" w:color="auto"/>
      </w:divBdr>
    </w:div>
    <w:div w:id="236212553">
      <w:bodyDiv w:val="1"/>
      <w:marLeft w:val="0"/>
      <w:marRight w:val="0"/>
      <w:marTop w:val="0"/>
      <w:marBottom w:val="0"/>
      <w:divBdr>
        <w:top w:val="none" w:sz="0" w:space="0" w:color="auto"/>
        <w:left w:val="none" w:sz="0" w:space="0" w:color="auto"/>
        <w:bottom w:val="none" w:sz="0" w:space="0" w:color="auto"/>
        <w:right w:val="none" w:sz="0" w:space="0" w:color="auto"/>
      </w:divBdr>
    </w:div>
    <w:div w:id="277613059">
      <w:bodyDiv w:val="1"/>
      <w:marLeft w:val="0"/>
      <w:marRight w:val="0"/>
      <w:marTop w:val="0"/>
      <w:marBottom w:val="0"/>
      <w:divBdr>
        <w:top w:val="none" w:sz="0" w:space="0" w:color="auto"/>
        <w:left w:val="none" w:sz="0" w:space="0" w:color="auto"/>
        <w:bottom w:val="none" w:sz="0" w:space="0" w:color="auto"/>
        <w:right w:val="none" w:sz="0" w:space="0" w:color="auto"/>
      </w:divBdr>
    </w:div>
    <w:div w:id="332490280">
      <w:bodyDiv w:val="1"/>
      <w:marLeft w:val="0"/>
      <w:marRight w:val="0"/>
      <w:marTop w:val="0"/>
      <w:marBottom w:val="0"/>
      <w:divBdr>
        <w:top w:val="none" w:sz="0" w:space="0" w:color="auto"/>
        <w:left w:val="none" w:sz="0" w:space="0" w:color="auto"/>
        <w:bottom w:val="none" w:sz="0" w:space="0" w:color="auto"/>
        <w:right w:val="none" w:sz="0" w:space="0" w:color="auto"/>
      </w:divBdr>
    </w:div>
    <w:div w:id="333265402">
      <w:bodyDiv w:val="1"/>
      <w:marLeft w:val="0"/>
      <w:marRight w:val="0"/>
      <w:marTop w:val="0"/>
      <w:marBottom w:val="0"/>
      <w:divBdr>
        <w:top w:val="none" w:sz="0" w:space="0" w:color="auto"/>
        <w:left w:val="none" w:sz="0" w:space="0" w:color="auto"/>
        <w:bottom w:val="none" w:sz="0" w:space="0" w:color="auto"/>
        <w:right w:val="none" w:sz="0" w:space="0" w:color="auto"/>
      </w:divBdr>
    </w:div>
    <w:div w:id="342319847">
      <w:bodyDiv w:val="1"/>
      <w:marLeft w:val="0"/>
      <w:marRight w:val="0"/>
      <w:marTop w:val="0"/>
      <w:marBottom w:val="0"/>
      <w:divBdr>
        <w:top w:val="none" w:sz="0" w:space="0" w:color="auto"/>
        <w:left w:val="none" w:sz="0" w:space="0" w:color="auto"/>
        <w:bottom w:val="none" w:sz="0" w:space="0" w:color="auto"/>
        <w:right w:val="none" w:sz="0" w:space="0" w:color="auto"/>
      </w:divBdr>
    </w:div>
    <w:div w:id="345907049">
      <w:bodyDiv w:val="1"/>
      <w:marLeft w:val="0"/>
      <w:marRight w:val="0"/>
      <w:marTop w:val="0"/>
      <w:marBottom w:val="0"/>
      <w:divBdr>
        <w:top w:val="none" w:sz="0" w:space="0" w:color="auto"/>
        <w:left w:val="none" w:sz="0" w:space="0" w:color="auto"/>
        <w:bottom w:val="none" w:sz="0" w:space="0" w:color="auto"/>
        <w:right w:val="none" w:sz="0" w:space="0" w:color="auto"/>
      </w:divBdr>
    </w:div>
    <w:div w:id="362292253">
      <w:bodyDiv w:val="1"/>
      <w:marLeft w:val="0"/>
      <w:marRight w:val="0"/>
      <w:marTop w:val="0"/>
      <w:marBottom w:val="0"/>
      <w:divBdr>
        <w:top w:val="none" w:sz="0" w:space="0" w:color="auto"/>
        <w:left w:val="none" w:sz="0" w:space="0" w:color="auto"/>
        <w:bottom w:val="none" w:sz="0" w:space="0" w:color="auto"/>
        <w:right w:val="none" w:sz="0" w:space="0" w:color="auto"/>
      </w:divBdr>
    </w:div>
    <w:div w:id="427389149">
      <w:bodyDiv w:val="1"/>
      <w:marLeft w:val="0"/>
      <w:marRight w:val="0"/>
      <w:marTop w:val="0"/>
      <w:marBottom w:val="0"/>
      <w:divBdr>
        <w:top w:val="none" w:sz="0" w:space="0" w:color="auto"/>
        <w:left w:val="none" w:sz="0" w:space="0" w:color="auto"/>
        <w:bottom w:val="none" w:sz="0" w:space="0" w:color="auto"/>
        <w:right w:val="none" w:sz="0" w:space="0" w:color="auto"/>
      </w:divBdr>
    </w:div>
    <w:div w:id="433020937">
      <w:bodyDiv w:val="1"/>
      <w:marLeft w:val="0"/>
      <w:marRight w:val="0"/>
      <w:marTop w:val="0"/>
      <w:marBottom w:val="0"/>
      <w:divBdr>
        <w:top w:val="none" w:sz="0" w:space="0" w:color="auto"/>
        <w:left w:val="none" w:sz="0" w:space="0" w:color="auto"/>
        <w:bottom w:val="none" w:sz="0" w:space="0" w:color="auto"/>
        <w:right w:val="none" w:sz="0" w:space="0" w:color="auto"/>
      </w:divBdr>
    </w:div>
    <w:div w:id="440270947">
      <w:bodyDiv w:val="1"/>
      <w:marLeft w:val="0"/>
      <w:marRight w:val="0"/>
      <w:marTop w:val="0"/>
      <w:marBottom w:val="0"/>
      <w:divBdr>
        <w:top w:val="none" w:sz="0" w:space="0" w:color="auto"/>
        <w:left w:val="none" w:sz="0" w:space="0" w:color="auto"/>
        <w:bottom w:val="none" w:sz="0" w:space="0" w:color="auto"/>
        <w:right w:val="none" w:sz="0" w:space="0" w:color="auto"/>
      </w:divBdr>
    </w:div>
    <w:div w:id="474833777">
      <w:bodyDiv w:val="1"/>
      <w:marLeft w:val="0"/>
      <w:marRight w:val="0"/>
      <w:marTop w:val="0"/>
      <w:marBottom w:val="0"/>
      <w:divBdr>
        <w:top w:val="none" w:sz="0" w:space="0" w:color="auto"/>
        <w:left w:val="none" w:sz="0" w:space="0" w:color="auto"/>
        <w:bottom w:val="none" w:sz="0" w:space="0" w:color="auto"/>
        <w:right w:val="none" w:sz="0" w:space="0" w:color="auto"/>
      </w:divBdr>
    </w:div>
    <w:div w:id="483811866">
      <w:bodyDiv w:val="1"/>
      <w:marLeft w:val="0"/>
      <w:marRight w:val="0"/>
      <w:marTop w:val="0"/>
      <w:marBottom w:val="0"/>
      <w:divBdr>
        <w:top w:val="none" w:sz="0" w:space="0" w:color="auto"/>
        <w:left w:val="none" w:sz="0" w:space="0" w:color="auto"/>
        <w:bottom w:val="none" w:sz="0" w:space="0" w:color="auto"/>
        <w:right w:val="none" w:sz="0" w:space="0" w:color="auto"/>
      </w:divBdr>
    </w:div>
    <w:div w:id="485319803">
      <w:bodyDiv w:val="1"/>
      <w:marLeft w:val="0"/>
      <w:marRight w:val="0"/>
      <w:marTop w:val="0"/>
      <w:marBottom w:val="0"/>
      <w:divBdr>
        <w:top w:val="none" w:sz="0" w:space="0" w:color="auto"/>
        <w:left w:val="none" w:sz="0" w:space="0" w:color="auto"/>
        <w:bottom w:val="none" w:sz="0" w:space="0" w:color="auto"/>
        <w:right w:val="none" w:sz="0" w:space="0" w:color="auto"/>
      </w:divBdr>
    </w:div>
    <w:div w:id="495538842">
      <w:bodyDiv w:val="1"/>
      <w:marLeft w:val="0"/>
      <w:marRight w:val="0"/>
      <w:marTop w:val="0"/>
      <w:marBottom w:val="0"/>
      <w:divBdr>
        <w:top w:val="none" w:sz="0" w:space="0" w:color="auto"/>
        <w:left w:val="none" w:sz="0" w:space="0" w:color="auto"/>
        <w:bottom w:val="none" w:sz="0" w:space="0" w:color="auto"/>
        <w:right w:val="none" w:sz="0" w:space="0" w:color="auto"/>
      </w:divBdr>
    </w:div>
    <w:div w:id="571625647">
      <w:bodyDiv w:val="1"/>
      <w:marLeft w:val="0"/>
      <w:marRight w:val="0"/>
      <w:marTop w:val="0"/>
      <w:marBottom w:val="0"/>
      <w:divBdr>
        <w:top w:val="none" w:sz="0" w:space="0" w:color="auto"/>
        <w:left w:val="none" w:sz="0" w:space="0" w:color="auto"/>
        <w:bottom w:val="none" w:sz="0" w:space="0" w:color="auto"/>
        <w:right w:val="none" w:sz="0" w:space="0" w:color="auto"/>
      </w:divBdr>
    </w:div>
    <w:div w:id="594754729">
      <w:bodyDiv w:val="1"/>
      <w:marLeft w:val="0"/>
      <w:marRight w:val="0"/>
      <w:marTop w:val="0"/>
      <w:marBottom w:val="0"/>
      <w:divBdr>
        <w:top w:val="none" w:sz="0" w:space="0" w:color="auto"/>
        <w:left w:val="none" w:sz="0" w:space="0" w:color="auto"/>
        <w:bottom w:val="none" w:sz="0" w:space="0" w:color="auto"/>
        <w:right w:val="none" w:sz="0" w:space="0" w:color="auto"/>
      </w:divBdr>
    </w:div>
    <w:div w:id="599336643">
      <w:bodyDiv w:val="1"/>
      <w:marLeft w:val="0"/>
      <w:marRight w:val="0"/>
      <w:marTop w:val="0"/>
      <w:marBottom w:val="0"/>
      <w:divBdr>
        <w:top w:val="none" w:sz="0" w:space="0" w:color="auto"/>
        <w:left w:val="none" w:sz="0" w:space="0" w:color="auto"/>
        <w:bottom w:val="none" w:sz="0" w:space="0" w:color="auto"/>
        <w:right w:val="none" w:sz="0" w:space="0" w:color="auto"/>
      </w:divBdr>
    </w:div>
    <w:div w:id="615601128">
      <w:bodyDiv w:val="1"/>
      <w:marLeft w:val="0"/>
      <w:marRight w:val="0"/>
      <w:marTop w:val="0"/>
      <w:marBottom w:val="0"/>
      <w:divBdr>
        <w:top w:val="none" w:sz="0" w:space="0" w:color="auto"/>
        <w:left w:val="none" w:sz="0" w:space="0" w:color="auto"/>
        <w:bottom w:val="none" w:sz="0" w:space="0" w:color="auto"/>
        <w:right w:val="none" w:sz="0" w:space="0" w:color="auto"/>
      </w:divBdr>
    </w:div>
    <w:div w:id="725296792">
      <w:bodyDiv w:val="1"/>
      <w:marLeft w:val="0"/>
      <w:marRight w:val="0"/>
      <w:marTop w:val="0"/>
      <w:marBottom w:val="0"/>
      <w:divBdr>
        <w:top w:val="none" w:sz="0" w:space="0" w:color="auto"/>
        <w:left w:val="none" w:sz="0" w:space="0" w:color="auto"/>
        <w:bottom w:val="none" w:sz="0" w:space="0" w:color="auto"/>
        <w:right w:val="none" w:sz="0" w:space="0" w:color="auto"/>
      </w:divBdr>
    </w:div>
    <w:div w:id="746801738">
      <w:bodyDiv w:val="1"/>
      <w:marLeft w:val="0"/>
      <w:marRight w:val="0"/>
      <w:marTop w:val="0"/>
      <w:marBottom w:val="0"/>
      <w:divBdr>
        <w:top w:val="none" w:sz="0" w:space="0" w:color="auto"/>
        <w:left w:val="none" w:sz="0" w:space="0" w:color="auto"/>
        <w:bottom w:val="none" w:sz="0" w:space="0" w:color="auto"/>
        <w:right w:val="none" w:sz="0" w:space="0" w:color="auto"/>
      </w:divBdr>
    </w:div>
    <w:div w:id="755126682">
      <w:bodyDiv w:val="1"/>
      <w:marLeft w:val="0"/>
      <w:marRight w:val="0"/>
      <w:marTop w:val="0"/>
      <w:marBottom w:val="0"/>
      <w:divBdr>
        <w:top w:val="none" w:sz="0" w:space="0" w:color="auto"/>
        <w:left w:val="none" w:sz="0" w:space="0" w:color="auto"/>
        <w:bottom w:val="none" w:sz="0" w:space="0" w:color="auto"/>
        <w:right w:val="none" w:sz="0" w:space="0" w:color="auto"/>
      </w:divBdr>
    </w:div>
    <w:div w:id="755832701">
      <w:bodyDiv w:val="1"/>
      <w:marLeft w:val="0"/>
      <w:marRight w:val="0"/>
      <w:marTop w:val="0"/>
      <w:marBottom w:val="0"/>
      <w:divBdr>
        <w:top w:val="none" w:sz="0" w:space="0" w:color="auto"/>
        <w:left w:val="none" w:sz="0" w:space="0" w:color="auto"/>
        <w:bottom w:val="none" w:sz="0" w:space="0" w:color="auto"/>
        <w:right w:val="none" w:sz="0" w:space="0" w:color="auto"/>
      </w:divBdr>
    </w:div>
    <w:div w:id="775519945">
      <w:bodyDiv w:val="1"/>
      <w:marLeft w:val="0"/>
      <w:marRight w:val="0"/>
      <w:marTop w:val="0"/>
      <w:marBottom w:val="0"/>
      <w:divBdr>
        <w:top w:val="none" w:sz="0" w:space="0" w:color="auto"/>
        <w:left w:val="none" w:sz="0" w:space="0" w:color="auto"/>
        <w:bottom w:val="none" w:sz="0" w:space="0" w:color="auto"/>
        <w:right w:val="none" w:sz="0" w:space="0" w:color="auto"/>
      </w:divBdr>
    </w:div>
    <w:div w:id="775638023">
      <w:bodyDiv w:val="1"/>
      <w:marLeft w:val="0"/>
      <w:marRight w:val="0"/>
      <w:marTop w:val="0"/>
      <w:marBottom w:val="0"/>
      <w:divBdr>
        <w:top w:val="none" w:sz="0" w:space="0" w:color="auto"/>
        <w:left w:val="none" w:sz="0" w:space="0" w:color="auto"/>
        <w:bottom w:val="none" w:sz="0" w:space="0" w:color="auto"/>
        <w:right w:val="none" w:sz="0" w:space="0" w:color="auto"/>
      </w:divBdr>
    </w:div>
    <w:div w:id="812411668">
      <w:bodyDiv w:val="1"/>
      <w:marLeft w:val="0"/>
      <w:marRight w:val="0"/>
      <w:marTop w:val="0"/>
      <w:marBottom w:val="0"/>
      <w:divBdr>
        <w:top w:val="none" w:sz="0" w:space="0" w:color="auto"/>
        <w:left w:val="none" w:sz="0" w:space="0" w:color="auto"/>
        <w:bottom w:val="none" w:sz="0" w:space="0" w:color="auto"/>
        <w:right w:val="none" w:sz="0" w:space="0" w:color="auto"/>
      </w:divBdr>
    </w:div>
    <w:div w:id="874662118">
      <w:bodyDiv w:val="1"/>
      <w:marLeft w:val="0"/>
      <w:marRight w:val="0"/>
      <w:marTop w:val="0"/>
      <w:marBottom w:val="0"/>
      <w:divBdr>
        <w:top w:val="none" w:sz="0" w:space="0" w:color="auto"/>
        <w:left w:val="none" w:sz="0" w:space="0" w:color="auto"/>
        <w:bottom w:val="none" w:sz="0" w:space="0" w:color="auto"/>
        <w:right w:val="none" w:sz="0" w:space="0" w:color="auto"/>
      </w:divBdr>
    </w:div>
    <w:div w:id="881208176">
      <w:bodyDiv w:val="1"/>
      <w:marLeft w:val="0"/>
      <w:marRight w:val="0"/>
      <w:marTop w:val="0"/>
      <w:marBottom w:val="0"/>
      <w:divBdr>
        <w:top w:val="none" w:sz="0" w:space="0" w:color="auto"/>
        <w:left w:val="none" w:sz="0" w:space="0" w:color="auto"/>
        <w:bottom w:val="none" w:sz="0" w:space="0" w:color="auto"/>
        <w:right w:val="none" w:sz="0" w:space="0" w:color="auto"/>
      </w:divBdr>
    </w:div>
    <w:div w:id="913785788">
      <w:bodyDiv w:val="1"/>
      <w:marLeft w:val="0"/>
      <w:marRight w:val="0"/>
      <w:marTop w:val="0"/>
      <w:marBottom w:val="0"/>
      <w:divBdr>
        <w:top w:val="none" w:sz="0" w:space="0" w:color="auto"/>
        <w:left w:val="none" w:sz="0" w:space="0" w:color="auto"/>
        <w:bottom w:val="none" w:sz="0" w:space="0" w:color="auto"/>
        <w:right w:val="none" w:sz="0" w:space="0" w:color="auto"/>
      </w:divBdr>
    </w:div>
    <w:div w:id="993684324">
      <w:bodyDiv w:val="1"/>
      <w:marLeft w:val="0"/>
      <w:marRight w:val="0"/>
      <w:marTop w:val="0"/>
      <w:marBottom w:val="0"/>
      <w:divBdr>
        <w:top w:val="none" w:sz="0" w:space="0" w:color="auto"/>
        <w:left w:val="none" w:sz="0" w:space="0" w:color="auto"/>
        <w:bottom w:val="none" w:sz="0" w:space="0" w:color="auto"/>
        <w:right w:val="none" w:sz="0" w:space="0" w:color="auto"/>
      </w:divBdr>
    </w:div>
    <w:div w:id="1023045690">
      <w:bodyDiv w:val="1"/>
      <w:marLeft w:val="0"/>
      <w:marRight w:val="0"/>
      <w:marTop w:val="0"/>
      <w:marBottom w:val="0"/>
      <w:divBdr>
        <w:top w:val="none" w:sz="0" w:space="0" w:color="auto"/>
        <w:left w:val="none" w:sz="0" w:space="0" w:color="auto"/>
        <w:bottom w:val="none" w:sz="0" w:space="0" w:color="auto"/>
        <w:right w:val="none" w:sz="0" w:space="0" w:color="auto"/>
      </w:divBdr>
    </w:div>
    <w:div w:id="1056583100">
      <w:bodyDiv w:val="1"/>
      <w:marLeft w:val="0"/>
      <w:marRight w:val="0"/>
      <w:marTop w:val="0"/>
      <w:marBottom w:val="0"/>
      <w:divBdr>
        <w:top w:val="none" w:sz="0" w:space="0" w:color="auto"/>
        <w:left w:val="none" w:sz="0" w:space="0" w:color="auto"/>
        <w:bottom w:val="none" w:sz="0" w:space="0" w:color="auto"/>
        <w:right w:val="none" w:sz="0" w:space="0" w:color="auto"/>
      </w:divBdr>
    </w:div>
    <w:div w:id="1068725954">
      <w:bodyDiv w:val="1"/>
      <w:marLeft w:val="0"/>
      <w:marRight w:val="0"/>
      <w:marTop w:val="0"/>
      <w:marBottom w:val="0"/>
      <w:divBdr>
        <w:top w:val="none" w:sz="0" w:space="0" w:color="auto"/>
        <w:left w:val="none" w:sz="0" w:space="0" w:color="auto"/>
        <w:bottom w:val="none" w:sz="0" w:space="0" w:color="auto"/>
        <w:right w:val="none" w:sz="0" w:space="0" w:color="auto"/>
      </w:divBdr>
    </w:div>
    <w:div w:id="1076589469">
      <w:bodyDiv w:val="1"/>
      <w:marLeft w:val="0"/>
      <w:marRight w:val="0"/>
      <w:marTop w:val="0"/>
      <w:marBottom w:val="0"/>
      <w:divBdr>
        <w:top w:val="none" w:sz="0" w:space="0" w:color="auto"/>
        <w:left w:val="none" w:sz="0" w:space="0" w:color="auto"/>
        <w:bottom w:val="none" w:sz="0" w:space="0" w:color="auto"/>
        <w:right w:val="none" w:sz="0" w:space="0" w:color="auto"/>
      </w:divBdr>
    </w:div>
    <w:div w:id="1092239413">
      <w:bodyDiv w:val="1"/>
      <w:marLeft w:val="0"/>
      <w:marRight w:val="0"/>
      <w:marTop w:val="0"/>
      <w:marBottom w:val="0"/>
      <w:divBdr>
        <w:top w:val="none" w:sz="0" w:space="0" w:color="auto"/>
        <w:left w:val="none" w:sz="0" w:space="0" w:color="auto"/>
        <w:bottom w:val="none" w:sz="0" w:space="0" w:color="auto"/>
        <w:right w:val="none" w:sz="0" w:space="0" w:color="auto"/>
      </w:divBdr>
    </w:div>
    <w:div w:id="1168055178">
      <w:bodyDiv w:val="1"/>
      <w:marLeft w:val="0"/>
      <w:marRight w:val="0"/>
      <w:marTop w:val="0"/>
      <w:marBottom w:val="0"/>
      <w:divBdr>
        <w:top w:val="none" w:sz="0" w:space="0" w:color="auto"/>
        <w:left w:val="none" w:sz="0" w:space="0" w:color="auto"/>
        <w:bottom w:val="none" w:sz="0" w:space="0" w:color="auto"/>
        <w:right w:val="none" w:sz="0" w:space="0" w:color="auto"/>
      </w:divBdr>
    </w:div>
    <w:div w:id="1169977174">
      <w:bodyDiv w:val="1"/>
      <w:marLeft w:val="0"/>
      <w:marRight w:val="0"/>
      <w:marTop w:val="0"/>
      <w:marBottom w:val="0"/>
      <w:divBdr>
        <w:top w:val="none" w:sz="0" w:space="0" w:color="auto"/>
        <w:left w:val="none" w:sz="0" w:space="0" w:color="auto"/>
        <w:bottom w:val="none" w:sz="0" w:space="0" w:color="auto"/>
        <w:right w:val="none" w:sz="0" w:space="0" w:color="auto"/>
      </w:divBdr>
    </w:div>
    <w:div w:id="1177768146">
      <w:bodyDiv w:val="1"/>
      <w:marLeft w:val="0"/>
      <w:marRight w:val="0"/>
      <w:marTop w:val="0"/>
      <w:marBottom w:val="0"/>
      <w:divBdr>
        <w:top w:val="none" w:sz="0" w:space="0" w:color="auto"/>
        <w:left w:val="none" w:sz="0" w:space="0" w:color="auto"/>
        <w:bottom w:val="none" w:sz="0" w:space="0" w:color="auto"/>
        <w:right w:val="none" w:sz="0" w:space="0" w:color="auto"/>
      </w:divBdr>
    </w:div>
    <w:div w:id="1195461062">
      <w:bodyDiv w:val="1"/>
      <w:marLeft w:val="0"/>
      <w:marRight w:val="0"/>
      <w:marTop w:val="0"/>
      <w:marBottom w:val="0"/>
      <w:divBdr>
        <w:top w:val="none" w:sz="0" w:space="0" w:color="auto"/>
        <w:left w:val="none" w:sz="0" w:space="0" w:color="auto"/>
        <w:bottom w:val="none" w:sz="0" w:space="0" w:color="auto"/>
        <w:right w:val="none" w:sz="0" w:space="0" w:color="auto"/>
      </w:divBdr>
    </w:div>
    <w:div w:id="1265727162">
      <w:bodyDiv w:val="1"/>
      <w:marLeft w:val="0"/>
      <w:marRight w:val="0"/>
      <w:marTop w:val="0"/>
      <w:marBottom w:val="0"/>
      <w:divBdr>
        <w:top w:val="none" w:sz="0" w:space="0" w:color="auto"/>
        <w:left w:val="none" w:sz="0" w:space="0" w:color="auto"/>
        <w:bottom w:val="none" w:sz="0" w:space="0" w:color="auto"/>
        <w:right w:val="none" w:sz="0" w:space="0" w:color="auto"/>
      </w:divBdr>
    </w:div>
    <w:div w:id="1282032542">
      <w:bodyDiv w:val="1"/>
      <w:marLeft w:val="0"/>
      <w:marRight w:val="0"/>
      <w:marTop w:val="0"/>
      <w:marBottom w:val="0"/>
      <w:divBdr>
        <w:top w:val="none" w:sz="0" w:space="0" w:color="auto"/>
        <w:left w:val="none" w:sz="0" w:space="0" w:color="auto"/>
        <w:bottom w:val="none" w:sz="0" w:space="0" w:color="auto"/>
        <w:right w:val="none" w:sz="0" w:space="0" w:color="auto"/>
      </w:divBdr>
    </w:div>
    <w:div w:id="1293563265">
      <w:bodyDiv w:val="1"/>
      <w:marLeft w:val="0"/>
      <w:marRight w:val="0"/>
      <w:marTop w:val="0"/>
      <w:marBottom w:val="0"/>
      <w:divBdr>
        <w:top w:val="none" w:sz="0" w:space="0" w:color="auto"/>
        <w:left w:val="none" w:sz="0" w:space="0" w:color="auto"/>
        <w:bottom w:val="none" w:sz="0" w:space="0" w:color="auto"/>
        <w:right w:val="none" w:sz="0" w:space="0" w:color="auto"/>
      </w:divBdr>
    </w:div>
    <w:div w:id="1348869819">
      <w:bodyDiv w:val="1"/>
      <w:marLeft w:val="0"/>
      <w:marRight w:val="0"/>
      <w:marTop w:val="0"/>
      <w:marBottom w:val="0"/>
      <w:divBdr>
        <w:top w:val="none" w:sz="0" w:space="0" w:color="auto"/>
        <w:left w:val="none" w:sz="0" w:space="0" w:color="auto"/>
        <w:bottom w:val="none" w:sz="0" w:space="0" w:color="auto"/>
        <w:right w:val="none" w:sz="0" w:space="0" w:color="auto"/>
      </w:divBdr>
    </w:div>
    <w:div w:id="1483960096">
      <w:bodyDiv w:val="1"/>
      <w:marLeft w:val="0"/>
      <w:marRight w:val="0"/>
      <w:marTop w:val="0"/>
      <w:marBottom w:val="0"/>
      <w:divBdr>
        <w:top w:val="none" w:sz="0" w:space="0" w:color="auto"/>
        <w:left w:val="none" w:sz="0" w:space="0" w:color="auto"/>
        <w:bottom w:val="none" w:sz="0" w:space="0" w:color="auto"/>
        <w:right w:val="none" w:sz="0" w:space="0" w:color="auto"/>
      </w:divBdr>
    </w:div>
    <w:div w:id="1497959203">
      <w:bodyDiv w:val="1"/>
      <w:marLeft w:val="0"/>
      <w:marRight w:val="0"/>
      <w:marTop w:val="0"/>
      <w:marBottom w:val="0"/>
      <w:divBdr>
        <w:top w:val="none" w:sz="0" w:space="0" w:color="auto"/>
        <w:left w:val="none" w:sz="0" w:space="0" w:color="auto"/>
        <w:bottom w:val="none" w:sz="0" w:space="0" w:color="auto"/>
        <w:right w:val="none" w:sz="0" w:space="0" w:color="auto"/>
      </w:divBdr>
    </w:div>
    <w:div w:id="1499924714">
      <w:bodyDiv w:val="1"/>
      <w:marLeft w:val="0"/>
      <w:marRight w:val="0"/>
      <w:marTop w:val="0"/>
      <w:marBottom w:val="0"/>
      <w:divBdr>
        <w:top w:val="none" w:sz="0" w:space="0" w:color="auto"/>
        <w:left w:val="none" w:sz="0" w:space="0" w:color="auto"/>
        <w:bottom w:val="none" w:sz="0" w:space="0" w:color="auto"/>
        <w:right w:val="none" w:sz="0" w:space="0" w:color="auto"/>
      </w:divBdr>
    </w:div>
    <w:div w:id="1543057352">
      <w:bodyDiv w:val="1"/>
      <w:marLeft w:val="0"/>
      <w:marRight w:val="0"/>
      <w:marTop w:val="0"/>
      <w:marBottom w:val="0"/>
      <w:divBdr>
        <w:top w:val="none" w:sz="0" w:space="0" w:color="auto"/>
        <w:left w:val="none" w:sz="0" w:space="0" w:color="auto"/>
        <w:bottom w:val="none" w:sz="0" w:space="0" w:color="auto"/>
        <w:right w:val="none" w:sz="0" w:space="0" w:color="auto"/>
      </w:divBdr>
    </w:div>
    <w:div w:id="1559393138">
      <w:bodyDiv w:val="1"/>
      <w:marLeft w:val="0"/>
      <w:marRight w:val="0"/>
      <w:marTop w:val="0"/>
      <w:marBottom w:val="0"/>
      <w:divBdr>
        <w:top w:val="none" w:sz="0" w:space="0" w:color="auto"/>
        <w:left w:val="none" w:sz="0" w:space="0" w:color="auto"/>
        <w:bottom w:val="none" w:sz="0" w:space="0" w:color="auto"/>
        <w:right w:val="none" w:sz="0" w:space="0" w:color="auto"/>
      </w:divBdr>
    </w:div>
    <w:div w:id="1571310277">
      <w:bodyDiv w:val="1"/>
      <w:marLeft w:val="0"/>
      <w:marRight w:val="0"/>
      <w:marTop w:val="0"/>
      <w:marBottom w:val="0"/>
      <w:divBdr>
        <w:top w:val="none" w:sz="0" w:space="0" w:color="auto"/>
        <w:left w:val="none" w:sz="0" w:space="0" w:color="auto"/>
        <w:bottom w:val="none" w:sz="0" w:space="0" w:color="auto"/>
        <w:right w:val="none" w:sz="0" w:space="0" w:color="auto"/>
      </w:divBdr>
    </w:div>
    <w:div w:id="1578317929">
      <w:bodyDiv w:val="1"/>
      <w:marLeft w:val="0"/>
      <w:marRight w:val="0"/>
      <w:marTop w:val="0"/>
      <w:marBottom w:val="0"/>
      <w:divBdr>
        <w:top w:val="none" w:sz="0" w:space="0" w:color="auto"/>
        <w:left w:val="none" w:sz="0" w:space="0" w:color="auto"/>
        <w:bottom w:val="none" w:sz="0" w:space="0" w:color="auto"/>
        <w:right w:val="none" w:sz="0" w:space="0" w:color="auto"/>
      </w:divBdr>
    </w:div>
    <w:div w:id="1591426493">
      <w:bodyDiv w:val="1"/>
      <w:marLeft w:val="0"/>
      <w:marRight w:val="0"/>
      <w:marTop w:val="0"/>
      <w:marBottom w:val="0"/>
      <w:divBdr>
        <w:top w:val="none" w:sz="0" w:space="0" w:color="auto"/>
        <w:left w:val="none" w:sz="0" w:space="0" w:color="auto"/>
        <w:bottom w:val="none" w:sz="0" w:space="0" w:color="auto"/>
        <w:right w:val="none" w:sz="0" w:space="0" w:color="auto"/>
      </w:divBdr>
    </w:div>
    <w:div w:id="1601717698">
      <w:bodyDiv w:val="1"/>
      <w:marLeft w:val="0"/>
      <w:marRight w:val="0"/>
      <w:marTop w:val="0"/>
      <w:marBottom w:val="0"/>
      <w:divBdr>
        <w:top w:val="none" w:sz="0" w:space="0" w:color="auto"/>
        <w:left w:val="none" w:sz="0" w:space="0" w:color="auto"/>
        <w:bottom w:val="none" w:sz="0" w:space="0" w:color="auto"/>
        <w:right w:val="none" w:sz="0" w:space="0" w:color="auto"/>
      </w:divBdr>
    </w:div>
    <w:div w:id="1613396503">
      <w:bodyDiv w:val="1"/>
      <w:marLeft w:val="0"/>
      <w:marRight w:val="0"/>
      <w:marTop w:val="0"/>
      <w:marBottom w:val="0"/>
      <w:divBdr>
        <w:top w:val="none" w:sz="0" w:space="0" w:color="auto"/>
        <w:left w:val="none" w:sz="0" w:space="0" w:color="auto"/>
        <w:bottom w:val="none" w:sz="0" w:space="0" w:color="auto"/>
        <w:right w:val="none" w:sz="0" w:space="0" w:color="auto"/>
      </w:divBdr>
    </w:div>
    <w:div w:id="1663318020">
      <w:bodyDiv w:val="1"/>
      <w:marLeft w:val="0"/>
      <w:marRight w:val="0"/>
      <w:marTop w:val="0"/>
      <w:marBottom w:val="0"/>
      <w:divBdr>
        <w:top w:val="none" w:sz="0" w:space="0" w:color="auto"/>
        <w:left w:val="none" w:sz="0" w:space="0" w:color="auto"/>
        <w:bottom w:val="none" w:sz="0" w:space="0" w:color="auto"/>
        <w:right w:val="none" w:sz="0" w:space="0" w:color="auto"/>
      </w:divBdr>
    </w:div>
    <w:div w:id="1676760679">
      <w:bodyDiv w:val="1"/>
      <w:marLeft w:val="0"/>
      <w:marRight w:val="0"/>
      <w:marTop w:val="0"/>
      <w:marBottom w:val="0"/>
      <w:divBdr>
        <w:top w:val="none" w:sz="0" w:space="0" w:color="auto"/>
        <w:left w:val="none" w:sz="0" w:space="0" w:color="auto"/>
        <w:bottom w:val="none" w:sz="0" w:space="0" w:color="auto"/>
        <w:right w:val="none" w:sz="0" w:space="0" w:color="auto"/>
      </w:divBdr>
    </w:div>
    <w:div w:id="1710034963">
      <w:bodyDiv w:val="1"/>
      <w:marLeft w:val="0"/>
      <w:marRight w:val="0"/>
      <w:marTop w:val="0"/>
      <w:marBottom w:val="0"/>
      <w:divBdr>
        <w:top w:val="none" w:sz="0" w:space="0" w:color="auto"/>
        <w:left w:val="none" w:sz="0" w:space="0" w:color="auto"/>
        <w:bottom w:val="none" w:sz="0" w:space="0" w:color="auto"/>
        <w:right w:val="none" w:sz="0" w:space="0" w:color="auto"/>
      </w:divBdr>
    </w:div>
    <w:div w:id="1740011725">
      <w:bodyDiv w:val="1"/>
      <w:marLeft w:val="0"/>
      <w:marRight w:val="0"/>
      <w:marTop w:val="0"/>
      <w:marBottom w:val="0"/>
      <w:divBdr>
        <w:top w:val="none" w:sz="0" w:space="0" w:color="auto"/>
        <w:left w:val="none" w:sz="0" w:space="0" w:color="auto"/>
        <w:bottom w:val="none" w:sz="0" w:space="0" w:color="auto"/>
        <w:right w:val="none" w:sz="0" w:space="0" w:color="auto"/>
      </w:divBdr>
    </w:div>
    <w:div w:id="1840078813">
      <w:bodyDiv w:val="1"/>
      <w:marLeft w:val="0"/>
      <w:marRight w:val="0"/>
      <w:marTop w:val="0"/>
      <w:marBottom w:val="0"/>
      <w:divBdr>
        <w:top w:val="none" w:sz="0" w:space="0" w:color="auto"/>
        <w:left w:val="none" w:sz="0" w:space="0" w:color="auto"/>
        <w:bottom w:val="none" w:sz="0" w:space="0" w:color="auto"/>
        <w:right w:val="none" w:sz="0" w:space="0" w:color="auto"/>
      </w:divBdr>
    </w:div>
    <w:div w:id="1850411623">
      <w:bodyDiv w:val="1"/>
      <w:marLeft w:val="0"/>
      <w:marRight w:val="0"/>
      <w:marTop w:val="0"/>
      <w:marBottom w:val="0"/>
      <w:divBdr>
        <w:top w:val="none" w:sz="0" w:space="0" w:color="auto"/>
        <w:left w:val="none" w:sz="0" w:space="0" w:color="auto"/>
        <w:bottom w:val="none" w:sz="0" w:space="0" w:color="auto"/>
        <w:right w:val="none" w:sz="0" w:space="0" w:color="auto"/>
      </w:divBdr>
    </w:div>
    <w:div w:id="1868980262">
      <w:bodyDiv w:val="1"/>
      <w:marLeft w:val="0"/>
      <w:marRight w:val="0"/>
      <w:marTop w:val="0"/>
      <w:marBottom w:val="0"/>
      <w:divBdr>
        <w:top w:val="none" w:sz="0" w:space="0" w:color="auto"/>
        <w:left w:val="none" w:sz="0" w:space="0" w:color="auto"/>
        <w:bottom w:val="none" w:sz="0" w:space="0" w:color="auto"/>
        <w:right w:val="none" w:sz="0" w:space="0" w:color="auto"/>
      </w:divBdr>
    </w:div>
    <w:div w:id="1896309146">
      <w:bodyDiv w:val="1"/>
      <w:marLeft w:val="0"/>
      <w:marRight w:val="0"/>
      <w:marTop w:val="0"/>
      <w:marBottom w:val="0"/>
      <w:divBdr>
        <w:top w:val="none" w:sz="0" w:space="0" w:color="auto"/>
        <w:left w:val="none" w:sz="0" w:space="0" w:color="auto"/>
        <w:bottom w:val="none" w:sz="0" w:space="0" w:color="auto"/>
        <w:right w:val="none" w:sz="0" w:space="0" w:color="auto"/>
      </w:divBdr>
    </w:div>
    <w:div w:id="1951931777">
      <w:bodyDiv w:val="1"/>
      <w:marLeft w:val="0"/>
      <w:marRight w:val="0"/>
      <w:marTop w:val="0"/>
      <w:marBottom w:val="0"/>
      <w:divBdr>
        <w:top w:val="none" w:sz="0" w:space="0" w:color="auto"/>
        <w:left w:val="none" w:sz="0" w:space="0" w:color="auto"/>
        <w:bottom w:val="none" w:sz="0" w:space="0" w:color="auto"/>
        <w:right w:val="none" w:sz="0" w:space="0" w:color="auto"/>
      </w:divBdr>
    </w:div>
    <w:div w:id="1958873568">
      <w:bodyDiv w:val="1"/>
      <w:marLeft w:val="0"/>
      <w:marRight w:val="0"/>
      <w:marTop w:val="0"/>
      <w:marBottom w:val="0"/>
      <w:divBdr>
        <w:top w:val="none" w:sz="0" w:space="0" w:color="auto"/>
        <w:left w:val="none" w:sz="0" w:space="0" w:color="auto"/>
        <w:bottom w:val="none" w:sz="0" w:space="0" w:color="auto"/>
        <w:right w:val="none" w:sz="0" w:space="0" w:color="auto"/>
      </w:divBdr>
    </w:div>
    <w:div w:id="2021272349">
      <w:bodyDiv w:val="1"/>
      <w:marLeft w:val="0"/>
      <w:marRight w:val="0"/>
      <w:marTop w:val="0"/>
      <w:marBottom w:val="0"/>
      <w:divBdr>
        <w:top w:val="none" w:sz="0" w:space="0" w:color="auto"/>
        <w:left w:val="none" w:sz="0" w:space="0" w:color="auto"/>
        <w:bottom w:val="none" w:sz="0" w:space="0" w:color="auto"/>
        <w:right w:val="none" w:sz="0" w:space="0" w:color="auto"/>
      </w:divBdr>
    </w:div>
    <w:div w:id="2065331059">
      <w:bodyDiv w:val="1"/>
      <w:marLeft w:val="0"/>
      <w:marRight w:val="0"/>
      <w:marTop w:val="0"/>
      <w:marBottom w:val="0"/>
      <w:divBdr>
        <w:top w:val="none" w:sz="0" w:space="0" w:color="auto"/>
        <w:left w:val="none" w:sz="0" w:space="0" w:color="auto"/>
        <w:bottom w:val="none" w:sz="0" w:space="0" w:color="auto"/>
        <w:right w:val="none" w:sz="0" w:space="0" w:color="auto"/>
      </w:divBdr>
    </w:div>
    <w:div w:id="2114157286">
      <w:bodyDiv w:val="1"/>
      <w:marLeft w:val="0"/>
      <w:marRight w:val="0"/>
      <w:marTop w:val="0"/>
      <w:marBottom w:val="0"/>
      <w:divBdr>
        <w:top w:val="none" w:sz="0" w:space="0" w:color="auto"/>
        <w:left w:val="none" w:sz="0" w:space="0" w:color="auto"/>
        <w:bottom w:val="none" w:sz="0" w:space="0" w:color="auto"/>
        <w:right w:val="none" w:sz="0" w:space="0" w:color="auto"/>
      </w:divBdr>
    </w:div>
    <w:div w:id="211505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national-decision-model/national-decision-model?highlight=national%20decision%20model" TargetMode="External"/><Relationship Id="rId13" Type="http://schemas.openxmlformats.org/officeDocument/2006/relationships/hyperlink" Target="https://www.gov.uk/guidance/police-and-criminal-evidence-act-1984-pace-codes-of-practice" TargetMode="External"/><Relationship Id="rId18" Type="http://schemas.openxmlformats.org/officeDocument/2006/relationships/hyperlink" Target="https://www.nationalarchives.gov.uk/explore-the-collection/stories/the-brixton-riots-and-the-scarman-report/"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eif.org.uk/why-it-matters/what-is-early-intervention" TargetMode="External"/><Relationship Id="rId17" Type="http://schemas.openxmlformats.org/officeDocument/2006/relationships/hyperlink" Target="https://post.parliament.uk/public-trust-and-confidence-in-the-police/" TargetMode="External"/><Relationship Id="rId2" Type="http://schemas.openxmlformats.org/officeDocument/2006/relationships/customXml" Target="../customXml/item2.xml"/><Relationship Id="rId16" Type="http://schemas.openxmlformats.org/officeDocument/2006/relationships/hyperlink" Target="https://localhistories.org/a-brief-history-of-the-british-polic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llege.police.uk/ethics/code-of-ethics/guidance" TargetMode="External"/><Relationship Id="rId5" Type="http://schemas.openxmlformats.org/officeDocument/2006/relationships/styles" Target="styles.xml"/><Relationship Id="rId15" Type="http://schemas.openxmlformats.org/officeDocument/2006/relationships/hyperlink" Target="https://www.gov.uk/government/statistics/police-workforce-england-and-wales-31-march-2021/police-workforce-england-and-wales-31-march-2021" TargetMode="External"/><Relationship Id="rId10" Type="http://schemas.openxmlformats.org/officeDocument/2006/relationships/hyperlink" Target="https://www.college.police.uk/ethics/code-of-ethics/principles" TargetMode="External"/><Relationship Id="rId19" Type="http://schemas.openxmlformats.org/officeDocument/2006/relationships/hyperlink" Target="https://yougov.co.uk/topics/politics/trackers/are-the-police-doing-a-good-job" TargetMode="External"/><Relationship Id="rId4" Type="http://schemas.openxmlformats.org/officeDocument/2006/relationships/numbering" Target="numbering.xml"/><Relationship Id="rId9" Type="http://schemas.openxmlformats.org/officeDocument/2006/relationships/hyperlink" Target="https://assets.publishing.service.gov.uk/media/5a7d867140f0b65084e75b94/Code_of_Ethics_2014_Web_Accessible.pdf" TargetMode="External"/><Relationship Id="rId14" Type="http://schemas.openxmlformats.org/officeDocument/2006/relationships/hyperlink" Target="https://assets.publishing.service.gov.uk/government/uploads/system/uploads/attachment_data/file/935355/police-powers-procedures-mar20-hosb31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F7123CB9D4F104EBC293B72BC21E7A6" ma:contentTypeVersion="14" ma:contentTypeDescription="Create a new document." ma:contentTypeScope="" ma:versionID="44241f93ca0c0a577360919ed7f29c0e">
  <xsd:schema xmlns:xsd="http://www.w3.org/2001/XMLSchema" xmlns:xs="http://www.w3.org/2001/XMLSchema" xmlns:p="http://schemas.microsoft.com/office/2006/metadata/properties" xmlns:ns3="ef6a8d88-13a4-4243-9d22-31f5c6aaf820" xmlns:ns4="49541b5e-56e7-43da-bfd8-915144ae6d25" targetNamespace="http://schemas.microsoft.com/office/2006/metadata/properties" ma:root="true" ma:fieldsID="ab11256a343f5c559bc67185d9af10fd" ns3:_="" ns4:_="">
    <xsd:import namespace="ef6a8d88-13a4-4243-9d22-31f5c6aaf820"/>
    <xsd:import namespace="49541b5e-56e7-43da-bfd8-915144ae6d2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6a8d88-13a4-4243-9d22-31f5c6aaf8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541b5e-56e7-43da-bfd8-915144ae6d2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f6a8d88-13a4-4243-9d22-31f5c6aaf820" xsi:nil="true"/>
  </documentManagement>
</p:properties>
</file>

<file path=customXml/itemProps1.xml><?xml version="1.0" encoding="utf-8"?>
<ds:datastoreItem xmlns:ds="http://schemas.openxmlformats.org/officeDocument/2006/customXml" ds:itemID="{E33D1911-D7C6-405B-9D0C-CAAF99E1802C}">
  <ds:schemaRefs>
    <ds:schemaRef ds:uri="http://schemas.microsoft.com/sharepoint/v3/contenttype/forms"/>
  </ds:schemaRefs>
</ds:datastoreItem>
</file>

<file path=customXml/itemProps2.xml><?xml version="1.0" encoding="utf-8"?>
<ds:datastoreItem xmlns:ds="http://schemas.openxmlformats.org/officeDocument/2006/customXml" ds:itemID="{B3C8C035-0E01-40E0-B9C4-2FB7A3DE96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6a8d88-13a4-4243-9d22-31f5c6aaf820"/>
    <ds:schemaRef ds:uri="49541b5e-56e7-43da-bfd8-915144ae6d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2BBAB1-8D93-45D6-B2B9-928D90F06C5E}">
  <ds:schemaRefs>
    <ds:schemaRef ds:uri="http://schemas.microsoft.com/office/2006/metadata/properties"/>
    <ds:schemaRef ds:uri="http://schemas.microsoft.com/office/infopath/2007/PartnerControls"/>
    <ds:schemaRef ds:uri="ef6a8d88-13a4-4243-9d22-31f5c6aaf82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5240</Words>
  <Characters>34117</Characters>
  <Application>Microsoft Office Word</Application>
  <DocSecurity>0</DocSecurity>
  <Lines>494</Lines>
  <Paragraphs>96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Sundaramoorthy, Anthne</dc:creator>
  <cp:keywords/>
  <dc:description/>
  <cp:lastModifiedBy>Sundaramoorthy, Anthne</cp:lastModifiedBy>
  <cp:revision>2</cp:revision>
  <dcterms:created xsi:type="dcterms:W3CDTF">2025-04-07T22:17:00Z</dcterms:created>
  <dcterms:modified xsi:type="dcterms:W3CDTF">2025-04-07T22:17:00Z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b2f426fd-1fde-4b0e-a021-b79f2d744319</vt:lpwstr>
  </property>
  <property fmtid="{D5CDD505-2E9C-101B-9397-08002B2CF9AE}" pid="3" name="MSIP_Label_f2acd28b-79a3-4a0f-b0ff-4b75658b1549_Enabled">
    <vt:lpwstr>true</vt:lpwstr>
  </property>
  <property fmtid="{D5CDD505-2E9C-101B-9397-08002B2CF9AE}" pid="4" name="MSIP_Label_f2acd28b-79a3-4a0f-b0ff-4b75658b1549_SetDate">
    <vt:lpwstr>2025-01-05T10:38:45Z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f3a8d9b6-fd83-4761-9878-f3fd12ef240a</vt:lpwstr>
  </property>
  <property fmtid="{D5CDD505-2E9C-101B-9397-08002B2CF9AE}" pid="9" name="MSIP_Label_f2acd28b-79a3-4a0f-b0ff-4b75658b1549_ContentBits">
    <vt:lpwstr>0</vt:lpwstr>
  </property>
  <property fmtid="{D5CDD505-2E9C-101B-9397-08002B2CF9AE}" pid="10" name="ContentTypeId">
    <vt:lpwstr>0x0101009F7123CB9D4F104EBC293B72BC21E7A6</vt:lpwstr>
  </property>
</Properties>
</file>