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0BE9C" w14:textId="12674B0B" w:rsidR="008207F2" w:rsidRDefault="008207F2" w:rsidP="008207F2">
      <w:pPr>
        <w:jc w:val="center"/>
        <w:rPr>
          <w:rFonts w:ascii="Arial" w:hAnsi="Arial" w:cs="Arial"/>
        </w:rPr>
      </w:pPr>
      <w:r>
        <w:rPr>
          <w:rFonts w:ascii="Arial" w:hAnsi="Arial" w:cs="Arial"/>
        </w:rPr>
        <w:t>Common Law</w:t>
      </w:r>
    </w:p>
    <w:p w14:paraId="4F19DFCE" w14:textId="77777777" w:rsidR="008207F2" w:rsidRDefault="008207F2">
      <w:pPr>
        <w:rPr>
          <w:rFonts w:ascii="Arial" w:hAnsi="Arial" w:cs="Arial"/>
        </w:rPr>
      </w:pPr>
    </w:p>
    <w:p w14:paraId="0FA4727E" w14:textId="77777777" w:rsidR="008207F2" w:rsidRDefault="008207F2">
      <w:pPr>
        <w:rPr>
          <w:rFonts w:ascii="Arial" w:hAnsi="Arial" w:cs="Arial"/>
        </w:rPr>
      </w:pPr>
    </w:p>
    <w:p w14:paraId="670B885B" w14:textId="77777777" w:rsidR="008207F2" w:rsidRDefault="008207F2">
      <w:pPr>
        <w:rPr>
          <w:rFonts w:ascii="Arial" w:hAnsi="Arial" w:cs="Arial"/>
        </w:rPr>
      </w:pPr>
    </w:p>
    <w:p w14:paraId="483E5F9C" w14:textId="77777777" w:rsidR="008207F2" w:rsidRDefault="008207F2">
      <w:pPr>
        <w:rPr>
          <w:rFonts w:ascii="Arial" w:hAnsi="Arial" w:cs="Arial"/>
        </w:rPr>
      </w:pPr>
    </w:p>
    <w:p w14:paraId="003D2288" w14:textId="77777777" w:rsidR="008207F2" w:rsidRDefault="008207F2">
      <w:pPr>
        <w:rPr>
          <w:rFonts w:ascii="Arial" w:hAnsi="Arial" w:cs="Arial"/>
        </w:rPr>
      </w:pPr>
    </w:p>
    <w:p w14:paraId="0D089F84" w14:textId="77777777" w:rsidR="008207F2" w:rsidRDefault="008207F2">
      <w:pPr>
        <w:rPr>
          <w:rFonts w:ascii="Arial" w:hAnsi="Arial" w:cs="Arial"/>
        </w:rPr>
      </w:pPr>
    </w:p>
    <w:p w14:paraId="00D584D6" w14:textId="77777777" w:rsidR="008207F2" w:rsidRDefault="008207F2">
      <w:pPr>
        <w:rPr>
          <w:rFonts w:ascii="Arial" w:hAnsi="Arial" w:cs="Arial"/>
        </w:rPr>
      </w:pPr>
    </w:p>
    <w:p w14:paraId="00000001" w14:textId="1EDC3477" w:rsidR="00E8299B" w:rsidRPr="008207F2" w:rsidRDefault="008207F2">
      <w:pPr>
        <w:rPr>
          <w:rFonts w:ascii="Arial" w:hAnsi="Arial" w:cs="Arial"/>
        </w:rPr>
      </w:pPr>
      <w:r w:rsidRPr="008207F2">
        <w:rPr>
          <w:rFonts w:ascii="Arial" w:hAnsi="Arial" w:cs="Arial"/>
        </w:rPr>
        <w:t>Module:</w:t>
      </w:r>
      <w:r w:rsidRPr="008207F2">
        <w:rPr>
          <w:rFonts w:ascii="Arial" w:hAnsi="Arial" w:cs="Arial"/>
        </w:rPr>
        <w:tab/>
        <w:t>Legal Process</w:t>
      </w:r>
    </w:p>
    <w:p w14:paraId="00000002" w14:textId="77777777" w:rsidR="00E8299B" w:rsidRPr="008207F2" w:rsidRDefault="008207F2">
      <w:pPr>
        <w:rPr>
          <w:rFonts w:ascii="Arial" w:hAnsi="Arial" w:cs="Arial"/>
        </w:rPr>
      </w:pPr>
      <w:r w:rsidRPr="008207F2">
        <w:rPr>
          <w:rFonts w:ascii="Arial" w:hAnsi="Arial" w:cs="Arial"/>
        </w:rPr>
        <w:t>Module code:</w:t>
      </w:r>
      <w:r w:rsidRPr="008207F2">
        <w:rPr>
          <w:rFonts w:ascii="Arial" w:hAnsi="Arial" w:cs="Arial"/>
        </w:rPr>
        <w:tab/>
        <w:t>BMPL4005, BMLW4006</w:t>
      </w:r>
    </w:p>
    <w:p w14:paraId="00000003" w14:textId="77777777" w:rsidR="00E8299B" w:rsidRPr="008207F2" w:rsidRDefault="008207F2">
      <w:pPr>
        <w:rPr>
          <w:rFonts w:ascii="Arial" w:hAnsi="Arial" w:cs="Arial"/>
        </w:rPr>
      </w:pPr>
      <w:r w:rsidRPr="008207F2">
        <w:rPr>
          <w:rFonts w:ascii="Arial" w:hAnsi="Arial" w:cs="Arial"/>
        </w:rPr>
        <w:br w:type="page"/>
      </w:r>
    </w:p>
    <w:p w14:paraId="00000004" w14:textId="77777777" w:rsidR="00E8299B" w:rsidRPr="008207F2" w:rsidRDefault="008207F2">
      <w:pPr>
        <w:keepNext/>
        <w:keepLines/>
        <w:pBdr>
          <w:top w:val="nil"/>
          <w:left w:val="nil"/>
          <w:bottom w:val="nil"/>
          <w:right w:val="nil"/>
          <w:between w:val="nil"/>
        </w:pBdr>
        <w:spacing w:before="240" w:after="0"/>
        <w:rPr>
          <w:rFonts w:ascii="Arial" w:eastAsia="Calibri" w:hAnsi="Arial" w:cs="Arial"/>
          <w:color w:val="2F5496"/>
        </w:rPr>
      </w:pPr>
      <w:r w:rsidRPr="008207F2">
        <w:rPr>
          <w:rFonts w:ascii="Arial" w:eastAsia="Calibri" w:hAnsi="Arial" w:cs="Arial"/>
          <w:color w:val="2F5496"/>
        </w:rPr>
        <w:lastRenderedPageBreak/>
        <w:t>Contents</w:t>
      </w:r>
    </w:p>
    <w:p w14:paraId="00000005" w14:textId="77777777" w:rsidR="00E8299B" w:rsidRPr="008207F2" w:rsidRDefault="00E8299B">
      <w:pPr>
        <w:rPr>
          <w:rFonts w:ascii="Arial" w:hAnsi="Arial" w:cs="Arial"/>
        </w:rPr>
      </w:pPr>
    </w:p>
    <w:p w14:paraId="00000006" w14:textId="77777777" w:rsidR="00E8299B" w:rsidRPr="008207F2" w:rsidRDefault="00E8299B">
      <w:pPr>
        <w:rPr>
          <w:rFonts w:ascii="Arial" w:hAnsi="Arial" w:cs="Arial"/>
        </w:rPr>
      </w:pPr>
    </w:p>
    <w:sdt>
      <w:sdtPr>
        <w:rPr>
          <w:rFonts w:ascii="Arial" w:hAnsi="Arial" w:cs="Arial"/>
        </w:rPr>
        <w:id w:val="-888797562"/>
        <w:docPartObj>
          <w:docPartGallery w:val="Table of Contents"/>
          <w:docPartUnique/>
        </w:docPartObj>
      </w:sdtPr>
      <w:sdtEndPr/>
      <w:sdtContent>
        <w:p w14:paraId="00000007" w14:textId="77777777" w:rsidR="00E8299B" w:rsidRPr="008207F2" w:rsidRDefault="008207F2">
          <w:pPr>
            <w:pBdr>
              <w:top w:val="nil"/>
              <w:left w:val="nil"/>
              <w:bottom w:val="nil"/>
              <w:right w:val="nil"/>
              <w:between w:val="nil"/>
            </w:pBdr>
            <w:tabs>
              <w:tab w:val="right" w:pos="9350"/>
            </w:tabs>
            <w:spacing w:after="100"/>
            <w:rPr>
              <w:rFonts w:ascii="Arial" w:hAnsi="Arial" w:cs="Arial"/>
              <w:color w:val="000000"/>
            </w:rPr>
          </w:pPr>
          <w:r w:rsidRPr="008207F2">
            <w:rPr>
              <w:rFonts w:ascii="Arial" w:hAnsi="Arial" w:cs="Arial"/>
            </w:rPr>
            <w:fldChar w:fldCharType="begin"/>
          </w:r>
          <w:r w:rsidRPr="008207F2">
            <w:rPr>
              <w:rFonts w:ascii="Arial" w:hAnsi="Arial" w:cs="Arial"/>
            </w:rPr>
            <w:instrText xml:space="preserve"> TOC \h \u \z </w:instrText>
          </w:r>
          <w:r w:rsidRPr="008207F2">
            <w:rPr>
              <w:rFonts w:ascii="Arial" w:hAnsi="Arial" w:cs="Arial"/>
            </w:rPr>
            <w:fldChar w:fldCharType="separate"/>
          </w:r>
          <w:hyperlink w:anchor="_heading=h.gjdgxs">
            <w:r w:rsidRPr="008207F2">
              <w:rPr>
                <w:rFonts w:ascii="Arial" w:hAnsi="Arial" w:cs="Arial"/>
                <w:color w:val="000000"/>
              </w:rPr>
              <w:t>Introduction:</w:t>
            </w:r>
            <w:r w:rsidRPr="008207F2">
              <w:rPr>
                <w:rFonts w:ascii="Arial" w:hAnsi="Arial" w:cs="Arial"/>
                <w:color w:val="000000"/>
              </w:rPr>
              <w:tab/>
              <w:t>3</w:t>
            </w:r>
          </w:hyperlink>
        </w:p>
        <w:p w14:paraId="00000008" w14:textId="77777777" w:rsidR="00E8299B" w:rsidRPr="008207F2" w:rsidRDefault="008207F2">
          <w:pPr>
            <w:pBdr>
              <w:top w:val="nil"/>
              <w:left w:val="nil"/>
              <w:bottom w:val="nil"/>
              <w:right w:val="nil"/>
              <w:between w:val="nil"/>
            </w:pBdr>
            <w:tabs>
              <w:tab w:val="right" w:pos="9350"/>
            </w:tabs>
            <w:spacing w:after="100"/>
            <w:rPr>
              <w:rFonts w:ascii="Arial" w:hAnsi="Arial" w:cs="Arial"/>
              <w:color w:val="000000"/>
            </w:rPr>
          </w:pPr>
          <w:hyperlink w:anchor="_heading=h.30j0zll">
            <w:r w:rsidRPr="008207F2">
              <w:rPr>
                <w:rFonts w:ascii="Arial" w:hAnsi="Arial" w:cs="Arial"/>
                <w:color w:val="000000"/>
              </w:rPr>
              <w:t>Common law:</w:t>
            </w:r>
            <w:r w:rsidRPr="008207F2">
              <w:rPr>
                <w:rFonts w:ascii="Arial" w:hAnsi="Arial" w:cs="Arial"/>
                <w:color w:val="000000"/>
              </w:rPr>
              <w:tab/>
              <w:t>3</w:t>
            </w:r>
          </w:hyperlink>
        </w:p>
        <w:p w14:paraId="00000009" w14:textId="77777777" w:rsidR="00E8299B" w:rsidRPr="008207F2" w:rsidRDefault="008207F2">
          <w:pPr>
            <w:pBdr>
              <w:top w:val="nil"/>
              <w:left w:val="nil"/>
              <w:bottom w:val="nil"/>
              <w:right w:val="nil"/>
              <w:between w:val="nil"/>
            </w:pBdr>
            <w:tabs>
              <w:tab w:val="right" w:pos="9350"/>
            </w:tabs>
            <w:spacing w:after="100"/>
            <w:rPr>
              <w:rFonts w:ascii="Arial" w:hAnsi="Arial" w:cs="Arial"/>
              <w:color w:val="000000"/>
            </w:rPr>
          </w:pPr>
          <w:hyperlink w:anchor="_heading=h.1fob9te">
            <w:r w:rsidRPr="008207F2">
              <w:rPr>
                <w:rFonts w:ascii="Arial" w:hAnsi="Arial" w:cs="Arial"/>
                <w:color w:val="000000"/>
              </w:rPr>
              <w:t>Comparison of the two law systems:</w:t>
            </w:r>
            <w:r w:rsidRPr="008207F2">
              <w:rPr>
                <w:rFonts w:ascii="Arial" w:hAnsi="Arial" w:cs="Arial"/>
                <w:color w:val="000000"/>
              </w:rPr>
              <w:tab/>
              <w:t>4</w:t>
            </w:r>
          </w:hyperlink>
        </w:p>
        <w:p w14:paraId="0000000A" w14:textId="77777777" w:rsidR="00E8299B" w:rsidRPr="008207F2" w:rsidRDefault="008207F2">
          <w:pPr>
            <w:pBdr>
              <w:top w:val="nil"/>
              <w:left w:val="nil"/>
              <w:bottom w:val="nil"/>
              <w:right w:val="nil"/>
              <w:between w:val="nil"/>
            </w:pBdr>
            <w:tabs>
              <w:tab w:val="right" w:pos="9350"/>
            </w:tabs>
            <w:spacing w:after="100"/>
            <w:rPr>
              <w:rFonts w:ascii="Arial" w:hAnsi="Arial" w:cs="Arial"/>
              <w:color w:val="000000"/>
            </w:rPr>
          </w:pPr>
          <w:hyperlink w:anchor="_heading=h.3znysh7">
            <w:r w:rsidRPr="008207F2">
              <w:rPr>
                <w:rFonts w:ascii="Arial" w:hAnsi="Arial" w:cs="Arial"/>
                <w:color w:val="000000"/>
              </w:rPr>
              <w:t>History of the common law:</w:t>
            </w:r>
            <w:r w:rsidRPr="008207F2">
              <w:rPr>
                <w:rFonts w:ascii="Arial" w:hAnsi="Arial" w:cs="Arial"/>
                <w:color w:val="000000"/>
              </w:rPr>
              <w:tab/>
              <w:t>5</w:t>
            </w:r>
          </w:hyperlink>
        </w:p>
        <w:p w14:paraId="0000000B" w14:textId="77777777" w:rsidR="00E8299B" w:rsidRPr="008207F2" w:rsidRDefault="008207F2">
          <w:pPr>
            <w:pBdr>
              <w:top w:val="nil"/>
              <w:left w:val="nil"/>
              <w:bottom w:val="nil"/>
              <w:right w:val="nil"/>
              <w:between w:val="nil"/>
            </w:pBdr>
            <w:tabs>
              <w:tab w:val="right" w:pos="9350"/>
            </w:tabs>
            <w:spacing w:after="100"/>
            <w:rPr>
              <w:rFonts w:ascii="Arial" w:hAnsi="Arial" w:cs="Arial"/>
              <w:color w:val="000000"/>
            </w:rPr>
          </w:pPr>
          <w:hyperlink w:anchor="_heading=h.2et92p0">
            <w:r w:rsidRPr="008207F2">
              <w:rPr>
                <w:rFonts w:ascii="Arial" w:hAnsi="Arial" w:cs="Arial"/>
                <w:color w:val="000000"/>
              </w:rPr>
              <w:t>Examples of common law:</w:t>
            </w:r>
            <w:r w:rsidRPr="008207F2">
              <w:rPr>
                <w:rFonts w:ascii="Arial" w:hAnsi="Arial" w:cs="Arial"/>
                <w:color w:val="000000"/>
              </w:rPr>
              <w:tab/>
              <w:t>5</w:t>
            </w:r>
          </w:hyperlink>
        </w:p>
        <w:p w14:paraId="0000000C" w14:textId="77777777" w:rsidR="00E8299B" w:rsidRPr="008207F2" w:rsidRDefault="008207F2">
          <w:pPr>
            <w:pBdr>
              <w:top w:val="nil"/>
              <w:left w:val="nil"/>
              <w:bottom w:val="nil"/>
              <w:right w:val="nil"/>
              <w:between w:val="nil"/>
            </w:pBdr>
            <w:tabs>
              <w:tab w:val="right" w:pos="9350"/>
            </w:tabs>
            <w:spacing w:after="100"/>
            <w:rPr>
              <w:rFonts w:ascii="Arial" w:hAnsi="Arial" w:cs="Arial"/>
              <w:color w:val="000000"/>
            </w:rPr>
          </w:pPr>
          <w:hyperlink w:anchor="_heading=h.tyjcwt">
            <w:r w:rsidRPr="008207F2">
              <w:rPr>
                <w:rFonts w:ascii="Arial" w:hAnsi="Arial" w:cs="Arial"/>
                <w:color w:val="000000"/>
              </w:rPr>
              <w:t>Conclusion:</w:t>
            </w:r>
            <w:r w:rsidRPr="008207F2">
              <w:rPr>
                <w:rFonts w:ascii="Arial" w:hAnsi="Arial" w:cs="Arial"/>
                <w:color w:val="000000"/>
              </w:rPr>
              <w:tab/>
              <w:t>6</w:t>
            </w:r>
          </w:hyperlink>
        </w:p>
        <w:p w14:paraId="0000000D" w14:textId="77777777" w:rsidR="00E8299B" w:rsidRPr="008207F2" w:rsidRDefault="008207F2">
          <w:pPr>
            <w:pBdr>
              <w:top w:val="nil"/>
              <w:left w:val="nil"/>
              <w:bottom w:val="nil"/>
              <w:right w:val="nil"/>
              <w:between w:val="nil"/>
            </w:pBdr>
            <w:tabs>
              <w:tab w:val="right" w:pos="9350"/>
            </w:tabs>
            <w:spacing w:after="100"/>
            <w:rPr>
              <w:rFonts w:ascii="Arial" w:hAnsi="Arial" w:cs="Arial"/>
              <w:color w:val="000000"/>
            </w:rPr>
          </w:pPr>
          <w:hyperlink w:anchor="_heading=h.3dy6vkm">
            <w:r w:rsidRPr="008207F2">
              <w:rPr>
                <w:rFonts w:ascii="Arial" w:hAnsi="Arial" w:cs="Arial"/>
                <w:color w:val="000000"/>
              </w:rPr>
              <w:t>References:</w:t>
            </w:r>
            <w:r w:rsidRPr="008207F2">
              <w:rPr>
                <w:rFonts w:ascii="Arial" w:hAnsi="Arial" w:cs="Arial"/>
                <w:color w:val="000000"/>
              </w:rPr>
              <w:tab/>
              <w:t>6</w:t>
            </w:r>
          </w:hyperlink>
        </w:p>
        <w:p w14:paraId="0000000E" w14:textId="77777777" w:rsidR="00E8299B" w:rsidRPr="008207F2" w:rsidRDefault="008207F2">
          <w:pPr>
            <w:rPr>
              <w:rFonts w:ascii="Arial" w:hAnsi="Arial" w:cs="Arial"/>
            </w:rPr>
          </w:pPr>
          <w:r w:rsidRPr="008207F2">
            <w:rPr>
              <w:rFonts w:ascii="Arial" w:hAnsi="Arial" w:cs="Arial"/>
            </w:rPr>
            <w:fldChar w:fldCharType="end"/>
          </w:r>
        </w:p>
      </w:sdtContent>
    </w:sdt>
    <w:p w14:paraId="0000000F" w14:textId="77777777" w:rsidR="00E8299B" w:rsidRPr="008207F2" w:rsidRDefault="008207F2">
      <w:pPr>
        <w:rPr>
          <w:rFonts w:ascii="Arial" w:hAnsi="Arial" w:cs="Arial"/>
          <w:color w:val="000000"/>
        </w:rPr>
      </w:pPr>
      <w:r w:rsidRPr="008207F2">
        <w:rPr>
          <w:rFonts w:ascii="Arial" w:hAnsi="Arial" w:cs="Arial"/>
        </w:rPr>
        <w:br w:type="page"/>
      </w:r>
    </w:p>
    <w:p w14:paraId="00000010" w14:textId="77777777" w:rsidR="00E8299B" w:rsidRPr="008207F2" w:rsidRDefault="008207F2">
      <w:pPr>
        <w:pStyle w:val="Heading1"/>
        <w:rPr>
          <w:rFonts w:ascii="Arial" w:hAnsi="Arial" w:cs="Arial"/>
          <w:sz w:val="24"/>
          <w:szCs w:val="24"/>
        </w:rPr>
      </w:pPr>
      <w:bookmarkStart w:id="0" w:name="_heading=h.gjdgxs" w:colFirst="0" w:colLast="0"/>
      <w:bookmarkEnd w:id="0"/>
      <w:r w:rsidRPr="008207F2">
        <w:rPr>
          <w:rFonts w:ascii="Arial" w:hAnsi="Arial" w:cs="Arial"/>
          <w:sz w:val="24"/>
          <w:szCs w:val="24"/>
        </w:rPr>
        <w:lastRenderedPageBreak/>
        <w:t>Introduction:</w:t>
      </w:r>
    </w:p>
    <w:p w14:paraId="00000011" w14:textId="77777777" w:rsidR="00E8299B" w:rsidRPr="008207F2" w:rsidRDefault="008207F2">
      <w:pPr>
        <w:rPr>
          <w:rFonts w:ascii="Arial" w:hAnsi="Arial" w:cs="Arial"/>
        </w:rPr>
      </w:pPr>
      <w:r w:rsidRPr="008207F2">
        <w:rPr>
          <w:rFonts w:ascii="Arial" w:hAnsi="Arial" w:cs="Arial"/>
        </w:rPr>
        <w:t>The English Legal System is a complex and ever evolving body of law which is highly based on common law princi</w:t>
      </w:r>
      <w:r w:rsidRPr="008207F2">
        <w:rPr>
          <w:rFonts w:ascii="Arial" w:hAnsi="Arial" w:cs="Arial"/>
        </w:rPr>
        <w:t xml:space="preserve">ples, which means that judicial decisions are the primary source of law. In simple words we can say that the English law is not based on legislation but instead is based on the judicial decisions on similar cases in the past. If similar cases occur in the </w:t>
      </w:r>
      <w:r w:rsidRPr="008207F2">
        <w:rPr>
          <w:rFonts w:ascii="Arial" w:hAnsi="Arial" w:cs="Arial"/>
        </w:rPr>
        <w:t xml:space="preserve">future, the judges will consider the judgments of the past cases to reach a conclusion. On the other hand, civil </w:t>
      </w:r>
      <w:proofErr w:type="gramStart"/>
      <w:r w:rsidRPr="008207F2">
        <w:rPr>
          <w:rFonts w:ascii="Arial" w:hAnsi="Arial" w:cs="Arial"/>
        </w:rPr>
        <w:t>law  is</w:t>
      </w:r>
      <w:proofErr w:type="gramEnd"/>
      <w:r w:rsidRPr="008207F2">
        <w:rPr>
          <w:rFonts w:ascii="Arial" w:hAnsi="Arial" w:cs="Arial"/>
        </w:rPr>
        <w:t xml:space="preserve"> based on codified laws and legal framework. The common law is followed in many developed countries like the United States, United Kingd</w:t>
      </w:r>
      <w:r w:rsidRPr="008207F2">
        <w:rPr>
          <w:rFonts w:ascii="Arial" w:hAnsi="Arial" w:cs="Arial"/>
        </w:rPr>
        <w:t>om and Canada. The English Legal System has evolved over time to become a hybrid system that incorporates elements of both common law and civil law. While much of the law in England is based on statutes and codes, the common law system still plays a signif</w:t>
      </w:r>
      <w:r w:rsidRPr="008207F2">
        <w:rPr>
          <w:rFonts w:ascii="Arial" w:hAnsi="Arial" w:cs="Arial"/>
        </w:rPr>
        <w:t>icant role in the development and interpretation of the law. Judicial decisions continue to be used as precedents for future cases, and the principles of the common law are still relied upon in many areas of law. (Slapper, G., &amp; Kelly, D. 2013). In this re</w:t>
      </w:r>
      <w:r w:rsidRPr="008207F2">
        <w:rPr>
          <w:rFonts w:ascii="Arial" w:hAnsi="Arial" w:cs="Arial"/>
        </w:rPr>
        <w:t>port, we will explore the history of the common law system, the key similarities and contradictions between common law and civil law, and the role of the common law in the English Legal System. We will also examine some examples of the common law in practi</w:t>
      </w:r>
      <w:r w:rsidRPr="008207F2">
        <w:rPr>
          <w:rFonts w:ascii="Arial" w:hAnsi="Arial" w:cs="Arial"/>
        </w:rPr>
        <w:t xml:space="preserve">ce, to illustrate how this system continues to shape the law today. By the end of this report, it should be clear that the English Legal System is a unique and complex system, with its roots in the common law tradition.  </w:t>
      </w:r>
    </w:p>
    <w:p w14:paraId="00000012" w14:textId="77777777" w:rsidR="00E8299B" w:rsidRPr="008207F2" w:rsidRDefault="00E8299B">
      <w:pPr>
        <w:rPr>
          <w:rFonts w:ascii="Arial" w:hAnsi="Arial" w:cs="Arial"/>
        </w:rPr>
      </w:pPr>
    </w:p>
    <w:p w14:paraId="00000013" w14:textId="77777777" w:rsidR="00E8299B" w:rsidRPr="008207F2" w:rsidRDefault="008207F2">
      <w:pPr>
        <w:rPr>
          <w:rFonts w:ascii="Arial" w:hAnsi="Arial" w:cs="Arial"/>
        </w:rPr>
      </w:pPr>
      <w:r w:rsidRPr="008207F2">
        <w:rPr>
          <w:rFonts w:ascii="Arial" w:hAnsi="Arial" w:cs="Arial"/>
        </w:rPr>
        <w:t xml:space="preserve">     To explain that the legal system of the United Kingdom is based on the common law principles, we will first explain some core concepts about it. With the help of it we will be able to fully understand this legal system.</w:t>
      </w:r>
    </w:p>
    <w:p w14:paraId="00000014" w14:textId="77777777" w:rsidR="00E8299B" w:rsidRPr="008207F2" w:rsidRDefault="008207F2">
      <w:pPr>
        <w:pStyle w:val="Heading1"/>
        <w:rPr>
          <w:rFonts w:ascii="Arial" w:hAnsi="Arial" w:cs="Arial"/>
          <w:sz w:val="24"/>
          <w:szCs w:val="24"/>
        </w:rPr>
      </w:pPr>
      <w:bookmarkStart w:id="1" w:name="_heading=h.30j0zll" w:colFirst="0" w:colLast="0"/>
      <w:bookmarkEnd w:id="1"/>
      <w:r w:rsidRPr="008207F2">
        <w:rPr>
          <w:rFonts w:ascii="Arial" w:hAnsi="Arial" w:cs="Arial"/>
          <w:sz w:val="24"/>
          <w:szCs w:val="24"/>
        </w:rPr>
        <w:t>Common law:</w:t>
      </w:r>
    </w:p>
    <w:p w14:paraId="00000015" w14:textId="77777777" w:rsidR="00E8299B" w:rsidRPr="008207F2" w:rsidRDefault="008207F2">
      <w:pPr>
        <w:rPr>
          <w:rFonts w:ascii="Arial" w:hAnsi="Arial" w:cs="Arial"/>
        </w:rPr>
      </w:pPr>
      <w:proofErr w:type="gramStart"/>
      <w:r w:rsidRPr="008207F2">
        <w:rPr>
          <w:rFonts w:ascii="Arial" w:hAnsi="Arial" w:cs="Arial"/>
        </w:rPr>
        <w:t>It  is</w:t>
      </w:r>
      <w:proofErr w:type="gramEnd"/>
      <w:r w:rsidRPr="008207F2">
        <w:rPr>
          <w:rFonts w:ascii="Arial" w:hAnsi="Arial" w:cs="Arial"/>
        </w:rPr>
        <w:t xml:space="preserve"> a legal syst</w:t>
      </w:r>
      <w:r w:rsidRPr="008207F2">
        <w:rPr>
          <w:rFonts w:ascii="Arial" w:hAnsi="Arial" w:cs="Arial"/>
        </w:rPr>
        <w:t xml:space="preserve">em that is based on judicial decisions and case history. According to sources, it is a form of law in which the judges are bound by past decisions in similar </w:t>
      </w:r>
      <w:proofErr w:type="gramStart"/>
      <w:r w:rsidRPr="008207F2">
        <w:rPr>
          <w:rFonts w:ascii="Arial" w:hAnsi="Arial" w:cs="Arial"/>
        </w:rPr>
        <w:t>cases(</w:t>
      </w:r>
      <w:proofErr w:type="gramEnd"/>
      <w:r w:rsidRPr="008207F2">
        <w:rPr>
          <w:rFonts w:ascii="Arial" w:hAnsi="Arial" w:cs="Arial"/>
        </w:rPr>
        <w:t>Friedman 2016) .This approach to law-making allows for a flexible and adaptable legal system</w:t>
      </w:r>
      <w:r w:rsidRPr="008207F2">
        <w:rPr>
          <w:rFonts w:ascii="Arial" w:hAnsi="Arial" w:cs="Arial"/>
        </w:rPr>
        <w:t xml:space="preserve">, which can evolve over time in response to changing circumstances and societal needs. In the common law system, the law is constantly evolving, and judges are responsible for developing and refining legal principles through their decisions. Common law is </w:t>
      </w:r>
      <w:r w:rsidRPr="008207F2">
        <w:rPr>
          <w:rFonts w:ascii="Arial" w:hAnsi="Arial" w:cs="Arial"/>
        </w:rPr>
        <w:t>a feature of the legal systems in countries such as the UK, the US, and Canada. The common law system has several key features that distinguish it from other legal systems. These include the use of precedent, the reliance on judges to interpret the law, an</w:t>
      </w:r>
      <w:r w:rsidRPr="008207F2">
        <w:rPr>
          <w:rFonts w:ascii="Arial" w:hAnsi="Arial" w:cs="Arial"/>
        </w:rPr>
        <w:t>d the flexibility to adapt to changing social and cultural norms. In short, the common law system is a more adoptable and less rigid legal system that has evolved over time to become a cornerstone of the English Legal System and legal systems around the wo</w:t>
      </w:r>
      <w:r w:rsidRPr="008207F2">
        <w:rPr>
          <w:rFonts w:ascii="Arial" w:hAnsi="Arial" w:cs="Arial"/>
        </w:rPr>
        <w:t xml:space="preserve">rld. </w:t>
      </w:r>
    </w:p>
    <w:p w14:paraId="00000016" w14:textId="77777777" w:rsidR="00E8299B" w:rsidRPr="008207F2" w:rsidRDefault="00E8299B">
      <w:pPr>
        <w:rPr>
          <w:rFonts w:ascii="Arial" w:hAnsi="Arial" w:cs="Arial"/>
        </w:rPr>
      </w:pPr>
    </w:p>
    <w:p w14:paraId="00000017" w14:textId="77777777" w:rsidR="00E8299B" w:rsidRPr="008207F2" w:rsidRDefault="00E8299B">
      <w:pPr>
        <w:rPr>
          <w:rFonts w:ascii="Arial" w:hAnsi="Arial" w:cs="Arial"/>
        </w:rPr>
      </w:pPr>
    </w:p>
    <w:p w14:paraId="00000018" w14:textId="77777777" w:rsidR="00E8299B" w:rsidRPr="008207F2" w:rsidRDefault="008207F2">
      <w:pPr>
        <w:rPr>
          <w:rFonts w:ascii="Arial" w:hAnsi="Arial" w:cs="Arial"/>
        </w:rPr>
      </w:pPr>
      <w:r w:rsidRPr="008207F2">
        <w:rPr>
          <w:rFonts w:ascii="Arial" w:hAnsi="Arial" w:cs="Arial"/>
        </w:rPr>
        <w:lastRenderedPageBreak/>
        <w:t>Civil law:</w:t>
      </w:r>
    </w:p>
    <w:p w14:paraId="00000019" w14:textId="77777777" w:rsidR="00E8299B" w:rsidRPr="008207F2" w:rsidRDefault="008207F2">
      <w:pPr>
        <w:rPr>
          <w:rFonts w:ascii="Arial" w:hAnsi="Arial" w:cs="Arial"/>
        </w:rPr>
      </w:pPr>
      <w:r w:rsidRPr="008207F2">
        <w:rPr>
          <w:rFonts w:ascii="Arial" w:hAnsi="Arial" w:cs="Arial"/>
        </w:rPr>
        <w:t xml:space="preserve">On the contrary, the civil law can be defined as the law system which is based on written law, framework or the constitution of a state. It is a less adoptable system because judges </w:t>
      </w:r>
      <w:proofErr w:type="gramStart"/>
      <w:r w:rsidRPr="008207F2">
        <w:rPr>
          <w:rFonts w:ascii="Arial" w:hAnsi="Arial" w:cs="Arial"/>
        </w:rPr>
        <w:t>have to</w:t>
      </w:r>
      <w:proofErr w:type="gramEnd"/>
      <w:r w:rsidRPr="008207F2">
        <w:rPr>
          <w:rFonts w:ascii="Arial" w:hAnsi="Arial" w:cs="Arial"/>
        </w:rPr>
        <w:t xml:space="preserve"> give decisions according to the rules or framew</w:t>
      </w:r>
      <w:r w:rsidRPr="008207F2">
        <w:rPr>
          <w:rFonts w:ascii="Arial" w:hAnsi="Arial" w:cs="Arial"/>
        </w:rPr>
        <w:t>ork of a country or its constitution. This makes the framework very rigid because judges cannot adopt according to the situation or time; rather they can abide and apply only the rules that are written in the law. In the civil law system, the law is less f</w:t>
      </w:r>
      <w:r w:rsidRPr="008207F2">
        <w:rPr>
          <w:rFonts w:ascii="Arial" w:hAnsi="Arial" w:cs="Arial"/>
        </w:rPr>
        <w:t xml:space="preserve">lexible and less open to interpretation than the common law system. </w:t>
      </w:r>
    </w:p>
    <w:p w14:paraId="0000001A" w14:textId="77777777" w:rsidR="00E8299B" w:rsidRPr="008207F2" w:rsidRDefault="008207F2">
      <w:pPr>
        <w:rPr>
          <w:rFonts w:ascii="Arial" w:hAnsi="Arial" w:cs="Arial"/>
        </w:rPr>
      </w:pPr>
      <w:r w:rsidRPr="008207F2">
        <w:rPr>
          <w:rFonts w:ascii="Arial" w:hAnsi="Arial" w:cs="Arial"/>
        </w:rPr>
        <w:t>It is said that this law system is bound by the legal framework of a state or constitution under which it is working. It is more bounded by boundaries and framework. (</w:t>
      </w:r>
      <w:proofErr w:type="spellStart"/>
      <w:r w:rsidRPr="008207F2">
        <w:rPr>
          <w:rFonts w:ascii="Arial" w:hAnsi="Arial" w:cs="Arial"/>
        </w:rPr>
        <w:t>Zweigert</w:t>
      </w:r>
      <w:proofErr w:type="spellEnd"/>
      <w:r w:rsidRPr="008207F2">
        <w:rPr>
          <w:rFonts w:ascii="Arial" w:hAnsi="Arial" w:cs="Arial"/>
        </w:rPr>
        <w:t xml:space="preserve"> and </w:t>
      </w:r>
      <w:proofErr w:type="spellStart"/>
      <w:r w:rsidRPr="008207F2">
        <w:rPr>
          <w:rFonts w:ascii="Arial" w:hAnsi="Arial" w:cs="Arial"/>
        </w:rPr>
        <w:t>Kötz</w:t>
      </w:r>
      <w:proofErr w:type="spellEnd"/>
      <w:r w:rsidRPr="008207F2">
        <w:rPr>
          <w:rFonts w:ascii="Arial" w:hAnsi="Arial" w:cs="Arial"/>
        </w:rPr>
        <w:t xml:space="preserve"> 19</w:t>
      </w:r>
      <w:r w:rsidRPr="008207F2">
        <w:rPr>
          <w:rFonts w:ascii="Arial" w:hAnsi="Arial" w:cs="Arial"/>
        </w:rPr>
        <w:t>98). The focus of civil law is on interpreting and applying the law, rather than creating new legal principles. Civil law systems are used in many countries around the world, including France, Germany, and Japan. In this system, the judiciary play a more l</w:t>
      </w:r>
      <w:r w:rsidRPr="008207F2">
        <w:rPr>
          <w:rFonts w:ascii="Arial" w:hAnsi="Arial" w:cs="Arial"/>
        </w:rPr>
        <w:t xml:space="preserve">imited role in interpreting the law, and their decisions are based on the explicit wording of legal codes and statutes. One key advantage of the civil law system is its predictability and consistency. Because the law is based on a set of written rules and </w:t>
      </w:r>
      <w:r w:rsidRPr="008207F2">
        <w:rPr>
          <w:rFonts w:ascii="Arial" w:hAnsi="Arial" w:cs="Arial"/>
        </w:rPr>
        <w:t>regulations, legal decisions are more likely to be consistent across cases and over time. However, this rigidity can also be a disadvantage, as it may make it difficult to adapt the law to changing circumstances or social norms. We can say that this law sy</w:t>
      </w:r>
      <w:r w:rsidRPr="008207F2">
        <w:rPr>
          <w:rFonts w:ascii="Arial" w:hAnsi="Arial" w:cs="Arial"/>
        </w:rPr>
        <w:t>stem is solely based on written constitution and codes, rather than judicial decisions. While it may offer greater predictability and consistency than common law systems, it is often criticized for its rigidity and lack of flexibility.</w:t>
      </w:r>
    </w:p>
    <w:p w14:paraId="0000001B" w14:textId="77777777" w:rsidR="00E8299B" w:rsidRPr="008207F2" w:rsidRDefault="00E8299B">
      <w:pPr>
        <w:rPr>
          <w:rFonts w:ascii="Arial" w:hAnsi="Arial" w:cs="Arial"/>
        </w:rPr>
      </w:pPr>
    </w:p>
    <w:p w14:paraId="0000001C" w14:textId="77777777" w:rsidR="00E8299B" w:rsidRPr="008207F2" w:rsidRDefault="00E8299B">
      <w:pPr>
        <w:rPr>
          <w:rFonts w:ascii="Arial" w:hAnsi="Arial" w:cs="Arial"/>
        </w:rPr>
      </w:pPr>
    </w:p>
    <w:p w14:paraId="0000001D" w14:textId="77777777" w:rsidR="00E8299B" w:rsidRPr="008207F2" w:rsidRDefault="008207F2">
      <w:pPr>
        <w:pStyle w:val="Heading1"/>
        <w:rPr>
          <w:rFonts w:ascii="Arial" w:hAnsi="Arial" w:cs="Arial"/>
          <w:sz w:val="24"/>
          <w:szCs w:val="24"/>
        </w:rPr>
      </w:pPr>
      <w:bookmarkStart w:id="2" w:name="_heading=h.1fob9te" w:colFirst="0" w:colLast="0"/>
      <w:bookmarkEnd w:id="2"/>
      <w:r w:rsidRPr="008207F2">
        <w:rPr>
          <w:rFonts w:ascii="Arial" w:hAnsi="Arial" w:cs="Arial"/>
          <w:sz w:val="24"/>
          <w:szCs w:val="24"/>
        </w:rPr>
        <w:t xml:space="preserve">Comparison of the </w:t>
      </w:r>
      <w:r w:rsidRPr="008207F2">
        <w:rPr>
          <w:rFonts w:ascii="Arial" w:hAnsi="Arial" w:cs="Arial"/>
          <w:sz w:val="24"/>
          <w:szCs w:val="24"/>
        </w:rPr>
        <w:t>two law systems:</w:t>
      </w:r>
    </w:p>
    <w:p w14:paraId="0000001E" w14:textId="77777777" w:rsidR="00E8299B" w:rsidRPr="008207F2" w:rsidRDefault="008207F2">
      <w:pPr>
        <w:rPr>
          <w:rFonts w:ascii="Arial" w:hAnsi="Arial" w:cs="Arial"/>
        </w:rPr>
      </w:pPr>
      <w:r w:rsidRPr="008207F2">
        <w:rPr>
          <w:rFonts w:ascii="Arial" w:hAnsi="Arial" w:cs="Arial"/>
        </w:rPr>
        <w:t>Some of the core differences between civil legal system and common legal systems is the source of law. In the common law system, the decisions are based on past judicial results and case histories, while in the civil law system, the law is</w:t>
      </w:r>
      <w:r w:rsidRPr="008207F2">
        <w:rPr>
          <w:rFonts w:ascii="Arial" w:hAnsi="Arial" w:cs="Arial"/>
        </w:rPr>
        <w:t xml:space="preserve"> based on statutes and codes. Common law can be considered as more adoptable than civil law because it is based on the interpretation of judges, whereas civil law is more rigid because it is based on specific statutes and codes. Common law is more focused </w:t>
      </w:r>
      <w:r w:rsidRPr="008207F2">
        <w:rPr>
          <w:rFonts w:ascii="Arial" w:hAnsi="Arial" w:cs="Arial"/>
        </w:rPr>
        <w:t>on individual cases, while civil law is more focused on general principles.</w:t>
      </w:r>
    </w:p>
    <w:p w14:paraId="0000001F" w14:textId="77777777" w:rsidR="00E8299B" w:rsidRPr="008207F2" w:rsidRDefault="008207F2">
      <w:pPr>
        <w:rPr>
          <w:rFonts w:ascii="Arial" w:hAnsi="Arial" w:cs="Arial"/>
        </w:rPr>
      </w:pPr>
      <w:r w:rsidRPr="008207F2">
        <w:rPr>
          <w:rFonts w:ascii="Arial" w:hAnsi="Arial" w:cs="Arial"/>
        </w:rPr>
        <w:t>In contrast, the civil law system is less reliant on precedent and more focused on interpreting and applying the law based on the explicit wording of legal codes and statutes, whic</w:t>
      </w:r>
      <w:r w:rsidRPr="008207F2">
        <w:rPr>
          <w:rFonts w:ascii="Arial" w:hAnsi="Arial" w:cs="Arial"/>
        </w:rPr>
        <w:t>h can be very rigid and less adaptable with time. In short, we can say that these two systems are two distinct legal systems altogether with different approaches to law-making, the role of judges, and the use of precedent. While there are some similarities</w:t>
      </w:r>
      <w:r w:rsidRPr="008207F2">
        <w:rPr>
          <w:rFonts w:ascii="Arial" w:hAnsi="Arial" w:cs="Arial"/>
        </w:rPr>
        <w:t xml:space="preserve"> between the two systems, they differ significantly in their fundamental approach to legal decision-making.</w:t>
      </w:r>
      <w:r w:rsidRPr="008207F2">
        <w:rPr>
          <w:rFonts w:ascii="Arial" w:eastAsia="Quattrocento Sans" w:hAnsi="Arial" w:cs="Arial"/>
          <w:color w:val="D1D5DB"/>
          <w:shd w:val="clear" w:color="auto" w:fill="444654"/>
        </w:rPr>
        <w:t xml:space="preserve"> (</w:t>
      </w:r>
      <w:proofErr w:type="spellStart"/>
      <w:r w:rsidRPr="008207F2">
        <w:rPr>
          <w:rFonts w:ascii="Arial" w:hAnsi="Arial" w:cs="Arial"/>
        </w:rPr>
        <w:t>Zweigert</w:t>
      </w:r>
      <w:proofErr w:type="spellEnd"/>
      <w:r w:rsidRPr="008207F2">
        <w:rPr>
          <w:rFonts w:ascii="Arial" w:hAnsi="Arial" w:cs="Arial"/>
        </w:rPr>
        <w:t xml:space="preserve">, K., &amp; </w:t>
      </w:r>
      <w:proofErr w:type="spellStart"/>
      <w:r w:rsidRPr="008207F2">
        <w:rPr>
          <w:rFonts w:ascii="Arial" w:hAnsi="Arial" w:cs="Arial"/>
        </w:rPr>
        <w:t>Kötz</w:t>
      </w:r>
      <w:proofErr w:type="spellEnd"/>
      <w:r w:rsidRPr="008207F2">
        <w:rPr>
          <w:rFonts w:ascii="Arial" w:hAnsi="Arial" w:cs="Arial"/>
        </w:rPr>
        <w:t>, H. 1998)</w:t>
      </w:r>
    </w:p>
    <w:p w14:paraId="00000020" w14:textId="77777777" w:rsidR="00E8299B" w:rsidRPr="008207F2" w:rsidRDefault="00E8299B">
      <w:pPr>
        <w:rPr>
          <w:rFonts w:ascii="Arial" w:hAnsi="Arial" w:cs="Arial"/>
        </w:rPr>
      </w:pPr>
    </w:p>
    <w:p w14:paraId="00000021" w14:textId="77777777" w:rsidR="00E8299B" w:rsidRPr="008207F2" w:rsidRDefault="00E8299B">
      <w:pPr>
        <w:rPr>
          <w:rFonts w:ascii="Arial" w:hAnsi="Arial" w:cs="Arial"/>
        </w:rPr>
      </w:pPr>
    </w:p>
    <w:p w14:paraId="00000022" w14:textId="77777777" w:rsidR="00E8299B" w:rsidRPr="008207F2" w:rsidRDefault="008207F2">
      <w:pPr>
        <w:pStyle w:val="Heading1"/>
        <w:rPr>
          <w:rFonts w:ascii="Arial" w:hAnsi="Arial" w:cs="Arial"/>
          <w:sz w:val="24"/>
          <w:szCs w:val="24"/>
        </w:rPr>
      </w:pPr>
      <w:bookmarkStart w:id="3" w:name="_heading=h.3znysh7" w:colFirst="0" w:colLast="0"/>
      <w:bookmarkEnd w:id="3"/>
      <w:r w:rsidRPr="008207F2">
        <w:rPr>
          <w:rFonts w:ascii="Arial" w:hAnsi="Arial" w:cs="Arial"/>
          <w:sz w:val="24"/>
          <w:szCs w:val="24"/>
        </w:rPr>
        <w:t>History of the common law:</w:t>
      </w:r>
    </w:p>
    <w:p w14:paraId="00000023" w14:textId="77777777" w:rsidR="00E8299B" w:rsidRPr="008207F2" w:rsidRDefault="008207F2">
      <w:pPr>
        <w:rPr>
          <w:rFonts w:ascii="Arial" w:hAnsi="Arial" w:cs="Arial"/>
        </w:rPr>
      </w:pPr>
      <w:r w:rsidRPr="008207F2">
        <w:rPr>
          <w:rFonts w:ascii="Arial" w:hAnsi="Arial" w:cs="Arial"/>
        </w:rPr>
        <w:t>The history of common law dates to the 11th century in Britain. This history originates</w:t>
      </w:r>
      <w:r w:rsidRPr="008207F2">
        <w:rPr>
          <w:rFonts w:ascii="Arial" w:hAnsi="Arial" w:cs="Arial"/>
        </w:rPr>
        <w:t xml:space="preserve"> from the first settlements of Anglo Saxons in the region and during the medieval age. (Blackstone (1765) Over time, these customs were codified into a body of laws known as the common law. This meant that legal decisions made in earlier cases would be use</w:t>
      </w:r>
      <w:r w:rsidRPr="008207F2">
        <w:rPr>
          <w:rFonts w:ascii="Arial" w:hAnsi="Arial" w:cs="Arial"/>
        </w:rPr>
        <w:t>d as a guide for future cases, creating a system of legal precedent that would evolve over time. This approach to law-making allowed for a flexible and adaptable legal system that could respond to changing societal needs and norms. During the medieval peri</w:t>
      </w:r>
      <w:r w:rsidRPr="008207F2">
        <w:rPr>
          <w:rFonts w:ascii="Arial" w:hAnsi="Arial" w:cs="Arial"/>
        </w:rPr>
        <w:t>od, legal professionals such as judges and lawyers began to emerge, and they played an important role in shaping the system of common law. The common law system continued to evolve throughout the medieval and early modern periods, with the development of n</w:t>
      </w:r>
      <w:r w:rsidRPr="008207F2">
        <w:rPr>
          <w:rFonts w:ascii="Arial" w:hAnsi="Arial" w:cs="Arial"/>
        </w:rPr>
        <w:t xml:space="preserve">ew legal principles and the expansion of the court system. The system also spread beyond England to other parts of the British Empire, including the United States, Canada, and Australia. </w:t>
      </w:r>
      <w:proofErr w:type="gramStart"/>
      <w:r w:rsidRPr="008207F2">
        <w:rPr>
          <w:rFonts w:ascii="Arial" w:hAnsi="Arial" w:cs="Arial"/>
        </w:rPr>
        <w:t xml:space="preserve">( </w:t>
      </w:r>
      <w:proofErr w:type="spellStart"/>
      <w:r w:rsidRPr="008207F2">
        <w:rPr>
          <w:rFonts w:ascii="Arial" w:hAnsi="Arial" w:cs="Arial"/>
        </w:rPr>
        <w:t>Langbein</w:t>
      </w:r>
      <w:proofErr w:type="spellEnd"/>
      <w:proofErr w:type="gramEnd"/>
      <w:r w:rsidRPr="008207F2">
        <w:rPr>
          <w:rFonts w:ascii="Arial" w:hAnsi="Arial" w:cs="Arial"/>
        </w:rPr>
        <w:t>, J. H.1996).</w:t>
      </w:r>
    </w:p>
    <w:p w14:paraId="00000024" w14:textId="77777777" w:rsidR="00E8299B" w:rsidRPr="008207F2" w:rsidRDefault="00E8299B">
      <w:pPr>
        <w:rPr>
          <w:rFonts w:ascii="Arial" w:hAnsi="Arial" w:cs="Arial"/>
        </w:rPr>
      </w:pPr>
    </w:p>
    <w:p w14:paraId="00000025" w14:textId="77777777" w:rsidR="00E8299B" w:rsidRPr="008207F2" w:rsidRDefault="00E8299B">
      <w:pPr>
        <w:rPr>
          <w:rFonts w:ascii="Arial" w:hAnsi="Arial" w:cs="Arial"/>
        </w:rPr>
      </w:pPr>
    </w:p>
    <w:p w14:paraId="00000026" w14:textId="77777777" w:rsidR="00E8299B" w:rsidRPr="008207F2" w:rsidRDefault="008207F2">
      <w:pPr>
        <w:pStyle w:val="Heading1"/>
        <w:rPr>
          <w:rFonts w:ascii="Arial" w:hAnsi="Arial" w:cs="Arial"/>
          <w:sz w:val="24"/>
          <w:szCs w:val="24"/>
        </w:rPr>
      </w:pPr>
      <w:bookmarkStart w:id="4" w:name="_heading=h.2et92p0" w:colFirst="0" w:colLast="0"/>
      <w:bookmarkEnd w:id="4"/>
      <w:r w:rsidRPr="008207F2">
        <w:rPr>
          <w:rFonts w:ascii="Arial" w:hAnsi="Arial" w:cs="Arial"/>
          <w:sz w:val="24"/>
          <w:szCs w:val="24"/>
        </w:rPr>
        <w:t>Examples of common law:</w:t>
      </w:r>
    </w:p>
    <w:p w14:paraId="00000027" w14:textId="77777777" w:rsidR="00E8299B" w:rsidRPr="008207F2" w:rsidRDefault="008207F2">
      <w:pPr>
        <w:rPr>
          <w:rFonts w:ascii="Arial" w:hAnsi="Arial" w:cs="Arial"/>
        </w:rPr>
      </w:pPr>
      <w:r w:rsidRPr="008207F2">
        <w:rPr>
          <w:rFonts w:ascii="Arial" w:hAnsi="Arial" w:cs="Arial"/>
        </w:rPr>
        <w:t>Following are two f</w:t>
      </w:r>
      <w:r w:rsidRPr="008207F2">
        <w:rPr>
          <w:rFonts w:ascii="Arial" w:hAnsi="Arial" w:cs="Arial"/>
        </w:rPr>
        <w:t>amous example cases of common law in United Kingdom:</w:t>
      </w:r>
    </w:p>
    <w:p w14:paraId="00000028" w14:textId="77777777" w:rsidR="00E8299B" w:rsidRPr="008207F2" w:rsidRDefault="008207F2">
      <w:pPr>
        <w:rPr>
          <w:rFonts w:ascii="Arial" w:hAnsi="Arial" w:cs="Arial"/>
        </w:rPr>
      </w:pPr>
      <w:r w:rsidRPr="008207F2">
        <w:rPr>
          <w:rFonts w:ascii="Arial" w:hAnsi="Arial" w:cs="Arial"/>
        </w:rPr>
        <w:t>Carlill v Carbolic Smoke Ball Co</w:t>
      </w:r>
      <w:proofErr w:type="gramStart"/>
      <w:r w:rsidRPr="008207F2">
        <w:rPr>
          <w:rFonts w:ascii="Arial" w:hAnsi="Arial" w:cs="Arial"/>
        </w:rPr>
        <w:t>-“ A</w:t>
      </w:r>
      <w:proofErr w:type="gramEnd"/>
      <w:r w:rsidRPr="008207F2">
        <w:rPr>
          <w:rFonts w:ascii="Arial" w:hAnsi="Arial" w:cs="Arial"/>
        </w:rPr>
        <w:t xml:space="preserve"> company was selling a product as a cure to the disease of influenza and offered a reward of £100 for anyone that tried their product and still got sick by the same di</w:t>
      </w:r>
      <w:r w:rsidRPr="008207F2">
        <w:rPr>
          <w:rFonts w:ascii="Arial" w:hAnsi="Arial" w:cs="Arial"/>
        </w:rPr>
        <w:t xml:space="preserve">sease. The complainant in this example used the product and still got influenza for which he decided to sue the company. The court at that time fined the company for false advertisement and gave the verdict in favor of the </w:t>
      </w:r>
      <w:proofErr w:type="spellStart"/>
      <w:proofErr w:type="gramStart"/>
      <w:r w:rsidRPr="008207F2">
        <w:rPr>
          <w:rFonts w:ascii="Arial" w:hAnsi="Arial" w:cs="Arial"/>
        </w:rPr>
        <w:t>complaina</w:t>
      </w:r>
      <w:proofErr w:type="spellEnd"/>
      <w:proofErr w:type="gramEnd"/>
    </w:p>
    <w:p w14:paraId="00000029" w14:textId="77777777" w:rsidR="00E8299B" w:rsidRPr="008207F2" w:rsidRDefault="008207F2">
      <w:pPr>
        <w:rPr>
          <w:rFonts w:ascii="Arial" w:hAnsi="Arial" w:cs="Arial"/>
        </w:rPr>
      </w:pPr>
      <w:r w:rsidRPr="008207F2">
        <w:rPr>
          <w:rFonts w:ascii="Arial" w:hAnsi="Arial" w:cs="Arial"/>
        </w:rPr>
        <w:t>. (Carlill v Carbolic S</w:t>
      </w:r>
      <w:r w:rsidRPr="008207F2">
        <w:rPr>
          <w:rFonts w:ascii="Arial" w:hAnsi="Arial" w:cs="Arial"/>
        </w:rPr>
        <w:t>moke Ball Co 1892)</w:t>
      </w:r>
    </w:p>
    <w:p w14:paraId="0000002A" w14:textId="77777777" w:rsidR="00E8299B" w:rsidRPr="008207F2" w:rsidRDefault="008207F2">
      <w:pPr>
        <w:rPr>
          <w:rFonts w:ascii="Arial" w:hAnsi="Arial" w:cs="Arial"/>
        </w:rPr>
      </w:pPr>
      <w:r w:rsidRPr="008207F2">
        <w:rPr>
          <w:rFonts w:ascii="Arial" w:hAnsi="Arial" w:cs="Arial"/>
        </w:rPr>
        <w:t xml:space="preserve">Donoghue v Stevenson </w:t>
      </w:r>
      <w:proofErr w:type="gramStart"/>
      <w:r w:rsidRPr="008207F2">
        <w:rPr>
          <w:rFonts w:ascii="Arial" w:hAnsi="Arial" w:cs="Arial"/>
        </w:rPr>
        <w:t>-“</w:t>
      </w:r>
      <w:proofErr w:type="gramEnd"/>
      <w:r w:rsidRPr="008207F2">
        <w:rPr>
          <w:rFonts w:ascii="Arial" w:hAnsi="Arial" w:cs="Arial"/>
        </w:rPr>
        <w:t>This case involved a woman who consumed a ginger beer containing a decomposed snail and sued the manufacturer for damages. The court held that the manufacturer owed a duty of care to the consumer and that failure t</w:t>
      </w:r>
      <w:r w:rsidRPr="008207F2">
        <w:rPr>
          <w:rFonts w:ascii="Arial" w:hAnsi="Arial" w:cs="Arial"/>
        </w:rPr>
        <w:t xml:space="preserve">o exercise that duty could result in legal liability.” This case established the legal principle of negligence in common law, not just in England, but also in other common law jurisdictions such as Australia and US. </w:t>
      </w:r>
    </w:p>
    <w:p w14:paraId="0000002B" w14:textId="77777777" w:rsidR="00E8299B" w:rsidRPr="008207F2" w:rsidRDefault="00E8299B">
      <w:pPr>
        <w:rPr>
          <w:rFonts w:ascii="Arial" w:hAnsi="Arial" w:cs="Arial"/>
        </w:rPr>
      </w:pPr>
    </w:p>
    <w:p w14:paraId="0000002C" w14:textId="77777777" w:rsidR="00E8299B" w:rsidRPr="008207F2" w:rsidRDefault="00E8299B">
      <w:pPr>
        <w:rPr>
          <w:rFonts w:ascii="Arial" w:hAnsi="Arial" w:cs="Arial"/>
        </w:rPr>
      </w:pPr>
    </w:p>
    <w:p w14:paraId="0000002D" w14:textId="77777777" w:rsidR="00E8299B" w:rsidRPr="008207F2" w:rsidRDefault="008207F2">
      <w:pPr>
        <w:pStyle w:val="Heading1"/>
        <w:rPr>
          <w:rFonts w:ascii="Arial" w:hAnsi="Arial" w:cs="Arial"/>
          <w:sz w:val="24"/>
          <w:szCs w:val="24"/>
        </w:rPr>
      </w:pPr>
      <w:bookmarkStart w:id="5" w:name="_heading=h.tyjcwt" w:colFirst="0" w:colLast="0"/>
      <w:bookmarkEnd w:id="5"/>
      <w:r w:rsidRPr="008207F2">
        <w:rPr>
          <w:rFonts w:ascii="Arial" w:hAnsi="Arial" w:cs="Arial"/>
          <w:sz w:val="24"/>
          <w:szCs w:val="24"/>
        </w:rPr>
        <w:lastRenderedPageBreak/>
        <w:t>Conclusion:</w:t>
      </w:r>
    </w:p>
    <w:p w14:paraId="0000002E" w14:textId="77777777" w:rsidR="00E8299B" w:rsidRPr="008207F2" w:rsidRDefault="008207F2">
      <w:pPr>
        <w:rPr>
          <w:rFonts w:ascii="Arial" w:hAnsi="Arial" w:cs="Arial"/>
        </w:rPr>
      </w:pPr>
      <w:r w:rsidRPr="008207F2">
        <w:rPr>
          <w:rFonts w:ascii="Arial" w:hAnsi="Arial" w:cs="Arial"/>
        </w:rPr>
        <w:t xml:space="preserve">In conclusion we can say </w:t>
      </w:r>
      <w:r w:rsidRPr="008207F2">
        <w:rPr>
          <w:rFonts w:ascii="Arial" w:hAnsi="Arial" w:cs="Arial"/>
        </w:rPr>
        <w:t xml:space="preserve">that the essay helps us understand the fundamentals of the English legal system which is solely based on common law. The essay also helps in understanding the concept of civil law and </w:t>
      </w:r>
      <w:proofErr w:type="gramStart"/>
      <w:r w:rsidRPr="008207F2">
        <w:rPr>
          <w:rFonts w:ascii="Arial" w:hAnsi="Arial" w:cs="Arial"/>
        </w:rPr>
        <w:t>compares and contrasts</w:t>
      </w:r>
      <w:proofErr w:type="gramEnd"/>
      <w:r w:rsidRPr="008207F2">
        <w:rPr>
          <w:rFonts w:ascii="Arial" w:hAnsi="Arial" w:cs="Arial"/>
        </w:rPr>
        <w:t xml:space="preserve"> both the law systems to evaluate the pros and con</w:t>
      </w:r>
      <w:r w:rsidRPr="008207F2">
        <w:rPr>
          <w:rFonts w:ascii="Arial" w:hAnsi="Arial" w:cs="Arial"/>
        </w:rPr>
        <w:t xml:space="preserve">s of both the systems. </w:t>
      </w:r>
      <w:proofErr w:type="gramStart"/>
      <w:r w:rsidRPr="008207F2">
        <w:rPr>
          <w:rFonts w:ascii="Arial" w:hAnsi="Arial" w:cs="Arial"/>
        </w:rPr>
        <w:t>Overall</w:t>
      </w:r>
      <w:proofErr w:type="gramEnd"/>
      <w:r w:rsidRPr="008207F2">
        <w:rPr>
          <w:rFonts w:ascii="Arial" w:hAnsi="Arial" w:cs="Arial"/>
        </w:rPr>
        <w:t xml:space="preserve"> it gives a </w:t>
      </w:r>
      <w:proofErr w:type="spellStart"/>
      <w:r w:rsidRPr="008207F2">
        <w:rPr>
          <w:rFonts w:ascii="Arial" w:hAnsi="Arial" w:cs="Arial"/>
        </w:rPr>
        <w:t>through</w:t>
      </w:r>
      <w:proofErr w:type="spellEnd"/>
      <w:r w:rsidRPr="008207F2">
        <w:rPr>
          <w:rFonts w:ascii="Arial" w:hAnsi="Arial" w:cs="Arial"/>
        </w:rPr>
        <w:t xml:space="preserve"> understanding of the two major legal systems.</w:t>
      </w:r>
    </w:p>
    <w:p w14:paraId="0000002F" w14:textId="77777777" w:rsidR="00E8299B" w:rsidRPr="008207F2" w:rsidRDefault="008207F2">
      <w:pPr>
        <w:pStyle w:val="Heading1"/>
        <w:rPr>
          <w:rFonts w:ascii="Arial" w:hAnsi="Arial" w:cs="Arial"/>
          <w:sz w:val="24"/>
          <w:szCs w:val="24"/>
        </w:rPr>
      </w:pPr>
      <w:bookmarkStart w:id="6" w:name="_heading=h.3dy6vkm" w:colFirst="0" w:colLast="0"/>
      <w:bookmarkEnd w:id="6"/>
      <w:r w:rsidRPr="008207F2">
        <w:rPr>
          <w:rFonts w:ascii="Arial" w:hAnsi="Arial" w:cs="Arial"/>
          <w:sz w:val="24"/>
          <w:szCs w:val="24"/>
        </w:rPr>
        <w:t>References:</w:t>
      </w:r>
    </w:p>
    <w:p w14:paraId="00000030" w14:textId="77777777" w:rsidR="00E8299B" w:rsidRPr="008207F2" w:rsidRDefault="008207F2">
      <w:pPr>
        <w:rPr>
          <w:rFonts w:ascii="Arial" w:hAnsi="Arial" w:cs="Arial"/>
        </w:rPr>
      </w:pPr>
      <w:r w:rsidRPr="008207F2">
        <w:rPr>
          <w:rFonts w:ascii="Arial" w:hAnsi="Arial" w:cs="Arial"/>
        </w:rPr>
        <w:t>Slapper, G., &amp; Kelly, D. (2013). The English Legal System. Routledge.</w:t>
      </w:r>
    </w:p>
    <w:p w14:paraId="00000031" w14:textId="77777777" w:rsidR="00E8299B" w:rsidRPr="008207F2" w:rsidRDefault="008207F2">
      <w:pPr>
        <w:rPr>
          <w:rFonts w:ascii="Arial" w:hAnsi="Arial" w:cs="Arial"/>
        </w:rPr>
      </w:pPr>
      <w:r w:rsidRPr="008207F2">
        <w:rPr>
          <w:rFonts w:ascii="Arial" w:hAnsi="Arial" w:cs="Arial"/>
        </w:rPr>
        <w:t>Friedman, L. M. (2016). American law: An introduction. Oxford University Press.</w:t>
      </w:r>
    </w:p>
    <w:p w14:paraId="00000032" w14:textId="77777777" w:rsidR="00E8299B" w:rsidRPr="008207F2" w:rsidRDefault="008207F2">
      <w:pPr>
        <w:rPr>
          <w:rFonts w:ascii="Arial" w:hAnsi="Arial" w:cs="Arial"/>
        </w:rPr>
      </w:pPr>
      <w:proofErr w:type="spellStart"/>
      <w:r w:rsidRPr="008207F2">
        <w:rPr>
          <w:rFonts w:ascii="Arial" w:hAnsi="Arial" w:cs="Arial"/>
        </w:rPr>
        <w:t>Zweigert</w:t>
      </w:r>
      <w:proofErr w:type="spellEnd"/>
      <w:r w:rsidRPr="008207F2">
        <w:rPr>
          <w:rFonts w:ascii="Arial" w:hAnsi="Arial" w:cs="Arial"/>
        </w:rPr>
        <w:t xml:space="preserve">, K., &amp; </w:t>
      </w:r>
      <w:proofErr w:type="spellStart"/>
      <w:r w:rsidRPr="008207F2">
        <w:rPr>
          <w:rFonts w:ascii="Arial" w:hAnsi="Arial" w:cs="Arial"/>
        </w:rPr>
        <w:t>Kötz</w:t>
      </w:r>
      <w:proofErr w:type="spellEnd"/>
      <w:r w:rsidRPr="008207F2">
        <w:rPr>
          <w:rFonts w:ascii="Arial" w:hAnsi="Arial" w:cs="Arial"/>
        </w:rPr>
        <w:t>, H. (1998). An Introduction to Comparative Law. Clarendon Press.</w:t>
      </w:r>
    </w:p>
    <w:p w14:paraId="00000033" w14:textId="77777777" w:rsidR="00E8299B" w:rsidRPr="008207F2" w:rsidRDefault="008207F2">
      <w:pPr>
        <w:rPr>
          <w:rFonts w:ascii="Arial" w:hAnsi="Arial" w:cs="Arial"/>
        </w:rPr>
      </w:pPr>
      <w:r w:rsidRPr="008207F2">
        <w:rPr>
          <w:rFonts w:ascii="Arial" w:hAnsi="Arial" w:cs="Arial"/>
        </w:rPr>
        <w:t>Blackstone, W. (1765). Commentaries on the Laws of England. Oxford University Press.</w:t>
      </w:r>
    </w:p>
    <w:p w14:paraId="00000034" w14:textId="77777777" w:rsidR="00E8299B" w:rsidRPr="008207F2" w:rsidRDefault="008207F2">
      <w:pPr>
        <w:rPr>
          <w:rFonts w:ascii="Arial" w:hAnsi="Arial" w:cs="Arial"/>
        </w:rPr>
      </w:pPr>
      <w:proofErr w:type="spellStart"/>
      <w:r w:rsidRPr="008207F2">
        <w:rPr>
          <w:rFonts w:ascii="Arial" w:hAnsi="Arial" w:cs="Arial"/>
        </w:rPr>
        <w:t>Langb</w:t>
      </w:r>
      <w:r w:rsidRPr="008207F2">
        <w:rPr>
          <w:rFonts w:ascii="Arial" w:hAnsi="Arial" w:cs="Arial"/>
        </w:rPr>
        <w:t>ein</w:t>
      </w:r>
      <w:proofErr w:type="spellEnd"/>
      <w:r w:rsidRPr="008207F2">
        <w:rPr>
          <w:rFonts w:ascii="Arial" w:hAnsi="Arial" w:cs="Arial"/>
        </w:rPr>
        <w:t>, J. H. (1996). The Origins of Adversary Criminal Trial. Oxford University Press.</w:t>
      </w:r>
    </w:p>
    <w:p w14:paraId="00000035" w14:textId="77777777" w:rsidR="00E8299B" w:rsidRPr="008207F2" w:rsidRDefault="008207F2">
      <w:pPr>
        <w:rPr>
          <w:rFonts w:ascii="Arial" w:hAnsi="Arial" w:cs="Arial"/>
        </w:rPr>
      </w:pPr>
      <w:r w:rsidRPr="008207F2">
        <w:rPr>
          <w:rFonts w:ascii="Arial" w:hAnsi="Arial" w:cs="Arial"/>
        </w:rPr>
        <w:t>Carlill v Carbolic Smoke Ball Co. (1892) Case name: Carlill v Carbolic Smoke Ball Co. [1892] EWCA Civ 1 Author/Reporter: Court of Appeal of England and Wales Date of decis</w:t>
      </w:r>
      <w:r w:rsidRPr="008207F2">
        <w:rPr>
          <w:rFonts w:ascii="Arial" w:hAnsi="Arial" w:cs="Arial"/>
        </w:rPr>
        <w:t xml:space="preserve">ion: 7 December 1892 Available at: </w:t>
      </w:r>
      <w:hyperlink r:id="rId5">
        <w:r w:rsidRPr="008207F2">
          <w:rPr>
            <w:rFonts w:ascii="Arial" w:hAnsi="Arial" w:cs="Arial"/>
            <w:color w:val="0563C1"/>
            <w:u w:val="single"/>
          </w:rPr>
          <w:t>https://www.bailii.org/ew/cases/EWCA/Civ/1892/1.html</w:t>
        </w:r>
      </w:hyperlink>
      <w:r w:rsidRPr="008207F2">
        <w:rPr>
          <w:rFonts w:ascii="Arial" w:hAnsi="Arial" w:cs="Arial"/>
        </w:rPr>
        <w:t xml:space="preserve"> Accessed on: 5 March 2023</w:t>
      </w:r>
    </w:p>
    <w:p w14:paraId="00000036" w14:textId="77777777" w:rsidR="00E8299B" w:rsidRPr="008207F2" w:rsidRDefault="008207F2">
      <w:pPr>
        <w:rPr>
          <w:rFonts w:ascii="Arial" w:hAnsi="Arial" w:cs="Arial"/>
        </w:rPr>
      </w:pPr>
      <w:r w:rsidRPr="008207F2">
        <w:rPr>
          <w:rFonts w:ascii="Arial" w:hAnsi="Arial" w:cs="Arial"/>
        </w:rPr>
        <w:t>Donoghue v Stevenson (1932) Case nam</w:t>
      </w:r>
      <w:r w:rsidRPr="008207F2">
        <w:rPr>
          <w:rFonts w:ascii="Arial" w:hAnsi="Arial" w:cs="Arial"/>
        </w:rPr>
        <w:t xml:space="preserve">e: Donoghue v Stevenson [1932] UKHL 100 Author/Reporter: House of Lords (now the Supreme Court of the United Kingdom) Date of decision: 26 May 1932 Available at: </w:t>
      </w:r>
      <w:hyperlink r:id="rId6">
        <w:r w:rsidRPr="008207F2">
          <w:rPr>
            <w:rFonts w:ascii="Arial" w:hAnsi="Arial" w:cs="Arial"/>
            <w:color w:val="0563C1"/>
            <w:u w:val="single"/>
          </w:rPr>
          <w:t>https://www.bailii.org/uk/</w:t>
        </w:r>
        <w:r w:rsidRPr="008207F2">
          <w:rPr>
            <w:rFonts w:ascii="Arial" w:hAnsi="Arial" w:cs="Arial"/>
            <w:color w:val="0563C1"/>
            <w:u w:val="single"/>
          </w:rPr>
          <w:t>cases/UKHL/1932/100.html</w:t>
        </w:r>
      </w:hyperlink>
      <w:r w:rsidRPr="008207F2">
        <w:rPr>
          <w:rFonts w:ascii="Arial" w:hAnsi="Arial" w:cs="Arial"/>
        </w:rPr>
        <w:t xml:space="preserve"> Accessed on: 5 March 2023</w:t>
      </w:r>
    </w:p>
    <w:p w14:paraId="00000037" w14:textId="77777777" w:rsidR="00E8299B" w:rsidRPr="008207F2" w:rsidRDefault="00E8299B">
      <w:pPr>
        <w:rPr>
          <w:rFonts w:ascii="Arial" w:hAnsi="Arial" w:cs="Arial"/>
        </w:rPr>
      </w:pPr>
    </w:p>
    <w:p w14:paraId="00000038" w14:textId="77777777" w:rsidR="00E8299B" w:rsidRPr="008207F2" w:rsidRDefault="00E8299B">
      <w:pPr>
        <w:rPr>
          <w:rFonts w:ascii="Arial" w:hAnsi="Arial" w:cs="Arial"/>
        </w:rPr>
      </w:pPr>
    </w:p>
    <w:sectPr w:rsidR="00E8299B" w:rsidRPr="008207F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Quattrocento Sans">
    <w:charset w:val="00"/>
    <w:family w:val="swiss"/>
    <w:pitch w:val="variable"/>
    <w:sig w:usb0="800000BF" w:usb1="4000005B"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99B"/>
    <w:rsid w:val="008207F2"/>
    <w:rsid w:val="00E82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2DEA6"/>
  <w15:docId w15:val="{35682760-5210-4783-9329-9EF6987C6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585"/>
  </w:style>
  <w:style w:type="paragraph" w:styleId="Heading1">
    <w:name w:val="heading 1"/>
    <w:basedOn w:val="Normal"/>
    <w:next w:val="Normal"/>
    <w:link w:val="Heading1Char"/>
    <w:uiPriority w:val="9"/>
    <w:qFormat/>
    <w:rsid w:val="00153B72"/>
    <w:pPr>
      <w:keepNext/>
      <w:keepLines/>
      <w:spacing w:before="240" w:after="0"/>
      <w:outlineLvl w:val="0"/>
    </w:pPr>
    <w:rPr>
      <w:rFonts w:eastAsiaTheme="majorEastAsia" w:cstheme="majorBidi"/>
      <w:color w:val="000000" w:themeColor="text1"/>
      <w:sz w:val="28"/>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53B72"/>
    <w:rPr>
      <w:rFonts w:ascii="Times New Roman" w:eastAsiaTheme="majorEastAsia" w:hAnsi="Times New Roman" w:cstheme="majorBidi"/>
      <w:color w:val="000000" w:themeColor="text1"/>
      <w:sz w:val="28"/>
      <w:szCs w:val="32"/>
    </w:rPr>
  </w:style>
  <w:style w:type="paragraph" w:styleId="NormalWeb">
    <w:name w:val="Normal (Web)"/>
    <w:basedOn w:val="Normal"/>
    <w:uiPriority w:val="99"/>
    <w:semiHidden/>
    <w:unhideWhenUsed/>
    <w:rsid w:val="00EC3A20"/>
    <w:pPr>
      <w:spacing w:before="100" w:beforeAutospacing="1" w:after="100" w:afterAutospacing="1" w:line="240" w:lineRule="auto"/>
    </w:pPr>
  </w:style>
  <w:style w:type="character" w:styleId="Hyperlink">
    <w:name w:val="Hyperlink"/>
    <w:basedOn w:val="DefaultParagraphFont"/>
    <w:uiPriority w:val="99"/>
    <w:unhideWhenUsed/>
    <w:rsid w:val="00DE3066"/>
    <w:rPr>
      <w:color w:val="0563C1" w:themeColor="hyperlink"/>
      <w:u w:val="single"/>
    </w:rPr>
  </w:style>
  <w:style w:type="character" w:styleId="UnresolvedMention">
    <w:name w:val="Unresolved Mention"/>
    <w:basedOn w:val="DefaultParagraphFont"/>
    <w:uiPriority w:val="99"/>
    <w:semiHidden/>
    <w:unhideWhenUsed/>
    <w:rsid w:val="00DE3066"/>
    <w:rPr>
      <w:color w:val="605E5C"/>
      <w:shd w:val="clear" w:color="auto" w:fill="E1DFDD"/>
    </w:rPr>
  </w:style>
  <w:style w:type="paragraph" w:styleId="TOCHeading">
    <w:name w:val="TOC Heading"/>
    <w:basedOn w:val="Heading1"/>
    <w:next w:val="Normal"/>
    <w:uiPriority w:val="39"/>
    <w:unhideWhenUsed/>
    <w:qFormat/>
    <w:rsid w:val="003E7B2C"/>
    <w:pPr>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3E7B2C"/>
    <w:pPr>
      <w:spacing w:after="10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ailii.org/uk/cases/UKHL/1932/100.html" TargetMode="External"/><Relationship Id="rId5" Type="http://schemas.openxmlformats.org/officeDocument/2006/relationships/hyperlink" Target="https://www.bailii.org/ew/cases/EWCA/Civ/1892/1.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isz0iy8YAU96C7rzjI/lTWAoygA==">AMUW2mVY0K/nbl4+8d7eKrjmT1P0sJPnTOykoHwmitf9gLZsjASXOxPImZYRlnjmQCkvbf87psHUjxX0RTRwlZtUihHzWY8Hb7wOKNdUSJvB/I4RGuZaUel1ssx7fzgtpdOSZXWXRA4yUb3Nx8JJRGuAXi/u1IiqJO12pxnPu3+9+FpoQ+j+rFYYqXcYJ7FuPrYXXcYHea9eeprhT9JhX5jX4+MxFXgp5Q==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1498</Words>
  <Characters>8541</Characters>
  <Application>Microsoft Office Word</Application>
  <DocSecurity>0</DocSecurity>
  <Lines>71</Lines>
  <Paragraphs>20</Paragraphs>
  <ScaleCrop>false</ScaleCrop>
  <Company/>
  <LinksUpToDate>false</LinksUpToDate>
  <CharactersWithSpaces>10019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Farooq</dc:creator>
  <cp:lastModifiedBy>Nicolae Dolea</cp:lastModifiedBy>
  <cp:revision>2</cp:revision>
  <dcterms:created xsi:type="dcterms:W3CDTF">2023-03-09T20:24:00Z</dcterms:created>
  <dcterms:modified xsi:type="dcterms:W3CDTF">2023-03-09T20:24:00Z</dcterms:modified>
</cp:coreProperties>
</file>