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7C4BF558" w:rsidR="00715990" w:rsidRDefault="00715990" w:rsidP="00AB43B8">
      <w:pPr>
        <w:spacing w:line="360" w:lineRule="auto"/>
        <w:rPr>
          <w:rFonts w:ascii="Aptos" w:hAnsi="Aptos" w:cs="Arial"/>
          <w:b/>
          <w:bCs/>
          <w:sz w:val="28"/>
          <w:szCs w:val="28"/>
        </w:rPr>
      </w:pPr>
      <w:r w:rsidRPr="003A2FDF">
        <w:rPr>
          <w:rFonts w:ascii="Aptos" w:hAnsi="Aptos" w:cs="Arial"/>
          <w:b/>
          <w:bCs/>
          <w:sz w:val="28"/>
          <w:szCs w:val="28"/>
        </w:rPr>
        <w:t>Course: BSc (Hons) Health and Social Care</w:t>
      </w:r>
    </w:p>
    <w:p w14:paraId="32DF4A27" w14:textId="77777777" w:rsidR="00AB43B8" w:rsidRPr="003A2FDF" w:rsidRDefault="00AB43B8" w:rsidP="00AB43B8">
      <w:pPr>
        <w:spacing w:line="360" w:lineRule="auto"/>
        <w:rPr>
          <w:rFonts w:ascii="Aptos" w:hAnsi="Aptos" w:cs="Arial"/>
          <w:b/>
          <w:bCs/>
          <w:sz w:val="28"/>
          <w:szCs w:val="28"/>
        </w:rPr>
      </w:pPr>
    </w:p>
    <w:p w14:paraId="7680A4B0" w14:textId="43F6E3D7" w:rsidR="00715990" w:rsidRPr="003A2FDF" w:rsidRDefault="00715990" w:rsidP="00AB43B8">
      <w:pPr>
        <w:spacing w:line="360" w:lineRule="auto"/>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BA5880">
      <w:pPr>
        <w:spacing w:line="360" w:lineRule="auto"/>
        <w:rPr>
          <w:rFonts w:ascii="Aptos" w:hAnsi="Aptos" w:cs="Arial"/>
          <w:sz w:val="28"/>
          <w:szCs w:val="28"/>
        </w:rPr>
      </w:pPr>
    </w:p>
    <w:p w14:paraId="08BDA311" w14:textId="6E55C9BE" w:rsidR="00041A5A" w:rsidRPr="003A2FDF" w:rsidRDefault="00FB4301" w:rsidP="00BA5880">
      <w:pPr>
        <w:spacing w:line="360" w:lineRule="auto"/>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BA5880">
      <w:pPr>
        <w:spacing w:line="360" w:lineRule="auto"/>
        <w:rPr>
          <w:rFonts w:ascii="Aptos" w:hAnsi="Aptos" w:cs="Arial"/>
          <w:sz w:val="28"/>
          <w:szCs w:val="28"/>
        </w:rPr>
      </w:pPr>
    </w:p>
    <w:p w14:paraId="684DDF82" w14:textId="44FC5F36"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BA5880">
        <w:rPr>
          <w:rFonts w:ascii="Aptos" w:hAnsi="Aptos" w:cs="Arial"/>
          <w:sz w:val="28"/>
          <w:szCs w:val="28"/>
        </w:rPr>
        <w:t xml:space="preserve"> Ruth Gathigi</w:t>
      </w:r>
    </w:p>
    <w:p w14:paraId="01D5D8DB" w14:textId="03ED09ED" w:rsidR="00FF5B70" w:rsidRPr="003A2FDF" w:rsidRDefault="00FF5B70" w:rsidP="00041A5A">
      <w:pPr>
        <w:spacing w:line="360" w:lineRule="auto"/>
        <w:rPr>
          <w:rFonts w:ascii="Aptos" w:hAnsi="Aptos" w:cs="Arial"/>
          <w:sz w:val="28"/>
          <w:szCs w:val="28"/>
        </w:rPr>
      </w:pPr>
    </w:p>
    <w:p w14:paraId="24BD4B42" w14:textId="55C35DE8" w:rsidR="00D769F0" w:rsidRDefault="00FF5B70" w:rsidP="00BA5880">
      <w:pPr>
        <w:spacing w:line="360" w:lineRule="auto"/>
        <w:rPr>
          <w:rFonts w:ascii="Aptos" w:hAnsi="Aptos" w:cs="Arial"/>
          <w:sz w:val="28"/>
          <w:szCs w:val="28"/>
        </w:rPr>
      </w:pPr>
      <w:r w:rsidRPr="003A2FDF">
        <w:rPr>
          <w:rFonts w:ascii="Aptos" w:hAnsi="Aptos" w:cs="Arial"/>
          <w:b/>
          <w:bCs/>
          <w:sz w:val="28"/>
          <w:szCs w:val="28"/>
        </w:rPr>
        <w:t>Student Name</w:t>
      </w:r>
      <w:r w:rsidR="00BA5880">
        <w:rPr>
          <w:rFonts w:ascii="Aptos" w:hAnsi="Aptos" w:cs="Arial"/>
          <w:b/>
          <w:bCs/>
          <w:sz w:val="28"/>
          <w:szCs w:val="28"/>
        </w:rPr>
        <w:t xml:space="preserve">: </w:t>
      </w:r>
      <w:r w:rsidR="00BA5880" w:rsidRPr="00BA5880">
        <w:rPr>
          <w:rFonts w:ascii="Aptos" w:hAnsi="Aptos" w:cs="Arial"/>
          <w:sz w:val="28"/>
          <w:szCs w:val="28"/>
        </w:rPr>
        <w:t>2332377</w:t>
      </w:r>
    </w:p>
    <w:p w14:paraId="33C9C24A" w14:textId="77777777" w:rsidR="00BA5880" w:rsidRDefault="00BA5880" w:rsidP="00BA5880">
      <w:pPr>
        <w:spacing w:line="360" w:lineRule="auto"/>
        <w:rPr>
          <w:rFonts w:asciiTheme="majorBidi" w:hAnsiTheme="majorBidi" w:cstheme="majorBidi"/>
          <w:szCs w:val="24"/>
        </w:rPr>
      </w:pPr>
    </w:p>
    <w:p w14:paraId="5CCD64FD" w14:textId="0C93E228" w:rsidR="00BA5880" w:rsidRDefault="00BA5880" w:rsidP="00BA5880">
      <w:pPr>
        <w:spacing w:line="360" w:lineRule="auto"/>
        <w:jc w:val="both"/>
        <w:rPr>
          <w:b/>
          <w:bCs/>
          <w:sz w:val="28"/>
          <w:szCs w:val="28"/>
          <w:lang w:val="en-US"/>
        </w:rPr>
      </w:pPr>
      <w:r w:rsidRPr="007A0EF5">
        <w:rPr>
          <w:rFonts w:asciiTheme="majorBidi" w:hAnsiTheme="majorBidi" w:cstheme="majorBidi"/>
          <w:b/>
          <w:bCs/>
          <w:sz w:val="28"/>
          <w:szCs w:val="28"/>
        </w:rPr>
        <w:t>The project title:</w:t>
      </w:r>
      <w:r w:rsidRPr="007A0EF5">
        <w:rPr>
          <w:rFonts w:asciiTheme="majorBidi" w:hAnsiTheme="majorBidi" w:cstheme="majorBidi"/>
          <w:sz w:val="28"/>
          <w:szCs w:val="28"/>
        </w:rPr>
        <w:t xml:space="preserve"> </w:t>
      </w:r>
      <w:r w:rsidRPr="007A0EF5">
        <w:rPr>
          <w:b/>
          <w:bCs/>
          <w:sz w:val="28"/>
          <w:szCs w:val="28"/>
          <w:lang w:val="en-US"/>
        </w:rPr>
        <w:t>The Impact of Malnutrition on the Health and Wellbeing of Adults Aged 65 and Over in the UK</w:t>
      </w:r>
    </w:p>
    <w:p w14:paraId="4EA82875" w14:textId="77777777" w:rsidR="00BA5880" w:rsidRDefault="00BA5880" w:rsidP="00BA5880">
      <w:pPr>
        <w:pStyle w:val="Heading2"/>
        <w:rPr>
          <w:rFonts w:asciiTheme="majorBidi" w:hAnsiTheme="majorBidi"/>
          <w:sz w:val="24"/>
          <w:szCs w:val="24"/>
        </w:rPr>
      </w:pPr>
      <w:r>
        <w:rPr>
          <w:rFonts w:asciiTheme="majorBidi" w:hAnsiTheme="majorBidi"/>
          <w:sz w:val="24"/>
          <w:szCs w:val="24"/>
        </w:rPr>
        <w:t>1) Aim:</w:t>
      </w:r>
    </w:p>
    <w:p w14:paraId="2424F596" w14:textId="77777777" w:rsidR="00BA5880" w:rsidRDefault="00BA5880" w:rsidP="00BA5880">
      <w:pPr>
        <w:spacing w:line="360" w:lineRule="auto"/>
        <w:rPr>
          <w:rFonts w:asciiTheme="majorBidi" w:hAnsiTheme="majorBidi" w:cstheme="majorBidi"/>
          <w:szCs w:val="24"/>
        </w:rPr>
      </w:pPr>
      <w:r>
        <w:rPr>
          <w:rFonts w:asciiTheme="majorBidi" w:hAnsiTheme="majorBidi" w:cstheme="majorBidi"/>
          <w:szCs w:val="24"/>
        </w:rPr>
        <w:t>This research aims to explore the effects of malnutrition on the physical health, psychological wellbeing and overall quality of life of older adults (aged 65 and over) in the UK.</w:t>
      </w:r>
    </w:p>
    <w:p w14:paraId="38EE303E" w14:textId="77777777" w:rsidR="00BA5880" w:rsidRDefault="00BA5880" w:rsidP="00BA5880">
      <w:pPr>
        <w:pStyle w:val="Heading2"/>
        <w:rPr>
          <w:rFonts w:asciiTheme="majorBidi" w:hAnsiTheme="majorBidi"/>
          <w:sz w:val="24"/>
          <w:szCs w:val="24"/>
        </w:rPr>
      </w:pPr>
      <w:r>
        <w:rPr>
          <w:rFonts w:asciiTheme="majorBidi" w:hAnsiTheme="majorBidi"/>
          <w:sz w:val="24"/>
          <w:szCs w:val="24"/>
        </w:rPr>
        <w:t>2) Objectives:</w:t>
      </w:r>
    </w:p>
    <w:p w14:paraId="24BD8F92" w14:textId="77777777" w:rsidR="00BA5880" w:rsidRDefault="00BA5880" w:rsidP="00BA5880">
      <w:pPr>
        <w:numPr>
          <w:ilvl w:val="0"/>
          <w:numId w:val="6"/>
        </w:numPr>
        <w:spacing w:line="360" w:lineRule="auto"/>
        <w:jc w:val="both"/>
        <w:rPr>
          <w:lang w:val="en-US"/>
        </w:rPr>
      </w:pPr>
      <w:r>
        <w:rPr>
          <w:lang w:val="en-US"/>
        </w:rPr>
        <w:t>To define and examine malnutrition among adults aged sixty-five and over in the UK, including its prevalence, causes and contributing risk factors.</w:t>
      </w:r>
    </w:p>
    <w:p w14:paraId="17398DBD" w14:textId="62B8E037" w:rsidR="00BA5880" w:rsidRDefault="00BA5880" w:rsidP="00BA5880">
      <w:pPr>
        <w:numPr>
          <w:ilvl w:val="0"/>
          <w:numId w:val="6"/>
        </w:numPr>
        <w:spacing w:line="360" w:lineRule="auto"/>
        <w:jc w:val="both"/>
        <w:rPr>
          <w:lang w:val="en-US"/>
        </w:rPr>
      </w:pPr>
      <w:r>
        <w:rPr>
          <w:lang w:val="en-US"/>
        </w:rPr>
        <w:t xml:space="preserve">To </w:t>
      </w:r>
      <w:r>
        <w:rPr>
          <w:lang w:val="en-US"/>
        </w:rPr>
        <w:t>anal</w:t>
      </w:r>
      <w:r w:rsidRPr="00E25BF1">
        <w:rPr>
          <w:lang w:val="en-US"/>
        </w:rPr>
        <w:t>y</w:t>
      </w:r>
      <w:r w:rsidR="001F5C86">
        <w:rPr>
          <w:lang w:val="en-US"/>
        </w:rPr>
        <w:t>s</w:t>
      </w:r>
      <w:r w:rsidRPr="00E25BF1">
        <w:rPr>
          <w:lang w:val="en-US"/>
        </w:rPr>
        <w:t>e</w:t>
      </w:r>
      <w:r>
        <w:rPr>
          <w:lang w:val="en-US"/>
        </w:rPr>
        <w:t xml:space="preserve"> current literature, evidence and data relating to the effects of malnutrition on physical health, including muscle loss, frailty, falls, delayed recovery, and hospital admissions.</w:t>
      </w:r>
    </w:p>
    <w:p w14:paraId="15FF39E5" w14:textId="77777777" w:rsidR="00BA5880" w:rsidRDefault="00BA5880" w:rsidP="00BA5880">
      <w:pPr>
        <w:numPr>
          <w:ilvl w:val="0"/>
          <w:numId w:val="6"/>
        </w:numPr>
        <w:spacing w:line="360" w:lineRule="auto"/>
        <w:jc w:val="both"/>
        <w:rPr>
          <w:lang w:val="en-US"/>
        </w:rPr>
      </w:pPr>
      <w:r>
        <w:rPr>
          <w:lang w:val="en-US"/>
        </w:rPr>
        <w:t>To evaluate the findings using thematic analysis to identify recurring themes relating to psychological wellbeing, independence, social participation, quality of life, socioeconomic circumstances, and access to nutritional support.</w:t>
      </w:r>
    </w:p>
    <w:p w14:paraId="7B5CBC70" w14:textId="77777777" w:rsidR="00BA5880" w:rsidRDefault="00BA5880" w:rsidP="00BA5880">
      <w:pPr>
        <w:numPr>
          <w:ilvl w:val="0"/>
          <w:numId w:val="6"/>
        </w:numPr>
        <w:spacing w:line="360" w:lineRule="auto"/>
        <w:jc w:val="both"/>
        <w:rPr>
          <w:lang w:val="en-US"/>
        </w:rPr>
      </w:pPr>
      <w:r>
        <w:rPr>
          <w:lang w:val="en-US"/>
        </w:rPr>
        <w:lastRenderedPageBreak/>
        <w:t>To provide evidence-based recommendations for health and social care professionals to prevent, identify and manage malnutrition among older adults in community and residential care settings</w:t>
      </w:r>
      <w:r>
        <w:rPr>
          <w:rFonts w:asciiTheme="majorBidi" w:hAnsiTheme="majorBidi" w:cstheme="majorBidi"/>
          <w:szCs w:val="24"/>
        </w:rPr>
        <w:t>.</w:t>
      </w:r>
    </w:p>
    <w:p w14:paraId="2FB60202" w14:textId="77777777" w:rsidR="00BA5880" w:rsidRDefault="00BA5880" w:rsidP="00BA5880">
      <w:pPr>
        <w:pStyle w:val="Heading2"/>
        <w:rPr>
          <w:rFonts w:asciiTheme="majorBidi" w:hAnsiTheme="majorBidi"/>
          <w:sz w:val="24"/>
          <w:szCs w:val="24"/>
        </w:rPr>
      </w:pPr>
      <w:r>
        <w:rPr>
          <w:rFonts w:asciiTheme="majorBidi" w:hAnsiTheme="majorBidi"/>
          <w:sz w:val="24"/>
          <w:szCs w:val="24"/>
        </w:rPr>
        <w:t>3) Background/Rationale:</w:t>
      </w:r>
    </w:p>
    <w:p w14:paraId="7477E12A" w14:textId="77777777" w:rsidR="00BA5880" w:rsidRDefault="00BA5880" w:rsidP="00BA5880">
      <w:pPr>
        <w:spacing w:line="360" w:lineRule="auto"/>
        <w:jc w:val="both"/>
        <w:rPr>
          <w:rFonts w:asciiTheme="majorBidi" w:hAnsiTheme="majorBidi" w:cstheme="majorBidi"/>
          <w:szCs w:val="24"/>
        </w:rPr>
      </w:pPr>
      <w:r>
        <w:rPr>
          <w:rFonts w:asciiTheme="majorBidi" w:hAnsiTheme="majorBidi" w:cstheme="majorBidi"/>
          <w:szCs w:val="24"/>
        </w:rPr>
        <w:t>Malnutrition is estimated to impact about 10% of older people in the UK, such as those in hospital and care homes (Malnutrition Task Force, 2025). It is both a consequence and a contributor to poor health, rising mortality, morbidity and healthcare costs (Allen and Saunders, 2023). Although common, malnutrition is not recognised or treated adequately in health and social care settings. Effective nutritional strategies are required because of the UK's ageing population in which the number of people aged 85 plus is projected to double in next 25 years (</w:t>
      </w:r>
      <w:r>
        <w:t>Government Actuary's Department, 2025</w:t>
      </w:r>
      <w:r>
        <w:rPr>
          <w:rFonts w:asciiTheme="majorBidi" w:hAnsiTheme="majorBidi" w:cstheme="majorBidi"/>
          <w:szCs w:val="24"/>
        </w:rPr>
        <w:t>). However, only 51% rate malnutrition as a priority and 47% are confident in the way that they would manage at-risk older adult (Malnutrition Task Force, 2025).</w:t>
      </w:r>
    </w:p>
    <w:p w14:paraId="3605EB50" w14:textId="77777777" w:rsidR="00BA5880" w:rsidRDefault="00BA5880" w:rsidP="00BA5880">
      <w:pPr>
        <w:spacing w:line="360" w:lineRule="auto"/>
        <w:jc w:val="both"/>
        <w:rPr>
          <w:rFonts w:asciiTheme="majorBidi" w:hAnsiTheme="majorBidi" w:cstheme="majorBidi"/>
          <w:szCs w:val="24"/>
        </w:rPr>
      </w:pPr>
    </w:p>
    <w:p w14:paraId="1C213B00" w14:textId="77777777" w:rsidR="00BA5880" w:rsidRDefault="00BA5880" w:rsidP="00BA5880">
      <w:pPr>
        <w:spacing w:line="360" w:lineRule="auto"/>
        <w:jc w:val="both"/>
        <w:rPr>
          <w:rFonts w:asciiTheme="majorBidi" w:hAnsiTheme="majorBidi" w:cstheme="majorBidi"/>
          <w:szCs w:val="24"/>
        </w:rPr>
      </w:pPr>
      <w:r>
        <w:rPr>
          <w:rFonts w:asciiTheme="majorBidi" w:hAnsiTheme="majorBidi" w:cstheme="majorBidi"/>
          <w:szCs w:val="24"/>
        </w:rPr>
        <w:t>These physical impacts encompass muscle wasting, sarcopenia, a greater risk of falling, impaired wound healing and extended hospital durations (Norman et al., 2021). Malnutrition is associated with psychological negative effects, such as depression, anxiety and cognitive decline (Volkert et al., 2019). Socially it may cause loneliness, decreased participation and loss of independence (BAPEN, 2021). Oral support (supplements), food fortification and dietetic input can enhance outcomes but are not consistently practised (Baldwin and Weekes, 2011).</w:t>
      </w:r>
    </w:p>
    <w:p w14:paraId="41E127CC" w14:textId="29BE0477" w:rsidR="00BA5880" w:rsidRDefault="00BA5880" w:rsidP="00BA5880">
      <w:pPr>
        <w:spacing w:line="360" w:lineRule="auto"/>
        <w:jc w:val="both"/>
        <w:rPr>
          <w:rFonts w:asciiTheme="majorBidi" w:hAnsiTheme="majorBidi" w:cstheme="majorBidi"/>
          <w:szCs w:val="24"/>
        </w:rPr>
      </w:pPr>
      <w:r>
        <w:rPr>
          <w:rFonts w:asciiTheme="majorBidi" w:hAnsiTheme="majorBidi" w:cstheme="majorBidi"/>
          <w:szCs w:val="24"/>
        </w:rPr>
        <w:t>Importantly</w:t>
      </w:r>
      <w:r w:rsidR="001F5C86">
        <w:rPr>
          <w:rFonts w:asciiTheme="majorBidi" w:hAnsiTheme="majorBidi" w:cstheme="majorBidi"/>
          <w:szCs w:val="24"/>
        </w:rPr>
        <w:t xml:space="preserve">, </w:t>
      </w:r>
      <w:r>
        <w:rPr>
          <w:rFonts w:asciiTheme="majorBidi" w:hAnsiTheme="majorBidi" w:cstheme="majorBidi"/>
          <w:szCs w:val="24"/>
        </w:rPr>
        <w:t>the</w:t>
      </w:r>
      <w:r w:rsidR="001F5C86">
        <w:rPr>
          <w:rFonts w:asciiTheme="majorBidi" w:hAnsiTheme="majorBidi" w:cstheme="majorBidi"/>
          <w:szCs w:val="24"/>
        </w:rPr>
        <w:t xml:space="preserve"> </w:t>
      </w:r>
      <w:r>
        <w:rPr>
          <w:rFonts w:asciiTheme="majorBidi" w:hAnsiTheme="majorBidi" w:cstheme="majorBidi"/>
          <w:szCs w:val="24"/>
        </w:rPr>
        <w:t>literature focuses</w:t>
      </w:r>
      <w:r w:rsidR="007520E6">
        <w:rPr>
          <w:rFonts w:asciiTheme="majorBidi" w:hAnsiTheme="majorBidi" w:cstheme="majorBidi"/>
          <w:szCs w:val="24"/>
        </w:rPr>
        <w:t xml:space="preserve"> </w:t>
      </w:r>
      <w:r>
        <w:rPr>
          <w:rFonts w:asciiTheme="majorBidi" w:hAnsiTheme="majorBidi" w:cstheme="majorBidi"/>
          <w:szCs w:val="24"/>
        </w:rPr>
        <w:t>on the</w:t>
      </w:r>
      <w:r w:rsidR="007520E6">
        <w:rPr>
          <w:rFonts w:asciiTheme="majorBidi" w:hAnsiTheme="majorBidi" w:cstheme="majorBidi"/>
          <w:szCs w:val="24"/>
        </w:rPr>
        <w:t xml:space="preserve"> </w:t>
      </w:r>
      <w:r>
        <w:rPr>
          <w:rFonts w:asciiTheme="majorBidi" w:hAnsiTheme="majorBidi" w:cstheme="majorBidi"/>
          <w:szCs w:val="24"/>
        </w:rPr>
        <w:t>physical, psychological and social outcomes separately without addressing the impact of the interplay between these domains or how they build up risk over time. Some evidence exists regarding the incorporation of nutrition support in person centred care, but it is limited. The study therefore aimed to conduct a literature review to identify the main risk factors, discuss the wider impacts of malnutrition and highlight the importance of a person-centred, integrated approach to nutrition care in older adults.</w:t>
      </w:r>
    </w:p>
    <w:p w14:paraId="75C08ACF" w14:textId="77777777" w:rsidR="00BA5880" w:rsidRDefault="00BA5880" w:rsidP="00BA5880">
      <w:pPr>
        <w:spacing w:line="360" w:lineRule="auto"/>
        <w:jc w:val="both"/>
        <w:rPr>
          <w:rFonts w:asciiTheme="majorBidi" w:hAnsiTheme="majorBidi" w:cstheme="majorBidi"/>
          <w:szCs w:val="24"/>
        </w:rPr>
      </w:pPr>
    </w:p>
    <w:p w14:paraId="769A0EE6" w14:textId="77777777" w:rsidR="00BA5880" w:rsidRDefault="00BA5880" w:rsidP="00BA5880">
      <w:pPr>
        <w:spacing w:line="360" w:lineRule="auto"/>
        <w:jc w:val="both"/>
        <w:rPr>
          <w:rFonts w:asciiTheme="majorBidi" w:hAnsiTheme="majorBidi" w:cstheme="majorBidi"/>
          <w:szCs w:val="24"/>
        </w:rPr>
      </w:pPr>
      <w:r w:rsidRPr="001F5C86">
        <w:rPr>
          <w:rFonts w:asciiTheme="majorBidi" w:hAnsiTheme="majorBidi" w:cstheme="majorBidi"/>
          <w:b/>
          <w:bCs/>
          <w:szCs w:val="24"/>
        </w:rPr>
        <w:t>4) Methods</w:t>
      </w:r>
      <w:r>
        <w:rPr>
          <w:rFonts w:asciiTheme="majorBidi" w:hAnsiTheme="majorBidi" w:cstheme="majorBidi"/>
          <w:szCs w:val="24"/>
        </w:rPr>
        <w:t>:</w:t>
      </w:r>
    </w:p>
    <w:p w14:paraId="0F3A7662" w14:textId="77777777" w:rsidR="00BA5880" w:rsidRDefault="00BA5880" w:rsidP="00BA5880">
      <w:pPr>
        <w:spacing w:line="360" w:lineRule="auto"/>
        <w:jc w:val="both"/>
        <w:rPr>
          <w:rFonts w:asciiTheme="majorBidi" w:hAnsiTheme="majorBidi" w:cstheme="majorBidi"/>
          <w:szCs w:val="24"/>
        </w:rPr>
      </w:pPr>
      <w:r>
        <w:rPr>
          <w:rFonts w:asciiTheme="majorBidi" w:hAnsiTheme="majorBidi" w:cstheme="majorBidi"/>
          <w:szCs w:val="24"/>
        </w:rPr>
        <w:t xml:space="preserve">A secondary research approach will be used in this project, which will involve the use of peer-reviewed journal articles, systematic review articles, UK government publications, NHS </w:t>
      </w:r>
      <w:r>
        <w:rPr>
          <w:rFonts w:asciiTheme="majorBidi" w:hAnsiTheme="majorBidi" w:cstheme="majorBidi"/>
          <w:szCs w:val="24"/>
        </w:rPr>
        <w:lastRenderedPageBreak/>
        <w:t xml:space="preserve">guidance and health and social care policies. Databases like PubMed, Scopus and Google Scholar will be used to identify sources. Keyword search strategy will be employed. </w:t>
      </w:r>
    </w:p>
    <w:p w14:paraId="50DC4593" w14:textId="77777777" w:rsidR="00BA5880" w:rsidRDefault="00BA5880" w:rsidP="00BA5880">
      <w:pPr>
        <w:spacing w:line="360" w:lineRule="auto"/>
        <w:jc w:val="both"/>
        <w:rPr>
          <w:rFonts w:asciiTheme="majorBidi" w:hAnsiTheme="majorBidi" w:cstheme="majorBidi"/>
          <w:szCs w:val="24"/>
          <w:lang w:val="en-US"/>
        </w:rPr>
      </w:pPr>
      <w:r>
        <w:rPr>
          <w:rFonts w:asciiTheme="majorBidi" w:hAnsiTheme="majorBidi" w:cstheme="majorBidi"/>
          <w:szCs w:val="24"/>
          <w:lang w:val="en-US"/>
        </w:rPr>
        <w:t>Search terms will include combinations such as:</w:t>
      </w:r>
    </w:p>
    <w:p w14:paraId="2D65E62E" w14:textId="77777777" w:rsidR="00BA5880" w:rsidRDefault="00BA5880" w:rsidP="00BA5880">
      <w:pPr>
        <w:numPr>
          <w:ilvl w:val="0"/>
          <w:numId w:val="7"/>
        </w:numPr>
        <w:spacing w:line="360" w:lineRule="auto"/>
        <w:jc w:val="both"/>
        <w:rPr>
          <w:rFonts w:asciiTheme="majorBidi" w:hAnsiTheme="majorBidi" w:cstheme="majorBidi"/>
          <w:szCs w:val="24"/>
          <w:lang w:val="en-US"/>
        </w:rPr>
      </w:pPr>
      <w:r>
        <w:rPr>
          <w:rFonts w:asciiTheme="majorBidi" w:hAnsiTheme="majorBidi" w:cstheme="majorBidi"/>
          <w:szCs w:val="24"/>
          <w:lang w:val="en-US"/>
        </w:rPr>
        <w:t>"malnutrition" AND "older adults" AND UK</w:t>
      </w:r>
    </w:p>
    <w:p w14:paraId="393C3B04" w14:textId="77777777" w:rsidR="00BA5880" w:rsidRDefault="00BA5880" w:rsidP="00BA5880">
      <w:pPr>
        <w:numPr>
          <w:ilvl w:val="0"/>
          <w:numId w:val="7"/>
        </w:numPr>
        <w:spacing w:line="360" w:lineRule="auto"/>
        <w:jc w:val="both"/>
        <w:rPr>
          <w:rFonts w:asciiTheme="majorBidi" w:hAnsiTheme="majorBidi" w:cstheme="majorBidi"/>
          <w:szCs w:val="24"/>
          <w:lang w:val="en-US"/>
        </w:rPr>
      </w:pPr>
      <w:r>
        <w:rPr>
          <w:rFonts w:asciiTheme="majorBidi" w:hAnsiTheme="majorBidi" w:cstheme="majorBidi"/>
          <w:szCs w:val="24"/>
          <w:lang w:val="en-US"/>
        </w:rPr>
        <w:t>"Older people" AND malnutrition AND frailty</w:t>
      </w:r>
    </w:p>
    <w:p w14:paraId="56B0ED28" w14:textId="77777777" w:rsidR="00BA5880" w:rsidRDefault="00BA5880" w:rsidP="00BA5880">
      <w:pPr>
        <w:numPr>
          <w:ilvl w:val="0"/>
          <w:numId w:val="7"/>
        </w:numPr>
        <w:spacing w:line="360" w:lineRule="auto"/>
        <w:jc w:val="both"/>
        <w:rPr>
          <w:rFonts w:asciiTheme="majorBidi" w:hAnsiTheme="majorBidi" w:cstheme="majorBidi"/>
          <w:szCs w:val="24"/>
          <w:lang w:val="en-US"/>
        </w:rPr>
      </w:pPr>
      <w:r>
        <w:rPr>
          <w:rFonts w:asciiTheme="majorBidi" w:hAnsiTheme="majorBidi" w:cstheme="majorBidi"/>
          <w:szCs w:val="24"/>
          <w:lang w:val="en-US"/>
        </w:rPr>
        <w:t>malnutrition AND "mental wellbeing" AND "older adults"</w:t>
      </w:r>
    </w:p>
    <w:p w14:paraId="5C86F62A" w14:textId="77777777" w:rsidR="00BA5880" w:rsidRDefault="00BA5880" w:rsidP="00BA5880">
      <w:pPr>
        <w:numPr>
          <w:ilvl w:val="0"/>
          <w:numId w:val="7"/>
        </w:numPr>
        <w:spacing w:line="360" w:lineRule="auto"/>
        <w:jc w:val="both"/>
        <w:rPr>
          <w:rFonts w:asciiTheme="majorBidi" w:hAnsiTheme="majorBidi" w:cstheme="majorBidi"/>
          <w:szCs w:val="24"/>
          <w:lang w:val="en-US"/>
        </w:rPr>
      </w:pPr>
      <w:r>
        <w:rPr>
          <w:rFonts w:asciiTheme="majorBidi" w:hAnsiTheme="majorBidi" w:cstheme="majorBidi"/>
          <w:szCs w:val="24"/>
          <w:lang w:val="en-US"/>
        </w:rPr>
        <w:t>malnutrition AND "residential care" AND UK</w:t>
      </w:r>
    </w:p>
    <w:p w14:paraId="409E92E8" w14:textId="77777777" w:rsidR="00BA5880" w:rsidRDefault="00BA5880" w:rsidP="00BA5880">
      <w:pPr>
        <w:spacing w:line="360" w:lineRule="auto"/>
        <w:jc w:val="both"/>
        <w:rPr>
          <w:rFonts w:asciiTheme="majorBidi" w:hAnsiTheme="majorBidi" w:cstheme="majorBidi"/>
          <w:szCs w:val="24"/>
        </w:rPr>
      </w:pPr>
      <w:r>
        <w:rPr>
          <w:rFonts w:asciiTheme="majorBidi" w:hAnsiTheme="majorBidi" w:cstheme="majorBidi"/>
          <w:szCs w:val="24"/>
        </w:rPr>
        <w:t>The inclusion criteria will be countries of the United Kingdom, and publications will be from English language journals, 2016 to 2026, on malnutrition affecting adults (65 and older). Relevant earlier research may be included where appropriate. Exclusion criteria include non-UK studies; non-English publications; non-peer-reviewed sources (unless government or NHS guidance); studies focusing on populations under 65; and publications pre-dating 2016 (unless seminal). Results will be critically examined and tabulated by themes such as physical health, psychological wellbeing, risk factors, interventions etc. The CRAAP criteria (Currency, Relevance, Authority, Accuracy and Purpose) will be used to evaluate source credibility and appropriateness to ensure only credible and appropriate evidence is used. Results will be critically analysed and tabulated by themes related to physical health, psychological wellbeing, risk factors and interventions. Ethics will follow the University of Wales Trinity Saint David Research Ethics and Integrity Policy which includes correct referencing, proper recognition and acknowledgement of authors and prevention of plagiarism.</w:t>
      </w:r>
    </w:p>
    <w:p w14:paraId="1E76AC78" w14:textId="77777777" w:rsidR="00BA5880" w:rsidRDefault="00BA5880" w:rsidP="00BA5880">
      <w:pPr>
        <w:pStyle w:val="Heading2"/>
        <w:rPr>
          <w:rFonts w:asciiTheme="majorBidi" w:hAnsiTheme="majorBidi"/>
          <w:sz w:val="24"/>
          <w:szCs w:val="24"/>
        </w:rPr>
      </w:pPr>
      <w:r>
        <w:rPr>
          <w:rFonts w:asciiTheme="majorBidi" w:hAnsiTheme="majorBidi"/>
          <w:sz w:val="24"/>
          <w:szCs w:val="24"/>
        </w:rPr>
        <w:t xml:space="preserve">5) Resources: </w:t>
      </w:r>
    </w:p>
    <w:p w14:paraId="49C3376F"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rFonts w:asciiTheme="majorBidi" w:hAnsiTheme="majorBidi" w:cstheme="majorBidi"/>
          <w:szCs w:val="24"/>
          <w:lang w:val="en-US"/>
        </w:rPr>
        <w:t>Databases: PubMed, Scopus, and Google Scholar.</w:t>
      </w:r>
    </w:p>
    <w:p w14:paraId="61326DDF"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rFonts w:asciiTheme="majorBidi" w:hAnsiTheme="majorBidi" w:cstheme="majorBidi"/>
          <w:szCs w:val="24"/>
          <w:lang w:val="en-US"/>
        </w:rPr>
        <w:t>Resources: NHS, NICE and UK government publications (for review).</w:t>
      </w:r>
    </w:p>
    <w:p w14:paraId="66ADE7F7"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rFonts w:asciiTheme="majorBidi" w:hAnsiTheme="majorBidi" w:cstheme="majorBidi"/>
          <w:szCs w:val="24"/>
          <w:lang w:val="en-US"/>
        </w:rPr>
        <w:t>Software: Microsoft Word and Excel</w:t>
      </w:r>
    </w:p>
    <w:p w14:paraId="38A8D469"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lang w:val="en-US"/>
        </w:rPr>
        <w:t>UWTSD Library and electronic resources</w:t>
      </w:r>
    </w:p>
    <w:p w14:paraId="3FE98647"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lang w:val="en-US"/>
        </w:rPr>
        <w:t>MEDLINE where appropriate</w:t>
      </w:r>
    </w:p>
    <w:p w14:paraId="7CD12C3A"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lang w:val="en-US"/>
        </w:rPr>
        <w:t>Lecturer support.</w:t>
      </w:r>
    </w:p>
    <w:p w14:paraId="7F9AB67C"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lang w:val="en-US"/>
        </w:rPr>
        <w:t>UWTSD Library staff/support</w:t>
      </w:r>
    </w:p>
    <w:p w14:paraId="6D57B858"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lang w:val="en-US"/>
        </w:rPr>
        <w:t>Study Skills</w:t>
      </w:r>
    </w:p>
    <w:p w14:paraId="5947E734" w14:textId="77777777" w:rsidR="00BA5880" w:rsidRDefault="00BA5880" w:rsidP="00BA5880">
      <w:pPr>
        <w:pStyle w:val="ListParagraph"/>
        <w:numPr>
          <w:ilvl w:val="0"/>
          <w:numId w:val="8"/>
        </w:numPr>
        <w:spacing w:line="360" w:lineRule="auto"/>
        <w:rPr>
          <w:rFonts w:asciiTheme="majorBidi" w:hAnsiTheme="majorBidi" w:cstheme="majorBidi"/>
          <w:szCs w:val="24"/>
          <w:lang w:val="en-US"/>
        </w:rPr>
      </w:pPr>
      <w:r>
        <w:rPr>
          <w:lang w:val="en-US"/>
        </w:rPr>
        <w:t>Appropriate peer or study-group support.</w:t>
      </w:r>
    </w:p>
    <w:p w14:paraId="367D8AA3" w14:textId="77777777" w:rsidR="00BA5880" w:rsidRPr="00EA44CA" w:rsidRDefault="00BA5880" w:rsidP="00BA5880">
      <w:pPr>
        <w:pStyle w:val="ListParagraph"/>
        <w:numPr>
          <w:ilvl w:val="0"/>
          <w:numId w:val="8"/>
        </w:numPr>
        <w:spacing w:line="360" w:lineRule="auto"/>
        <w:rPr>
          <w:rFonts w:asciiTheme="majorBidi" w:hAnsiTheme="majorBidi" w:cstheme="majorBidi"/>
          <w:szCs w:val="24"/>
          <w:lang w:val="en-US"/>
        </w:rPr>
      </w:pPr>
      <w:r>
        <w:rPr>
          <w:lang w:val="en-US"/>
        </w:rPr>
        <w:lastRenderedPageBreak/>
        <w:t>A reference-management or source-tracking tool if used.</w:t>
      </w:r>
    </w:p>
    <w:p w14:paraId="093C5367" w14:textId="77777777" w:rsidR="00BA5880" w:rsidRDefault="00BA5880" w:rsidP="00BA5880">
      <w:pPr>
        <w:pStyle w:val="ListParagraph"/>
        <w:spacing w:line="360" w:lineRule="auto"/>
        <w:rPr>
          <w:rFonts w:asciiTheme="majorBidi" w:hAnsiTheme="majorBidi" w:cstheme="majorBidi"/>
          <w:szCs w:val="24"/>
          <w:lang w:val="en-US"/>
        </w:rPr>
      </w:pPr>
    </w:p>
    <w:p w14:paraId="6A585521" w14:textId="77777777" w:rsidR="00BA5880" w:rsidRDefault="00BA5880" w:rsidP="00BA5880">
      <w:pPr>
        <w:pStyle w:val="Heading2"/>
        <w:rPr>
          <w:rFonts w:asciiTheme="majorBidi" w:hAnsiTheme="majorBidi"/>
          <w:sz w:val="24"/>
          <w:szCs w:val="24"/>
        </w:rPr>
      </w:pPr>
      <w:r>
        <w:rPr>
          <w:rFonts w:asciiTheme="majorBidi" w:hAnsiTheme="majorBidi"/>
          <w:sz w:val="24"/>
          <w:szCs w:val="24"/>
        </w:rPr>
        <w:t>6) Timescale</w:t>
      </w:r>
    </w:p>
    <w:tbl>
      <w:tblPr>
        <w:tblStyle w:val="TableGrid"/>
        <w:tblW w:w="0" w:type="auto"/>
        <w:tblLook w:val="04A0" w:firstRow="1" w:lastRow="0" w:firstColumn="1" w:lastColumn="0" w:noHBand="0" w:noVBand="1"/>
      </w:tblPr>
      <w:tblGrid>
        <w:gridCol w:w="1672"/>
        <w:gridCol w:w="2753"/>
        <w:gridCol w:w="1448"/>
        <w:gridCol w:w="3143"/>
      </w:tblGrid>
      <w:tr w:rsidR="00BA5880" w14:paraId="71EDBE0C" w14:textId="77777777" w:rsidTr="00AA235D">
        <w:tc>
          <w:tcPr>
            <w:tcW w:w="0" w:type="auto"/>
            <w:tcBorders>
              <w:top w:val="single" w:sz="4" w:space="0" w:color="auto"/>
              <w:left w:val="single" w:sz="4" w:space="0" w:color="auto"/>
              <w:bottom w:val="single" w:sz="4" w:space="0" w:color="auto"/>
              <w:right w:val="single" w:sz="4" w:space="0" w:color="auto"/>
            </w:tcBorders>
            <w:hideMark/>
          </w:tcPr>
          <w:p w14:paraId="59C6D477" w14:textId="77777777" w:rsidR="00BA5880" w:rsidRDefault="00BA5880" w:rsidP="00AA235D">
            <w:pPr>
              <w:jc w:val="center"/>
              <w:rPr>
                <w:rFonts w:asciiTheme="majorBidi" w:hAnsiTheme="majorBidi" w:cstheme="majorBidi"/>
                <w:b/>
                <w:bCs/>
              </w:rPr>
            </w:pPr>
            <w:r>
              <w:rPr>
                <w:rFonts w:asciiTheme="majorBidi" w:hAnsiTheme="majorBidi" w:cstheme="majorBidi"/>
                <w:b/>
                <w:bCs/>
              </w:rPr>
              <w:t>Phase</w:t>
            </w:r>
          </w:p>
        </w:tc>
        <w:tc>
          <w:tcPr>
            <w:tcW w:w="0" w:type="auto"/>
            <w:tcBorders>
              <w:top w:val="single" w:sz="4" w:space="0" w:color="auto"/>
              <w:left w:val="single" w:sz="4" w:space="0" w:color="auto"/>
              <w:bottom w:val="single" w:sz="4" w:space="0" w:color="auto"/>
              <w:right w:val="single" w:sz="4" w:space="0" w:color="auto"/>
            </w:tcBorders>
            <w:hideMark/>
          </w:tcPr>
          <w:p w14:paraId="3BD1AE46" w14:textId="77777777" w:rsidR="00BA5880" w:rsidRDefault="00BA5880" w:rsidP="00AA235D">
            <w:pPr>
              <w:jc w:val="center"/>
              <w:rPr>
                <w:rFonts w:asciiTheme="majorBidi" w:hAnsiTheme="majorBidi" w:cstheme="majorBidi"/>
                <w:b/>
                <w:bCs/>
              </w:rPr>
            </w:pPr>
            <w:r>
              <w:rPr>
                <w:rFonts w:asciiTheme="majorBidi" w:hAnsiTheme="majorBidi" w:cstheme="majorBidi"/>
                <w:b/>
                <w:bCs/>
              </w:rPr>
              <w:t>Task / Milestone</w:t>
            </w:r>
          </w:p>
        </w:tc>
        <w:tc>
          <w:tcPr>
            <w:tcW w:w="0" w:type="auto"/>
            <w:tcBorders>
              <w:top w:val="single" w:sz="4" w:space="0" w:color="auto"/>
              <w:left w:val="single" w:sz="4" w:space="0" w:color="auto"/>
              <w:bottom w:val="single" w:sz="4" w:space="0" w:color="auto"/>
              <w:right w:val="single" w:sz="4" w:space="0" w:color="auto"/>
            </w:tcBorders>
            <w:hideMark/>
          </w:tcPr>
          <w:p w14:paraId="7617937C" w14:textId="77777777" w:rsidR="00BA5880" w:rsidRDefault="00BA5880" w:rsidP="00AA235D">
            <w:pPr>
              <w:jc w:val="center"/>
              <w:rPr>
                <w:rFonts w:asciiTheme="majorBidi" w:hAnsiTheme="majorBidi" w:cstheme="majorBidi"/>
                <w:b/>
                <w:bCs/>
              </w:rPr>
            </w:pPr>
            <w:r>
              <w:rPr>
                <w:rFonts w:asciiTheme="majorBidi" w:hAnsiTheme="majorBidi" w:cstheme="majorBidi"/>
                <w:b/>
                <w:bCs/>
              </w:rPr>
              <w:t>Indicative Weeks</w:t>
            </w:r>
          </w:p>
        </w:tc>
        <w:tc>
          <w:tcPr>
            <w:tcW w:w="0" w:type="auto"/>
            <w:tcBorders>
              <w:top w:val="single" w:sz="4" w:space="0" w:color="auto"/>
              <w:left w:val="single" w:sz="4" w:space="0" w:color="auto"/>
              <w:bottom w:val="single" w:sz="4" w:space="0" w:color="auto"/>
              <w:right w:val="single" w:sz="4" w:space="0" w:color="auto"/>
            </w:tcBorders>
            <w:hideMark/>
          </w:tcPr>
          <w:p w14:paraId="0181F702" w14:textId="77777777" w:rsidR="00BA5880" w:rsidRDefault="00BA5880" w:rsidP="00AA235D">
            <w:pPr>
              <w:jc w:val="center"/>
              <w:rPr>
                <w:rFonts w:asciiTheme="majorBidi" w:hAnsiTheme="majorBidi" w:cstheme="majorBidi"/>
                <w:b/>
                <w:bCs/>
              </w:rPr>
            </w:pPr>
            <w:r>
              <w:rPr>
                <w:rFonts w:asciiTheme="majorBidi" w:hAnsiTheme="majorBidi" w:cstheme="majorBidi"/>
                <w:b/>
                <w:bCs/>
              </w:rPr>
              <w:t>Notes</w:t>
            </w:r>
          </w:p>
        </w:tc>
      </w:tr>
      <w:tr w:rsidR="00BA5880" w14:paraId="185AA1D2" w14:textId="77777777" w:rsidTr="00AA235D">
        <w:tc>
          <w:tcPr>
            <w:tcW w:w="0" w:type="auto"/>
            <w:vMerge w:val="restart"/>
            <w:tcBorders>
              <w:top w:val="single" w:sz="4" w:space="0" w:color="auto"/>
              <w:left w:val="single" w:sz="4" w:space="0" w:color="auto"/>
              <w:bottom w:val="single" w:sz="4" w:space="0" w:color="auto"/>
              <w:right w:val="single" w:sz="4" w:space="0" w:color="auto"/>
            </w:tcBorders>
            <w:hideMark/>
          </w:tcPr>
          <w:p w14:paraId="48A0C6A6" w14:textId="77777777" w:rsidR="00BA5880" w:rsidRDefault="00BA5880" w:rsidP="00AA235D">
            <w:pPr>
              <w:jc w:val="center"/>
              <w:rPr>
                <w:rFonts w:asciiTheme="majorBidi" w:hAnsiTheme="majorBidi" w:cstheme="majorBidi"/>
              </w:rPr>
            </w:pPr>
            <w:r>
              <w:rPr>
                <w:rFonts w:asciiTheme="majorBidi" w:hAnsiTheme="majorBidi" w:cstheme="majorBidi"/>
              </w:rPr>
              <w:t>1. Proposal &amp; Approval</w:t>
            </w:r>
          </w:p>
        </w:tc>
        <w:tc>
          <w:tcPr>
            <w:tcW w:w="0" w:type="auto"/>
            <w:tcBorders>
              <w:top w:val="single" w:sz="4" w:space="0" w:color="auto"/>
              <w:left w:val="single" w:sz="4" w:space="0" w:color="auto"/>
              <w:bottom w:val="single" w:sz="4" w:space="0" w:color="auto"/>
              <w:right w:val="single" w:sz="4" w:space="0" w:color="auto"/>
            </w:tcBorders>
            <w:hideMark/>
          </w:tcPr>
          <w:p w14:paraId="5AF1B016" w14:textId="77777777" w:rsidR="00BA5880" w:rsidRDefault="00BA5880" w:rsidP="00AA235D">
            <w:pPr>
              <w:jc w:val="center"/>
              <w:rPr>
                <w:rFonts w:asciiTheme="majorBidi" w:hAnsiTheme="majorBidi" w:cstheme="majorBidi"/>
              </w:rPr>
            </w:pPr>
            <w:r>
              <w:rPr>
                <w:rFonts w:asciiTheme="majorBidi" w:hAnsiTheme="majorBidi" w:cstheme="majorBidi"/>
              </w:rPr>
              <w:t>Proposal development and submission</w:t>
            </w:r>
          </w:p>
        </w:tc>
        <w:tc>
          <w:tcPr>
            <w:tcW w:w="0" w:type="auto"/>
            <w:tcBorders>
              <w:top w:val="single" w:sz="4" w:space="0" w:color="auto"/>
              <w:left w:val="single" w:sz="4" w:space="0" w:color="auto"/>
              <w:bottom w:val="single" w:sz="4" w:space="0" w:color="auto"/>
              <w:right w:val="single" w:sz="4" w:space="0" w:color="auto"/>
            </w:tcBorders>
            <w:hideMark/>
          </w:tcPr>
          <w:p w14:paraId="04FD1769" w14:textId="77777777" w:rsidR="00BA5880" w:rsidRDefault="00BA5880" w:rsidP="00AA235D">
            <w:pPr>
              <w:jc w:val="center"/>
              <w:rPr>
                <w:rFonts w:asciiTheme="majorBidi" w:hAnsiTheme="majorBidi" w:cstheme="majorBidi"/>
              </w:rPr>
            </w:pPr>
            <w:r>
              <w:rPr>
                <w:rFonts w:asciiTheme="majorBidi" w:hAnsiTheme="majorBidi" w:cstheme="majorBidi"/>
              </w:rPr>
              <w:t>Weeks 1–3</w:t>
            </w:r>
          </w:p>
        </w:tc>
        <w:tc>
          <w:tcPr>
            <w:tcW w:w="0" w:type="auto"/>
            <w:tcBorders>
              <w:top w:val="single" w:sz="4" w:space="0" w:color="auto"/>
              <w:left w:val="single" w:sz="4" w:space="0" w:color="auto"/>
              <w:bottom w:val="single" w:sz="4" w:space="0" w:color="auto"/>
              <w:right w:val="single" w:sz="4" w:space="0" w:color="auto"/>
            </w:tcBorders>
            <w:hideMark/>
          </w:tcPr>
          <w:p w14:paraId="7C77BB55" w14:textId="77777777" w:rsidR="00BA5880" w:rsidRDefault="00BA5880" w:rsidP="00AA235D">
            <w:pPr>
              <w:jc w:val="center"/>
              <w:rPr>
                <w:rFonts w:asciiTheme="majorBidi" w:hAnsiTheme="majorBidi" w:cstheme="majorBidi"/>
              </w:rPr>
            </w:pPr>
            <w:r>
              <w:rPr>
                <w:rFonts w:asciiTheme="majorBidi" w:hAnsiTheme="majorBidi" w:cstheme="majorBidi"/>
              </w:rPr>
              <w:t>Refine based on your current draft.</w:t>
            </w:r>
          </w:p>
        </w:tc>
      </w:tr>
      <w:tr w:rsidR="00BA5880" w14:paraId="197A9101"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67FEA52B"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2F133F15" w14:textId="77777777" w:rsidR="00BA5880" w:rsidRDefault="00BA5880" w:rsidP="00AA235D">
            <w:pPr>
              <w:jc w:val="center"/>
              <w:rPr>
                <w:rFonts w:asciiTheme="majorBidi" w:hAnsiTheme="majorBidi" w:cstheme="majorBidi"/>
              </w:rPr>
            </w:pPr>
            <w:r>
              <w:rPr>
                <w:rFonts w:asciiTheme="majorBidi" w:hAnsiTheme="majorBidi" w:cstheme="majorBidi"/>
              </w:rPr>
              <w:t>Proposal approval &amp; supervisor allocation</w:t>
            </w:r>
          </w:p>
        </w:tc>
        <w:tc>
          <w:tcPr>
            <w:tcW w:w="0" w:type="auto"/>
            <w:tcBorders>
              <w:top w:val="single" w:sz="4" w:space="0" w:color="auto"/>
              <w:left w:val="single" w:sz="4" w:space="0" w:color="auto"/>
              <w:bottom w:val="single" w:sz="4" w:space="0" w:color="auto"/>
              <w:right w:val="single" w:sz="4" w:space="0" w:color="auto"/>
            </w:tcBorders>
            <w:hideMark/>
          </w:tcPr>
          <w:p w14:paraId="1067E804" w14:textId="77777777" w:rsidR="00BA5880" w:rsidRDefault="00BA5880" w:rsidP="00AA235D">
            <w:pPr>
              <w:jc w:val="center"/>
              <w:rPr>
                <w:rFonts w:asciiTheme="majorBidi" w:hAnsiTheme="majorBidi" w:cstheme="majorBidi"/>
              </w:rPr>
            </w:pPr>
            <w:r>
              <w:rPr>
                <w:rFonts w:asciiTheme="majorBidi" w:hAnsiTheme="majorBidi" w:cstheme="majorBidi"/>
              </w:rPr>
              <w:t>Week 3–4</w:t>
            </w:r>
          </w:p>
        </w:tc>
        <w:tc>
          <w:tcPr>
            <w:tcW w:w="0" w:type="auto"/>
            <w:tcBorders>
              <w:top w:val="single" w:sz="4" w:space="0" w:color="auto"/>
              <w:left w:val="single" w:sz="4" w:space="0" w:color="auto"/>
              <w:bottom w:val="single" w:sz="4" w:space="0" w:color="auto"/>
              <w:right w:val="single" w:sz="4" w:space="0" w:color="auto"/>
            </w:tcBorders>
            <w:hideMark/>
          </w:tcPr>
          <w:p w14:paraId="7D3C9DB1" w14:textId="77777777" w:rsidR="00BA5880" w:rsidRDefault="00BA5880" w:rsidP="00AA235D">
            <w:pPr>
              <w:jc w:val="center"/>
              <w:rPr>
                <w:rFonts w:asciiTheme="majorBidi" w:hAnsiTheme="majorBidi" w:cstheme="majorBidi"/>
              </w:rPr>
            </w:pPr>
            <w:r>
              <w:rPr>
                <w:rFonts w:asciiTheme="majorBidi" w:hAnsiTheme="majorBidi" w:cstheme="majorBidi"/>
              </w:rPr>
              <w:t>Required before supervision begins.</w:t>
            </w:r>
          </w:p>
        </w:tc>
      </w:tr>
      <w:tr w:rsidR="00BA5880" w14:paraId="6E819CED" w14:textId="77777777" w:rsidTr="00AA235D">
        <w:tc>
          <w:tcPr>
            <w:tcW w:w="0" w:type="auto"/>
            <w:vMerge w:val="restart"/>
            <w:tcBorders>
              <w:top w:val="single" w:sz="4" w:space="0" w:color="auto"/>
              <w:left w:val="single" w:sz="4" w:space="0" w:color="auto"/>
              <w:bottom w:val="single" w:sz="4" w:space="0" w:color="auto"/>
              <w:right w:val="single" w:sz="4" w:space="0" w:color="auto"/>
            </w:tcBorders>
            <w:hideMark/>
          </w:tcPr>
          <w:p w14:paraId="0E199707" w14:textId="77777777" w:rsidR="00BA5880" w:rsidRDefault="00BA5880" w:rsidP="00AA235D">
            <w:pPr>
              <w:jc w:val="center"/>
              <w:rPr>
                <w:rFonts w:asciiTheme="majorBidi" w:hAnsiTheme="majorBidi" w:cstheme="majorBidi"/>
              </w:rPr>
            </w:pPr>
            <w:r>
              <w:rPr>
                <w:rFonts w:asciiTheme="majorBidi" w:hAnsiTheme="majorBidi" w:cstheme="majorBidi"/>
              </w:rPr>
              <w:t>2. Chapters 1 &amp; 2</w:t>
            </w:r>
          </w:p>
        </w:tc>
        <w:tc>
          <w:tcPr>
            <w:tcW w:w="0" w:type="auto"/>
            <w:tcBorders>
              <w:top w:val="single" w:sz="4" w:space="0" w:color="auto"/>
              <w:left w:val="single" w:sz="4" w:space="0" w:color="auto"/>
              <w:bottom w:val="single" w:sz="4" w:space="0" w:color="auto"/>
              <w:right w:val="single" w:sz="4" w:space="0" w:color="auto"/>
            </w:tcBorders>
            <w:hideMark/>
          </w:tcPr>
          <w:p w14:paraId="06C39BD9" w14:textId="77777777" w:rsidR="00BA5880" w:rsidRDefault="00BA5880" w:rsidP="00AA235D">
            <w:pPr>
              <w:jc w:val="center"/>
              <w:rPr>
                <w:rFonts w:asciiTheme="majorBidi" w:hAnsiTheme="majorBidi" w:cstheme="majorBidi"/>
              </w:rPr>
            </w:pPr>
            <w:r>
              <w:rPr>
                <w:rFonts w:asciiTheme="majorBidi" w:hAnsiTheme="majorBidi" w:cstheme="majorBidi"/>
              </w:rPr>
              <w:t>Draft Chapter 1 (Introduction)</w:t>
            </w:r>
          </w:p>
        </w:tc>
        <w:tc>
          <w:tcPr>
            <w:tcW w:w="0" w:type="auto"/>
            <w:tcBorders>
              <w:top w:val="single" w:sz="4" w:space="0" w:color="auto"/>
              <w:left w:val="single" w:sz="4" w:space="0" w:color="auto"/>
              <w:bottom w:val="single" w:sz="4" w:space="0" w:color="auto"/>
              <w:right w:val="single" w:sz="4" w:space="0" w:color="auto"/>
            </w:tcBorders>
            <w:hideMark/>
          </w:tcPr>
          <w:p w14:paraId="193E7F11" w14:textId="77777777" w:rsidR="00BA5880" w:rsidRDefault="00BA5880" w:rsidP="00AA235D">
            <w:pPr>
              <w:jc w:val="center"/>
              <w:rPr>
                <w:rFonts w:asciiTheme="majorBidi" w:hAnsiTheme="majorBidi" w:cstheme="majorBidi"/>
              </w:rPr>
            </w:pPr>
            <w:r>
              <w:rPr>
                <w:rFonts w:asciiTheme="majorBidi" w:hAnsiTheme="majorBidi" w:cstheme="majorBidi"/>
              </w:rPr>
              <w:t>Weeks 4–6</w:t>
            </w:r>
          </w:p>
        </w:tc>
        <w:tc>
          <w:tcPr>
            <w:tcW w:w="0" w:type="auto"/>
            <w:tcBorders>
              <w:top w:val="single" w:sz="4" w:space="0" w:color="auto"/>
              <w:left w:val="single" w:sz="4" w:space="0" w:color="auto"/>
              <w:bottom w:val="single" w:sz="4" w:space="0" w:color="auto"/>
              <w:right w:val="single" w:sz="4" w:space="0" w:color="auto"/>
            </w:tcBorders>
            <w:hideMark/>
          </w:tcPr>
          <w:p w14:paraId="0D9D819A" w14:textId="77777777" w:rsidR="00BA5880" w:rsidRDefault="00BA5880" w:rsidP="00AA235D">
            <w:pPr>
              <w:jc w:val="center"/>
              <w:rPr>
                <w:rFonts w:asciiTheme="majorBidi" w:hAnsiTheme="majorBidi" w:cstheme="majorBidi"/>
              </w:rPr>
            </w:pPr>
            <w:r>
              <w:rPr>
                <w:rFonts w:asciiTheme="majorBidi" w:hAnsiTheme="majorBidi" w:cstheme="majorBidi"/>
              </w:rPr>
              <w:t>Background, rationale, aims, objectives.</w:t>
            </w:r>
          </w:p>
        </w:tc>
      </w:tr>
      <w:tr w:rsidR="00BA5880" w14:paraId="3A7564A4"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7D6E21D6"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051504C2" w14:textId="77777777" w:rsidR="00BA5880" w:rsidRDefault="00BA5880" w:rsidP="00AA235D">
            <w:pPr>
              <w:jc w:val="center"/>
              <w:rPr>
                <w:rFonts w:asciiTheme="majorBidi" w:hAnsiTheme="majorBidi" w:cstheme="majorBidi"/>
              </w:rPr>
            </w:pPr>
            <w:r>
              <w:rPr>
                <w:rFonts w:asciiTheme="majorBidi" w:hAnsiTheme="majorBidi" w:cstheme="majorBidi"/>
              </w:rPr>
              <w:t>Draft Chapter 2 (Literature Review)</w:t>
            </w:r>
          </w:p>
        </w:tc>
        <w:tc>
          <w:tcPr>
            <w:tcW w:w="0" w:type="auto"/>
            <w:tcBorders>
              <w:top w:val="single" w:sz="4" w:space="0" w:color="auto"/>
              <w:left w:val="single" w:sz="4" w:space="0" w:color="auto"/>
              <w:bottom w:val="single" w:sz="4" w:space="0" w:color="auto"/>
              <w:right w:val="single" w:sz="4" w:space="0" w:color="auto"/>
            </w:tcBorders>
            <w:hideMark/>
          </w:tcPr>
          <w:p w14:paraId="12643D41" w14:textId="77777777" w:rsidR="00BA5880" w:rsidRDefault="00BA5880" w:rsidP="00AA235D">
            <w:pPr>
              <w:jc w:val="center"/>
              <w:rPr>
                <w:rFonts w:asciiTheme="majorBidi" w:hAnsiTheme="majorBidi" w:cstheme="majorBidi"/>
              </w:rPr>
            </w:pPr>
            <w:r>
              <w:rPr>
                <w:rFonts w:asciiTheme="majorBidi" w:hAnsiTheme="majorBidi" w:cstheme="majorBidi"/>
              </w:rPr>
              <w:t>Weeks 6–9</w:t>
            </w:r>
          </w:p>
        </w:tc>
        <w:tc>
          <w:tcPr>
            <w:tcW w:w="0" w:type="auto"/>
            <w:tcBorders>
              <w:top w:val="single" w:sz="4" w:space="0" w:color="auto"/>
              <w:left w:val="single" w:sz="4" w:space="0" w:color="auto"/>
              <w:bottom w:val="single" w:sz="4" w:space="0" w:color="auto"/>
              <w:right w:val="single" w:sz="4" w:space="0" w:color="auto"/>
            </w:tcBorders>
            <w:hideMark/>
          </w:tcPr>
          <w:p w14:paraId="2A8E91A0" w14:textId="77777777" w:rsidR="00BA5880" w:rsidRDefault="00BA5880" w:rsidP="00AA235D">
            <w:pPr>
              <w:jc w:val="center"/>
              <w:rPr>
                <w:rFonts w:asciiTheme="majorBidi" w:hAnsiTheme="majorBidi" w:cstheme="majorBidi"/>
              </w:rPr>
            </w:pPr>
            <w:r>
              <w:rPr>
                <w:rFonts w:asciiTheme="majorBidi" w:hAnsiTheme="majorBidi" w:cstheme="majorBidi"/>
              </w:rPr>
              <w:t>Thematic synthesis of your sources.</w:t>
            </w:r>
          </w:p>
        </w:tc>
      </w:tr>
      <w:tr w:rsidR="00BA5880" w14:paraId="3EBCF30A"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44A2C64A"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339DCF23" w14:textId="77777777" w:rsidR="00BA5880" w:rsidRDefault="00BA5880" w:rsidP="00AA235D">
            <w:pPr>
              <w:jc w:val="center"/>
              <w:rPr>
                <w:rFonts w:asciiTheme="majorBidi" w:hAnsiTheme="majorBidi" w:cstheme="majorBidi"/>
              </w:rPr>
            </w:pPr>
            <w:r>
              <w:rPr>
                <w:rFonts w:asciiTheme="majorBidi" w:hAnsiTheme="majorBidi" w:cstheme="majorBidi"/>
              </w:rPr>
              <w:t>Supervisor feedback on Chapters 1 &amp; 2</w:t>
            </w:r>
          </w:p>
        </w:tc>
        <w:tc>
          <w:tcPr>
            <w:tcW w:w="0" w:type="auto"/>
            <w:tcBorders>
              <w:top w:val="single" w:sz="4" w:space="0" w:color="auto"/>
              <w:left w:val="single" w:sz="4" w:space="0" w:color="auto"/>
              <w:bottom w:val="single" w:sz="4" w:space="0" w:color="auto"/>
              <w:right w:val="single" w:sz="4" w:space="0" w:color="auto"/>
            </w:tcBorders>
            <w:hideMark/>
          </w:tcPr>
          <w:p w14:paraId="48204BC7" w14:textId="77777777" w:rsidR="00BA5880" w:rsidRDefault="00BA5880" w:rsidP="00AA235D">
            <w:pPr>
              <w:jc w:val="center"/>
              <w:rPr>
                <w:rFonts w:asciiTheme="majorBidi" w:hAnsiTheme="majorBidi" w:cstheme="majorBidi"/>
              </w:rPr>
            </w:pPr>
            <w:r>
              <w:rPr>
                <w:rFonts w:asciiTheme="majorBidi" w:hAnsiTheme="majorBidi" w:cstheme="majorBidi"/>
              </w:rPr>
              <w:t>Week 9–10</w:t>
            </w:r>
          </w:p>
        </w:tc>
        <w:tc>
          <w:tcPr>
            <w:tcW w:w="0" w:type="auto"/>
            <w:tcBorders>
              <w:top w:val="single" w:sz="4" w:space="0" w:color="auto"/>
              <w:left w:val="single" w:sz="4" w:space="0" w:color="auto"/>
              <w:bottom w:val="single" w:sz="4" w:space="0" w:color="auto"/>
              <w:right w:val="single" w:sz="4" w:space="0" w:color="auto"/>
            </w:tcBorders>
            <w:hideMark/>
          </w:tcPr>
          <w:p w14:paraId="1A07F7DF" w14:textId="77777777" w:rsidR="00BA5880" w:rsidRDefault="00BA5880" w:rsidP="00AA235D">
            <w:pPr>
              <w:jc w:val="center"/>
              <w:rPr>
                <w:rFonts w:asciiTheme="majorBidi" w:hAnsiTheme="majorBidi" w:cstheme="majorBidi"/>
              </w:rPr>
            </w:pPr>
            <w:r>
              <w:rPr>
                <w:rFonts w:asciiTheme="majorBidi" w:hAnsiTheme="majorBidi" w:cstheme="majorBidi"/>
              </w:rPr>
              <w:t>Allow 10 working days for return.</w:t>
            </w:r>
          </w:p>
        </w:tc>
      </w:tr>
      <w:tr w:rsidR="00BA5880" w14:paraId="7EA30C9A" w14:textId="77777777" w:rsidTr="00AA235D">
        <w:tc>
          <w:tcPr>
            <w:tcW w:w="0" w:type="auto"/>
            <w:vMerge w:val="restart"/>
            <w:tcBorders>
              <w:top w:val="single" w:sz="4" w:space="0" w:color="auto"/>
              <w:left w:val="single" w:sz="4" w:space="0" w:color="auto"/>
              <w:bottom w:val="single" w:sz="4" w:space="0" w:color="auto"/>
              <w:right w:val="single" w:sz="4" w:space="0" w:color="auto"/>
            </w:tcBorders>
            <w:hideMark/>
          </w:tcPr>
          <w:p w14:paraId="71C495FB" w14:textId="77777777" w:rsidR="00BA5880" w:rsidRDefault="00BA5880" w:rsidP="00AA235D">
            <w:pPr>
              <w:jc w:val="center"/>
              <w:rPr>
                <w:rFonts w:asciiTheme="majorBidi" w:hAnsiTheme="majorBidi" w:cstheme="majorBidi"/>
              </w:rPr>
            </w:pPr>
            <w:r>
              <w:rPr>
                <w:rFonts w:asciiTheme="majorBidi" w:hAnsiTheme="majorBidi" w:cstheme="majorBidi"/>
              </w:rPr>
              <w:t>3. Chapter 3 &amp; Poster</w:t>
            </w:r>
          </w:p>
        </w:tc>
        <w:tc>
          <w:tcPr>
            <w:tcW w:w="0" w:type="auto"/>
            <w:tcBorders>
              <w:top w:val="single" w:sz="4" w:space="0" w:color="auto"/>
              <w:left w:val="single" w:sz="4" w:space="0" w:color="auto"/>
              <w:bottom w:val="single" w:sz="4" w:space="0" w:color="auto"/>
              <w:right w:val="single" w:sz="4" w:space="0" w:color="auto"/>
            </w:tcBorders>
            <w:hideMark/>
          </w:tcPr>
          <w:p w14:paraId="1DBAA5BD" w14:textId="77777777" w:rsidR="00BA5880" w:rsidRDefault="00BA5880" w:rsidP="00AA235D">
            <w:pPr>
              <w:jc w:val="center"/>
              <w:rPr>
                <w:rFonts w:asciiTheme="majorBidi" w:hAnsiTheme="majorBidi" w:cstheme="majorBidi"/>
              </w:rPr>
            </w:pPr>
            <w:r>
              <w:rPr>
                <w:rFonts w:asciiTheme="majorBidi" w:hAnsiTheme="majorBidi" w:cstheme="majorBidi"/>
              </w:rPr>
              <w:t>Draft Chapter 3 (Methodology)</w:t>
            </w:r>
          </w:p>
        </w:tc>
        <w:tc>
          <w:tcPr>
            <w:tcW w:w="0" w:type="auto"/>
            <w:tcBorders>
              <w:top w:val="single" w:sz="4" w:space="0" w:color="auto"/>
              <w:left w:val="single" w:sz="4" w:space="0" w:color="auto"/>
              <w:bottom w:val="single" w:sz="4" w:space="0" w:color="auto"/>
              <w:right w:val="single" w:sz="4" w:space="0" w:color="auto"/>
            </w:tcBorders>
            <w:hideMark/>
          </w:tcPr>
          <w:p w14:paraId="1C74F856" w14:textId="77777777" w:rsidR="00BA5880" w:rsidRDefault="00BA5880" w:rsidP="00AA235D">
            <w:pPr>
              <w:jc w:val="center"/>
              <w:rPr>
                <w:rFonts w:asciiTheme="majorBidi" w:hAnsiTheme="majorBidi" w:cstheme="majorBidi"/>
              </w:rPr>
            </w:pPr>
            <w:r>
              <w:rPr>
                <w:rFonts w:asciiTheme="majorBidi" w:hAnsiTheme="majorBidi" w:cstheme="majorBidi"/>
              </w:rPr>
              <w:t>Weeks 10–12</w:t>
            </w:r>
          </w:p>
        </w:tc>
        <w:tc>
          <w:tcPr>
            <w:tcW w:w="0" w:type="auto"/>
            <w:tcBorders>
              <w:top w:val="single" w:sz="4" w:space="0" w:color="auto"/>
              <w:left w:val="single" w:sz="4" w:space="0" w:color="auto"/>
              <w:bottom w:val="single" w:sz="4" w:space="0" w:color="auto"/>
              <w:right w:val="single" w:sz="4" w:space="0" w:color="auto"/>
            </w:tcBorders>
            <w:hideMark/>
          </w:tcPr>
          <w:p w14:paraId="4E67C951" w14:textId="77777777" w:rsidR="00BA5880" w:rsidRDefault="00BA5880" w:rsidP="00AA235D">
            <w:pPr>
              <w:jc w:val="center"/>
              <w:rPr>
                <w:rFonts w:asciiTheme="majorBidi" w:hAnsiTheme="majorBidi" w:cstheme="majorBidi"/>
              </w:rPr>
            </w:pPr>
            <w:r>
              <w:rPr>
                <w:rFonts w:asciiTheme="majorBidi" w:hAnsiTheme="majorBidi" w:cstheme="majorBidi"/>
              </w:rPr>
              <w:t>Include search terms, CRAAP, inclusion/exclusion criteria.</w:t>
            </w:r>
          </w:p>
        </w:tc>
      </w:tr>
      <w:tr w:rsidR="00BA5880" w14:paraId="25470F20"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50276A87"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132E9D2E" w14:textId="77777777" w:rsidR="00BA5880" w:rsidRDefault="00BA5880" w:rsidP="00AA235D">
            <w:pPr>
              <w:jc w:val="center"/>
              <w:rPr>
                <w:rFonts w:asciiTheme="majorBidi" w:hAnsiTheme="majorBidi" w:cstheme="majorBidi"/>
              </w:rPr>
            </w:pPr>
            <w:r>
              <w:rPr>
                <w:rFonts w:asciiTheme="majorBidi" w:hAnsiTheme="majorBidi" w:cstheme="majorBidi"/>
              </w:rPr>
              <w:t>Academic Methods Poster</w:t>
            </w:r>
          </w:p>
        </w:tc>
        <w:tc>
          <w:tcPr>
            <w:tcW w:w="0" w:type="auto"/>
            <w:tcBorders>
              <w:top w:val="single" w:sz="4" w:space="0" w:color="auto"/>
              <w:left w:val="single" w:sz="4" w:space="0" w:color="auto"/>
              <w:bottom w:val="single" w:sz="4" w:space="0" w:color="auto"/>
              <w:right w:val="single" w:sz="4" w:space="0" w:color="auto"/>
            </w:tcBorders>
            <w:hideMark/>
          </w:tcPr>
          <w:p w14:paraId="7E50A2E8" w14:textId="77777777" w:rsidR="00BA5880" w:rsidRDefault="00BA5880" w:rsidP="00AA235D">
            <w:pPr>
              <w:jc w:val="center"/>
              <w:rPr>
                <w:rFonts w:asciiTheme="majorBidi" w:hAnsiTheme="majorBidi" w:cstheme="majorBidi"/>
              </w:rPr>
            </w:pPr>
            <w:r>
              <w:rPr>
                <w:rFonts w:asciiTheme="majorBidi" w:hAnsiTheme="majorBidi" w:cstheme="majorBidi"/>
              </w:rPr>
              <w:t>Weeks 11–13</w:t>
            </w:r>
          </w:p>
        </w:tc>
        <w:tc>
          <w:tcPr>
            <w:tcW w:w="0" w:type="auto"/>
            <w:tcBorders>
              <w:top w:val="single" w:sz="4" w:space="0" w:color="auto"/>
              <w:left w:val="single" w:sz="4" w:space="0" w:color="auto"/>
              <w:bottom w:val="single" w:sz="4" w:space="0" w:color="auto"/>
              <w:right w:val="single" w:sz="4" w:space="0" w:color="auto"/>
            </w:tcBorders>
            <w:hideMark/>
          </w:tcPr>
          <w:p w14:paraId="76869D22" w14:textId="77777777" w:rsidR="00BA5880" w:rsidRDefault="00BA5880" w:rsidP="00AA235D">
            <w:pPr>
              <w:jc w:val="center"/>
              <w:rPr>
                <w:rFonts w:asciiTheme="majorBidi" w:hAnsiTheme="majorBidi" w:cstheme="majorBidi"/>
              </w:rPr>
            </w:pPr>
            <w:r>
              <w:rPr>
                <w:rFonts w:asciiTheme="majorBidi" w:hAnsiTheme="majorBidi" w:cstheme="majorBidi"/>
              </w:rPr>
              <w:t>Prepare and present (format may vary).</w:t>
            </w:r>
          </w:p>
        </w:tc>
      </w:tr>
      <w:tr w:rsidR="00BA5880" w14:paraId="6DBDB9B8"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321BF626"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75BEDA21" w14:textId="77777777" w:rsidR="00BA5880" w:rsidRDefault="00BA5880" w:rsidP="00AA235D">
            <w:pPr>
              <w:jc w:val="center"/>
              <w:rPr>
                <w:rFonts w:asciiTheme="majorBidi" w:hAnsiTheme="majorBidi" w:cstheme="majorBidi"/>
              </w:rPr>
            </w:pPr>
            <w:r>
              <w:rPr>
                <w:rFonts w:asciiTheme="majorBidi" w:hAnsiTheme="majorBidi" w:cstheme="majorBidi"/>
              </w:rPr>
              <w:t>Supervisor feedback on Chapter 3 &amp; Poster</w:t>
            </w:r>
          </w:p>
        </w:tc>
        <w:tc>
          <w:tcPr>
            <w:tcW w:w="0" w:type="auto"/>
            <w:tcBorders>
              <w:top w:val="single" w:sz="4" w:space="0" w:color="auto"/>
              <w:left w:val="single" w:sz="4" w:space="0" w:color="auto"/>
              <w:bottom w:val="single" w:sz="4" w:space="0" w:color="auto"/>
              <w:right w:val="single" w:sz="4" w:space="0" w:color="auto"/>
            </w:tcBorders>
            <w:hideMark/>
          </w:tcPr>
          <w:p w14:paraId="35C32B62" w14:textId="77777777" w:rsidR="00BA5880" w:rsidRDefault="00BA5880" w:rsidP="00AA235D">
            <w:pPr>
              <w:jc w:val="center"/>
              <w:rPr>
                <w:rFonts w:asciiTheme="majorBidi" w:hAnsiTheme="majorBidi" w:cstheme="majorBidi"/>
              </w:rPr>
            </w:pPr>
            <w:r>
              <w:rPr>
                <w:rFonts w:asciiTheme="majorBidi" w:hAnsiTheme="majorBidi" w:cstheme="majorBidi"/>
              </w:rPr>
              <w:t>Week 13–14</w:t>
            </w:r>
          </w:p>
        </w:tc>
        <w:tc>
          <w:tcPr>
            <w:tcW w:w="0" w:type="auto"/>
            <w:tcBorders>
              <w:top w:val="single" w:sz="4" w:space="0" w:color="auto"/>
              <w:left w:val="single" w:sz="4" w:space="0" w:color="auto"/>
              <w:bottom w:val="single" w:sz="4" w:space="0" w:color="auto"/>
              <w:right w:val="single" w:sz="4" w:space="0" w:color="auto"/>
            </w:tcBorders>
            <w:hideMark/>
          </w:tcPr>
          <w:p w14:paraId="1B643123" w14:textId="77777777" w:rsidR="00BA5880" w:rsidRDefault="00BA5880" w:rsidP="00AA235D">
            <w:pPr>
              <w:jc w:val="center"/>
              <w:rPr>
                <w:rFonts w:asciiTheme="majorBidi" w:hAnsiTheme="majorBidi" w:cstheme="majorBidi"/>
              </w:rPr>
            </w:pPr>
            <w:r>
              <w:rPr>
                <w:rFonts w:asciiTheme="majorBidi" w:hAnsiTheme="majorBidi" w:cstheme="majorBidi"/>
              </w:rPr>
              <w:t>Act on feedback immediately.</w:t>
            </w:r>
          </w:p>
        </w:tc>
      </w:tr>
      <w:tr w:rsidR="00BA5880" w14:paraId="10DF2D67" w14:textId="77777777" w:rsidTr="00AA235D">
        <w:tc>
          <w:tcPr>
            <w:tcW w:w="0" w:type="auto"/>
            <w:vMerge w:val="restart"/>
            <w:tcBorders>
              <w:top w:val="single" w:sz="4" w:space="0" w:color="auto"/>
              <w:left w:val="single" w:sz="4" w:space="0" w:color="auto"/>
              <w:bottom w:val="single" w:sz="4" w:space="0" w:color="auto"/>
              <w:right w:val="single" w:sz="4" w:space="0" w:color="auto"/>
            </w:tcBorders>
            <w:hideMark/>
          </w:tcPr>
          <w:p w14:paraId="228AB5EA" w14:textId="77777777" w:rsidR="00BA5880" w:rsidRDefault="00BA5880" w:rsidP="00AA235D">
            <w:pPr>
              <w:jc w:val="center"/>
              <w:rPr>
                <w:rFonts w:asciiTheme="majorBidi" w:hAnsiTheme="majorBidi" w:cstheme="majorBidi"/>
              </w:rPr>
            </w:pPr>
            <w:r>
              <w:rPr>
                <w:rFonts w:asciiTheme="majorBidi" w:hAnsiTheme="majorBidi" w:cstheme="majorBidi"/>
              </w:rPr>
              <w:t>4. Chapter 4</w:t>
            </w:r>
          </w:p>
        </w:tc>
        <w:tc>
          <w:tcPr>
            <w:tcW w:w="0" w:type="auto"/>
            <w:tcBorders>
              <w:top w:val="single" w:sz="4" w:space="0" w:color="auto"/>
              <w:left w:val="single" w:sz="4" w:space="0" w:color="auto"/>
              <w:bottom w:val="single" w:sz="4" w:space="0" w:color="auto"/>
              <w:right w:val="single" w:sz="4" w:space="0" w:color="auto"/>
            </w:tcBorders>
            <w:hideMark/>
          </w:tcPr>
          <w:p w14:paraId="3E71A567" w14:textId="77777777" w:rsidR="00BA5880" w:rsidRDefault="00BA5880" w:rsidP="00AA235D">
            <w:pPr>
              <w:jc w:val="center"/>
              <w:rPr>
                <w:rFonts w:asciiTheme="majorBidi" w:hAnsiTheme="majorBidi" w:cstheme="majorBidi"/>
              </w:rPr>
            </w:pPr>
            <w:r>
              <w:rPr>
                <w:rFonts w:asciiTheme="majorBidi" w:hAnsiTheme="majorBidi" w:cstheme="majorBidi"/>
              </w:rPr>
              <w:t>Draft Chapter 4 (Findings/Analysis)</w:t>
            </w:r>
          </w:p>
        </w:tc>
        <w:tc>
          <w:tcPr>
            <w:tcW w:w="0" w:type="auto"/>
            <w:tcBorders>
              <w:top w:val="single" w:sz="4" w:space="0" w:color="auto"/>
              <w:left w:val="single" w:sz="4" w:space="0" w:color="auto"/>
              <w:bottom w:val="single" w:sz="4" w:space="0" w:color="auto"/>
              <w:right w:val="single" w:sz="4" w:space="0" w:color="auto"/>
            </w:tcBorders>
            <w:hideMark/>
          </w:tcPr>
          <w:p w14:paraId="28E340A1" w14:textId="77777777" w:rsidR="00BA5880" w:rsidRDefault="00BA5880" w:rsidP="00AA235D">
            <w:pPr>
              <w:jc w:val="center"/>
              <w:rPr>
                <w:rFonts w:asciiTheme="majorBidi" w:hAnsiTheme="majorBidi" w:cstheme="majorBidi"/>
              </w:rPr>
            </w:pPr>
            <w:r>
              <w:rPr>
                <w:rFonts w:asciiTheme="majorBidi" w:hAnsiTheme="majorBidi" w:cstheme="majorBidi"/>
              </w:rPr>
              <w:t>Weeks 14–18</w:t>
            </w:r>
          </w:p>
        </w:tc>
        <w:tc>
          <w:tcPr>
            <w:tcW w:w="0" w:type="auto"/>
            <w:tcBorders>
              <w:top w:val="single" w:sz="4" w:space="0" w:color="auto"/>
              <w:left w:val="single" w:sz="4" w:space="0" w:color="auto"/>
              <w:bottom w:val="single" w:sz="4" w:space="0" w:color="auto"/>
              <w:right w:val="single" w:sz="4" w:space="0" w:color="auto"/>
            </w:tcBorders>
            <w:hideMark/>
          </w:tcPr>
          <w:p w14:paraId="31331CA8" w14:textId="77777777" w:rsidR="00BA5880" w:rsidRDefault="00BA5880" w:rsidP="00AA235D">
            <w:pPr>
              <w:jc w:val="center"/>
              <w:rPr>
                <w:rFonts w:asciiTheme="majorBidi" w:hAnsiTheme="majorBidi" w:cstheme="majorBidi"/>
              </w:rPr>
            </w:pPr>
            <w:r>
              <w:rPr>
                <w:rFonts w:asciiTheme="majorBidi" w:hAnsiTheme="majorBidi" w:cstheme="majorBidi"/>
              </w:rPr>
              <w:t>Thematic analysis of secondary data.</w:t>
            </w:r>
          </w:p>
        </w:tc>
      </w:tr>
      <w:tr w:rsidR="00BA5880" w14:paraId="72C2BD6E"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5CDD901F"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3AEEEEF2" w14:textId="77777777" w:rsidR="00BA5880" w:rsidRDefault="00BA5880" w:rsidP="00AA235D">
            <w:pPr>
              <w:jc w:val="center"/>
              <w:rPr>
                <w:rFonts w:asciiTheme="majorBidi" w:hAnsiTheme="majorBidi" w:cstheme="majorBidi"/>
              </w:rPr>
            </w:pPr>
            <w:r>
              <w:rPr>
                <w:rFonts w:asciiTheme="majorBidi" w:hAnsiTheme="majorBidi" w:cstheme="majorBidi"/>
              </w:rPr>
              <w:t>Supervisor feedback on Chapter 4</w:t>
            </w:r>
          </w:p>
        </w:tc>
        <w:tc>
          <w:tcPr>
            <w:tcW w:w="0" w:type="auto"/>
            <w:tcBorders>
              <w:top w:val="single" w:sz="4" w:space="0" w:color="auto"/>
              <w:left w:val="single" w:sz="4" w:space="0" w:color="auto"/>
              <w:bottom w:val="single" w:sz="4" w:space="0" w:color="auto"/>
              <w:right w:val="single" w:sz="4" w:space="0" w:color="auto"/>
            </w:tcBorders>
            <w:hideMark/>
          </w:tcPr>
          <w:p w14:paraId="7B519326" w14:textId="77777777" w:rsidR="00BA5880" w:rsidRDefault="00BA5880" w:rsidP="00AA235D">
            <w:pPr>
              <w:jc w:val="center"/>
              <w:rPr>
                <w:rFonts w:asciiTheme="majorBidi" w:hAnsiTheme="majorBidi" w:cstheme="majorBidi"/>
              </w:rPr>
            </w:pPr>
            <w:r>
              <w:rPr>
                <w:rFonts w:asciiTheme="majorBidi" w:hAnsiTheme="majorBidi" w:cstheme="majorBidi"/>
              </w:rPr>
              <w:t>Week 18–19</w:t>
            </w:r>
          </w:p>
        </w:tc>
        <w:tc>
          <w:tcPr>
            <w:tcW w:w="0" w:type="auto"/>
            <w:tcBorders>
              <w:top w:val="single" w:sz="4" w:space="0" w:color="auto"/>
              <w:left w:val="single" w:sz="4" w:space="0" w:color="auto"/>
              <w:bottom w:val="single" w:sz="4" w:space="0" w:color="auto"/>
              <w:right w:val="single" w:sz="4" w:space="0" w:color="auto"/>
            </w:tcBorders>
            <w:hideMark/>
          </w:tcPr>
          <w:p w14:paraId="038725D3" w14:textId="77777777" w:rsidR="00BA5880" w:rsidRDefault="00BA5880" w:rsidP="00AA235D">
            <w:pPr>
              <w:jc w:val="center"/>
              <w:rPr>
                <w:rFonts w:asciiTheme="majorBidi" w:hAnsiTheme="majorBidi" w:cstheme="majorBidi"/>
              </w:rPr>
            </w:pPr>
            <w:r>
              <w:rPr>
                <w:rFonts w:asciiTheme="majorBidi" w:hAnsiTheme="majorBidi" w:cstheme="majorBidi"/>
              </w:rPr>
              <w:t>Critical stage for shaping discussion.</w:t>
            </w:r>
          </w:p>
        </w:tc>
      </w:tr>
      <w:tr w:rsidR="00BA5880" w14:paraId="2CA19A13" w14:textId="77777777" w:rsidTr="00AA235D">
        <w:tc>
          <w:tcPr>
            <w:tcW w:w="0" w:type="auto"/>
            <w:vMerge w:val="restart"/>
            <w:tcBorders>
              <w:top w:val="single" w:sz="4" w:space="0" w:color="auto"/>
              <w:left w:val="single" w:sz="4" w:space="0" w:color="auto"/>
              <w:bottom w:val="single" w:sz="4" w:space="0" w:color="auto"/>
              <w:right w:val="single" w:sz="4" w:space="0" w:color="auto"/>
            </w:tcBorders>
            <w:hideMark/>
          </w:tcPr>
          <w:p w14:paraId="33EA247D" w14:textId="77777777" w:rsidR="00BA5880" w:rsidRDefault="00BA5880" w:rsidP="00AA235D">
            <w:pPr>
              <w:jc w:val="center"/>
              <w:rPr>
                <w:rFonts w:asciiTheme="majorBidi" w:hAnsiTheme="majorBidi" w:cstheme="majorBidi"/>
              </w:rPr>
            </w:pPr>
            <w:r>
              <w:rPr>
                <w:rFonts w:asciiTheme="majorBidi" w:hAnsiTheme="majorBidi" w:cstheme="majorBidi"/>
              </w:rPr>
              <w:t>5. Chapter 5</w:t>
            </w:r>
          </w:p>
        </w:tc>
        <w:tc>
          <w:tcPr>
            <w:tcW w:w="0" w:type="auto"/>
            <w:tcBorders>
              <w:top w:val="single" w:sz="4" w:space="0" w:color="auto"/>
              <w:left w:val="single" w:sz="4" w:space="0" w:color="auto"/>
              <w:bottom w:val="single" w:sz="4" w:space="0" w:color="auto"/>
              <w:right w:val="single" w:sz="4" w:space="0" w:color="auto"/>
            </w:tcBorders>
            <w:hideMark/>
          </w:tcPr>
          <w:p w14:paraId="3886AF3F" w14:textId="77777777" w:rsidR="00BA5880" w:rsidRDefault="00BA5880" w:rsidP="00AA235D">
            <w:pPr>
              <w:jc w:val="center"/>
              <w:rPr>
                <w:rFonts w:asciiTheme="majorBidi" w:hAnsiTheme="majorBidi" w:cstheme="majorBidi"/>
              </w:rPr>
            </w:pPr>
            <w:r>
              <w:rPr>
                <w:rFonts w:asciiTheme="majorBidi" w:hAnsiTheme="majorBidi" w:cstheme="majorBidi"/>
              </w:rPr>
              <w:t>Draft Chapter 5 (Discussion &amp; Conclusion)</w:t>
            </w:r>
          </w:p>
        </w:tc>
        <w:tc>
          <w:tcPr>
            <w:tcW w:w="0" w:type="auto"/>
            <w:tcBorders>
              <w:top w:val="single" w:sz="4" w:space="0" w:color="auto"/>
              <w:left w:val="single" w:sz="4" w:space="0" w:color="auto"/>
              <w:bottom w:val="single" w:sz="4" w:space="0" w:color="auto"/>
              <w:right w:val="single" w:sz="4" w:space="0" w:color="auto"/>
            </w:tcBorders>
            <w:hideMark/>
          </w:tcPr>
          <w:p w14:paraId="21FDC394" w14:textId="77777777" w:rsidR="00BA5880" w:rsidRDefault="00BA5880" w:rsidP="00AA235D">
            <w:pPr>
              <w:jc w:val="center"/>
              <w:rPr>
                <w:rFonts w:asciiTheme="majorBidi" w:hAnsiTheme="majorBidi" w:cstheme="majorBidi"/>
              </w:rPr>
            </w:pPr>
            <w:r>
              <w:rPr>
                <w:rFonts w:asciiTheme="majorBidi" w:hAnsiTheme="majorBidi" w:cstheme="majorBidi"/>
              </w:rPr>
              <w:t>Weeks 19–22</w:t>
            </w:r>
          </w:p>
        </w:tc>
        <w:tc>
          <w:tcPr>
            <w:tcW w:w="0" w:type="auto"/>
            <w:tcBorders>
              <w:top w:val="single" w:sz="4" w:space="0" w:color="auto"/>
              <w:left w:val="single" w:sz="4" w:space="0" w:color="auto"/>
              <w:bottom w:val="single" w:sz="4" w:space="0" w:color="auto"/>
              <w:right w:val="single" w:sz="4" w:space="0" w:color="auto"/>
            </w:tcBorders>
            <w:hideMark/>
          </w:tcPr>
          <w:p w14:paraId="1F44C761" w14:textId="77777777" w:rsidR="00BA5880" w:rsidRDefault="00BA5880" w:rsidP="00AA235D">
            <w:pPr>
              <w:jc w:val="center"/>
              <w:rPr>
                <w:rFonts w:asciiTheme="majorBidi" w:hAnsiTheme="majorBidi" w:cstheme="majorBidi"/>
              </w:rPr>
            </w:pPr>
            <w:r>
              <w:rPr>
                <w:rFonts w:asciiTheme="majorBidi" w:hAnsiTheme="majorBidi" w:cstheme="majorBidi"/>
              </w:rPr>
              <w:t>Link findings back to research aims.</w:t>
            </w:r>
          </w:p>
        </w:tc>
      </w:tr>
      <w:tr w:rsidR="00BA5880" w14:paraId="4DD3E572"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4EA08978"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7FC68DC4" w14:textId="77777777" w:rsidR="00BA5880" w:rsidRDefault="00BA5880" w:rsidP="00AA235D">
            <w:pPr>
              <w:jc w:val="center"/>
              <w:rPr>
                <w:rFonts w:asciiTheme="majorBidi" w:hAnsiTheme="majorBidi" w:cstheme="majorBidi"/>
              </w:rPr>
            </w:pPr>
            <w:r>
              <w:rPr>
                <w:rFonts w:asciiTheme="majorBidi" w:hAnsiTheme="majorBidi" w:cstheme="majorBidi"/>
              </w:rPr>
              <w:t>Supervisor feedback on Chapter 5</w:t>
            </w:r>
          </w:p>
        </w:tc>
        <w:tc>
          <w:tcPr>
            <w:tcW w:w="0" w:type="auto"/>
            <w:tcBorders>
              <w:top w:val="single" w:sz="4" w:space="0" w:color="auto"/>
              <w:left w:val="single" w:sz="4" w:space="0" w:color="auto"/>
              <w:bottom w:val="single" w:sz="4" w:space="0" w:color="auto"/>
              <w:right w:val="single" w:sz="4" w:space="0" w:color="auto"/>
            </w:tcBorders>
            <w:hideMark/>
          </w:tcPr>
          <w:p w14:paraId="7F399BD9" w14:textId="77777777" w:rsidR="00BA5880" w:rsidRDefault="00BA5880" w:rsidP="00AA235D">
            <w:pPr>
              <w:jc w:val="center"/>
              <w:rPr>
                <w:rFonts w:asciiTheme="majorBidi" w:hAnsiTheme="majorBidi" w:cstheme="majorBidi"/>
              </w:rPr>
            </w:pPr>
            <w:r>
              <w:rPr>
                <w:rFonts w:asciiTheme="majorBidi" w:hAnsiTheme="majorBidi" w:cstheme="majorBidi"/>
              </w:rPr>
              <w:t>Week 22–23</w:t>
            </w:r>
          </w:p>
        </w:tc>
        <w:tc>
          <w:tcPr>
            <w:tcW w:w="0" w:type="auto"/>
            <w:tcBorders>
              <w:top w:val="single" w:sz="4" w:space="0" w:color="auto"/>
              <w:left w:val="single" w:sz="4" w:space="0" w:color="auto"/>
              <w:bottom w:val="single" w:sz="4" w:space="0" w:color="auto"/>
              <w:right w:val="single" w:sz="4" w:space="0" w:color="auto"/>
            </w:tcBorders>
            <w:hideMark/>
          </w:tcPr>
          <w:p w14:paraId="601CD994" w14:textId="77777777" w:rsidR="00BA5880" w:rsidRDefault="00BA5880" w:rsidP="00AA235D">
            <w:pPr>
              <w:jc w:val="center"/>
              <w:rPr>
                <w:rFonts w:asciiTheme="majorBidi" w:hAnsiTheme="majorBidi" w:cstheme="majorBidi"/>
              </w:rPr>
            </w:pPr>
            <w:r>
              <w:rPr>
                <w:rFonts w:asciiTheme="majorBidi" w:hAnsiTheme="majorBidi" w:cstheme="majorBidi"/>
              </w:rPr>
              <w:t>Final substantive feedback.</w:t>
            </w:r>
          </w:p>
        </w:tc>
      </w:tr>
      <w:tr w:rsidR="00BA5880" w14:paraId="2BFDDB8A" w14:textId="77777777" w:rsidTr="00AA235D">
        <w:tc>
          <w:tcPr>
            <w:tcW w:w="0" w:type="auto"/>
            <w:vMerge w:val="restart"/>
            <w:tcBorders>
              <w:top w:val="single" w:sz="4" w:space="0" w:color="auto"/>
              <w:left w:val="single" w:sz="4" w:space="0" w:color="auto"/>
              <w:bottom w:val="single" w:sz="4" w:space="0" w:color="auto"/>
              <w:right w:val="single" w:sz="4" w:space="0" w:color="auto"/>
            </w:tcBorders>
            <w:hideMark/>
          </w:tcPr>
          <w:p w14:paraId="551628B8" w14:textId="77777777" w:rsidR="00BA5880" w:rsidRDefault="00BA5880" w:rsidP="00AA235D">
            <w:pPr>
              <w:jc w:val="center"/>
              <w:rPr>
                <w:rFonts w:asciiTheme="majorBidi" w:hAnsiTheme="majorBidi" w:cstheme="majorBidi"/>
              </w:rPr>
            </w:pPr>
            <w:r>
              <w:rPr>
                <w:rFonts w:asciiTheme="majorBidi" w:hAnsiTheme="majorBidi" w:cstheme="majorBidi"/>
              </w:rPr>
              <w:t>6. Finalisation</w:t>
            </w:r>
          </w:p>
        </w:tc>
        <w:tc>
          <w:tcPr>
            <w:tcW w:w="0" w:type="auto"/>
            <w:tcBorders>
              <w:top w:val="single" w:sz="4" w:space="0" w:color="auto"/>
              <w:left w:val="single" w:sz="4" w:space="0" w:color="auto"/>
              <w:bottom w:val="single" w:sz="4" w:space="0" w:color="auto"/>
              <w:right w:val="single" w:sz="4" w:space="0" w:color="auto"/>
            </w:tcBorders>
            <w:hideMark/>
          </w:tcPr>
          <w:p w14:paraId="4E2500AC" w14:textId="77777777" w:rsidR="00BA5880" w:rsidRDefault="00BA5880" w:rsidP="00AA235D">
            <w:pPr>
              <w:jc w:val="center"/>
              <w:rPr>
                <w:rFonts w:asciiTheme="majorBidi" w:hAnsiTheme="majorBidi" w:cstheme="majorBidi"/>
              </w:rPr>
            </w:pPr>
            <w:r>
              <w:rPr>
                <w:rFonts w:asciiTheme="majorBidi" w:hAnsiTheme="majorBidi" w:cstheme="majorBidi"/>
              </w:rPr>
              <w:t>Act on all lecturer feedback</w:t>
            </w:r>
          </w:p>
        </w:tc>
        <w:tc>
          <w:tcPr>
            <w:tcW w:w="0" w:type="auto"/>
            <w:tcBorders>
              <w:top w:val="single" w:sz="4" w:space="0" w:color="auto"/>
              <w:left w:val="single" w:sz="4" w:space="0" w:color="auto"/>
              <w:bottom w:val="single" w:sz="4" w:space="0" w:color="auto"/>
              <w:right w:val="single" w:sz="4" w:space="0" w:color="auto"/>
            </w:tcBorders>
            <w:hideMark/>
          </w:tcPr>
          <w:p w14:paraId="7C979A8D" w14:textId="77777777" w:rsidR="00BA5880" w:rsidRDefault="00BA5880" w:rsidP="00AA235D">
            <w:pPr>
              <w:jc w:val="center"/>
              <w:rPr>
                <w:rFonts w:asciiTheme="majorBidi" w:hAnsiTheme="majorBidi" w:cstheme="majorBidi"/>
              </w:rPr>
            </w:pPr>
            <w:r>
              <w:rPr>
                <w:rFonts w:asciiTheme="majorBidi" w:hAnsiTheme="majorBidi" w:cstheme="majorBidi"/>
              </w:rPr>
              <w:t>Weeks 23–24</w:t>
            </w:r>
          </w:p>
        </w:tc>
        <w:tc>
          <w:tcPr>
            <w:tcW w:w="0" w:type="auto"/>
            <w:tcBorders>
              <w:top w:val="single" w:sz="4" w:space="0" w:color="auto"/>
              <w:left w:val="single" w:sz="4" w:space="0" w:color="auto"/>
              <w:bottom w:val="single" w:sz="4" w:space="0" w:color="auto"/>
              <w:right w:val="single" w:sz="4" w:space="0" w:color="auto"/>
            </w:tcBorders>
            <w:hideMark/>
          </w:tcPr>
          <w:p w14:paraId="5F110BC8" w14:textId="77777777" w:rsidR="00BA5880" w:rsidRDefault="00BA5880" w:rsidP="00AA235D">
            <w:pPr>
              <w:jc w:val="center"/>
              <w:rPr>
                <w:rFonts w:asciiTheme="majorBidi" w:hAnsiTheme="majorBidi" w:cstheme="majorBidi"/>
              </w:rPr>
            </w:pPr>
            <w:r>
              <w:rPr>
                <w:rFonts w:asciiTheme="majorBidi" w:hAnsiTheme="majorBidi" w:cstheme="majorBidi"/>
              </w:rPr>
              <w:t>Revisions across all chapters.</w:t>
            </w:r>
          </w:p>
        </w:tc>
      </w:tr>
      <w:tr w:rsidR="00BA5880" w14:paraId="0609310C"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44DBF57B"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456539F0" w14:textId="77777777" w:rsidR="00BA5880" w:rsidRDefault="00BA5880" w:rsidP="00AA235D">
            <w:pPr>
              <w:jc w:val="center"/>
              <w:rPr>
                <w:rFonts w:asciiTheme="majorBidi" w:hAnsiTheme="majorBidi" w:cstheme="majorBidi"/>
              </w:rPr>
            </w:pPr>
            <w:r>
              <w:rPr>
                <w:rFonts w:asciiTheme="majorBidi" w:hAnsiTheme="majorBidi" w:cstheme="majorBidi"/>
              </w:rPr>
              <w:t>Final amendments</w:t>
            </w:r>
          </w:p>
        </w:tc>
        <w:tc>
          <w:tcPr>
            <w:tcW w:w="0" w:type="auto"/>
            <w:tcBorders>
              <w:top w:val="single" w:sz="4" w:space="0" w:color="auto"/>
              <w:left w:val="single" w:sz="4" w:space="0" w:color="auto"/>
              <w:bottom w:val="single" w:sz="4" w:space="0" w:color="auto"/>
              <w:right w:val="single" w:sz="4" w:space="0" w:color="auto"/>
            </w:tcBorders>
            <w:hideMark/>
          </w:tcPr>
          <w:p w14:paraId="576C8640" w14:textId="77777777" w:rsidR="00BA5880" w:rsidRDefault="00BA5880" w:rsidP="00AA235D">
            <w:pPr>
              <w:jc w:val="center"/>
              <w:rPr>
                <w:rFonts w:asciiTheme="majorBidi" w:hAnsiTheme="majorBidi" w:cstheme="majorBidi"/>
              </w:rPr>
            </w:pPr>
            <w:r>
              <w:rPr>
                <w:rFonts w:asciiTheme="majorBidi" w:hAnsiTheme="majorBidi" w:cstheme="majorBidi"/>
              </w:rPr>
              <w:t>Week 24–25</w:t>
            </w:r>
          </w:p>
        </w:tc>
        <w:tc>
          <w:tcPr>
            <w:tcW w:w="0" w:type="auto"/>
            <w:tcBorders>
              <w:top w:val="single" w:sz="4" w:space="0" w:color="auto"/>
              <w:left w:val="single" w:sz="4" w:space="0" w:color="auto"/>
              <w:bottom w:val="single" w:sz="4" w:space="0" w:color="auto"/>
              <w:right w:val="single" w:sz="4" w:space="0" w:color="auto"/>
            </w:tcBorders>
            <w:hideMark/>
          </w:tcPr>
          <w:p w14:paraId="79672BD3" w14:textId="77777777" w:rsidR="00BA5880" w:rsidRDefault="00BA5880" w:rsidP="00AA235D">
            <w:pPr>
              <w:jc w:val="center"/>
              <w:rPr>
                <w:rFonts w:asciiTheme="majorBidi" w:hAnsiTheme="majorBidi" w:cstheme="majorBidi"/>
              </w:rPr>
            </w:pPr>
            <w:r>
              <w:rPr>
                <w:rFonts w:asciiTheme="majorBidi" w:hAnsiTheme="majorBidi" w:cstheme="majorBidi"/>
              </w:rPr>
              <w:t>Polish content, structure, argument.</w:t>
            </w:r>
          </w:p>
        </w:tc>
      </w:tr>
      <w:tr w:rsidR="00BA5880" w14:paraId="06E25BC1"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29AB4259"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2A1D1185" w14:textId="77777777" w:rsidR="00BA5880" w:rsidRDefault="00BA5880" w:rsidP="00AA235D">
            <w:pPr>
              <w:jc w:val="center"/>
              <w:rPr>
                <w:rFonts w:asciiTheme="majorBidi" w:hAnsiTheme="majorBidi" w:cstheme="majorBidi"/>
              </w:rPr>
            </w:pPr>
            <w:r>
              <w:rPr>
                <w:rFonts w:asciiTheme="majorBidi" w:hAnsiTheme="majorBidi" w:cstheme="majorBidi"/>
              </w:rPr>
              <w:t>Proofreading &amp; referencing check</w:t>
            </w:r>
          </w:p>
        </w:tc>
        <w:tc>
          <w:tcPr>
            <w:tcW w:w="0" w:type="auto"/>
            <w:tcBorders>
              <w:top w:val="single" w:sz="4" w:space="0" w:color="auto"/>
              <w:left w:val="single" w:sz="4" w:space="0" w:color="auto"/>
              <w:bottom w:val="single" w:sz="4" w:space="0" w:color="auto"/>
              <w:right w:val="single" w:sz="4" w:space="0" w:color="auto"/>
            </w:tcBorders>
            <w:hideMark/>
          </w:tcPr>
          <w:p w14:paraId="3835F635" w14:textId="77777777" w:rsidR="00BA5880" w:rsidRDefault="00BA5880" w:rsidP="00AA235D">
            <w:pPr>
              <w:jc w:val="center"/>
              <w:rPr>
                <w:rFonts w:asciiTheme="majorBidi" w:hAnsiTheme="majorBidi" w:cstheme="majorBidi"/>
              </w:rPr>
            </w:pPr>
            <w:r>
              <w:rPr>
                <w:rFonts w:asciiTheme="majorBidi" w:hAnsiTheme="majorBidi" w:cstheme="majorBidi"/>
              </w:rPr>
              <w:t>Week 25–26</w:t>
            </w:r>
          </w:p>
        </w:tc>
        <w:tc>
          <w:tcPr>
            <w:tcW w:w="0" w:type="auto"/>
            <w:tcBorders>
              <w:top w:val="single" w:sz="4" w:space="0" w:color="auto"/>
              <w:left w:val="single" w:sz="4" w:space="0" w:color="auto"/>
              <w:bottom w:val="single" w:sz="4" w:space="0" w:color="auto"/>
              <w:right w:val="single" w:sz="4" w:space="0" w:color="auto"/>
            </w:tcBorders>
            <w:hideMark/>
          </w:tcPr>
          <w:p w14:paraId="09330F65" w14:textId="77777777" w:rsidR="00BA5880" w:rsidRDefault="00BA5880" w:rsidP="00AA235D">
            <w:pPr>
              <w:jc w:val="center"/>
              <w:rPr>
                <w:rFonts w:asciiTheme="majorBidi" w:hAnsiTheme="majorBidi" w:cstheme="majorBidi"/>
              </w:rPr>
            </w:pPr>
            <w:r>
              <w:rPr>
                <w:rFonts w:asciiTheme="majorBidi" w:hAnsiTheme="majorBidi" w:cstheme="majorBidi"/>
              </w:rPr>
              <w:t>Ensure Harvard consistency, no typos.</w:t>
            </w:r>
          </w:p>
        </w:tc>
      </w:tr>
      <w:tr w:rsidR="00BA5880" w14:paraId="33E0169D" w14:textId="77777777" w:rsidTr="00AA235D">
        <w:tc>
          <w:tcPr>
            <w:tcW w:w="0" w:type="auto"/>
            <w:vMerge/>
            <w:tcBorders>
              <w:top w:val="single" w:sz="4" w:space="0" w:color="auto"/>
              <w:left w:val="single" w:sz="4" w:space="0" w:color="auto"/>
              <w:bottom w:val="single" w:sz="4" w:space="0" w:color="auto"/>
              <w:right w:val="single" w:sz="4" w:space="0" w:color="auto"/>
            </w:tcBorders>
            <w:vAlign w:val="center"/>
            <w:hideMark/>
          </w:tcPr>
          <w:p w14:paraId="34E6A839" w14:textId="77777777" w:rsidR="00BA5880" w:rsidRDefault="00BA5880" w:rsidP="00AA235D">
            <w:pPr>
              <w:rPr>
                <w:rFonts w:asciiTheme="majorBidi" w:hAnsiTheme="majorBidi" w:cstheme="majorBidi"/>
              </w:rPr>
            </w:pPr>
          </w:p>
        </w:tc>
        <w:tc>
          <w:tcPr>
            <w:tcW w:w="0" w:type="auto"/>
            <w:tcBorders>
              <w:top w:val="single" w:sz="4" w:space="0" w:color="auto"/>
              <w:left w:val="single" w:sz="4" w:space="0" w:color="auto"/>
              <w:bottom w:val="single" w:sz="4" w:space="0" w:color="auto"/>
              <w:right w:val="single" w:sz="4" w:space="0" w:color="auto"/>
            </w:tcBorders>
            <w:hideMark/>
          </w:tcPr>
          <w:p w14:paraId="0FD05386" w14:textId="77777777" w:rsidR="00BA5880" w:rsidRDefault="00BA5880" w:rsidP="00AA235D">
            <w:pPr>
              <w:jc w:val="center"/>
              <w:rPr>
                <w:rFonts w:asciiTheme="majorBidi" w:hAnsiTheme="majorBidi" w:cstheme="majorBidi"/>
              </w:rPr>
            </w:pPr>
            <w:r>
              <w:rPr>
                <w:rFonts w:asciiTheme="majorBidi" w:hAnsiTheme="majorBidi" w:cstheme="majorBidi"/>
              </w:rPr>
              <w:t>Final dissertation submission</w:t>
            </w:r>
          </w:p>
        </w:tc>
        <w:tc>
          <w:tcPr>
            <w:tcW w:w="0" w:type="auto"/>
            <w:tcBorders>
              <w:top w:val="single" w:sz="4" w:space="0" w:color="auto"/>
              <w:left w:val="single" w:sz="4" w:space="0" w:color="auto"/>
              <w:bottom w:val="single" w:sz="4" w:space="0" w:color="auto"/>
              <w:right w:val="single" w:sz="4" w:space="0" w:color="auto"/>
            </w:tcBorders>
            <w:hideMark/>
          </w:tcPr>
          <w:p w14:paraId="4620F3BA" w14:textId="77777777" w:rsidR="00BA5880" w:rsidRDefault="00BA5880" w:rsidP="00AA235D">
            <w:pPr>
              <w:jc w:val="center"/>
              <w:rPr>
                <w:rFonts w:asciiTheme="majorBidi" w:hAnsiTheme="majorBidi" w:cstheme="majorBidi"/>
              </w:rPr>
            </w:pPr>
            <w:r>
              <w:rPr>
                <w:rFonts w:asciiTheme="majorBidi" w:hAnsiTheme="majorBidi" w:cstheme="majorBidi"/>
              </w:rPr>
              <w:t>Week 27</w:t>
            </w:r>
          </w:p>
        </w:tc>
        <w:tc>
          <w:tcPr>
            <w:tcW w:w="0" w:type="auto"/>
            <w:tcBorders>
              <w:top w:val="single" w:sz="4" w:space="0" w:color="auto"/>
              <w:left w:val="single" w:sz="4" w:space="0" w:color="auto"/>
              <w:bottom w:val="single" w:sz="4" w:space="0" w:color="auto"/>
              <w:right w:val="single" w:sz="4" w:space="0" w:color="auto"/>
            </w:tcBorders>
            <w:hideMark/>
          </w:tcPr>
          <w:p w14:paraId="7932FB50" w14:textId="77777777" w:rsidR="00BA5880" w:rsidRDefault="00BA5880" w:rsidP="00AA235D">
            <w:pPr>
              <w:jc w:val="center"/>
              <w:rPr>
                <w:rFonts w:asciiTheme="majorBidi" w:hAnsiTheme="majorBidi" w:cstheme="majorBidi"/>
              </w:rPr>
            </w:pPr>
            <w:r>
              <w:rPr>
                <w:rFonts w:asciiTheme="majorBidi" w:hAnsiTheme="majorBidi" w:cstheme="majorBidi"/>
              </w:rPr>
              <w:t>Meet the March 2027 deadline.</w:t>
            </w:r>
          </w:p>
        </w:tc>
      </w:tr>
    </w:tbl>
    <w:p w14:paraId="36D043E7" w14:textId="77777777" w:rsidR="00BA5880" w:rsidRDefault="00BA5880" w:rsidP="00BA5880"/>
    <w:p w14:paraId="6EC9B79A" w14:textId="77777777" w:rsidR="00BA5880" w:rsidRDefault="00BA5880" w:rsidP="00BA5880">
      <w:pPr>
        <w:spacing w:line="360" w:lineRule="auto"/>
        <w:rPr>
          <w:rFonts w:asciiTheme="majorBidi" w:hAnsiTheme="majorBidi" w:cstheme="majorBidi"/>
          <w:b/>
          <w:bCs/>
          <w:i/>
          <w:iCs/>
          <w:szCs w:val="24"/>
        </w:rPr>
      </w:pPr>
      <w:r>
        <w:rPr>
          <w:rFonts w:asciiTheme="majorBidi" w:hAnsiTheme="majorBidi" w:cstheme="majorBidi"/>
          <w:b/>
          <w:bCs/>
          <w:i/>
          <w:iCs/>
          <w:szCs w:val="24"/>
        </w:rPr>
        <w:t>7) Self-reflection as researcher (any strengths or challenges):</w:t>
      </w:r>
    </w:p>
    <w:p w14:paraId="4B95821C" w14:textId="77777777" w:rsidR="00BA5880" w:rsidRDefault="00BA5880" w:rsidP="00BA5880">
      <w:pPr>
        <w:spacing w:line="360" w:lineRule="auto"/>
        <w:rPr>
          <w:rFonts w:asciiTheme="majorBidi" w:hAnsiTheme="majorBidi" w:cstheme="majorBidi"/>
          <w:szCs w:val="24"/>
        </w:rPr>
      </w:pPr>
      <w:r>
        <w:rPr>
          <w:rFonts w:asciiTheme="majorBidi" w:hAnsiTheme="majorBidi" w:cstheme="majorBidi"/>
          <w:szCs w:val="24"/>
        </w:rPr>
        <w:t xml:space="preserve">Researchers’ strengths are academic writing, information searching and evaluating research evidence. However, identifying reliable sources and critically comparing findings may be challenging. The goal of researcher is to enhance literature searching, critical analysis and </w:t>
      </w:r>
      <w:r>
        <w:rPr>
          <w:rFonts w:asciiTheme="majorBidi" w:hAnsiTheme="majorBidi" w:cstheme="majorBidi"/>
          <w:szCs w:val="24"/>
        </w:rPr>
        <w:lastRenderedPageBreak/>
        <w:t>time management. Researcher will consult supervisor when needed to make sure that the research is within focus, evidence based and academically appropriate.</w:t>
      </w:r>
    </w:p>
    <w:p w14:paraId="41AD4D0E" w14:textId="77777777" w:rsidR="00BA5880" w:rsidRDefault="00BA5880" w:rsidP="00BA5880">
      <w:pPr>
        <w:spacing w:line="360" w:lineRule="auto"/>
        <w:rPr>
          <w:rFonts w:asciiTheme="majorBidi" w:hAnsiTheme="majorBidi" w:cstheme="majorBidi"/>
          <w:szCs w:val="24"/>
        </w:rPr>
      </w:pPr>
    </w:p>
    <w:p w14:paraId="3071E69B" w14:textId="77777777" w:rsidR="00BA5880" w:rsidRPr="00A54AFF" w:rsidRDefault="00BA5880" w:rsidP="00BA5880">
      <w:pPr>
        <w:spacing w:line="360" w:lineRule="auto"/>
        <w:rPr>
          <w:rFonts w:asciiTheme="majorBidi" w:hAnsiTheme="majorBidi" w:cstheme="majorBidi"/>
          <w:szCs w:val="24"/>
        </w:rPr>
      </w:pPr>
      <w:r>
        <w:t>References:</w:t>
      </w:r>
    </w:p>
    <w:p w14:paraId="1CA89DF4" w14:textId="77777777" w:rsidR="00BA5880" w:rsidRDefault="00BA5880" w:rsidP="00BA5880">
      <w:pPr>
        <w:ind w:left="720" w:hanging="720"/>
      </w:pPr>
      <w:r>
        <w:t xml:space="preserve">Allen, B., and Saunders, J. (2023). Malnutrition and undernutrition: causes, consequences, assessment and management. </w:t>
      </w:r>
      <w:r>
        <w:rPr>
          <w:i/>
          <w:iCs/>
        </w:rPr>
        <w:t>Medicine</w:t>
      </w:r>
      <w:r>
        <w:t xml:space="preserve">, </w:t>
      </w:r>
      <w:r>
        <w:rPr>
          <w:i/>
          <w:iCs/>
        </w:rPr>
        <w:t>51</w:t>
      </w:r>
      <w:r>
        <w:t>(7), 461-468.</w:t>
      </w:r>
    </w:p>
    <w:p w14:paraId="0BC064B9" w14:textId="77777777" w:rsidR="00BA5880" w:rsidRDefault="00BA5880" w:rsidP="00BA5880">
      <w:pPr>
        <w:ind w:left="720" w:hanging="720"/>
      </w:pPr>
      <w:r>
        <w:t xml:space="preserve">Baldwin, C., and Weekes, C. E. (2011). Dietary advice with or without oral nutritional supplements for disease‐related malnutrition in adults. </w:t>
      </w:r>
      <w:r>
        <w:rPr>
          <w:i/>
          <w:iCs/>
        </w:rPr>
        <w:t>The Cochrane database of systematic reviews</w:t>
      </w:r>
      <w:r>
        <w:t xml:space="preserve">, </w:t>
      </w:r>
      <w:r>
        <w:rPr>
          <w:i/>
          <w:iCs/>
        </w:rPr>
        <w:t>2011</w:t>
      </w:r>
      <w:r>
        <w:t>(9), CD002008.</w:t>
      </w:r>
    </w:p>
    <w:p w14:paraId="6EE4C0D5" w14:textId="77777777" w:rsidR="00BA5880" w:rsidRDefault="00BA5880" w:rsidP="00BA5880">
      <w:pPr>
        <w:ind w:left="720" w:hanging="720"/>
      </w:pPr>
      <w:r>
        <w:t xml:space="preserve">BAPEN (2021) </w:t>
      </w:r>
      <w:r>
        <w:rPr>
          <w:i/>
          <w:iCs/>
        </w:rPr>
        <w:t>Malnutrition and nutritional screening in the UK</w:t>
      </w:r>
      <w:r>
        <w:t xml:space="preserve">. Available at: </w:t>
      </w:r>
      <w:hyperlink r:id="rId7" w:tgtFrame="_blank" w:history="1">
        <w:r>
          <w:rPr>
            <w:rStyle w:val="Hyperlink"/>
          </w:rPr>
          <w:t>https://www.bapen.org.uk</w:t>
        </w:r>
      </w:hyperlink>
      <w:r>
        <w:t xml:space="preserve"> (Accessed: 15 October 2026). </w:t>
      </w:r>
    </w:p>
    <w:p w14:paraId="58C68AFC" w14:textId="77777777" w:rsidR="00BA5880" w:rsidRDefault="00BA5880" w:rsidP="00BA5880">
      <w:pPr>
        <w:ind w:left="720" w:hanging="720"/>
      </w:pPr>
      <w:r>
        <w:t xml:space="preserve">Government Actuary's Department. (2025, July 3). </w:t>
      </w:r>
      <w:r>
        <w:rPr>
          <w:i/>
          <w:iCs/>
        </w:rPr>
        <w:t>2022-based population projections: A GAD technical bulletin</w:t>
      </w:r>
      <w:r>
        <w:t xml:space="preserve">. Available at:  </w:t>
      </w:r>
      <w:hyperlink r:id="rId8" w:history="1">
        <w:r>
          <w:rPr>
            <w:rStyle w:val="Hyperlink"/>
          </w:rPr>
          <w:t>https://www.gov.uk/government/publications/2022-based-population-projections-a-gad-technical-bulletin/2022-based-population-projections-a-gad-technical-bulletin</w:t>
        </w:r>
      </w:hyperlink>
      <w:r>
        <w:t xml:space="preserve"> (Accessed: 15</w:t>
      </w:r>
      <w:r>
        <w:rPr>
          <w:vertAlign w:val="superscript"/>
        </w:rPr>
        <w:t xml:space="preserve"> </w:t>
      </w:r>
      <w:r>
        <w:t>October 2026)</w:t>
      </w:r>
    </w:p>
    <w:p w14:paraId="53CEDD0E" w14:textId="77777777" w:rsidR="00BA5880" w:rsidRDefault="00BA5880" w:rsidP="00BA5880">
      <w:pPr>
        <w:ind w:left="720" w:hanging="720"/>
      </w:pPr>
      <w:r>
        <w:t xml:space="preserve">Malnutrition Task Force. (2025). State of the nation 2025: Older people and malnutrition in the UK today. Available at: </w:t>
      </w:r>
      <w:hyperlink r:id="rId9" w:history="1">
        <w:r>
          <w:rPr>
            <w:rStyle w:val="Hyperlink"/>
          </w:rPr>
          <w:t>https://www.malnutritiontaskforce.org.uk/sites/default/files/2025-08/State%20of%20the%20Nation%202025%20revised.pdf</w:t>
        </w:r>
      </w:hyperlink>
      <w:r>
        <w:t xml:space="preserve"> (Accessed: 10 October 2026)</w:t>
      </w:r>
    </w:p>
    <w:p w14:paraId="4203576D" w14:textId="77777777" w:rsidR="00BA5880" w:rsidRDefault="00BA5880" w:rsidP="00BA5880">
      <w:pPr>
        <w:ind w:left="720" w:hanging="720"/>
      </w:pPr>
      <w:r>
        <w:t xml:space="preserve">Norman, K., Haß, U., and Pirlich, M. (2021). Malnutrition in older adults—recent advances and remaining challenges. </w:t>
      </w:r>
      <w:r>
        <w:rPr>
          <w:i/>
          <w:iCs/>
        </w:rPr>
        <w:t>Nutrients</w:t>
      </w:r>
      <w:r>
        <w:t xml:space="preserve">, </w:t>
      </w:r>
      <w:r>
        <w:rPr>
          <w:i/>
          <w:iCs/>
        </w:rPr>
        <w:t>13</w:t>
      </w:r>
      <w:r>
        <w:t>(8), 2764.</w:t>
      </w:r>
    </w:p>
    <w:p w14:paraId="7B6160D3" w14:textId="77777777" w:rsidR="00BA5880" w:rsidRDefault="00BA5880" w:rsidP="00BA5880">
      <w:pPr>
        <w:ind w:left="720" w:hanging="720"/>
      </w:pPr>
      <w:r>
        <w:t xml:space="preserve">University of Wales Trinity Saint David (2022) </w:t>
      </w:r>
      <w:r>
        <w:rPr>
          <w:i/>
          <w:iCs/>
        </w:rPr>
        <w:t>Research Integrity and Ethics Code of Practice</w:t>
      </w:r>
      <w:r>
        <w:t xml:space="preserve">. Available at: </w:t>
      </w:r>
      <w:hyperlink r:id="rId10" w:history="1">
        <w:r>
          <w:rPr>
            <w:rStyle w:val="Hyperlink"/>
          </w:rPr>
          <w:t>https://www.uwtsd.ac.uk/research/research-integrity-and-ethics</w:t>
        </w:r>
      </w:hyperlink>
      <w:r>
        <w:t xml:space="preserve">  (Accessed: 15 October 2026).</w:t>
      </w:r>
    </w:p>
    <w:p w14:paraId="61CC89A5" w14:textId="77777777" w:rsidR="00BA5880" w:rsidRDefault="00BA5880" w:rsidP="00BA5880">
      <w:pPr>
        <w:ind w:left="720" w:hanging="720"/>
      </w:pPr>
      <w:r>
        <w:t xml:space="preserve">Volkert, D., Beck, A. M., Cederholm, T., Cruz-Jentoft, A., Goisser, S., Hooper, L., ... and Bischoff, S. C. (2019). ESPEN guideline on clinical nutrition and hydration in geriatrics. </w:t>
      </w:r>
      <w:r>
        <w:rPr>
          <w:i/>
          <w:iCs/>
        </w:rPr>
        <w:t>Clinical nutrition</w:t>
      </w:r>
      <w:r>
        <w:t xml:space="preserve">, </w:t>
      </w:r>
      <w:r>
        <w:rPr>
          <w:i/>
          <w:iCs/>
        </w:rPr>
        <w:t>38</w:t>
      </w:r>
      <w:r>
        <w:t>(1), 10-47.</w:t>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8054D" w14:textId="77777777" w:rsidR="00EA5DFA" w:rsidRDefault="00EA5DFA" w:rsidP="00545684">
      <w:pPr>
        <w:spacing w:after="0" w:line="240" w:lineRule="auto"/>
      </w:pPr>
      <w:r>
        <w:separator/>
      </w:r>
    </w:p>
  </w:endnote>
  <w:endnote w:type="continuationSeparator" w:id="0">
    <w:p w14:paraId="6C4BC793" w14:textId="77777777" w:rsidR="00EA5DFA" w:rsidRDefault="00EA5DF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AC5B3" w14:textId="77777777" w:rsidR="00EA5DFA" w:rsidRDefault="00EA5DFA" w:rsidP="00545684">
      <w:pPr>
        <w:spacing w:after="0" w:line="240" w:lineRule="auto"/>
      </w:pPr>
      <w:r>
        <w:separator/>
      </w:r>
    </w:p>
  </w:footnote>
  <w:footnote w:type="continuationSeparator" w:id="0">
    <w:p w14:paraId="09150F90" w14:textId="77777777" w:rsidR="00EA5DFA" w:rsidRDefault="00EA5DF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8E7786"/>
    <w:multiLevelType w:val="hybridMultilevel"/>
    <w:tmpl w:val="63DA0F6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EA65188"/>
    <w:multiLevelType w:val="multilevel"/>
    <w:tmpl w:val="2A3CAF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785835"/>
    <w:multiLevelType w:val="hybridMultilevel"/>
    <w:tmpl w:val="797020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3"/>
  </w:num>
  <w:num w:numId="3" w16cid:durableId="875194671">
    <w:abstractNumId w:val="2"/>
  </w:num>
  <w:num w:numId="4" w16cid:durableId="1703288516">
    <w:abstractNumId w:val="4"/>
  </w:num>
  <w:num w:numId="5" w16cid:durableId="1208763282">
    <w:abstractNumId w:val="6"/>
  </w:num>
  <w:num w:numId="6" w16cid:durableId="1947419536">
    <w:abstractNumId w:val="5"/>
  </w:num>
  <w:num w:numId="7" w16cid:durableId="629482921">
    <w:abstractNumId w:val="1"/>
  </w:num>
  <w:num w:numId="8" w16cid:durableId="978462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F5C86"/>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45684"/>
    <w:rsid w:val="0061260B"/>
    <w:rsid w:val="00646B10"/>
    <w:rsid w:val="006D298C"/>
    <w:rsid w:val="00715990"/>
    <w:rsid w:val="007520E6"/>
    <w:rsid w:val="00784670"/>
    <w:rsid w:val="007A0EF5"/>
    <w:rsid w:val="00866B7B"/>
    <w:rsid w:val="008E5015"/>
    <w:rsid w:val="009D1D1E"/>
    <w:rsid w:val="00A035FD"/>
    <w:rsid w:val="00A276A0"/>
    <w:rsid w:val="00A6153D"/>
    <w:rsid w:val="00AB43B8"/>
    <w:rsid w:val="00BA5880"/>
    <w:rsid w:val="00C54573"/>
    <w:rsid w:val="00D025CA"/>
    <w:rsid w:val="00D769F0"/>
    <w:rsid w:val="00E614D4"/>
    <w:rsid w:val="00EA5DFA"/>
    <w:rsid w:val="00EC68DA"/>
    <w:rsid w:val="00F278D4"/>
    <w:rsid w:val="00F6083C"/>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semiHidden/>
    <w:unhideWhenUsed/>
    <w:rsid w:val="00BA58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2022-based-population-projections-a-gad-technical-bulletin/2022-based-population-projections-a-gad-technical-bulleti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pen.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uwtsd.ac.uk/research/research-integrity-and-ethics" TargetMode="External"/><Relationship Id="rId4" Type="http://schemas.openxmlformats.org/officeDocument/2006/relationships/webSettings" Target="webSettings.xml"/><Relationship Id="rId9" Type="http://schemas.openxmlformats.org/officeDocument/2006/relationships/hyperlink" Target="https://www.malnutritiontaskforce.org.uk/sites/default/files/2025-08/State%20of%20the%20Nation%202025%20revis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1396</Words>
  <Characters>7959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Ruth Njau Gathigi (2332377)</cp:lastModifiedBy>
  <cp:revision>2</cp:revision>
  <dcterms:created xsi:type="dcterms:W3CDTF">2026-10-18T10:01:00Z</dcterms:created>
  <dcterms:modified xsi:type="dcterms:W3CDTF">2026-10-18T10:01:00Z</dcterms:modified>
</cp:coreProperties>
</file>