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810BEE" w14:textId="77777777" w:rsidR="00FF412E" w:rsidRDefault="00FF412E">
      <w:pPr>
        <w:rPr>
          <w:sz w:val="24"/>
          <w:szCs w:val="24"/>
          <w:u w:val="single"/>
        </w:rPr>
      </w:pPr>
      <w:bookmarkStart w:id="0" w:name="_Hlk506180587"/>
      <w:bookmarkEnd w:id="0"/>
    </w:p>
    <w:p w14:paraId="3AB39AC1" w14:textId="77777777" w:rsidR="00FF412E" w:rsidRDefault="00FF412E" w:rsidP="00FF412E">
      <w:pPr>
        <w:jc w:val="center"/>
        <w:rPr>
          <w:b/>
          <w:sz w:val="24"/>
          <w:szCs w:val="24"/>
        </w:rPr>
      </w:pPr>
      <w:r w:rsidRPr="002415C0">
        <w:rPr>
          <w:b/>
          <w:sz w:val="24"/>
          <w:szCs w:val="24"/>
        </w:rPr>
        <w:t xml:space="preserve">Chris Hine </w:t>
      </w:r>
    </w:p>
    <w:p w14:paraId="1744AA2B" w14:textId="5BACD98A" w:rsidR="00360CE2" w:rsidRDefault="00360CE2" w:rsidP="00FF412E">
      <w:pPr>
        <w:jc w:val="center"/>
        <w:rPr>
          <w:b/>
          <w:sz w:val="24"/>
          <w:szCs w:val="24"/>
        </w:rPr>
      </w:pPr>
      <w:r>
        <w:rPr>
          <w:b/>
          <w:sz w:val="24"/>
          <w:szCs w:val="24"/>
        </w:rPr>
        <w:t>P139976</w:t>
      </w:r>
    </w:p>
    <w:p w14:paraId="11227BFF" w14:textId="78846DDB" w:rsidR="003955E4" w:rsidRPr="002415C0" w:rsidRDefault="003955E4" w:rsidP="00FF412E">
      <w:pPr>
        <w:jc w:val="center"/>
        <w:rPr>
          <w:b/>
          <w:sz w:val="24"/>
          <w:szCs w:val="24"/>
        </w:rPr>
      </w:pPr>
      <w:r>
        <w:rPr>
          <w:b/>
          <w:sz w:val="24"/>
          <w:szCs w:val="24"/>
        </w:rPr>
        <w:t>Technical Review of Powertrains for 2025</w:t>
      </w:r>
    </w:p>
    <w:p w14:paraId="17080393" w14:textId="77777777" w:rsidR="00C73C57" w:rsidRPr="00C73C57" w:rsidRDefault="00C73C57" w:rsidP="00C73C57">
      <w:pPr>
        <w:jc w:val="center"/>
        <w:rPr>
          <w:b/>
          <w:sz w:val="24"/>
          <w:szCs w:val="24"/>
        </w:rPr>
      </w:pPr>
      <w:r>
        <w:rPr>
          <w:b/>
          <w:sz w:val="24"/>
          <w:szCs w:val="24"/>
        </w:rPr>
        <w:t xml:space="preserve">Malcolm McDonald </w:t>
      </w:r>
    </w:p>
    <w:p w14:paraId="297DCE0F" w14:textId="78F63A3E" w:rsidR="00FF412E" w:rsidRPr="002415C0" w:rsidRDefault="00854579" w:rsidP="00FF412E">
      <w:pPr>
        <w:jc w:val="center"/>
        <w:rPr>
          <w:b/>
          <w:sz w:val="24"/>
          <w:szCs w:val="24"/>
        </w:rPr>
      </w:pPr>
      <w:r>
        <w:rPr>
          <w:b/>
          <w:sz w:val="24"/>
          <w:szCs w:val="24"/>
        </w:rPr>
        <w:t>29</w:t>
      </w:r>
      <w:r w:rsidR="00C73C57">
        <w:rPr>
          <w:b/>
          <w:sz w:val="24"/>
          <w:szCs w:val="24"/>
        </w:rPr>
        <w:t>/</w:t>
      </w:r>
      <w:r>
        <w:rPr>
          <w:b/>
          <w:sz w:val="24"/>
          <w:szCs w:val="24"/>
        </w:rPr>
        <w:t>3</w:t>
      </w:r>
      <w:r w:rsidR="00700326">
        <w:rPr>
          <w:b/>
          <w:sz w:val="24"/>
          <w:szCs w:val="24"/>
        </w:rPr>
        <w:t>/201</w:t>
      </w:r>
      <w:r w:rsidR="003E358C">
        <w:rPr>
          <w:b/>
          <w:sz w:val="24"/>
          <w:szCs w:val="24"/>
        </w:rPr>
        <w:t>8</w:t>
      </w:r>
    </w:p>
    <w:p w14:paraId="5A56DD01" w14:textId="77777777" w:rsidR="002415C0" w:rsidRDefault="002415C0" w:rsidP="002E5953">
      <w:pPr>
        <w:rPr>
          <w:sz w:val="24"/>
          <w:szCs w:val="24"/>
        </w:rPr>
      </w:pPr>
    </w:p>
    <w:p w14:paraId="51695B1C" w14:textId="77777777" w:rsidR="002415C0" w:rsidRDefault="002E5953" w:rsidP="00FF412E">
      <w:pPr>
        <w:jc w:val="center"/>
        <w:rPr>
          <w:sz w:val="24"/>
          <w:szCs w:val="24"/>
        </w:rPr>
      </w:pPr>
      <w:r>
        <w:rPr>
          <w:noProof/>
          <w:sz w:val="24"/>
          <w:szCs w:val="24"/>
          <w:lang w:eastAsia="en-GB"/>
        </w:rPr>
        <w:drawing>
          <wp:inline distT="0" distB="0" distL="0" distR="0" wp14:anchorId="5025044D" wp14:editId="3722E467">
            <wp:extent cx="4286250" cy="16859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logo.jpg"/>
                    <pic:cNvPicPr/>
                  </pic:nvPicPr>
                  <pic:blipFill>
                    <a:blip r:embed="rId8">
                      <a:extLst>
                        <a:ext uri="{28A0092B-C50C-407E-A947-70E740481C1C}">
                          <a14:useLocalDpi xmlns:a14="http://schemas.microsoft.com/office/drawing/2010/main" val="0"/>
                        </a:ext>
                      </a:extLst>
                    </a:blip>
                    <a:stretch>
                      <a:fillRect/>
                    </a:stretch>
                  </pic:blipFill>
                  <pic:spPr>
                    <a:xfrm>
                      <a:off x="0" y="0"/>
                      <a:ext cx="4286250" cy="1685925"/>
                    </a:xfrm>
                    <a:prstGeom prst="rect">
                      <a:avLst/>
                    </a:prstGeom>
                  </pic:spPr>
                </pic:pic>
              </a:graphicData>
            </a:graphic>
          </wp:inline>
        </w:drawing>
      </w:r>
    </w:p>
    <w:p w14:paraId="51D922A7" w14:textId="77777777" w:rsidR="002E5953" w:rsidRDefault="002E5953" w:rsidP="00FF412E">
      <w:pPr>
        <w:jc w:val="center"/>
        <w:rPr>
          <w:sz w:val="24"/>
          <w:szCs w:val="24"/>
        </w:rPr>
      </w:pPr>
    </w:p>
    <w:p w14:paraId="2DDF4873" w14:textId="5D21BC98" w:rsidR="0009214C" w:rsidRPr="00B6445D" w:rsidRDefault="00FF412E" w:rsidP="00B6445D">
      <w:pPr>
        <w:jc w:val="center"/>
        <w:rPr>
          <w:sz w:val="24"/>
          <w:szCs w:val="24"/>
        </w:rPr>
      </w:pPr>
      <w:r>
        <w:rPr>
          <w:sz w:val="24"/>
          <w:szCs w:val="24"/>
          <w:u w:val="single"/>
        </w:rPr>
        <w:br w:type="page"/>
      </w:r>
    </w:p>
    <w:p w14:paraId="08872A15" w14:textId="38469A2B" w:rsidR="00F04FAF" w:rsidRDefault="00B058FD" w:rsidP="007127E5">
      <w:pPr>
        <w:rPr>
          <w:rFonts w:ascii="Verdana" w:hAnsi="Verdana"/>
          <w:sz w:val="20"/>
          <w:szCs w:val="20"/>
        </w:rPr>
      </w:pPr>
      <w:r>
        <w:rPr>
          <w:rFonts w:ascii="Verdana" w:hAnsi="Verdana"/>
          <w:sz w:val="20"/>
          <w:szCs w:val="20"/>
        </w:rPr>
        <w:lastRenderedPageBreak/>
        <w:t>Dear, Kurt Blumenroder</w:t>
      </w:r>
    </w:p>
    <w:p w14:paraId="0C3EEDA8" w14:textId="582D0F80" w:rsidR="0009214C" w:rsidRDefault="0009214C" w:rsidP="007127E5">
      <w:pPr>
        <w:rPr>
          <w:rFonts w:ascii="Verdana" w:hAnsi="Verdana"/>
          <w:sz w:val="20"/>
          <w:szCs w:val="20"/>
        </w:rPr>
      </w:pPr>
    </w:p>
    <w:p w14:paraId="69A14816" w14:textId="03E2C222" w:rsidR="00E80F81" w:rsidRDefault="0009214C" w:rsidP="007127E5">
      <w:pPr>
        <w:rPr>
          <w:rFonts w:ascii="Verdana" w:hAnsi="Verdana"/>
          <w:sz w:val="20"/>
          <w:szCs w:val="20"/>
        </w:rPr>
      </w:pPr>
      <w:r>
        <w:rPr>
          <w:rFonts w:ascii="Verdana" w:hAnsi="Verdana"/>
          <w:sz w:val="20"/>
          <w:szCs w:val="20"/>
        </w:rPr>
        <w:t xml:space="preserve">I am writing to propose a viable solution to the upcoming challenges faced by VW group in securing its future in an </w:t>
      </w:r>
      <w:r w:rsidR="00534818">
        <w:rPr>
          <w:rFonts w:ascii="Verdana" w:hAnsi="Verdana"/>
          <w:sz w:val="20"/>
          <w:szCs w:val="20"/>
        </w:rPr>
        <w:t>ever-changing</w:t>
      </w:r>
      <w:r>
        <w:rPr>
          <w:rFonts w:ascii="Verdana" w:hAnsi="Verdana"/>
          <w:sz w:val="20"/>
          <w:szCs w:val="20"/>
        </w:rPr>
        <w:t xml:space="preserve"> market place where traditional fossil fuelled vehicles are threatened on several fronts. On one hand where regulations on emissions are becoming ever more stringent with the implementation of the WLTP, due to be enforced September 2018.</w:t>
      </w:r>
      <w:r w:rsidR="00D519F2">
        <w:rPr>
          <w:rFonts w:ascii="Verdana" w:hAnsi="Verdana"/>
          <w:sz w:val="20"/>
          <w:szCs w:val="20"/>
        </w:rPr>
        <w:t xml:space="preserve"> The mapping strategies used in the pass the NEDC will no longer be effective with a much more dynamic testing procedure enforced by the RDE test. </w:t>
      </w:r>
      <w:sdt>
        <w:sdtPr>
          <w:rPr>
            <w:rFonts w:ascii="Verdana" w:hAnsi="Verdana"/>
            <w:sz w:val="20"/>
            <w:szCs w:val="20"/>
          </w:rPr>
          <w:id w:val="-1373150266"/>
          <w:citation/>
        </w:sdtPr>
        <w:sdtEndPr/>
        <w:sdtContent>
          <w:r w:rsidR="000232DE">
            <w:rPr>
              <w:rFonts w:ascii="Verdana" w:hAnsi="Verdana"/>
              <w:sz w:val="20"/>
              <w:szCs w:val="20"/>
            </w:rPr>
            <w:fldChar w:fldCharType="begin"/>
          </w:r>
          <w:r w:rsidR="000232DE">
            <w:rPr>
              <w:rFonts w:ascii="Verdana" w:hAnsi="Verdana"/>
              <w:sz w:val="20"/>
              <w:szCs w:val="20"/>
            </w:rPr>
            <w:instrText xml:space="preserve"> CITATION WLTte \l 2057 </w:instrText>
          </w:r>
          <w:r w:rsidR="000232DE">
            <w:rPr>
              <w:rFonts w:ascii="Verdana" w:hAnsi="Verdana"/>
              <w:sz w:val="20"/>
              <w:szCs w:val="20"/>
            </w:rPr>
            <w:fldChar w:fldCharType="separate"/>
          </w:r>
          <w:r w:rsidR="000232DE" w:rsidRPr="000232DE">
            <w:rPr>
              <w:rFonts w:ascii="Verdana" w:hAnsi="Verdana"/>
              <w:noProof/>
              <w:sz w:val="20"/>
              <w:szCs w:val="20"/>
            </w:rPr>
            <w:t>(WLTP Facts, no date)</w:t>
          </w:r>
          <w:r w:rsidR="000232DE">
            <w:rPr>
              <w:rFonts w:ascii="Verdana" w:hAnsi="Verdana"/>
              <w:sz w:val="20"/>
              <w:szCs w:val="20"/>
            </w:rPr>
            <w:fldChar w:fldCharType="end"/>
          </w:r>
        </w:sdtContent>
      </w:sdt>
      <w:r w:rsidR="00D519F2">
        <w:rPr>
          <w:rFonts w:ascii="Verdana" w:hAnsi="Verdana"/>
          <w:sz w:val="20"/>
          <w:szCs w:val="20"/>
        </w:rPr>
        <w:t xml:space="preserve"> </w:t>
      </w:r>
      <w:r w:rsidR="000232DE">
        <w:rPr>
          <w:rFonts w:ascii="Verdana" w:hAnsi="Verdana"/>
          <w:sz w:val="20"/>
          <w:szCs w:val="20"/>
        </w:rPr>
        <w:t>Furthermore, to meet global emission targets of CO</w:t>
      </w:r>
      <w:r w:rsidR="000232DE">
        <w:rPr>
          <w:rFonts w:ascii="Verdana" w:hAnsi="Verdana"/>
          <w:sz w:val="20"/>
          <w:szCs w:val="20"/>
          <w:vertAlign w:val="subscript"/>
        </w:rPr>
        <w:t>2</w:t>
      </w:r>
      <w:r w:rsidR="000232DE">
        <w:rPr>
          <w:rFonts w:ascii="Verdana" w:hAnsi="Verdana"/>
          <w:sz w:val="20"/>
          <w:szCs w:val="20"/>
        </w:rPr>
        <w:t xml:space="preserve"> reduction to keep global warming within</w:t>
      </w:r>
      <w:r w:rsidR="004665CB">
        <w:rPr>
          <w:rFonts w:ascii="Verdana" w:hAnsi="Verdana"/>
          <w:sz w:val="20"/>
          <w:szCs w:val="20"/>
        </w:rPr>
        <w:t xml:space="preserve"> 2°</w:t>
      </w:r>
      <w:r w:rsidR="00534818">
        <w:rPr>
          <w:rFonts w:ascii="Verdana" w:hAnsi="Verdana"/>
          <w:sz w:val="20"/>
          <w:szCs w:val="20"/>
        </w:rPr>
        <w:t>C,</w:t>
      </w:r>
      <w:r w:rsidR="004665CB">
        <w:rPr>
          <w:rFonts w:ascii="Verdana" w:hAnsi="Verdana"/>
          <w:sz w:val="20"/>
          <w:szCs w:val="20"/>
        </w:rPr>
        <w:t xml:space="preserve"> or as new evidence suggests,</w:t>
      </w:r>
      <w:r w:rsidR="000232DE">
        <w:rPr>
          <w:rFonts w:ascii="Verdana" w:hAnsi="Verdana"/>
          <w:sz w:val="20"/>
          <w:szCs w:val="20"/>
        </w:rPr>
        <w:t xml:space="preserve"> the safety threshold of 1.5° </w:t>
      </w:r>
      <w:sdt>
        <w:sdtPr>
          <w:rPr>
            <w:rFonts w:ascii="Verdana" w:hAnsi="Verdana"/>
            <w:sz w:val="20"/>
            <w:szCs w:val="20"/>
          </w:rPr>
          <w:id w:val="-95174282"/>
          <w:citation/>
        </w:sdtPr>
        <w:sdtEndPr/>
        <w:sdtContent>
          <w:r w:rsidR="000232DE">
            <w:rPr>
              <w:rFonts w:ascii="Verdana" w:hAnsi="Verdana"/>
              <w:sz w:val="20"/>
              <w:szCs w:val="20"/>
            </w:rPr>
            <w:fldChar w:fldCharType="begin"/>
          </w:r>
          <w:r w:rsidR="000232DE">
            <w:rPr>
              <w:rFonts w:ascii="Verdana" w:hAnsi="Verdana"/>
              <w:sz w:val="20"/>
              <w:szCs w:val="20"/>
            </w:rPr>
            <w:instrText xml:space="preserve"> CITATION CFS16 \l 2057 </w:instrText>
          </w:r>
          <w:r w:rsidR="000232DE">
            <w:rPr>
              <w:rFonts w:ascii="Verdana" w:hAnsi="Verdana"/>
              <w:sz w:val="20"/>
              <w:szCs w:val="20"/>
            </w:rPr>
            <w:fldChar w:fldCharType="separate"/>
          </w:r>
          <w:r w:rsidR="000232DE" w:rsidRPr="000232DE">
            <w:rPr>
              <w:rFonts w:ascii="Verdana" w:hAnsi="Verdana"/>
              <w:noProof/>
              <w:sz w:val="20"/>
              <w:szCs w:val="20"/>
            </w:rPr>
            <w:t>(C.-F. Schleussner, 2016)</w:t>
          </w:r>
          <w:r w:rsidR="000232DE">
            <w:rPr>
              <w:rFonts w:ascii="Verdana" w:hAnsi="Verdana"/>
              <w:sz w:val="20"/>
              <w:szCs w:val="20"/>
            </w:rPr>
            <w:fldChar w:fldCharType="end"/>
          </w:r>
        </w:sdtContent>
      </w:sdt>
      <w:r w:rsidR="004665CB">
        <w:rPr>
          <w:rFonts w:ascii="Verdana" w:hAnsi="Verdana"/>
          <w:sz w:val="20"/>
          <w:szCs w:val="20"/>
        </w:rPr>
        <w:t xml:space="preserve">, the net global transportation GHG emissions will eventually need to be zero. </w:t>
      </w:r>
      <w:r w:rsidR="005A6F36">
        <w:rPr>
          <w:rFonts w:ascii="Verdana" w:hAnsi="Verdana"/>
          <w:sz w:val="20"/>
          <w:szCs w:val="20"/>
        </w:rPr>
        <w:br/>
        <w:t xml:space="preserve">The second factor is the image of fossil fuels cars as a mode of transportation, not excluding sports and luxury models but focusing more on the standard light transportation vehicle. The public consensus among developed nations is swaying more towards a green approach </w:t>
      </w:r>
      <w:r w:rsidR="00F51450">
        <w:rPr>
          <w:rFonts w:ascii="Verdana" w:hAnsi="Verdana"/>
          <w:sz w:val="20"/>
          <w:szCs w:val="20"/>
        </w:rPr>
        <w:t xml:space="preserve">from companies, a 2012 study of 180 US-based companies over an </w:t>
      </w:r>
      <w:r w:rsidR="00534818">
        <w:rPr>
          <w:rFonts w:ascii="Verdana" w:hAnsi="Verdana"/>
          <w:sz w:val="20"/>
          <w:szCs w:val="20"/>
        </w:rPr>
        <w:t>18-year</w:t>
      </w:r>
      <w:r w:rsidR="00F51450">
        <w:rPr>
          <w:rFonts w:ascii="Verdana" w:hAnsi="Verdana"/>
          <w:sz w:val="20"/>
          <w:szCs w:val="20"/>
        </w:rPr>
        <w:t xml:space="preserve"> period show that the high sustainability companies outperform the low sustainability ones by 4.8% in both stock market and accounting measures. </w:t>
      </w:r>
      <w:sdt>
        <w:sdtPr>
          <w:rPr>
            <w:rFonts w:ascii="Verdana" w:hAnsi="Verdana"/>
            <w:sz w:val="20"/>
            <w:szCs w:val="20"/>
          </w:rPr>
          <w:id w:val="-1440670710"/>
          <w:citation/>
        </w:sdtPr>
        <w:sdtEndPr/>
        <w:sdtContent>
          <w:r w:rsidR="00F00F77">
            <w:rPr>
              <w:rFonts w:ascii="Verdana" w:hAnsi="Verdana"/>
              <w:sz w:val="20"/>
              <w:szCs w:val="20"/>
            </w:rPr>
            <w:fldChar w:fldCharType="begin"/>
          </w:r>
          <w:r w:rsidR="00F00F77">
            <w:rPr>
              <w:rFonts w:ascii="Verdana" w:hAnsi="Verdana"/>
              <w:sz w:val="20"/>
              <w:szCs w:val="20"/>
            </w:rPr>
            <w:instrText xml:space="preserve"> CITATION Rob12 \l 2057 </w:instrText>
          </w:r>
          <w:r w:rsidR="00F00F77">
            <w:rPr>
              <w:rFonts w:ascii="Verdana" w:hAnsi="Verdana"/>
              <w:sz w:val="20"/>
              <w:szCs w:val="20"/>
            </w:rPr>
            <w:fldChar w:fldCharType="separate"/>
          </w:r>
          <w:r w:rsidR="00F00F77" w:rsidRPr="00F00F77">
            <w:rPr>
              <w:rFonts w:ascii="Verdana" w:hAnsi="Verdana"/>
              <w:noProof/>
              <w:sz w:val="20"/>
              <w:szCs w:val="20"/>
            </w:rPr>
            <w:t>(Robert Eccles, 2012)</w:t>
          </w:r>
          <w:r w:rsidR="00F00F77">
            <w:rPr>
              <w:rFonts w:ascii="Verdana" w:hAnsi="Verdana"/>
              <w:sz w:val="20"/>
              <w:szCs w:val="20"/>
            </w:rPr>
            <w:fldChar w:fldCharType="end"/>
          </w:r>
        </w:sdtContent>
      </w:sdt>
      <w:r w:rsidR="00E356EB">
        <w:rPr>
          <w:rFonts w:ascii="Verdana" w:hAnsi="Verdana"/>
          <w:sz w:val="20"/>
          <w:szCs w:val="20"/>
        </w:rPr>
        <w:t xml:space="preserve"> </w:t>
      </w:r>
    </w:p>
    <w:p w14:paraId="15F2B033" w14:textId="0A8DA2C0" w:rsidR="00E356EB" w:rsidRDefault="00E356EB" w:rsidP="007127E5">
      <w:pPr>
        <w:rPr>
          <w:rFonts w:ascii="Verdana" w:hAnsi="Verdana"/>
          <w:sz w:val="20"/>
          <w:szCs w:val="20"/>
        </w:rPr>
      </w:pPr>
      <w:r>
        <w:rPr>
          <w:rFonts w:ascii="Verdana" w:hAnsi="Verdana"/>
          <w:sz w:val="20"/>
          <w:szCs w:val="20"/>
        </w:rPr>
        <w:t xml:space="preserve">Moving forward to a 2025 target of what vehicles would be prominent, I would suggest </w:t>
      </w:r>
      <w:r w:rsidR="00534818">
        <w:rPr>
          <w:rFonts w:ascii="Verdana" w:hAnsi="Verdana"/>
          <w:sz w:val="20"/>
          <w:szCs w:val="20"/>
        </w:rPr>
        <w:t>pursuing</w:t>
      </w:r>
      <w:r>
        <w:rPr>
          <w:rFonts w:ascii="Verdana" w:hAnsi="Verdana"/>
          <w:sz w:val="20"/>
          <w:szCs w:val="20"/>
        </w:rPr>
        <w:t xml:space="preserve"> a hydrogen fuel cell powertrain for light vehicles produced by Volkswagen. </w:t>
      </w:r>
    </w:p>
    <w:p w14:paraId="29DC8E39" w14:textId="2153A692" w:rsidR="009841C4" w:rsidRDefault="009841C4" w:rsidP="007127E5">
      <w:pPr>
        <w:rPr>
          <w:rFonts w:ascii="Verdana" w:hAnsi="Verdana"/>
          <w:sz w:val="20"/>
          <w:szCs w:val="20"/>
        </w:rPr>
      </w:pPr>
      <w:r>
        <w:rPr>
          <w:rFonts w:ascii="Verdana" w:hAnsi="Verdana"/>
          <w:sz w:val="20"/>
          <w:szCs w:val="20"/>
        </w:rPr>
        <w:t>The obvious benefits of FCEV’s using hydrogen are:</w:t>
      </w:r>
    </w:p>
    <w:p w14:paraId="2129E21B" w14:textId="79E4420E" w:rsidR="009841C4" w:rsidRDefault="009841C4" w:rsidP="009841C4">
      <w:pPr>
        <w:pStyle w:val="ListParagraph"/>
        <w:numPr>
          <w:ilvl w:val="0"/>
          <w:numId w:val="14"/>
        </w:numPr>
        <w:rPr>
          <w:rFonts w:ascii="Verdana" w:hAnsi="Verdana"/>
          <w:sz w:val="20"/>
          <w:szCs w:val="20"/>
        </w:rPr>
      </w:pPr>
      <w:r>
        <w:rPr>
          <w:rFonts w:ascii="Verdana" w:hAnsi="Verdana"/>
          <w:sz w:val="20"/>
          <w:szCs w:val="20"/>
        </w:rPr>
        <w:t>Zero emissions</w:t>
      </w:r>
      <w:r w:rsidR="002B1CDC">
        <w:rPr>
          <w:rFonts w:ascii="Verdana" w:hAnsi="Verdana"/>
          <w:sz w:val="20"/>
          <w:szCs w:val="20"/>
        </w:rPr>
        <w:t>,</w:t>
      </w:r>
      <w:r>
        <w:rPr>
          <w:rFonts w:ascii="Verdana" w:hAnsi="Verdana"/>
          <w:sz w:val="20"/>
          <w:szCs w:val="20"/>
        </w:rPr>
        <w:t xml:space="preserve"> </w:t>
      </w:r>
    </w:p>
    <w:p w14:paraId="200E5511" w14:textId="62C912F5" w:rsidR="009841C4" w:rsidRDefault="002B1CDC" w:rsidP="009841C4">
      <w:pPr>
        <w:pStyle w:val="ListParagraph"/>
        <w:numPr>
          <w:ilvl w:val="0"/>
          <w:numId w:val="14"/>
        </w:numPr>
        <w:rPr>
          <w:rFonts w:ascii="Verdana" w:hAnsi="Verdana"/>
          <w:sz w:val="20"/>
          <w:szCs w:val="20"/>
        </w:rPr>
      </w:pPr>
      <w:r>
        <w:rPr>
          <w:rFonts w:ascii="Verdana" w:hAnsi="Verdana"/>
          <w:sz w:val="20"/>
          <w:szCs w:val="20"/>
        </w:rPr>
        <w:t xml:space="preserve">Hydrogen can be produced on site at a refuelling station, </w:t>
      </w:r>
    </w:p>
    <w:p w14:paraId="56E91CA4" w14:textId="601FA7E4" w:rsidR="002B1CDC" w:rsidRDefault="002B1CDC" w:rsidP="009841C4">
      <w:pPr>
        <w:pStyle w:val="ListParagraph"/>
        <w:numPr>
          <w:ilvl w:val="0"/>
          <w:numId w:val="14"/>
        </w:numPr>
        <w:rPr>
          <w:rFonts w:ascii="Verdana" w:hAnsi="Verdana"/>
          <w:sz w:val="20"/>
          <w:szCs w:val="20"/>
        </w:rPr>
      </w:pPr>
      <w:r>
        <w:rPr>
          <w:rFonts w:ascii="Verdana" w:hAnsi="Verdana"/>
          <w:sz w:val="20"/>
          <w:szCs w:val="20"/>
        </w:rPr>
        <w:t xml:space="preserve">Hydrogen is readily available from water electrolysis or recovery from ammonia, natural gas, petroleum or biomass. </w:t>
      </w:r>
      <w:sdt>
        <w:sdtPr>
          <w:rPr>
            <w:rFonts w:ascii="Verdana" w:hAnsi="Verdana"/>
            <w:sz w:val="20"/>
            <w:szCs w:val="20"/>
          </w:rPr>
          <w:id w:val="698738823"/>
          <w:citation/>
        </w:sdtPr>
        <w:sdtEndPr/>
        <w:sdtContent>
          <w:r w:rsidR="00025DD7">
            <w:rPr>
              <w:rFonts w:ascii="Verdana" w:hAnsi="Verdana"/>
              <w:sz w:val="20"/>
              <w:szCs w:val="20"/>
            </w:rPr>
            <w:fldChar w:fldCharType="begin"/>
          </w:r>
          <w:r w:rsidR="00025DD7">
            <w:rPr>
              <w:rFonts w:ascii="Verdana" w:hAnsi="Verdana"/>
              <w:sz w:val="20"/>
              <w:szCs w:val="20"/>
            </w:rPr>
            <w:instrText xml:space="preserve"> CITATION Geo06 \l 2057 </w:instrText>
          </w:r>
          <w:r w:rsidR="00025DD7">
            <w:rPr>
              <w:rFonts w:ascii="Verdana" w:hAnsi="Verdana"/>
              <w:sz w:val="20"/>
              <w:szCs w:val="20"/>
            </w:rPr>
            <w:fldChar w:fldCharType="separate"/>
          </w:r>
          <w:r w:rsidR="00025DD7" w:rsidRPr="00025DD7">
            <w:rPr>
              <w:rFonts w:ascii="Verdana" w:hAnsi="Verdana"/>
              <w:noProof/>
              <w:sz w:val="20"/>
              <w:szCs w:val="20"/>
            </w:rPr>
            <w:t>(George Thomas, 2006)</w:t>
          </w:r>
          <w:r w:rsidR="00025DD7">
            <w:rPr>
              <w:rFonts w:ascii="Verdana" w:hAnsi="Verdana"/>
              <w:sz w:val="20"/>
              <w:szCs w:val="20"/>
            </w:rPr>
            <w:fldChar w:fldCharType="end"/>
          </w:r>
        </w:sdtContent>
      </w:sdt>
      <w:r>
        <w:rPr>
          <w:rFonts w:ascii="Verdana" w:hAnsi="Verdana"/>
          <w:sz w:val="20"/>
          <w:szCs w:val="20"/>
        </w:rPr>
        <w:t xml:space="preserve"> </w:t>
      </w:r>
    </w:p>
    <w:p w14:paraId="3978ACE5" w14:textId="61C96F8D" w:rsidR="000F7C2D" w:rsidRDefault="000F7C2D" w:rsidP="009841C4">
      <w:pPr>
        <w:pStyle w:val="ListParagraph"/>
        <w:numPr>
          <w:ilvl w:val="0"/>
          <w:numId w:val="14"/>
        </w:numPr>
        <w:rPr>
          <w:rFonts w:ascii="Verdana" w:hAnsi="Verdana"/>
          <w:sz w:val="20"/>
          <w:szCs w:val="20"/>
        </w:rPr>
      </w:pPr>
      <w:r>
        <w:rPr>
          <w:rFonts w:ascii="Verdana" w:hAnsi="Verdana"/>
          <w:sz w:val="20"/>
          <w:szCs w:val="20"/>
        </w:rPr>
        <w:t>No reliance on countries possessing natural mineral or oil deposits,</w:t>
      </w:r>
    </w:p>
    <w:p w14:paraId="5AC99192" w14:textId="22C8777B" w:rsidR="002B1CDC" w:rsidRDefault="002B1CDC" w:rsidP="009841C4">
      <w:pPr>
        <w:pStyle w:val="ListParagraph"/>
        <w:numPr>
          <w:ilvl w:val="0"/>
          <w:numId w:val="14"/>
        </w:numPr>
        <w:rPr>
          <w:rFonts w:ascii="Verdana" w:hAnsi="Verdana"/>
          <w:sz w:val="20"/>
          <w:szCs w:val="20"/>
        </w:rPr>
      </w:pPr>
      <w:r>
        <w:rPr>
          <w:rFonts w:ascii="Verdana" w:hAnsi="Verdana"/>
          <w:sz w:val="20"/>
          <w:szCs w:val="20"/>
        </w:rPr>
        <w:t>Quick refuelling times compared to current battery technology,</w:t>
      </w:r>
      <w:r w:rsidR="009607F8">
        <w:rPr>
          <w:rFonts w:ascii="Verdana" w:hAnsi="Verdana"/>
          <w:sz w:val="20"/>
          <w:szCs w:val="20"/>
        </w:rPr>
        <w:t xml:space="preserve"> 3-5 minutes </w:t>
      </w:r>
      <w:sdt>
        <w:sdtPr>
          <w:rPr>
            <w:rFonts w:ascii="Verdana" w:hAnsi="Verdana"/>
            <w:sz w:val="20"/>
            <w:szCs w:val="20"/>
          </w:rPr>
          <w:id w:val="170382239"/>
          <w:citation/>
        </w:sdtPr>
        <w:sdtContent>
          <w:r w:rsidR="00B977B5">
            <w:rPr>
              <w:rFonts w:ascii="Verdana" w:hAnsi="Verdana"/>
              <w:sz w:val="20"/>
              <w:szCs w:val="20"/>
            </w:rPr>
            <w:fldChar w:fldCharType="begin"/>
          </w:r>
          <w:r w:rsidR="00B977B5">
            <w:rPr>
              <w:rFonts w:ascii="Verdana" w:hAnsi="Verdana"/>
              <w:sz w:val="20"/>
              <w:szCs w:val="20"/>
            </w:rPr>
            <w:instrText xml:space="preserve"> CITATION UKH18 \l 2057 </w:instrText>
          </w:r>
          <w:r w:rsidR="00B977B5">
            <w:rPr>
              <w:rFonts w:ascii="Verdana" w:hAnsi="Verdana"/>
              <w:sz w:val="20"/>
              <w:szCs w:val="20"/>
            </w:rPr>
            <w:fldChar w:fldCharType="separate"/>
          </w:r>
          <w:r w:rsidR="00B977B5" w:rsidRPr="00B977B5">
            <w:rPr>
              <w:rFonts w:ascii="Verdana" w:hAnsi="Verdana"/>
              <w:noProof/>
              <w:sz w:val="20"/>
              <w:szCs w:val="20"/>
            </w:rPr>
            <w:t>(UK H2 Mobility, 2018)</w:t>
          </w:r>
          <w:r w:rsidR="00B977B5">
            <w:rPr>
              <w:rFonts w:ascii="Verdana" w:hAnsi="Verdana"/>
              <w:sz w:val="20"/>
              <w:szCs w:val="20"/>
            </w:rPr>
            <w:fldChar w:fldCharType="end"/>
          </w:r>
        </w:sdtContent>
      </w:sdt>
    </w:p>
    <w:p w14:paraId="5AF1EFB1" w14:textId="3635F862" w:rsidR="002B1CDC" w:rsidRDefault="00822D24" w:rsidP="009841C4">
      <w:pPr>
        <w:pStyle w:val="ListParagraph"/>
        <w:numPr>
          <w:ilvl w:val="0"/>
          <w:numId w:val="14"/>
        </w:numPr>
        <w:rPr>
          <w:rFonts w:ascii="Verdana" w:hAnsi="Verdana"/>
          <w:sz w:val="20"/>
          <w:szCs w:val="20"/>
        </w:rPr>
      </w:pPr>
      <w:r>
        <w:rPr>
          <w:rFonts w:ascii="Verdana" w:hAnsi="Verdana"/>
          <w:sz w:val="20"/>
          <w:szCs w:val="20"/>
        </w:rPr>
        <w:t xml:space="preserve">Competitive </w:t>
      </w:r>
      <w:r w:rsidR="002B1CDC">
        <w:rPr>
          <w:rFonts w:ascii="Verdana" w:hAnsi="Verdana"/>
          <w:sz w:val="20"/>
          <w:szCs w:val="20"/>
        </w:rPr>
        <w:t>range compared to lithium ion powered cars,</w:t>
      </w:r>
      <w:r w:rsidR="000F7C2D">
        <w:rPr>
          <w:rFonts w:ascii="Verdana" w:hAnsi="Verdana"/>
          <w:sz w:val="20"/>
          <w:szCs w:val="20"/>
        </w:rPr>
        <w:t xml:space="preserve"> </w:t>
      </w:r>
      <w:r w:rsidR="00534818">
        <w:rPr>
          <w:rFonts w:ascii="Verdana" w:hAnsi="Verdana"/>
          <w:sz w:val="20"/>
          <w:szCs w:val="20"/>
        </w:rPr>
        <w:t>with Hyundai releasing a vehicle with a quoted 800km range in 2018.</w:t>
      </w:r>
      <w:r w:rsidR="00CD6D30">
        <w:rPr>
          <w:rFonts w:ascii="Verdana" w:hAnsi="Verdana"/>
          <w:sz w:val="20"/>
          <w:szCs w:val="20"/>
        </w:rPr>
        <w:t xml:space="preserve"> </w:t>
      </w:r>
      <w:sdt>
        <w:sdtPr>
          <w:rPr>
            <w:rFonts w:ascii="Verdana" w:hAnsi="Verdana"/>
            <w:sz w:val="20"/>
            <w:szCs w:val="20"/>
          </w:rPr>
          <w:id w:val="-416485633"/>
          <w:citation/>
        </w:sdtPr>
        <w:sdtEndPr/>
        <w:sdtContent>
          <w:r w:rsidR="00CD6D30">
            <w:rPr>
              <w:rFonts w:ascii="Verdana" w:hAnsi="Verdana"/>
              <w:sz w:val="20"/>
              <w:szCs w:val="20"/>
            </w:rPr>
            <w:fldChar w:fldCharType="begin"/>
          </w:r>
          <w:r w:rsidR="00CD6D30">
            <w:rPr>
              <w:rFonts w:ascii="Verdana" w:hAnsi="Verdana"/>
              <w:sz w:val="20"/>
              <w:szCs w:val="20"/>
              <w:lang w:val="en-US"/>
            </w:rPr>
            <w:instrText xml:space="preserve"> CITATION Aut18 \l 1033 </w:instrText>
          </w:r>
          <w:r w:rsidR="00CD6D30">
            <w:rPr>
              <w:rFonts w:ascii="Verdana" w:hAnsi="Verdana"/>
              <w:sz w:val="20"/>
              <w:szCs w:val="20"/>
            </w:rPr>
            <w:fldChar w:fldCharType="separate"/>
          </w:r>
          <w:r w:rsidR="00CD6D30" w:rsidRPr="00CD6D30">
            <w:rPr>
              <w:rFonts w:ascii="Verdana" w:hAnsi="Verdana"/>
              <w:noProof/>
              <w:sz w:val="20"/>
              <w:szCs w:val="20"/>
              <w:lang w:val="en-US"/>
            </w:rPr>
            <w:t>(Auto Express, 2018)</w:t>
          </w:r>
          <w:r w:rsidR="00CD6D30">
            <w:rPr>
              <w:rFonts w:ascii="Verdana" w:hAnsi="Verdana"/>
              <w:sz w:val="20"/>
              <w:szCs w:val="20"/>
            </w:rPr>
            <w:fldChar w:fldCharType="end"/>
          </w:r>
        </w:sdtContent>
      </w:sdt>
      <w:r w:rsidR="00574FCC">
        <w:rPr>
          <w:rFonts w:ascii="Verdana" w:hAnsi="Verdana"/>
          <w:sz w:val="20"/>
          <w:szCs w:val="20"/>
        </w:rPr>
        <w:t xml:space="preserve"> and planning for </w:t>
      </w:r>
      <w:r w:rsidR="0013033F">
        <w:rPr>
          <w:rFonts w:ascii="Verdana" w:hAnsi="Verdana"/>
          <w:sz w:val="20"/>
          <w:szCs w:val="20"/>
        </w:rPr>
        <w:t xml:space="preserve">further vehicles released by 2025. </w:t>
      </w:r>
      <w:sdt>
        <w:sdtPr>
          <w:rPr>
            <w:rFonts w:ascii="Verdana" w:hAnsi="Verdana"/>
            <w:sz w:val="20"/>
            <w:szCs w:val="20"/>
          </w:rPr>
          <w:id w:val="-2122912526"/>
          <w:citation/>
        </w:sdtPr>
        <w:sdtEndPr/>
        <w:sdtContent>
          <w:r w:rsidR="0013033F">
            <w:rPr>
              <w:rFonts w:ascii="Verdana" w:hAnsi="Verdana"/>
              <w:sz w:val="20"/>
              <w:szCs w:val="20"/>
            </w:rPr>
            <w:fldChar w:fldCharType="begin"/>
          </w:r>
          <w:r w:rsidR="0013033F">
            <w:rPr>
              <w:rFonts w:ascii="Verdana" w:hAnsi="Verdana"/>
              <w:sz w:val="20"/>
              <w:szCs w:val="20"/>
            </w:rPr>
            <w:instrText xml:space="preserve"> CITATION Ton18 \l 2057 </w:instrText>
          </w:r>
          <w:r w:rsidR="0013033F">
            <w:rPr>
              <w:rFonts w:ascii="Verdana" w:hAnsi="Verdana"/>
              <w:sz w:val="20"/>
              <w:szCs w:val="20"/>
            </w:rPr>
            <w:fldChar w:fldCharType="separate"/>
          </w:r>
          <w:r w:rsidR="0013033F" w:rsidRPr="0013033F">
            <w:rPr>
              <w:rFonts w:ascii="Verdana" w:hAnsi="Verdana"/>
              <w:noProof/>
              <w:sz w:val="20"/>
              <w:szCs w:val="20"/>
            </w:rPr>
            <w:t>(Markovich, 2018)</w:t>
          </w:r>
          <w:r w:rsidR="0013033F">
            <w:rPr>
              <w:rFonts w:ascii="Verdana" w:hAnsi="Verdana"/>
              <w:sz w:val="20"/>
              <w:szCs w:val="20"/>
            </w:rPr>
            <w:fldChar w:fldCharType="end"/>
          </w:r>
        </w:sdtContent>
      </w:sdt>
      <w:r w:rsidR="0013033F">
        <w:rPr>
          <w:rFonts w:ascii="Verdana" w:hAnsi="Verdana"/>
          <w:sz w:val="20"/>
          <w:szCs w:val="20"/>
        </w:rPr>
        <w:t xml:space="preserve"> T</w:t>
      </w:r>
      <w:r w:rsidR="00ED62AF">
        <w:rPr>
          <w:rFonts w:ascii="Verdana" w:hAnsi="Verdana"/>
          <w:sz w:val="20"/>
          <w:szCs w:val="20"/>
        </w:rPr>
        <w:t xml:space="preserve">he Tesla Model S </w:t>
      </w:r>
      <w:r w:rsidR="00023640">
        <w:rPr>
          <w:rFonts w:ascii="Verdana" w:hAnsi="Verdana"/>
          <w:sz w:val="20"/>
          <w:szCs w:val="20"/>
        </w:rPr>
        <w:t>has</w:t>
      </w:r>
      <w:r w:rsidR="00ED62AF">
        <w:rPr>
          <w:rFonts w:ascii="Verdana" w:hAnsi="Verdana"/>
          <w:sz w:val="20"/>
          <w:szCs w:val="20"/>
        </w:rPr>
        <w:t xml:space="preserve"> a claimed record range of 670 miles </w:t>
      </w:r>
      <w:sdt>
        <w:sdtPr>
          <w:rPr>
            <w:rFonts w:ascii="Verdana" w:hAnsi="Verdana"/>
            <w:sz w:val="20"/>
            <w:szCs w:val="20"/>
          </w:rPr>
          <w:id w:val="-1858880303"/>
          <w:citation/>
        </w:sdtPr>
        <w:sdtEndPr/>
        <w:sdtContent>
          <w:r w:rsidR="007D2EE5">
            <w:rPr>
              <w:rFonts w:ascii="Verdana" w:hAnsi="Verdana"/>
              <w:sz w:val="20"/>
              <w:szCs w:val="20"/>
            </w:rPr>
            <w:fldChar w:fldCharType="begin"/>
          </w:r>
          <w:r w:rsidR="007D2EE5">
            <w:rPr>
              <w:rFonts w:ascii="Verdana" w:hAnsi="Verdana"/>
              <w:sz w:val="20"/>
              <w:szCs w:val="20"/>
            </w:rPr>
            <w:instrText xml:space="preserve"> CITATION Jam17 \l 2057 </w:instrText>
          </w:r>
          <w:r w:rsidR="007D2EE5">
            <w:rPr>
              <w:rFonts w:ascii="Verdana" w:hAnsi="Verdana"/>
              <w:sz w:val="20"/>
              <w:szCs w:val="20"/>
            </w:rPr>
            <w:fldChar w:fldCharType="separate"/>
          </w:r>
          <w:r w:rsidR="007D2EE5" w:rsidRPr="007D2EE5">
            <w:rPr>
              <w:rFonts w:ascii="Verdana" w:hAnsi="Verdana"/>
              <w:noProof/>
              <w:sz w:val="20"/>
              <w:szCs w:val="20"/>
            </w:rPr>
            <w:t>(Gilboy, 2017)</w:t>
          </w:r>
          <w:r w:rsidR="007D2EE5">
            <w:rPr>
              <w:rFonts w:ascii="Verdana" w:hAnsi="Verdana"/>
              <w:sz w:val="20"/>
              <w:szCs w:val="20"/>
            </w:rPr>
            <w:fldChar w:fldCharType="end"/>
          </w:r>
        </w:sdtContent>
      </w:sdt>
    </w:p>
    <w:p w14:paraId="3CAF6A29" w14:textId="5C36A460" w:rsidR="002B1CDC" w:rsidRDefault="00280C9D" w:rsidP="009841C4">
      <w:pPr>
        <w:pStyle w:val="ListParagraph"/>
        <w:numPr>
          <w:ilvl w:val="0"/>
          <w:numId w:val="14"/>
        </w:numPr>
        <w:rPr>
          <w:rFonts w:ascii="Verdana" w:hAnsi="Verdana"/>
          <w:sz w:val="20"/>
          <w:szCs w:val="20"/>
        </w:rPr>
      </w:pPr>
      <w:r>
        <w:rPr>
          <w:rFonts w:ascii="Verdana" w:hAnsi="Verdana"/>
          <w:sz w:val="20"/>
          <w:szCs w:val="20"/>
        </w:rPr>
        <w:t xml:space="preserve">Hydrogen </w:t>
      </w:r>
      <w:r w:rsidR="005901B1">
        <w:rPr>
          <w:rFonts w:ascii="Verdana" w:hAnsi="Verdana"/>
          <w:sz w:val="20"/>
          <w:szCs w:val="20"/>
        </w:rPr>
        <w:t xml:space="preserve">is already produced and stored </w:t>
      </w:r>
      <w:r>
        <w:rPr>
          <w:rFonts w:ascii="Verdana" w:hAnsi="Verdana"/>
          <w:sz w:val="20"/>
          <w:szCs w:val="20"/>
        </w:rPr>
        <w:t>for many industrial uses around</w:t>
      </w:r>
      <w:r w:rsidR="00E04084">
        <w:rPr>
          <w:rFonts w:ascii="Verdana" w:hAnsi="Verdana"/>
          <w:sz w:val="20"/>
          <w:szCs w:val="20"/>
        </w:rPr>
        <w:t xml:space="preserve"> the globe,</w:t>
      </w:r>
    </w:p>
    <w:p w14:paraId="1B7A2688" w14:textId="12EAC497" w:rsidR="00E04084" w:rsidRDefault="00E04084" w:rsidP="009841C4">
      <w:pPr>
        <w:pStyle w:val="ListParagraph"/>
        <w:numPr>
          <w:ilvl w:val="0"/>
          <w:numId w:val="14"/>
        </w:numPr>
        <w:rPr>
          <w:rFonts w:ascii="Verdana" w:hAnsi="Verdana"/>
          <w:sz w:val="20"/>
          <w:szCs w:val="20"/>
        </w:rPr>
      </w:pPr>
      <w:r>
        <w:rPr>
          <w:rFonts w:ascii="Verdana" w:hAnsi="Verdana"/>
          <w:sz w:val="20"/>
          <w:szCs w:val="20"/>
        </w:rPr>
        <w:t>High energy density of 120 MJ/kg.</w:t>
      </w:r>
    </w:p>
    <w:p w14:paraId="53B89839" w14:textId="5A8A52C2" w:rsidR="0009214C" w:rsidRDefault="00BD34BA" w:rsidP="007127E5">
      <w:pPr>
        <w:rPr>
          <w:rFonts w:ascii="Verdana" w:hAnsi="Verdana"/>
          <w:sz w:val="20"/>
          <w:szCs w:val="20"/>
        </w:rPr>
      </w:pPr>
      <w:r>
        <w:rPr>
          <w:rFonts w:ascii="Verdana" w:hAnsi="Verdana"/>
          <w:sz w:val="20"/>
          <w:szCs w:val="20"/>
        </w:rPr>
        <w:t xml:space="preserve">This option however does not come without drawbacks, mainly within storage methods, made even more difficult within the space constraints of a passenger car. To effectively store hydrogen, tanks built to </w:t>
      </w:r>
      <w:r w:rsidR="00284E56">
        <w:rPr>
          <w:rFonts w:ascii="Verdana" w:hAnsi="Verdana"/>
          <w:sz w:val="20"/>
          <w:szCs w:val="20"/>
        </w:rPr>
        <w:t>service pressures between 300 -</w:t>
      </w:r>
      <w:r w:rsidR="0096702C">
        <w:rPr>
          <w:rFonts w:ascii="Verdana" w:hAnsi="Verdana"/>
          <w:sz w:val="20"/>
          <w:szCs w:val="20"/>
        </w:rPr>
        <w:t xml:space="preserve"> 700 bar are needed, requiring heavy tanks offsetting some of the benefits over lithium-ion battery driven vehicles.</w:t>
      </w:r>
      <w:r w:rsidR="004827E9">
        <w:rPr>
          <w:rFonts w:ascii="Verdana" w:hAnsi="Verdana"/>
          <w:sz w:val="20"/>
          <w:szCs w:val="20"/>
        </w:rPr>
        <w:t xml:space="preserve"> This is being overcome by the development of fibre reinforced composites to allow safe storage at these pressur</w:t>
      </w:r>
      <w:r w:rsidR="0096702C">
        <w:rPr>
          <w:rFonts w:ascii="Verdana" w:hAnsi="Verdana"/>
          <w:sz w:val="20"/>
          <w:szCs w:val="20"/>
        </w:rPr>
        <w:t>es.</w:t>
      </w:r>
      <w:r w:rsidR="004827E9">
        <w:rPr>
          <w:rFonts w:ascii="Verdana" w:hAnsi="Verdana"/>
          <w:sz w:val="20"/>
          <w:szCs w:val="20"/>
        </w:rPr>
        <w:t xml:space="preserve"> </w:t>
      </w:r>
      <w:sdt>
        <w:sdtPr>
          <w:rPr>
            <w:rFonts w:ascii="Verdana" w:hAnsi="Verdana"/>
            <w:sz w:val="20"/>
            <w:szCs w:val="20"/>
          </w:rPr>
          <w:id w:val="7958619"/>
          <w:citation/>
        </w:sdtPr>
        <w:sdtEndPr/>
        <w:sdtContent>
          <w:r w:rsidR="004827E9">
            <w:rPr>
              <w:rFonts w:ascii="Verdana" w:hAnsi="Verdana"/>
              <w:sz w:val="20"/>
              <w:szCs w:val="20"/>
            </w:rPr>
            <w:fldChar w:fldCharType="begin"/>
          </w:r>
          <w:r w:rsidR="004827E9">
            <w:rPr>
              <w:rFonts w:ascii="Verdana" w:hAnsi="Verdana"/>
              <w:sz w:val="20"/>
              <w:szCs w:val="20"/>
            </w:rPr>
            <w:instrText xml:space="preserve"> CITATION Offte \l 2057 </w:instrText>
          </w:r>
          <w:r w:rsidR="004827E9">
            <w:rPr>
              <w:rFonts w:ascii="Verdana" w:hAnsi="Verdana"/>
              <w:sz w:val="20"/>
              <w:szCs w:val="20"/>
            </w:rPr>
            <w:fldChar w:fldCharType="separate"/>
          </w:r>
          <w:r w:rsidR="004827E9" w:rsidRPr="004827E9">
            <w:rPr>
              <w:rFonts w:ascii="Verdana" w:hAnsi="Verdana"/>
              <w:noProof/>
              <w:sz w:val="20"/>
              <w:szCs w:val="20"/>
            </w:rPr>
            <w:t>(Office of Energy Efficiency and Renewable Energy, no date )</w:t>
          </w:r>
          <w:r w:rsidR="004827E9">
            <w:rPr>
              <w:rFonts w:ascii="Verdana" w:hAnsi="Verdana"/>
              <w:sz w:val="20"/>
              <w:szCs w:val="20"/>
            </w:rPr>
            <w:fldChar w:fldCharType="end"/>
          </w:r>
        </w:sdtContent>
      </w:sdt>
      <w:r w:rsidR="004827E9">
        <w:rPr>
          <w:rFonts w:ascii="Verdana" w:hAnsi="Verdana"/>
          <w:sz w:val="20"/>
          <w:szCs w:val="20"/>
        </w:rPr>
        <w:t xml:space="preserve"> </w:t>
      </w:r>
      <w:r w:rsidR="00FE585D">
        <w:rPr>
          <w:rFonts w:ascii="Verdana" w:hAnsi="Verdana"/>
          <w:sz w:val="20"/>
          <w:szCs w:val="20"/>
        </w:rPr>
        <w:t xml:space="preserve">BMW have been working with </w:t>
      </w:r>
      <w:r w:rsidR="00FE585D" w:rsidRPr="00FE585D">
        <w:rPr>
          <w:rFonts w:ascii="Verdana" w:hAnsi="Verdana"/>
          <w:color w:val="111111"/>
          <w:sz w:val="20"/>
          <w:szCs w:val="20"/>
          <w:shd w:val="clear" w:color="auto" w:fill="FFFFFF"/>
        </w:rPr>
        <w:t>Lawrence Livermore National Laboratory</w:t>
      </w:r>
      <w:r>
        <w:rPr>
          <w:rFonts w:ascii="Verdana" w:hAnsi="Verdana"/>
          <w:sz w:val="20"/>
          <w:szCs w:val="20"/>
        </w:rPr>
        <w:t xml:space="preserve"> </w:t>
      </w:r>
      <w:r w:rsidR="00FE585D">
        <w:rPr>
          <w:rFonts w:ascii="Verdana" w:hAnsi="Verdana"/>
          <w:sz w:val="20"/>
          <w:szCs w:val="20"/>
        </w:rPr>
        <w:t xml:space="preserve">to develop cold/cryo compressed storage and </w:t>
      </w:r>
      <w:r w:rsidR="00534818">
        <w:rPr>
          <w:rFonts w:ascii="Verdana" w:hAnsi="Verdana"/>
          <w:sz w:val="20"/>
          <w:szCs w:val="20"/>
        </w:rPr>
        <w:t>material-based</w:t>
      </w:r>
      <w:r w:rsidR="00FE585D">
        <w:rPr>
          <w:rFonts w:ascii="Verdana" w:hAnsi="Verdana"/>
          <w:sz w:val="20"/>
          <w:szCs w:val="20"/>
        </w:rPr>
        <w:t xml:space="preserve"> solutions that involve imbedding hydrogen atoms within a Nano tube type structure</w:t>
      </w:r>
      <w:r w:rsidR="00F219E7">
        <w:rPr>
          <w:rFonts w:ascii="Verdana" w:hAnsi="Verdana"/>
          <w:sz w:val="20"/>
          <w:szCs w:val="20"/>
        </w:rPr>
        <w:t>,</w:t>
      </w:r>
      <w:r w:rsidR="00FE585D">
        <w:rPr>
          <w:rFonts w:ascii="Verdana" w:hAnsi="Verdana"/>
          <w:sz w:val="20"/>
          <w:szCs w:val="20"/>
        </w:rPr>
        <w:t xml:space="preserve"> within a metal hydride matrix. </w:t>
      </w:r>
      <w:r w:rsidR="0053599C">
        <w:rPr>
          <w:rFonts w:ascii="Verdana" w:hAnsi="Verdana"/>
          <w:sz w:val="20"/>
          <w:szCs w:val="20"/>
        </w:rPr>
        <w:t>This dramatically improves the thermodynamic requirement to charge the metal hydride over conventional methods.</w:t>
      </w:r>
      <w:r w:rsidR="00A752FB">
        <w:rPr>
          <w:rFonts w:ascii="Verdana" w:hAnsi="Verdana"/>
          <w:sz w:val="20"/>
          <w:szCs w:val="20"/>
        </w:rPr>
        <w:t xml:space="preserve"> </w:t>
      </w:r>
      <w:r w:rsidR="003C06DD">
        <w:rPr>
          <w:rFonts w:ascii="Verdana" w:hAnsi="Verdana"/>
          <w:sz w:val="20"/>
          <w:szCs w:val="20"/>
        </w:rPr>
        <w:t xml:space="preserve">There is also a direct analogy between hydrogen storage and </w:t>
      </w:r>
      <w:r w:rsidR="00534818">
        <w:rPr>
          <w:rFonts w:ascii="Verdana" w:hAnsi="Verdana"/>
          <w:sz w:val="20"/>
          <w:szCs w:val="20"/>
        </w:rPr>
        <w:t>solid-state</w:t>
      </w:r>
      <w:r w:rsidR="003C06DD">
        <w:rPr>
          <w:rFonts w:ascii="Verdana" w:hAnsi="Verdana"/>
          <w:sz w:val="20"/>
          <w:szCs w:val="20"/>
        </w:rPr>
        <w:t xml:space="preserve"> reactions in batteries, suggesting that the development of </w:t>
      </w:r>
      <w:r w:rsidR="00D7625E">
        <w:rPr>
          <w:rFonts w:ascii="Verdana" w:hAnsi="Verdana"/>
          <w:sz w:val="20"/>
          <w:szCs w:val="20"/>
        </w:rPr>
        <w:t>new</w:t>
      </w:r>
      <w:r w:rsidR="003C06DD">
        <w:rPr>
          <w:rFonts w:ascii="Verdana" w:hAnsi="Verdana"/>
          <w:sz w:val="20"/>
          <w:szCs w:val="20"/>
        </w:rPr>
        <w:t xml:space="preserve"> battery technology for the automotive market can be applied to hydrogen storage. </w:t>
      </w:r>
      <w:sdt>
        <w:sdtPr>
          <w:rPr>
            <w:rFonts w:ascii="Verdana" w:hAnsi="Verdana"/>
            <w:sz w:val="20"/>
            <w:szCs w:val="20"/>
          </w:rPr>
          <w:id w:val="-1282802605"/>
          <w:citation/>
        </w:sdtPr>
        <w:sdtEndPr/>
        <w:sdtContent>
          <w:r w:rsidR="00A752FB">
            <w:rPr>
              <w:rFonts w:ascii="Verdana" w:hAnsi="Verdana"/>
              <w:sz w:val="20"/>
              <w:szCs w:val="20"/>
            </w:rPr>
            <w:fldChar w:fldCharType="begin"/>
          </w:r>
          <w:r w:rsidR="00A752FB">
            <w:rPr>
              <w:rFonts w:ascii="Verdana" w:hAnsi="Verdana"/>
              <w:sz w:val="20"/>
              <w:szCs w:val="20"/>
            </w:rPr>
            <w:instrText xml:space="preserve"> CITATION The17 \l 2057 </w:instrText>
          </w:r>
          <w:r w:rsidR="00A752FB">
            <w:rPr>
              <w:rFonts w:ascii="Verdana" w:hAnsi="Verdana"/>
              <w:sz w:val="20"/>
              <w:szCs w:val="20"/>
            </w:rPr>
            <w:fldChar w:fldCharType="separate"/>
          </w:r>
          <w:r w:rsidR="00A752FB" w:rsidRPr="00A752FB">
            <w:rPr>
              <w:rFonts w:ascii="Verdana" w:hAnsi="Verdana"/>
              <w:noProof/>
              <w:sz w:val="20"/>
              <w:szCs w:val="20"/>
            </w:rPr>
            <w:t xml:space="preserve">(The </w:t>
          </w:r>
          <w:r w:rsidR="00A752FB" w:rsidRPr="00A752FB">
            <w:rPr>
              <w:rFonts w:ascii="Verdana" w:hAnsi="Verdana"/>
              <w:noProof/>
              <w:sz w:val="20"/>
              <w:szCs w:val="20"/>
            </w:rPr>
            <w:lastRenderedPageBreak/>
            <w:t>Engineer, 2017)</w:t>
          </w:r>
          <w:r w:rsidR="00A752FB">
            <w:rPr>
              <w:rFonts w:ascii="Verdana" w:hAnsi="Verdana"/>
              <w:sz w:val="20"/>
              <w:szCs w:val="20"/>
            </w:rPr>
            <w:fldChar w:fldCharType="end"/>
          </w:r>
        </w:sdtContent>
      </w:sdt>
      <w:sdt>
        <w:sdtPr>
          <w:rPr>
            <w:rFonts w:ascii="Verdana" w:hAnsi="Verdana"/>
            <w:sz w:val="20"/>
            <w:szCs w:val="20"/>
          </w:rPr>
          <w:id w:val="368196020"/>
          <w:citation/>
        </w:sdtPr>
        <w:sdtEndPr/>
        <w:sdtContent>
          <w:r w:rsidR="0035575F">
            <w:rPr>
              <w:rFonts w:ascii="Verdana" w:hAnsi="Verdana"/>
              <w:sz w:val="20"/>
              <w:szCs w:val="20"/>
            </w:rPr>
            <w:fldChar w:fldCharType="begin"/>
          </w:r>
          <w:r w:rsidR="0035575F">
            <w:rPr>
              <w:rFonts w:ascii="Verdana" w:hAnsi="Verdana"/>
              <w:sz w:val="20"/>
              <w:szCs w:val="20"/>
            </w:rPr>
            <w:instrText xml:space="preserve"> CITATION Nat17 \l 2057 </w:instrText>
          </w:r>
          <w:r w:rsidR="0035575F">
            <w:rPr>
              <w:rFonts w:ascii="Verdana" w:hAnsi="Verdana"/>
              <w:sz w:val="20"/>
              <w:szCs w:val="20"/>
            </w:rPr>
            <w:fldChar w:fldCharType="separate"/>
          </w:r>
          <w:r w:rsidR="0035575F">
            <w:rPr>
              <w:rFonts w:ascii="Verdana" w:hAnsi="Verdana"/>
              <w:noProof/>
              <w:sz w:val="20"/>
              <w:szCs w:val="20"/>
            </w:rPr>
            <w:t xml:space="preserve"> </w:t>
          </w:r>
          <w:r w:rsidR="0035575F" w:rsidRPr="0035575F">
            <w:rPr>
              <w:rFonts w:ascii="Verdana" w:hAnsi="Verdana"/>
              <w:noProof/>
              <w:sz w:val="20"/>
              <w:szCs w:val="20"/>
            </w:rPr>
            <w:t>(Nature Communications, 2017)</w:t>
          </w:r>
          <w:r w:rsidR="0035575F">
            <w:rPr>
              <w:rFonts w:ascii="Verdana" w:hAnsi="Verdana"/>
              <w:sz w:val="20"/>
              <w:szCs w:val="20"/>
            </w:rPr>
            <w:fldChar w:fldCharType="end"/>
          </w:r>
        </w:sdtContent>
      </w:sdt>
      <w:r w:rsidR="0053599C">
        <w:rPr>
          <w:rFonts w:ascii="Verdana" w:hAnsi="Verdana"/>
          <w:sz w:val="20"/>
          <w:szCs w:val="20"/>
        </w:rPr>
        <w:t xml:space="preserve"> </w:t>
      </w:r>
      <w:r w:rsidR="00CD3CCA">
        <w:rPr>
          <w:rFonts w:ascii="Verdana" w:hAnsi="Verdana"/>
          <w:sz w:val="20"/>
          <w:szCs w:val="20"/>
        </w:rPr>
        <w:t xml:space="preserve">Metal hydride still has a weight penalty over compressed hydrogen, where for example a </w:t>
      </w:r>
      <w:r w:rsidR="00534818">
        <w:rPr>
          <w:rFonts w:ascii="Verdana" w:hAnsi="Verdana"/>
          <w:sz w:val="20"/>
          <w:szCs w:val="20"/>
        </w:rPr>
        <w:t>100-litre</w:t>
      </w:r>
      <w:r w:rsidR="00CD3CCA">
        <w:rPr>
          <w:rFonts w:ascii="Verdana" w:hAnsi="Verdana"/>
          <w:sz w:val="20"/>
          <w:szCs w:val="20"/>
        </w:rPr>
        <w:t xml:space="preserve"> tank of titanium-iron hydride carries 1.2 to 1.5 times as much energy as a </w:t>
      </w:r>
      <w:r w:rsidR="00F219E7">
        <w:rPr>
          <w:rFonts w:ascii="Verdana" w:hAnsi="Verdana"/>
          <w:sz w:val="20"/>
          <w:szCs w:val="20"/>
        </w:rPr>
        <w:t>100-litre</w:t>
      </w:r>
      <w:r w:rsidR="00CD3CCA">
        <w:rPr>
          <w:rFonts w:ascii="Verdana" w:hAnsi="Verdana"/>
          <w:sz w:val="20"/>
          <w:szCs w:val="20"/>
        </w:rPr>
        <w:t xml:space="preserve"> tank of liquid </w:t>
      </w:r>
      <w:r w:rsidR="00F219E7">
        <w:rPr>
          <w:rFonts w:ascii="Verdana" w:hAnsi="Verdana"/>
          <w:sz w:val="20"/>
          <w:szCs w:val="20"/>
        </w:rPr>
        <w:t>hydrogen but</w:t>
      </w:r>
      <w:r w:rsidR="00CD3CCA">
        <w:rPr>
          <w:rFonts w:ascii="Verdana" w:hAnsi="Verdana"/>
          <w:sz w:val="20"/>
          <w:szCs w:val="20"/>
        </w:rPr>
        <w:t xml:space="preserve"> weighs up to 25 times as much. </w:t>
      </w:r>
      <w:sdt>
        <w:sdtPr>
          <w:rPr>
            <w:rFonts w:ascii="Verdana" w:hAnsi="Verdana"/>
            <w:sz w:val="20"/>
            <w:szCs w:val="20"/>
          </w:rPr>
          <w:id w:val="-1585371039"/>
          <w:citation/>
        </w:sdtPr>
        <w:sdtEndPr/>
        <w:sdtContent>
          <w:r w:rsidR="00A752FB">
            <w:rPr>
              <w:rFonts w:ascii="Verdana" w:hAnsi="Verdana"/>
              <w:sz w:val="20"/>
              <w:szCs w:val="20"/>
            </w:rPr>
            <w:fldChar w:fldCharType="begin"/>
          </w:r>
          <w:r w:rsidR="00A752FB">
            <w:rPr>
              <w:rFonts w:ascii="Verdana" w:hAnsi="Verdana"/>
              <w:sz w:val="20"/>
              <w:szCs w:val="20"/>
            </w:rPr>
            <w:instrText xml:space="preserve"> CITATION Pet12 \l 2057 </w:instrText>
          </w:r>
          <w:r w:rsidR="00A752FB">
            <w:rPr>
              <w:rFonts w:ascii="Verdana" w:hAnsi="Verdana"/>
              <w:sz w:val="20"/>
              <w:szCs w:val="20"/>
            </w:rPr>
            <w:fldChar w:fldCharType="separate"/>
          </w:r>
          <w:r w:rsidR="00A752FB" w:rsidRPr="00A752FB">
            <w:rPr>
              <w:rFonts w:ascii="Verdana" w:hAnsi="Verdana"/>
              <w:noProof/>
              <w:sz w:val="20"/>
              <w:szCs w:val="20"/>
            </w:rPr>
            <w:t>(Hoffmann, 2012)</w:t>
          </w:r>
          <w:r w:rsidR="00A752FB">
            <w:rPr>
              <w:rFonts w:ascii="Verdana" w:hAnsi="Verdana"/>
              <w:sz w:val="20"/>
              <w:szCs w:val="20"/>
            </w:rPr>
            <w:fldChar w:fldCharType="end"/>
          </w:r>
        </w:sdtContent>
      </w:sdt>
      <w:r w:rsidR="003C06DD">
        <w:rPr>
          <w:rFonts w:ascii="Verdana" w:hAnsi="Verdana"/>
          <w:sz w:val="20"/>
          <w:szCs w:val="20"/>
        </w:rPr>
        <w:t xml:space="preserve"> </w:t>
      </w:r>
      <w:r w:rsidR="00C5429D">
        <w:rPr>
          <w:rFonts w:ascii="Verdana" w:hAnsi="Verdana"/>
          <w:sz w:val="20"/>
          <w:szCs w:val="20"/>
        </w:rPr>
        <w:t>D</w:t>
      </w:r>
      <w:r w:rsidR="003C1D7D">
        <w:rPr>
          <w:rFonts w:ascii="Verdana" w:hAnsi="Verdana"/>
          <w:sz w:val="20"/>
          <w:szCs w:val="20"/>
        </w:rPr>
        <w:t xml:space="preserve">evelopment in hydrogen storage </w:t>
      </w:r>
      <w:r w:rsidR="00844B4C">
        <w:rPr>
          <w:rFonts w:ascii="Verdana" w:hAnsi="Verdana"/>
          <w:sz w:val="20"/>
          <w:szCs w:val="20"/>
        </w:rPr>
        <w:t xml:space="preserve">requires further development but is </w:t>
      </w:r>
      <w:r w:rsidR="003C1D7D">
        <w:rPr>
          <w:rFonts w:ascii="Verdana" w:hAnsi="Verdana"/>
          <w:sz w:val="20"/>
          <w:szCs w:val="20"/>
        </w:rPr>
        <w:t xml:space="preserve">being </w:t>
      </w:r>
      <w:r w:rsidR="00492D4A">
        <w:rPr>
          <w:rFonts w:ascii="Verdana" w:hAnsi="Verdana"/>
          <w:sz w:val="20"/>
          <w:szCs w:val="20"/>
        </w:rPr>
        <w:t xml:space="preserve">perused by many automotive companies including BMW </w:t>
      </w:r>
      <w:r w:rsidR="00C5429D">
        <w:rPr>
          <w:rFonts w:ascii="Verdana" w:hAnsi="Verdana"/>
          <w:sz w:val="20"/>
          <w:szCs w:val="20"/>
        </w:rPr>
        <w:t xml:space="preserve">and Toyota </w:t>
      </w:r>
      <w:r w:rsidR="00492D4A">
        <w:rPr>
          <w:rFonts w:ascii="Verdana" w:hAnsi="Verdana"/>
          <w:sz w:val="20"/>
          <w:szCs w:val="20"/>
        </w:rPr>
        <w:t xml:space="preserve">who have are focused on cold cryo </w:t>
      </w:r>
      <w:r w:rsidR="005D621E">
        <w:rPr>
          <w:rFonts w:ascii="Verdana" w:hAnsi="Verdana"/>
          <w:sz w:val="20"/>
          <w:szCs w:val="20"/>
        </w:rPr>
        <w:t>storage and</w:t>
      </w:r>
      <w:r w:rsidR="009E08C0">
        <w:rPr>
          <w:rFonts w:ascii="Verdana" w:hAnsi="Verdana"/>
          <w:sz w:val="20"/>
          <w:szCs w:val="20"/>
        </w:rPr>
        <w:t xml:space="preserve"> agreed </w:t>
      </w:r>
      <w:r w:rsidR="00264A59">
        <w:rPr>
          <w:rFonts w:ascii="Verdana" w:hAnsi="Verdana"/>
          <w:sz w:val="20"/>
          <w:szCs w:val="20"/>
        </w:rPr>
        <w:t>to share their hydrogen fuel cell technology</w:t>
      </w:r>
      <w:r w:rsidR="0010426C">
        <w:rPr>
          <w:rFonts w:ascii="Verdana" w:hAnsi="Verdana"/>
          <w:sz w:val="20"/>
          <w:szCs w:val="20"/>
        </w:rPr>
        <w:t>,</w:t>
      </w:r>
      <w:r w:rsidR="00F8625F">
        <w:rPr>
          <w:rFonts w:ascii="Verdana" w:hAnsi="Verdana"/>
          <w:sz w:val="20"/>
          <w:szCs w:val="20"/>
        </w:rPr>
        <w:t xml:space="preserve"> in a partnership made in 2013 </w:t>
      </w:r>
      <w:sdt>
        <w:sdtPr>
          <w:rPr>
            <w:rFonts w:ascii="Verdana" w:hAnsi="Verdana"/>
            <w:sz w:val="20"/>
            <w:szCs w:val="20"/>
          </w:rPr>
          <w:id w:val="-1068951553"/>
          <w:citation/>
        </w:sdtPr>
        <w:sdtEndPr/>
        <w:sdtContent>
          <w:r w:rsidR="00264A59">
            <w:rPr>
              <w:rFonts w:ascii="Verdana" w:hAnsi="Verdana"/>
              <w:sz w:val="20"/>
              <w:szCs w:val="20"/>
            </w:rPr>
            <w:fldChar w:fldCharType="begin"/>
          </w:r>
          <w:r w:rsidR="00264A59">
            <w:rPr>
              <w:rFonts w:ascii="Verdana" w:hAnsi="Verdana"/>
              <w:sz w:val="20"/>
              <w:szCs w:val="20"/>
            </w:rPr>
            <w:instrText xml:space="preserve"> CITATION Boe13 \l 2057 </w:instrText>
          </w:r>
          <w:r w:rsidR="00264A59">
            <w:rPr>
              <w:rFonts w:ascii="Verdana" w:hAnsi="Verdana"/>
              <w:sz w:val="20"/>
              <w:szCs w:val="20"/>
            </w:rPr>
            <w:fldChar w:fldCharType="separate"/>
          </w:r>
          <w:r w:rsidR="00264A59" w:rsidRPr="00264A59">
            <w:rPr>
              <w:rFonts w:ascii="Verdana" w:hAnsi="Verdana"/>
              <w:noProof/>
              <w:sz w:val="20"/>
              <w:szCs w:val="20"/>
            </w:rPr>
            <w:t>(Boeriu, 2013)</w:t>
          </w:r>
          <w:r w:rsidR="00264A59">
            <w:rPr>
              <w:rFonts w:ascii="Verdana" w:hAnsi="Verdana"/>
              <w:sz w:val="20"/>
              <w:szCs w:val="20"/>
            </w:rPr>
            <w:fldChar w:fldCharType="end"/>
          </w:r>
        </w:sdtContent>
      </w:sdt>
      <w:r w:rsidR="00492D4A">
        <w:rPr>
          <w:rFonts w:ascii="Verdana" w:hAnsi="Verdana"/>
          <w:sz w:val="20"/>
          <w:szCs w:val="20"/>
        </w:rPr>
        <w:t xml:space="preserve"> </w:t>
      </w:r>
      <w:r w:rsidR="00574FCC">
        <w:rPr>
          <w:rFonts w:ascii="Verdana" w:hAnsi="Verdana"/>
          <w:sz w:val="20"/>
          <w:szCs w:val="20"/>
        </w:rPr>
        <w:t xml:space="preserve"> </w:t>
      </w:r>
      <w:r w:rsidR="003C1D7D">
        <w:rPr>
          <w:rFonts w:ascii="Verdana" w:hAnsi="Verdana"/>
          <w:sz w:val="20"/>
          <w:szCs w:val="20"/>
        </w:rPr>
        <w:t xml:space="preserve"> </w:t>
      </w:r>
    </w:p>
    <w:p w14:paraId="4707FBDA" w14:textId="1842ABDF" w:rsidR="009704EF" w:rsidRPr="00764232" w:rsidRDefault="00424110" w:rsidP="007127E5">
      <w:pPr>
        <w:rPr>
          <w:rFonts w:ascii="Verdana" w:hAnsi="Verdana"/>
          <w:sz w:val="20"/>
          <w:szCs w:val="20"/>
        </w:rPr>
      </w:pPr>
      <w:r>
        <w:rPr>
          <w:rFonts w:ascii="Verdana" w:hAnsi="Verdana"/>
          <w:sz w:val="20"/>
          <w:szCs w:val="20"/>
        </w:rPr>
        <w:t>The strongest argument</w:t>
      </w:r>
      <w:r w:rsidR="008D1DA5">
        <w:rPr>
          <w:rFonts w:ascii="Verdana" w:hAnsi="Verdana"/>
          <w:sz w:val="20"/>
          <w:szCs w:val="20"/>
        </w:rPr>
        <w:t xml:space="preserve"> against,</w:t>
      </w:r>
      <w:r>
        <w:rPr>
          <w:rFonts w:ascii="Verdana" w:hAnsi="Verdana"/>
          <w:sz w:val="20"/>
          <w:szCs w:val="20"/>
        </w:rPr>
        <w:t xml:space="preserve"> and still to this day the main inhibitor of public adoption of F</w:t>
      </w:r>
      <w:r w:rsidR="008D1DA5">
        <w:rPr>
          <w:rFonts w:ascii="Verdana" w:hAnsi="Verdana"/>
          <w:sz w:val="20"/>
          <w:szCs w:val="20"/>
        </w:rPr>
        <w:t>CE</w:t>
      </w:r>
      <w:r>
        <w:rPr>
          <w:rFonts w:ascii="Verdana" w:hAnsi="Verdana"/>
          <w:sz w:val="20"/>
          <w:szCs w:val="20"/>
        </w:rPr>
        <w:t xml:space="preserve">V </w:t>
      </w:r>
      <w:r w:rsidR="008D1DA5">
        <w:rPr>
          <w:rFonts w:ascii="Verdana" w:hAnsi="Verdana"/>
          <w:sz w:val="20"/>
          <w:szCs w:val="20"/>
        </w:rPr>
        <w:t>is the lack of infrastructure. Against plug</w:t>
      </w:r>
      <w:r w:rsidR="00D9683F">
        <w:rPr>
          <w:rFonts w:ascii="Verdana" w:hAnsi="Verdana"/>
          <w:sz w:val="20"/>
          <w:szCs w:val="20"/>
        </w:rPr>
        <w:t>-</w:t>
      </w:r>
      <w:r w:rsidR="008D1DA5">
        <w:rPr>
          <w:rFonts w:ascii="Verdana" w:hAnsi="Verdana"/>
          <w:sz w:val="20"/>
          <w:szCs w:val="20"/>
        </w:rPr>
        <w:t xml:space="preserve">in hybrid and pure electric that can use the current power grid to recharge cars at a designated charging station or at home, it seems </w:t>
      </w:r>
      <w:r w:rsidR="00D9683F">
        <w:rPr>
          <w:rFonts w:ascii="Verdana" w:hAnsi="Verdana"/>
          <w:sz w:val="20"/>
          <w:szCs w:val="20"/>
        </w:rPr>
        <w:t xml:space="preserve">the hydrogen option is far behind. Germany and Japan </w:t>
      </w:r>
      <w:r w:rsidR="00561FCB">
        <w:rPr>
          <w:rFonts w:ascii="Verdana" w:hAnsi="Verdana"/>
          <w:sz w:val="20"/>
          <w:szCs w:val="20"/>
        </w:rPr>
        <w:t xml:space="preserve">are </w:t>
      </w:r>
      <w:r w:rsidR="0036308C">
        <w:rPr>
          <w:rFonts w:ascii="Verdana" w:hAnsi="Verdana"/>
          <w:sz w:val="20"/>
          <w:szCs w:val="20"/>
        </w:rPr>
        <w:t>making the most meaningful advancements in infrastructure with the H</w:t>
      </w:r>
      <w:r w:rsidR="0036308C">
        <w:rPr>
          <w:rFonts w:ascii="Verdana" w:hAnsi="Verdana"/>
          <w:sz w:val="20"/>
          <w:szCs w:val="20"/>
          <w:vertAlign w:val="subscript"/>
        </w:rPr>
        <w:t>2</w:t>
      </w:r>
      <w:r w:rsidR="0036308C">
        <w:rPr>
          <w:rFonts w:ascii="Verdana" w:hAnsi="Verdana"/>
          <w:sz w:val="20"/>
          <w:szCs w:val="20"/>
        </w:rPr>
        <w:t xml:space="preserve"> initiative in Europe with 60 fuel stations currently active in Europe, 38 of which in Germany, with a further 35 in construction across the continent. </w:t>
      </w:r>
      <w:sdt>
        <w:sdtPr>
          <w:rPr>
            <w:rFonts w:ascii="Verdana" w:hAnsi="Verdana"/>
            <w:sz w:val="20"/>
            <w:szCs w:val="20"/>
          </w:rPr>
          <w:id w:val="111014521"/>
          <w:citation/>
        </w:sdtPr>
        <w:sdtEndPr/>
        <w:sdtContent>
          <w:r w:rsidR="003945B6">
            <w:rPr>
              <w:rFonts w:ascii="Verdana" w:hAnsi="Verdana"/>
              <w:sz w:val="20"/>
              <w:szCs w:val="20"/>
            </w:rPr>
            <w:fldChar w:fldCharType="begin"/>
          </w:r>
          <w:r w:rsidR="003945B6">
            <w:rPr>
              <w:rFonts w:ascii="Verdana" w:hAnsi="Verdana"/>
              <w:sz w:val="20"/>
              <w:szCs w:val="20"/>
            </w:rPr>
            <w:instrText xml:space="preserve"> CITATION H2M18 \l 2057 </w:instrText>
          </w:r>
          <w:r w:rsidR="003945B6">
            <w:rPr>
              <w:rFonts w:ascii="Verdana" w:hAnsi="Verdana"/>
              <w:sz w:val="20"/>
              <w:szCs w:val="20"/>
            </w:rPr>
            <w:fldChar w:fldCharType="separate"/>
          </w:r>
          <w:r w:rsidR="003945B6" w:rsidRPr="003945B6">
            <w:rPr>
              <w:rFonts w:ascii="Verdana" w:hAnsi="Verdana"/>
              <w:noProof/>
              <w:sz w:val="20"/>
              <w:szCs w:val="20"/>
            </w:rPr>
            <w:t>(H2 Mobility , 2018)</w:t>
          </w:r>
          <w:r w:rsidR="003945B6">
            <w:rPr>
              <w:rFonts w:ascii="Verdana" w:hAnsi="Verdana"/>
              <w:sz w:val="20"/>
              <w:szCs w:val="20"/>
            </w:rPr>
            <w:fldChar w:fldCharType="end"/>
          </w:r>
        </w:sdtContent>
      </w:sdt>
      <w:r w:rsidR="004C612B">
        <w:rPr>
          <w:rFonts w:ascii="Verdana" w:hAnsi="Verdana"/>
          <w:sz w:val="20"/>
          <w:szCs w:val="20"/>
        </w:rPr>
        <w:t xml:space="preserve"> </w:t>
      </w:r>
      <w:r w:rsidR="00994ACA">
        <w:rPr>
          <w:rFonts w:ascii="Verdana" w:hAnsi="Verdana"/>
          <w:sz w:val="20"/>
          <w:szCs w:val="20"/>
        </w:rPr>
        <w:t xml:space="preserve">Japan have aimed to have </w:t>
      </w:r>
      <w:r w:rsidR="00ED10B0">
        <w:rPr>
          <w:rFonts w:ascii="Verdana" w:hAnsi="Verdana"/>
          <w:sz w:val="20"/>
          <w:szCs w:val="20"/>
        </w:rPr>
        <w:t>200,000 FCEV’s, and 320 refuelling stations by 2025.</w:t>
      </w:r>
      <w:r w:rsidR="002B6B73">
        <w:rPr>
          <w:rFonts w:ascii="Verdana" w:hAnsi="Verdana"/>
          <w:sz w:val="20"/>
          <w:szCs w:val="20"/>
        </w:rPr>
        <w:t xml:space="preserve"> </w:t>
      </w:r>
      <w:sdt>
        <w:sdtPr>
          <w:rPr>
            <w:rFonts w:ascii="Verdana" w:hAnsi="Verdana"/>
            <w:sz w:val="20"/>
            <w:szCs w:val="20"/>
          </w:rPr>
          <w:id w:val="1137771167"/>
          <w:citation/>
        </w:sdtPr>
        <w:sdtContent>
          <w:r w:rsidR="002B6B73">
            <w:rPr>
              <w:rFonts w:ascii="Verdana" w:hAnsi="Verdana"/>
              <w:sz w:val="20"/>
              <w:szCs w:val="20"/>
            </w:rPr>
            <w:fldChar w:fldCharType="begin"/>
          </w:r>
          <w:r w:rsidR="002B6B73">
            <w:rPr>
              <w:rFonts w:ascii="Verdana" w:hAnsi="Verdana"/>
              <w:sz w:val="20"/>
              <w:szCs w:val="20"/>
            </w:rPr>
            <w:instrText xml:space="preserve"> CITATION Min16 \l 2057 </w:instrText>
          </w:r>
          <w:r w:rsidR="002B6B73">
            <w:rPr>
              <w:rFonts w:ascii="Verdana" w:hAnsi="Verdana"/>
              <w:sz w:val="20"/>
              <w:szCs w:val="20"/>
            </w:rPr>
            <w:fldChar w:fldCharType="separate"/>
          </w:r>
          <w:r w:rsidR="002B6B73" w:rsidRPr="00CB38BB">
            <w:rPr>
              <w:rFonts w:ascii="Verdana" w:hAnsi="Verdana"/>
              <w:noProof/>
              <w:sz w:val="20"/>
              <w:szCs w:val="20"/>
            </w:rPr>
            <w:t>(Ministry of Economy, Trade and Industry, 2016)</w:t>
          </w:r>
          <w:r w:rsidR="002B6B73">
            <w:rPr>
              <w:rFonts w:ascii="Verdana" w:hAnsi="Verdana"/>
              <w:sz w:val="20"/>
              <w:szCs w:val="20"/>
            </w:rPr>
            <w:fldChar w:fldCharType="end"/>
          </w:r>
        </w:sdtContent>
      </w:sdt>
      <w:r w:rsidR="00764232">
        <w:rPr>
          <w:rFonts w:ascii="Verdana" w:hAnsi="Verdana"/>
          <w:sz w:val="20"/>
          <w:szCs w:val="20"/>
        </w:rPr>
        <w:t xml:space="preserve"> </w:t>
      </w:r>
      <w:r w:rsidR="00764232">
        <w:rPr>
          <w:rFonts w:ascii="Verdana" w:hAnsi="Verdana"/>
          <w:sz w:val="20"/>
          <w:szCs w:val="20"/>
        </w:rPr>
        <w:t>H</w:t>
      </w:r>
      <w:r w:rsidR="00764232">
        <w:rPr>
          <w:rFonts w:ascii="Verdana" w:hAnsi="Verdana"/>
          <w:sz w:val="20"/>
          <w:szCs w:val="20"/>
          <w:vertAlign w:val="subscript"/>
        </w:rPr>
        <w:t>2</w:t>
      </w:r>
      <w:r w:rsidR="00764232">
        <w:rPr>
          <w:rFonts w:ascii="Verdana" w:hAnsi="Verdana"/>
          <w:sz w:val="20"/>
          <w:szCs w:val="20"/>
        </w:rPr>
        <w:t xml:space="preserve"> refuelling stations can either be restocked </w:t>
      </w:r>
      <w:r w:rsidR="006A0288">
        <w:rPr>
          <w:rFonts w:ascii="Verdana" w:hAnsi="Verdana"/>
          <w:sz w:val="20"/>
          <w:szCs w:val="20"/>
        </w:rPr>
        <w:t xml:space="preserve">from hydrogen produced </w:t>
      </w:r>
      <w:r w:rsidR="00183072">
        <w:rPr>
          <w:rFonts w:ascii="Verdana" w:hAnsi="Verdana"/>
          <w:sz w:val="20"/>
          <w:szCs w:val="20"/>
        </w:rPr>
        <w:t>elsewhere or</w:t>
      </w:r>
      <w:r w:rsidR="00764232">
        <w:rPr>
          <w:rFonts w:ascii="Verdana" w:hAnsi="Verdana"/>
          <w:sz w:val="20"/>
          <w:szCs w:val="20"/>
        </w:rPr>
        <w:t xml:space="preserve"> produce hydrogen on site using a reformer. </w:t>
      </w:r>
      <w:r w:rsidR="002B6B73">
        <w:rPr>
          <w:rFonts w:ascii="Verdana" w:hAnsi="Verdana"/>
          <w:sz w:val="20"/>
          <w:szCs w:val="20"/>
        </w:rPr>
        <w:t>Prototypes of onboard reformers have been produced but considered as far too complex for production.</w:t>
      </w:r>
      <w:r w:rsidR="00ED10B0">
        <w:rPr>
          <w:rFonts w:ascii="Verdana" w:hAnsi="Verdana"/>
          <w:sz w:val="20"/>
          <w:szCs w:val="20"/>
        </w:rPr>
        <w:t xml:space="preserve"> </w:t>
      </w:r>
      <w:r w:rsidR="007925E3">
        <w:rPr>
          <w:rFonts w:ascii="Verdana" w:hAnsi="Verdana"/>
          <w:sz w:val="20"/>
          <w:szCs w:val="20"/>
        </w:rPr>
        <w:t xml:space="preserve">The consensus amongst the automotive sector is that if a serious approach is taken by industry and governments, the products open to the public will follow, with the former vice president of R&amp;D from GM </w:t>
      </w:r>
      <w:r w:rsidR="00D076A2">
        <w:rPr>
          <w:rFonts w:ascii="Verdana" w:hAnsi="Verdana"/>
          <w:sz w:val="20"/>
          <w:szCs w:val="20"/>
        </w:rPr>
        <w:t>making a statement at the National Hydrogen Association conference saying</w:t>
      </w:r>
      <w:r w:rsidR="00AA0029">
        <w:rPr>
          <w:rFonts w:ascii="Verdana" w:hAnsi="Verdana"/>
          <w:sz w:val="20"/>
          <w:szCs w:val="20"/>
        </w:rPr>
        <w:t>,</w:t>
      </w:r>
      <w:r w:rsidR="00D076A2">
        <w:rPr>
          <w:rFonts w:ascii="Verdana" w:hAnsi="Verdana"/>
          <w:sz w:val="20"/>
          <w:szCs w:val="20"/>
        </w:rPr>
        <w:t xml:space="preserve"> </w:t>
      </w:r>
      <w:r w:rsidR="00902D58">
        <w:rPr>
          <w:rFonts w:ascii="Verdana" w:hAnsi="Verdana"/>
          <w:sz w:val="20"/>
          <w:szCs w:val="20"/>
        </w:rPr>
        <w:t>“</w:t>
      </w:r>
      <w:r w:rsidR="00D076A2">
        <w:rPr>
          <w:rFonts w:ascii="Verdana" w:hAnsi="Verdana"/>
          <w:sz w:val="20"/>
          <w:szCs w:val="20"/>
        </w:rPr>
        <w:t xml:space="preserve">GM remains committed to continuing this journey as long as we see clear evidence </w:t>
      </w:r>
      <w:r w:rsidR="00902D58">
        <w:rPr>
          <w:rFonts w:ascii="Verdana" w:hAnsi="Verdana"/>
          <w:sz w:val="20"/>
          <w:szCs w:val="20"/>
        </w:rPr>
        <w:t xml:space="preserve">that the energy industry and governments </w:t>
      </w:r>
      <w:r w:rsidR="00AA0029">
        <w:rPr>
          <w:rFonts w:ascii="Verdana" w:hAnsi="Verdana"/>
          <w:sz w:val="20"/>
          <w:szCs w:val="20"/>
        </w:rPr>
        <w:t>are</w:t>
      </w:r>
      <w:r w:rsidR="00902D58">
        <w:rPr>
          <w:rFonts w:ascii="Verdana" w:hAnsi="Verdana"/>
          <w:sz w:val="20"/>
          <w:szCs w:val="20"/>
        </w:rPr>
        <w:t xml:space="preserve"> committed to developing a hydrogen infrastructure.”</w:t>
      </w:r>
      <w:r w:rsidR="00982C0B">
        <w:rPr>
          <w:rFonts w:ascii="Verdana" w:hAnsi="Verdana"/>
          <w:sz w:val="20"/>
          <w:szCs w:val="20"/>
        </w:rPr>
        <w:t xml:space="preserve"> </w:t>
      </w:r>
      <w:sdt>
        <w:sdtPr>
          <w:rPr>
            <w:rFonts w:ascii="Verdana" w:hAnsi="Verdana"/>
            <w:sz w:val="20"/>
            <w:szCs w:val="20"/>
          </w:rPr>
          <w:id w:val="-1149040538"/>
          <w:citation/>
        </w:sdtPr>
        <w:sdtEndPr/>
        <w:sdtContent>
          <w:r w:rsidR="00870382">
            <w:rPr>
              <w:rFonts w:ascii="Verdana" w:hAnsi="Verdana"/>
              <w:sz w:val="20"/>
              <w:szCs w:val="20"/>
            </w:rPr>
            <w:fldChar w:fldCharType="begin"/>
          </w:r>
          <w:r w:rsidR="00870382">
            <w:rPr>
              <w:rFonts w:ascii="Verdana" w:hAnsi="Verdana"/>
              <w:sz w:val="20"/>
              <w:szCs w:val="20"/>
            </w:rPr>
            <w:instrText xml:space="preserve"> CITATION Pet12 \l 2057 </w:instrText>
          </w:r>
          <w:r w:rsidR="00870382">
            <w:rPr>
              <w:rFonts w:ascii="Verdana" w:hAnsi="Verdana"/>
              <w:sz w:val="20"/>
              <w:szCs w:val="20"/>
            </w:rPr>
            <w:fldChar w:fldCharType="separate"/>
          </w:r>
          <w:r w:rsidR="00870382" w:rsidRPr="00870382">
            <w:rPr>
              <w:rFonts w:ascii="Verdana" w:hAnsi="Verdana"/>
              <w:noProof/>
              <w:sz w:val="20"/>
              <w:szCs w:val="20"/>
            </w:rPr>
            <w:t>(Hoffmann, 2012)</w:t>
          </w:r>
          <w:r w:rsidR="00870382">
            <w:rPr>
              <w:rFonts w:ascii="Verdana" w:hAnsi="Verdana"/>
              <w:sz w:val="20"/>
              <w:szCs w:val="20"/>
            </w:rPr>
            <w:fldChar w:fldCharType="end"/>
          </w:r>
        </w:sdtContent>
      </w:sdt>
    </w:p>
    <w:p w14:paraId="4CAB500A" w14:textId="1FBF388B" w:rsidR="001015AF" w:rsidRDefault="000D6B14" w:rsidP="007127E5">
      <w:pPr>
        <w:rPr>
          <w:rFonts w:ascii="Verdana" w:hAnsi="Verdana" w:cstheme="minorHAnsi"/>
          <w:sz w:val="20"/>
          <w:szCs w:val="20"/>
        </w:rPr>
      </w:pPr>
      <w:r w:rsidRPr="003E61B3">
        <w:rPr>
          <w:rFonts w:ascii="Verdana" w:hAnsi="Verdana" w:cstheme="minorHAnsi"/>
          <w:sz w:val="20"/>
          <w:szCs w:val="20"/>
        </w:rPr>
        <w:t xml:space="preserve">From </w:t>
      </w:r>
      <w:r w:rsidR="00D9683F" w:rsidRPr="003E61B3">
        <w:rPr>
          <w:rFonts w:ascii="Verdana" w:hAnsi="Verdana" w:cstheme="minorHAnsi"/>
          <w:sz w:val="20"/>
          <w:szCs w:val="20"/>
        </w:rPr>
        <w:t>an engineering perspective F</w:t>
      </w:r>
      <w:r w:rsidR="00D9683F">
        <w:rPr>
          <w:rFonts w:ascii="Verdana" w:hAnsi="Verdana" w:cstheme="minorHAnsi"/>
          <w:sz w:val="20"/>
          <w:szCs w:val="20"/>
        </w:rPr>
        <w:t>CE</w:t>
      </w:r>
      <w:r w:rsidR="00D9683F" w:rsidRPr="003E61B3">
        <w:rPr>
          <w:rFonts w:ascii="Verdana" w:hAnsi="Verdana" w:cstheme="minorHAnsi"/>
          <w:sz w:val="20"/>
          <w:szCs w:val="20"/>
        </w:rPr>
        <w:t>V vehicle</w:t>
      </w:r>
      <w:r w:rsidRPr="003E61B3">
        <w:rPr>
          <w:rFonts w:ascii="Verdana" w:hAnsi="Verdana" w:cstheme="minorHAnsi"/>
          <w:sz w:val="20"/>
          <w:szCs w:val="20"/>
        </w:rPr>
        <w:t xml:space="preserve"> are more complex and expensive over alternatives </w:t>
      </w:r>
      <w:r w:rsidR="00CD6D30" w:rsidRPr="003E61B3">
        <w:rPr>
          <w:rFonts w:ascii="Verdana" w:hAnsi="Verdana" w:cstheme="minorHAnsi"/>
          <w:sz w:val="20"/>
          <w:szCs w:val="20"/>
        </w:rPr>
        <w:t>of</w:t>
      </w:r>
      <w:r w:rsidRPr="003E61B3">
        <w:rPr>
          <w:rFonts w:ascii="Verdana" w:hAnsi="Verdana" w:cstheme="minorHAnsi"/>
          <w:sz w:val="20"/>
          <w:szCs w:val="20"/>
        </w:rPr>
        <w:t xml:space="preserve"> a hybrid, a plug-in hybrid,</w:t>
      </w:r>
      <w:r w:rsidR="00CD6D30" w:rsidRPr="003E61B3">
        <w:rPr>
          <w:rFonts w:ascii="Verdana" w:hAnsi="Verdana" w:cstheme="minorHAnsi"/>
          <w:sz w:val="20"/>
          <w:szCs w:val="20"/>
        </w:rPr>
        <w:t xml:space="preserve"> or</w:t>
      </w:r>
      <w:r w:rsidRPr="003E61B3">
        <w:rPr>
          <w:rFonts w:ascii="Verdana" w:hAnsi="Verdana" w:cstheme="minorHAnsi"/>
          <w:sz w:val="20"/>
          <w:szCs w:val="20"/>
        </w:rPr>
        <w:t xml:space="preserve"> a pure-electric</w:t>
      </w:r>
      <w:r w:rsidR="00ED71AE">
        <w:rPr>
          <w:rFonts w:ascii="Verdana" w:hAnsi="Verdana" w:cstheme="minorHAnsi"/>
          <w:sz w:val="20"/>
          <w:szCs w:val="20"/>
        </w:rPr>
        <w:t>. But as the adoption of the F</w:t>
      </w:r>
      <w:r w:rsidR="008D1DA5">
        <w:rPr>
          <w:rFonts w:ascii="Verdana" w:hAnsi="Verdana" w:cstheme="minorHAnsi"/>
          <w:sz w:val="20"/>
          <w:szCs w:val="20"/>
        </w:rPr>
        <w:t>CE</w:t>
      </w:r>
      <w:r w:rsidR="00ED71AE">
        <w:rPr>
          <w:rFonts w:ascii="Verdana" w:hAnsi="Verdana" w:cstheme="minorHAnsi"/>
          <w:sz w:val="20"/>
          <w:szCs w:val="20"/>
        </w:rPr>
        <w:t xml:space="preserve">V technology becomes mainstream this off set will be reduced. </w:t>
      </w:r>
      <w:r w:rsidR="008D1DA5">
        <w:rPr>
          <w:rFonts w:ascii="Verdana" w:hAnsi="Verdana" w:cstheme="minorHAnsi"/>
          <w:sz w:val="20"/>
          <w:szCs w:val="20"/>
        </w:rPr>
        <w:t xml:space="preserve">Ultimately it is beginning to look </w:t>
      </w:r>
      <w:r w:rsidR="00982C0B">
        <w:rPr>
          <w:rFonts w:ascii="Verdana" w:hAnsi="Verdana" w:cstheme="minorHAnsi"/>
          <w:sz w:val="20"/>
          <w:szCs w:val="20"/>
        </w:rPr>
        <w:t>likely that hydrogen powered vehicles will become dominant in the near future</w:t>
      </w:r>
      <w:r w:rsidR="00D6148B">
        <w:rPr>
          <w:rFonts w:ascii="Verdana" w:hAnsi="Verdana" w:cstheme="minorHAnsi"/>
          <w:sz w:val="20"/>
          <w:szCs w:val="20"/>
        </w:rPr>
        <w:t>. I</w:t>
      </w:r>
      <w:r w:rsidR="00F73A11">
        <w:rPr>
          <w:rFonts w:ascii="Verdana" w:hAnsi="Verdana" w:cstheme="minorHAnsi"/>
          <w:sz w:val="20"/>
          <w:szCs w:val="20"/>
        </w:rPr>
        <w:t>t being a critical aspect of transportation technology</w:t>
      </w:r>
      <w:r w:rsidR="00E25CB6">
        <w:rPr>
          <w:rFonts w:ascii="Verdana" w:hAnsi="Verdana" w:cstheme="minorHAnsi"/>
          <w:sz w:val="20"/>
          <w:szCs w:val="20"/>
        </w:rPr>
        <w:t xml:space="preserve"> adaptation</w:t>
      </w:r>
      <w:r w:rsidR="00D6148B">
        <w:rPr>
          <w:rFonts w:ascii="Verdana" w:hAnsi="Verdana" w:cstheme="minorHAnsi"/>
          <w:sz w:val="20"/>
          <w:szCs w:val="20"/>
        </w:rPr>
        <w:t>,</w:t>
      </w:r>
      <w:r w:rsidR="00F73A11">
        <w:rPr>
          <w:rFonts w:ascii="Verdana" w:hAnsi="Verdana" w:cstheme="minorHAnsi"/>
          <w:sz w:val="20"/>
          <w:szCs w:val="20"/>
        </w:rPr>
        <w:t xml:space="preserve"> to adhere to CO</w:t>
      </w:r>
      <w:r w:rsidR="00F73A11">
        <w:rPr>
          <w:rFonts w:ascii="Verdana" w:hAnsi="Verdana" w:cstheme="minorHAnsi"/>
          <w:sz w:val="20"/>
          <w:szCs w:val="20"/>
          <w:vertAlign w:val="subscript"/>
        </w:rPr>
        <w:t>2</w:t>
      </w:r>
      <w:r w:rsidR="00F73A11">
        <w:rPr>
          <w:rFonts w:ascii="Verdana" w:hAnsi="Verdana" w:cstheme="minorHAnsi"/>
          <w:sz w:val="20"/>
          <w:szCs w:val="20"/>
        </w:rPr>
        <w:t xml:space="preserve"> reduction goals.</w:t>
      </w:r>
      <w:r w:rsidR="00CF0D2A">
        <w:rPr>
          <w:rFonts w:ascii="Verdana" w:hAnsi="Verdana" w:cstheme="minorHAnsi"/>
          <w:sz w:val="20"/>
          <w:szCs w:val="20"/>
        </w:rPr>
        <w:t xml:space="preserve"> Taking a serious stance early in the development stage may give any company </w:t>
      </w:r>
      <w:r w:rsidR="0025786B">
        <w:rPr>
          <w:rFonts w:ascii="Verdana" w:hAnsi="Verdana" w:cstheme="minorHAnsi"/>
          <w:sz w:val="20"/>
          <w:szCs w:val="20"/>
        </w:rPr>
        <w:t xml:space="preserve">an advantage in the developed world where hydrogen adoption will become mainstream within the next decade. Given Volkswagens geographical location </w:t>
      </w:r>
      <w:r w:rsidR="006C2E22">
        <w:rPr>
          <w:rFonts w:ascii="Verdana" w:hAnsi="Verdana" w:cstheme="minorHAnsi"/>
          <w:sz w:val="20"/>
          <w:szCs w:val="20"/>
        </w:rPr>
        <w:t>within</w:t>
      </w:r>
      <w:r w:rsidR="0025786B">
        <w:rPr>
          <w:rFonts w:ascii="Verdana" w:hAnsi="Verdana" w:cstheme="minorHAnsi"/>
          <w:sz w:val="20"/>
          <w:szCs w:val="20"/>
        </w:rPr>
        <w:t xml:space="preserve"> possibly the best prepared country to deploy FCEV, </w:t>
      </w:r>
      <w:r w:rsidR="00363982">
        <w:rPr>
          <w:rFonts w:ascii="Verdana" w:hAnsi="Verdana" w:cstheme="minorHAnsi"/>
          <w:sz w:val="20"/>
          <w:szCs w:val="20"/>
        </w:rPr>
        <w:t xml:space="preserve">it would serve well to explore this option. </w:t>
      </w:r>
    </w:p>
    <w:p w14:paraId="05E8EE97" w14:textId="5879F262" w:rsidR="00360096" w:rsidRDefault="00360096" w:rsidP="007127E5">
      <w:pPr>
        <w:rPr>
          <w:rFonts w:ascii="Verdana" w:hAnsi="Verdana" w:cstheme="minorHAnsi"/>
          <w:sz w:val="20"/>
          <w:szCs w:val="20"/>
        </w:rPr>
      </w:pPr>
      <w:r>
        <w:rPr>
          <w:rFonts w:ascii="Verdana" w:hAnsi="Verdana" w:cstheme="minorHAnsi"/>
          <w:sz w:val="20"/>
          <w:szCs w:val="20"/>
        </w:rPr>
        <w:t xml:space="preserve">Yours </w:t>
      </w:r>
      <w:r w:rsidR="00C76EAB">
        <w:rPr>
          <w:rFonts w:ascii="Verdana" w:hAnsi="Verdana" w:cstheme="minorHAnsi"/>
          <w:sz w:val="20"/>
          <w:szCs w:val="20"/>
        </w:rPr>
        <w:t xml:space="preserve">sincerely </w:t>
      </w:r>
    </w:p>
    <w:p w14:paraId="59549083" w14:textId="06A8C1CE" w:rsidR="00C76EAB" w:rsidRPr="00F73A11" w:rsidRDefault="00C76EAB" w:rsidP="007127E5">
      <w:pPr>
        <w:rPr>
          <w:rFonts w:ascii="Verdana" w:hAnsi="Verdana" w:cstheme="minorHAnsi"/>
          <w:sz w:val="20"/>
          <w:szCs w:val="20"/>
        </w:rPr>
      </w:pPr>
      <w:r>
        <w:rPr>
          <w:rFonts w:ascii="Verdana" w:hAnsi="Verdana" w:cstheme="minorHAnsi"/>
          <w:sz w:val="20"/>
          <w:szCs w:val="20"/>
        </w:rPr>
        <w:t>Christopher Hine</w:t>
      </w:r>
    </w:p>
    <w:p w14:paraId="5FB00D93" w14:textId="0758DA8E" w:rsidR="001015AF" w:rsidRDefault="001015AF">
      <w:pPr>
        <w:rPr>
          <w:rFonts w:ascii="Verdana" w:hAnsi="Verdana" w:cstheme="minorHAnsi"/>
          <w:sz w:val="20"/>
          <w:szCs w:val="20"/>
        </w:rPr>
      </w:pPr>
      <w:r>
        <w:rPr>
          <w:rFonts w:ascii="Verdana" w:hAnsi="Verdana" w:cstheme="minorHAnsi"/>
          <w:sz w:val="20"/>
          <w:szCs w:val="20"/>
        </w:rPr>
        <w:br w:type="page"/>
      </w:r>
      <w:bookmarkStart w:id="1" w:name="_GoBack"/>
      <w:bookmarkEnd w:id="1"/>
    </w:p>
    <w:p w14:paraId="58A9952C" w14:textId="241BDC9D" w:rsidR="00037A47" w:rsidRDefault="00F15E86">
      <w:pPr>
        <w:rPr>
          <w:rFonts w:ascii="Verdana" w:hAnsi="Verdana" w:cstheme="minorHAnsi"/>
          <w:sz w:val="20"/>
          <w:szCs w:val="20"/>
        </w:rPr>
      </w:pPr>
      <w:r>
        <w:rPr>
          <w:rFonts w:ascii="Verdana" w:hAnsi="Verdana" w:cstheme="minorHAnsi"/>
          <w:sz w:val="20"/>
          <w:szCs w:val="20"/>
        </w:rPr>
        <w:lastRenderedPageBreak/>
        <w:t xml:space="preserve">Appendices </w:t>
      </w:r>
    </w:p>
    <w:p w14:paraId="121BA7A5" w14:textId="77777777" w:rsidR="001015AF" w:rsidRDefault="001015AF" w:rsidP="001015AF">
      <w:pPr>
        <w:keepNext/>
      </w:pPr>
      <w:r>
        <w:rPr>
          <w:noProof/>
        </w:rPr>
        <w:drawing>
          <wp:inline distT="0" distB="0" distL="0" distR="0" wp14:anchorId="7FE691A1" wp14:editId="7AE8A428">
            <wp:extent cx="5731510" cy="203073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30730"/>
                    </a:xfrm>
                    <a:prstGeom prst="rect">
                      <a:avLst/>
                    </a:prstGeom>
                  </pic:spPr>
                </pic:pic>
              </a:graphicData>
            </a:graphic>
          </wp:inline>
        </w:drawing>
      </w:r>
    </w:p>
    <w:p w14:paraId="3237050C" w14:textId="7A8A45E5" w:rsidR="006E5DC5" w:rsidRDefault="001015AF" w:rsidP="001015AF">
      <w:pPr>
        <w:pStyle w:val="Caption"/>
      </w:pPr>
      <w:r>
        <w:t xml:space="preserve">Figure </w:t>
      </w:r>
      <w:fldSimple w:instr=" SEQ Figure \* ARABIC ">
        <w:r w:rsidR="00AD0D95">
          <w:rPr>
            <w:noProof/>
          </w:rPr>
          <w:t>1</w:t>
        </w:r>
      </w:fldSimple>
      <w:r>
        <w:t xml:space="preserve"> Example of hydrogen refuelling station used in Chicago for a local bus transportation service, refuelling 3 buses, using around 400-525</w:t>
      </w:r>
      <w:r w:rsidR="00F203DE">
        <w:t xml:space="preserve"> </w:t>
      </w:r>
      <w:r w:rsidR="00F203DE" w:rsidRPr="00F203DE">
        <w:rPr>
          <w:rFonts w:cstheme="minorHAnsi"/>
        </w:rPr>
        <w:t>Nm</w:t>
      </w:r>
      <w:r w:rsidR="00F203DE" w:rsidRPr="00F203DE">
        <w:rPr>
          <w:rFonts w:cstheme="minorHAnsi"/>
        </w:rPr>
        <w:t>3</w:t>
      </w:r>
      <w:r w:rsidR="00F203DE">
        <w:rPr>
          <w:rFonts w:ascii="Helvetica" w:hAnsi="Helvetica" w:cs="Helvetica"/>
          <w:sz w:val="16"/>
          <w:szCs w:val="16"/>
        </w:rPr>
        <w:t xml:space="preserve"> </w:t>
      </w:r>
      <w:r w:rsidR="00F203DE">
        <w:t>per</w:t>
      </w:r>
      <w:r w:rsidR="0069132A">
        <w:t xml:space="preserve"> bus per day.</w:t>
      </w:r>
      <w:r w:rsidR="0051205D">
        <w:t xml:space="preserve"> </w:t>
      </w:r>
      <w:r w:rsidR="003E47B7">
        <w:t>(248 bar</w:t>
      </w:r>
      <w:r w:rsidR="003B71CF">
        <w:t xml:space="preserve"> vehicle</w:t>
      </w:r>
      <w:r w:rsidR="003E47B7">
        <w:t xml:space="preserve"> storage pressure)</w:t>
      </w:r>
      <w:r w:rsidR="0069132A">
        <w:t xml:space="preserve"> </w:t>
      </w:r>
      <w:sdt>
        <w:sdtPr>
          <w:id w:val="-671791692"/>
          <w:citation/>
        </w:sdtPr>
        <w:sdtContent>
          <w:r w:rsidR="00E63649">
            <w:fldChar w:fldCharType="begin"/>
          </w:r>
          <w:r w:rsidR="00E63649">
            <w:instrText xml:space="preserve"> CITATION Ven99 \l 2057 </w:instrText>
          </w:r>
          <w:r w:rsidR="00E63649">
            <w:fldChar w:fldCharType="separate"/>
          </w:r>
          <w:r w:rsidR="00E63649" w:rsidRPr="00E63649">
            <w:rPr>
              <w:noProof/>
            </w:rPr>
            <w:t>(Raman, 1999)</w:t>
          </w:r>
          <w:r w:rsidR="00E63649">
            <w:fldChar w:fldCharType="end"/>
          </w:r>
        </w:sdtContent>
      </w:sdt>
    </w:p>
    <w:p w14:paraId="0E7AE1D1" w14:textId="77777777" w:rsidR="00AD0D95" w:rsidRDefault="00AD0D95" w:rsidP="00AD0D95">
      <w:pPr>
        <w:keepNext/>
      </w:pPr>
      <w:r>
        <w:rPr>
          <w:noProof/>
        </w:rPr>
        <w:drawing>
          <wp:inline distT="0" distB="0" distL="0" distR="0" wp14:anchorId="33DF1C4E" wp14:editId="0EE2107E">
            <wp:extent cx="5242560" cy="3886200"/>
            <wp:effectExtent l="0" t="0" r="0" b="0"/>
            <wp:docPr id="2" name="Picture 2" descr="Image result for hydrogen specific energy comparis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hydrogen specific energy comparison"/>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42560" cy="3886200"/>
                    </a:xfrm>
                    <a:prstGeom prst="rect">
                      <a:avLst/>
                    </a:prstGeom>
                    <a:noFill/>
                    <a:ln>
                      <a:noFill/>
                    </a:ln>
                  </pic:spPr>
                </pic:pic>
              </a:graphicData>
            </a:graphic>
          </wp:inline>
        </w:drawing>
      </w:r>
    </w:p>
    <w:p w14:paraId="7FEB29DD" w14:textId="383EFB84" w:rsidR="00AD0D95" w:rsidRDefault="00AD0D95" w:rsidP="00AD0D95">
      <w:pPr>
        <w:pStyle w:val="Caption"/>
      </w:pPr>
      <w:r>
        <w:t xml:space="preserve">Figure </w:t>
      </w:r>
      <w:fldSimple w:instr=" SEQ Figure \* ARABIC ">
        <w:r>
          <w:rPr>
            <w:noProof/>
          </w:rPr>
          <w:t>2</w:t>
        </w:r>
      </w:fldSimple>
      <w:r>
        <w:t xml:space="preserve"> Comparisons of useful specific energy. </w:t>
      </w:r>
      <w:sdt>
        <w:sdtPr>
          <w:id w:val="197215560"/>
          <w:citation/>
        </w:sdtPr>
        <w:sdtContent>
          <w:r>
            <w:fldChar w:fldCharType="begin"/>
          </w:r>
          <w:r>
            <w:instrText xml:space="preserve"> CITATION CET09 \l 2057 </w:instrText>
          </w:r>
          <w:r>
            <w:fldChar w:fldCharType="separate"/>
          </w:r>
          <w:r w:rsidRPr="00AD0D95">
            <w:rPr>
              <w:noProof/>
            </w:rPr>
            <w:t>(Thomas, 2009)</w:t>
          </w:r>
          <w:r>
            <w:fldChar w:fldCharType="end"/>
          </w:r>
        </w:sdtContent>
      </w:sdt>
    </w:p>
    <w:p w14:paraId="6343D5E3" w14:textId="412C1DD2" w:rsidR="00E571C4" w:rsidRPr="00D44010" w:rsidRDefault="00D44010" w:rsidP="00E571C4">
      <w:r>
        <w:t>H</w:t>
      </w:r>
      <w:r>
        <w:rPr>
          <w:vertAlign w:val="subscript"/>
        </w:rPr>
        <w:t>2</w:t>
      </w:r>
      <w:r>
        <w:t xml:space="preserve"> Mobility Europe, refuelling station plan.</w:t>
      </w:r>
    </w:p>
    <w:tbl>
      <w:tblPr>
        <w:tblStyle w:val="TableGrid"/>
        <w:tblW w:w="0" w:type="auto"/>
        <w:tblLook w:val="04A0" w:firstRow="1" w:lastRow="0" w:firstColumn="1" w:lastColumn="0" w:noHBand="0" w:noVBand="1"/>
      </w:tblPr>
      <w:tblGrid>
        <w:gridCol w:w="3096"/>
        <w:gridCol w:w="3104"/>
        <w:gridCol w:w="2816"/>
      </w:tblGrid>
      <w:tr w:rsidR="00D44010" w14:paraId="5869EEDC" w14:textId="29FD0522" w:rsidTr="00D44010">
        <w:tc>
          <w:tcPr>
            <w:tcW w:w="3096" w:type="dxa"/>
          </w:tcPr>
          <w:p w14:paraId="5CB0D6F5" w14:textId="30911251" w:rsidR="00D44010" w:rsidRDefault="00D44010" w:rsidP="001A4C26">
            <w:r>
              <w:t>Country/Area</w:t>
            </w:r>
          </w:p>
        </w:tc>
        <w:tc>
          <w:tcPr>
            <w:tcW w:w="3104" w:type="dxa"/>
          </w:tcPr>
          <w:p w14:paraId="07335C55" w14:textId="345584F4" w:rsidR="00D44010" w:rsidRDefault="00D44010" w:rsidP="001A4C26">
            <w:r>
              <w:t>Number of Stations (2015)</w:t>
            </w:r>
          </w:p>
        </w:tc>
        <w:tc>
          <w:tcPr>
            <w:tcW w:w="2816" w:type="dxa"/>
          </w:tcPr>
          <w:p w14:paraId="6ABAB3D4" w14:textId="392A74F2" w:rsidR="00D44010" w:rsidRDefault="00D44010" w:rsidP="001A4C26">
            <w:r>
              <w:t>No. of Stations Planned</w:t>
            </w:r>
          </w:p>
        </w:tc>
      </w:tr>
      <w:tr w:rsidR="00D44010" w14:paraId="56080376" w14:textId="1791BAFD" w:rsidTr="00D44010">
        <w:tc>
          <w:tcPr>
            <w:tcW w:w="3096" w:type="dxa"/>
          </w:tcPr>
          <w:p w14:paraId="72FD60C9" w14:textId="01682803" w:rsidR="00D44010" w:rsidRDefault="00D44010" w:rsidP="001A4C26">
            <w:r>
              <w:t xml:space="preserve">Germany </w:t>
            </w:r>
          </w:p>
        </w:tc>
        <w:tc>
          <w:tcPr>
            <w:tcW w:w="3104" w:type="dxa"/>
          </w:tcPr>
          <w:p w14:paraId="7D76EA50" w14:textId="7A10EE52" w:rsidR="00D44010" w:rsidRDefault="00D44010" w:rsidP="001A4C26">
            <w:r>
              <w:t>18</w:t>
            </w:r>
          </w:p>
        </w:tc>
        <w:tc>
          <w:tcPr>
            <w:tcW w:w="2816" w:type="dxa"/>
          </w:tcPr>
          <w:p w14:paraId="4CBF2FC3" w14:textId="307DF83F" w:rsidR="00D44010" w:rsidRDefault="00D44010" w:rsidP="001A4C26">
            <w:r>
              <w:t>400 (2023)</w:t>
            </w:r>
          </w:p>
        </w:tc>
      </w:tr>
      <w:tr w:rsidR="00D44010" w14:paraId="7FC64D2C" w14:textId="5D9819FD" w:rsidTr="00D44010">
        <w:tc>
          <w:tcPr>
            <w:tcW w:w="3096" w:type="dxa"/>
          </w:tcPr>
          <w:p w14:paraId="0C799E36" w14:textId="04A1F2DF" w:rsidR="00D44010" w:rsidRDefault="00D44010" w:rsidP="001A4C26">
            <w:r>
              <w:t xml:space="preserve">Scandinavia </w:t>
            </w:r>
          </w:p>
        </w:tc>
        <w:tc>
          <w:tcPr>
            <w:tcW w:w="3104" w:type="dxa"/>
          </w:tcPr>
          <w:p w14:paraId="30B73703" w14:textId="5B18186F" w:rsidR="00D44010" w:rsidRDefault="00D44010" w:rsidP="001A4C26">
            <w:r>
              <w:t>12</w:t>
            </w:r>
          </w:p>
        </w:tc>
        <w:tc>
          <w:tcPr>
            <w:tcW w:w="2816" w:type="dxa"/>
          </w:tcPr>
          <w:p w14:paraId="2F29EA0F" w14:textId="4C2A5FDF" w:rsidR="00D44010" w:rsidRDefault="00D44010" w:rsidP="001A4C26">
            <w:r>
              <w:t>150 (2020)</w:t>
            </w:r>
          </w:p>
        </w:tc>
      </w:tr>
      <w:tr w:rsidR="00D44010" w14:paraId="15468185" w14:textId="7605118B" w:rsidTr="00D44010">
        <w:tc>
          <w:tcPr>
            <w:tcW w:w="3096" w:type="dxa"/>
          </w:tcPr>
          <w:p w14:paraId="758B7E14" w14:textId="51266EB1" w:rsidR="00D44010" w:rsidRDefault="00D44010" w:rsidP="001A4C26">
            <w:r>
              <w:t>France</w:t>
            </w:r>
          </w:p>
        </w:tc>
        <w:tc>
          <w:tcPr>
            <w:tcW w:w="3104" w:type="dxa"/>
          </w:tcPr>
          <w:p w14:paraId="0370B117" w14:textId="10ACD1E5" w:rsidR="00D44010" w:rsidRDefault="00D44010" w:rsidP="001A4C26">
            <w:r>
              <w:t>8</w:t>
            </w:r>
          </w:p>
        </w:tc>
        <w:tc>
          <w:tcPr>
            <w:tcW w:w="2816" w:type="dxa"/>
          </w:tcPr>
          <w:p w14:paraId="3B7F085E" w14:textId="0D13D014" w:rsidR="00D44010" w:rsidRDefault="00D44010" w:rsidP="001A4C26">
            <w:r>
              <w:t>15-20 (2020)</w:t>
            </w:r>
          </w:p>
        </w:tc>
      </w:tr>
      <w:tr w:rsidR="00D44010" w14:paraId="72404980" w14:textId="1370D631" w:rsidTr="00D44010">
        <w:tc>
          <w:tcPr>
            <w:tcW w:w="3096" w:type="dxa"/>
          </w:tcPr>
          <w:p w14:paraId="4CE38DB4" w14:textId="42255682" w:rsidR="00D44010" w:rsidRDefault="00D44010" w:rsidP="001A4C26">
            <w:r>
              <w:t>UK</w:t>
            </w:r>
          </w:p>
        </w:tc>
        <w:tc>
          <w:tcPr>
            <w:tcW w:w="3104" w:type="dxa"/>
          </w:tcPr>
          <w:p w14:paraId="50C009AE" w14:textId="4C225373" w:rsidR="00D44010" w:rsidRDefault="00D44010" w:rsidP="001A4C26">
            <w:r>
              <w:t>6</w:t>
            </w:r>
          </w:p>
        </w:tc>
        <w:tc>
          <w:tcPr>
            <w:tcW w:w="2816" w:type="dxa"/>
          </w:tcPr>
          <w:p w14:paraId="6AD5D9AF" w14:textId="545A8AE1" w:rsidR="00D44010" w:rsidRDefault="00D44010" w:rsidP="001A4C26">
            <w:r>
              <w:t>1,150 (2030)</w:t>
            </w:r>
          </w:p>
        </w:tc>
      </w:tr>
      <w:tr w:rsidR="00D44010" w14:paraId="1D904D31" w14:textId="290CFE25" w:rsidTr="00D44010">
        <w:tc>
          <w:tcPr>
            <w:tcW w:w="3096" w:type="dxa"/>
          </w:tcPr>
          <w:p w14:paraId="2750A5EB" w14:textId="59FF24BD" w:rsidR="00D44010" w:rsidRDefault="00D44010" w:rsidP="001A4C26">
            <w:r>
              <w:t>Netherlands</w:t>
            </w:r>
          </w:p>
        </w:tc>
        <w:tc>
          <w:tcPr>
            <w:tcW w:w="3104" w:type="dxa"/>
          </w:tcPr>
          <w:p w14:paraId="5BF9E9EF" w14:textId="308EAAE3" w:rsidR="00D44010" w:rsidRDefault="00D44010" w:rsidP="001A4C26">
            <w:r>
              <w:t>5</w:t>
            </w:r>
          </w:p>
        </w:tc>
        <w:tc>
          <w:tcPr>
            <w:tcW w:w="2816" w:type="dxa"/>
          </w:tcPr>
          <w:p w14:paraId="727E96BF" w14:textId="3443FCF3" w:rsidR="00D44010" w:rsidRDefault="00D44010" w:rsidP="001A4C26">
            <w:r>
              <w:t>50 (2020)</w:t>
            </w:r>
          </w:p>
        </w:tc>
      </w:tr>
    </w:tbl>
    <w:p w14:paraId="2D69BA10" w14:textId="08333E74" w:rsidR="001A4C26" w:rsidRDefault="00B7599A" w:rsidP="00B7599A">
      <w:pPr>
        <w:pStyle w:val="Caption"/>
      </w:pPr>
      <w:r>
        <w:t xml:space="preserve">Table </w:t>
      </w:r>
      <w:fldSimple w:instr=" SEQ Table \* ARABIC ">
        <w:r w:rsidR="006D4884">
          <w:rPr>
            <w:noProof/>
          </w:rPr>
          <w:t>1</w:t>
        </w:r>
      </w:fldSimple>
      <w:r>
        <w:t xml:space="preserve"> </w:t>
      </w:r>
      <w:r w:rsidR="004F5D26">
        <w:t xml:space="preserve">H2 Mobility Europe, fuel station initiative comparison by country. </w:t>
      </w:r>
      <w:sdt>
        <w:sdtPr>
          <w:id w:val="-1067339211"/>
          <w:citation/>
        </w:sdtPr>
        <w:sdtContent>
          <w:r w:rsidR="004F5D26">
            <w:fldChar w:fldCharType="begin"/>
          </w:r>
          <w:r w:rsidR="004F5D26">
            <w:instrText xml:space="preserve"> CITATION Hyd15 \l 2057 </w:instrText>
          </w:r>
          <w:r w:rsidR="004F5D26">
            <w:fldChar w:fldCharType="separate"/>
          </w:r>
          <w:r w:rsidR="004F5D26" w:rsidRPr="004F5D26">
            <w:rPr>
              <w:noProof/>
            </w:rPr>
            <w:t>(Hydrogen Mobility Europe , 2015)</w:t>
          </w:r>
          <w:r w:rsidR="004F5D26">
            <w:fldChar w:fldCharType="end"/>
          </w:r>
        </w:sdtContent>
      </w:sdt>
    </w:p>
    <w:p w14:paraId="3C81F245" w14:textId="175CE3C2" w:rsidR="00271E05" w:rsidRDefault="00DB0D43" w:rsidP="00271E05">
      <w:r>
        <w:lastRenderedPageBreak/>
        <w:t>Running cost</w:t>
      </w:r>
      <w:r w:rsidR="002A576B">
        <w:t xml:space="preserve"> example</w:t>
      </w:r>
      <w:r>
        <w:t xml:space="preserve"> for a Toyota Mirai </w:t>
      </w:r>
      <w:r w:rsidR="002A576B">
        <w:t>FCEV</w:t>
      </w:r>
      <w:r w:rsidR="00531B82">
        <w:t xml:space="preserve"> (UK)</w:t>
      </w:r>
      <w:r w:rsidR="002A576B">
        <w:t>:</w:t>
      </w:r>
    </w:p>
    <w:p w14:paraId="16C00B0A" w14:textId="0A3EBEA2" w:rsidR="002A576B" w:rsidRDefault="00531B82" w:rsidP="00271E05">
      <w:r>
        <w:t xml:space="preserve">Tank capacity = 4.7kg </w:t>
      </w:r>
    </w:p>
    <w:p w14:paraId="2423FA2F" w14:textId="427CC906" w:rsidR="00531B82" w:rsidRDefault="00531B82" w:rsidP="00271E05">
      <w:r>
        <w:t>Range = 270 miles</w:t>
      </w:r>
    </w:p>
    <w:p w14:paraId="4838C3AB" w14:textId="687E9424" w:rsidR="00531B82" w:rsidRDefault="00531B82" w:rsidP="00271E05">
      <w:r>
        <w:t>Cost of hydrogen per kg = £9.99</w:t>
      </w:r>
    </w:p>
    <w:p w14:paraId="5B060CF5" w14:textId="5553C110" w:rsidR="00531B82" w:rsidRDefault="00531B82" w:rsidP="00271E05">
      <w:r>
        <w:t>Cost to fill tank = £46.95</w:t>
      </w:r>
    </w:p>
    <w:p w14:paraId="09227336" w14:textId="73F68A2B" w:rsidR="00531B82" w:rsidRDefault="00531B82" w:rsidP="00271E05">
      <w:r>
        <w:t xml:space="preserve">Cost per mile = 17.4p </w:t>
      </w:r>
    </w:p>
    <w:p w14:paraId="0777F86C" w14:textId="12D19375" w:rsidR="00756D87" w:rsidRDefault="00756D87" w:rsidP="00271E05">
      <w:r>
        <w:t>Cost of petrol saloon car at 40mpg example:</w:t>
      </w:r>
    </w:p>
    <w:p w14:paraId="541F9B04" w14:textId="38022F62" w:rsidR="00531B82" w:rsidRDefault="00756D87" w:rsidP="00271E05">
      <w:r>
        <w:t xml:space="preserve">Fuel usage over </w:t>
      </w:r>
      <w:r w:rsidR="00F15E86">
        <w:t>270-mile</w:t>
      </w:r>
      <w:r>
        <w:t xml:space="preserve"> range = </w:t>
      </w:r>
      <w:r w:rsidR="0050161B">
        <w:t>30.71 litres</w:t>
      </w:r>
    </w:p>
    <w:p w14:paraId="44F36FF3" w14:textId="67098CA4" w:rsidR="0050161B" w:rsidRDefault="0050161B" w:rsidP="00271E05">
      <w:r>
        <w:t xml:space="preserve">At £1.20/litre = £36.85 </w:t>
      </w:r>
    </w:p>
    <w:p w14:paraId="746562D1" w14:textId="10517DE7" w:rsidR="00261738" w:rsidRDefault="00261738" w:rsidP="00271E05">
      <w:r>
        <w:t xml:space="preserve">Cost per mile = 13.6p </w:t>
      </w:r>
    </w:p>
    <w:p w14:paraId="2157B394" w14:textId="271DDABA" w:rsidR="00940373" w:rsidRDefault="00094E42" w:rsidP="00271E05">
      <w:r>
        <w:t>FCEV =</w:t>
      </w:r>
      <w:r w:rsidR="00940373">
        <w:t xml:space="preserve"> 3.8p extra per mile over established fuelling method. </w:t>
      </w:r>
    </w:p>
    <w:p w14:paraId="3F5CDCA6" w14:textId="77777777" w:rsidR="00380421" w:rsidRDefault="00380421" w:rsidP="00271E05"/>
    <w:p w14:paraId="7897EA75" w14:textId="7C686E91" w:rsidR="006D4884" w:rsidRDefault="006D4884" w:rsidP="006D4884">
      <w:pPr>
        <w:pStyle w:val="Caption"/>
        <w:keepNext/>
      </w:pPr>
      <w:r>
        <w:t xml:space="preserve">Table </w:t>
      </w:r>
      <w:fldSimple w:instr=" SEQ Table \* ARABIC ">
        <w:r>
          <w:rPr>
            <w:noProof/>
          </w:rPr>
          <w:t>2</w:t>
        </w:r>
      </w:fldSimple>
      <w:r>
        <w:t xml:space="preserve"> Comparison of lithium reserves by country. </w:t>
      </w:r>
      <w:sdt>
        <w:sdtPr>
          <w:id w:val="-1095860958"/>
          <w:citation/>
        </w:sdtPr>
        <w:sdtContent>
          <w:r>
            <w:fldChar w:fldCharType="begin"/>
          </w:r>
          <w:r>
            <w:instrText xml:space="preserve"> CITATION Sta17 \l 2057 </w:instrText>
          </w:r>
          <w:r>
            <w:fldChar w:fldCharType="separate"/>
          </w:r>
          <w:r w:rsidRPr="006D4884">
            <w:rPr>
              <w:noProof/>
            </w:rPr>
            <w:t>(Statista , 2017)</w:t>
          </w:r>
          <w:r>
            <w:fldChar w:fldCharType="end"/>
          </w:r>
        </w:sdtContent>
      </w:sdt>
    </w:p>
    <w:p w14:paraId="61258234" w14:textId="6889A64B" w:rsidR="00271E05" w:rsidRDefault="00401326" w:rsidP="00271E05">
      <w:r>
        <w:rPr>
          <w:noProof/>
        </w:rPr>
        <w:drawing>
          <wp:inline distT="0" distB="0" distL="0" distR="0" wp14:anchorId="5C79E569" wp14:editId="2665AB27">
            <wp:extent cx="5731510" cy="381444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814445"/>
                    </a:xfrm>
                    <a:prstGeom prst="rect">
                      <a:avLst/>
                    </a:prstGeom>
                  </pic:spPr>
                </pic:pic>
              </a:graphicData>
            </a:graphic>
          </wp:inline>
        </w:drawing>
      </w:r>
    </w:p>
    <w:p w14:paraId="03BD6ADC" w14:textId="77777777" w:rsidR="00380421" w:rsidRDefault="00380421" w:rsidP="00271E05"/>
    <w:p w14:paraId="4114C6B6" w14:textId="55180DE1" w:rsidR="00F94C4B" w:rsidRDefault="00F94C4B">
      <w:r>
        <w:br w:type="page"/>
      </w:r>
    </w:p>
    <w:sdt>
      <w:sdtPr>
        <w:id w:val="-850340032"/>
        <w:docPartObj>
          <w:docPartGallery w:val="Bibliographies"/>
          <w:docPartUnique/>
        </w:docPartObj>
      </w:sdtPr>
      <w:sdtContent>
        <w:p w14:paraId="30DA43C7" w14:textId="12479BAA" w:rsidR="00C720E7" w:rsidRPr="00C720E7" w:rsidRDefault="00C720E7" w:rsidP="00C720E7">
          <w:pPr>
            <w:pStyle w:val="NoSpacing"/>
          </w:pPr>
          <w:r w:rsidRPr="00C720E7">
            <w:t xml:space="preserve">References </w:t>
          </w:r>
        </w:p>
        <w:sdt>
          <w:sdtPr>
            <w:id w:val="111145805"/>
            <w:bibliography/>
          </w:sdtPr>
          <w:sdtContent>
            <w:p w14:paraId="6767D65C" w14:textId="77777777" w:rsidR="00C720E7" w:rsidRDefault="00C720E7" w:rsidP="00C720E7">
              <w:pPr>
                <w:pStyle w:val="Bibliography"/>
                <w:rPr>
                  <w:noProof/>
                  <w:sz w:val="24"/>
                  <w:szCs w:val="24"/>
                </w:rPr>
              </w:pPr>
              <w:r>
                <w:fldChar w:fldCharType="begin"/>
              </w:r>
              <w:r>
                <w:instrText xml:space="preserve"> BIBLIOGRAPHY </w:instrText>
              </w:r>
              <w:r>
                <w:fldChar w:fldCharType="separate"/>
              </w:r>
              <w:r>
                <w:rPr>
                  <w:noProof/>
                </w:rPr>
                <w:t xml:space="preserve">Auto Express, 2018. </w:t>
              </w:r>
              <w:r>
                <w:rPr>
                  <w:i/>
                  <w:iCs/>
                  <w:noProof/>
                </w:rPr>
                <w:t xml:space="preserve">New Hyundai NEXO hydrogen fuel cell SUV secrets revealed. </w:t>
              </w:r>
              <w:r>
                <w:rPr>
                  <w:noProof/>
                </w:rPr>
                <w:t xml:space="preserve">[Online] </w:t>
              </w:r>
              <w:r>
                <w:rPr>
                  <w:noProof/>
                </w:rPr>
                <w:br/>
                <w:t xml:space="preserve">Available at: </w:t>
              </w:r>
              <w:r>
                <w:rPr>
                  <w:noProof/>
                  <w:u w:val="single"/>
                </w:rPr>
                <w:t>http://www.autoexpress.co.uk/hyundai/98807/new-hyundai-nexo-hydrogen-fuel-cell-suv-secrets-revealed</w:t>
              </w:r>
              <w:r>
                <w:rPr>
                  <w:noProof/>
                </w:rPr>
                <w:br/>
                <w:t>[Accessed 27 March 2018].</w:t>
              </w:r>
            </w:p>
            <w:p w14:paraId="15976E4D" w14:textId="77777777" w:rsidR="00C720E7" w:rsidRDefault="00C720E7" w:rsidP="00C720E7">
              <w:pPr>
                <w:pStyle w:val="Bibliography"/>
                <w:rPr>
                  <w:noProof/>
                </w:rPr>
              </w:pPr>
              <w:r>
                <w:rPr>
                  <w:noProof/>
                </w:rPr>
                <w:t xml:space="preserve">Boeriu, H., 2013. </w:t>
              </w:r>
              <w:r>
                <w:rPr>
                  <w:i/>
                  <w:iCs/>
                  <w:noProof/>
                </w:rPr>
                <w:t xml:space="preserve">BMW and Toyota to share hydrogen fuel cell technology. </w:t>
              </w:r>
              <w:r>
                <w:rPr>
                  <w:noProof/>
                </w:rPr>
                <w:t xml:space="preserve">[Online] </w:t>
              </w:r>
              <w:r>
                <w:rPr>
                  <w:noProof/>
                </w:rPr>
                <w:br/>
                <w:t xml:space="preserve">Available at: </w:t>
              </w:r>
              <w:r>
                <w:rPr>
                  <w:noProof/>
                  <w:u w:val="single"/>
                </w:rPr>
                <w:t>http://www.bmwblog.com/2013/01/23/bmw-and-toyota-to-share-hydrogen-fuel-cell-technology/</w:t>
              </w:r>
              <w:r>
                <w:rPr>
                  <w:noProof/>
                </w:rPr>
                <w:br/>
                <w:t>[Accessed 28 March 2018].</w:t>
              </w:r>
            </w:p>
            <w:p w14:paraId="6D6F4282" w14:textId="77777777" w:rsidR="00C720E7" w:rsidRDefault="00C720E7" w:rsidP="00C720E7">
              <w:pPr>
                <w:pStyle w:val="Bibliography"/>
                <w:rPr>
                  <w:noProof/>
                </w:rPr>
              </w:pPr>
              <w:r>
                <w:rPr>
                  <w:noProof/>
                </w:rPr>
                <w:t xml:space="preserve">C.-F. Schleussner, J. R. M. S. T. L. R. L. E. F. R. K. A. L. K. F. W. H., 2016. Science and policy characteristics of the Paris Agreement temperature goal. </w:t>
              </w:r>
              <w:r>
                <w:rPr>
                  <w:i/>
                  <w:iCs/>
                  <w:noProof/>
                </w:rPr>
                <w:t xml:space="preserve">Nature Climate Change, </w:t>
              </w:r>
              <w:r>
                <w:rPr>
                  <w:noProof/>
                </w:rPr>
                <w:t>6(9), pp. 827- 835.</w:t>
              </w:r>
            </w:p>
            <w:p w14:paraId="60575A74" w14:textId="77777777" w:rsidR="00C720E7" w:rsidRDefault="00C720E7" w:rsidP="00C720E7">
              <w:pPr>
                <w:pStyle w:val="Bibliography"/>
                <w:rPr>
                  <w:noProof/>
                </w:rPr>
              </w:pPr>
              <w:r>
                <w:rPr>
                  <w:noProof/>
                </w:rPr>
                <w:t xml:space="preserve">Dave Hancock, N. F. M. J. R. S. H. B., 2008. </w:t>
              </w:r>
              <w:r>
                <w:rPr>
                  <w:i/>
                  <w:iCs/>
                  <w:noProof/>
                </w:rPr>
                <w:t xml:space="preserve">A New 3 Cylinder 1.2L Advanced Downsizing Technology Demonstrator Engine, </w:t>
              </w:r>
              <w:r>
                <w:rPr>
                  <w:noProof/>
                </w:rPr>
                <w:t>s.l.: SAE International.</w:t>
              </w:r>
            </w:p>
            <w:p w14:paraId="1235FD45" w14:textId="77777777" w:rsidR="00C720E7" w:rsidRDefault="00C720E7" w:rsidP="00C720E7">
              <w:pPr>
                <w:pStyle w:val="Bibliography"/>
                <w:rPr>
                  <w:noProof/>
                </w:rPr>
              </w:pPr>
              <w:r>
                <w:rPr>
                  <w:noProof/>
                </w:rPr>
                <w:t xml:space="preserve">EPI Inc., 2017. </w:t>
              </w:r>
              <w:r>
                <w:rPr>
                  <w:i/>
                  <w:iCs/>
                  <w:noProof/>
                </w:rPr>
                <w:t xml:space="preserve">Piston Motion Basics. </w:t>
              </w:r>
              <w:r>
                <w:rPr>
                  <w:noProof/>
                </w:rPr>
                <w:t xml:space="preserve">[Online] </w:t>
              </w:r>
              <w:r>
                <w:rPr>
                  <w:noProof/>
                </w:rPr>
                <w:br/>
                <w:t xml:space="preserve">Available at: </w:t>
              </w:r>
              <w:r>
                <w:rPr>
                  <w:noProof/>
                  <w:u w:val="single"/>
                </w:rPr>
                <w:t>http://www.epi-eng.com/piston_engine_technology/piston_motion_basics.htm</w:t>
              </w:r>
            </w:p>
            <w:p w14:paraId="3C41ED79" w14:textId="77777777" w:rsidR="00C720E7" w:rsidRDefault="00C720E7" w:rsidP="00C720E7">
              <w:pPr>
                <w:pStyle w:val="Bibliography"/>
                <w:rPr>
                  <w:noProof/>
                </w:rPr>
              </w:pPr>
              <w:r>
                <w:rPr>
                  <w:noProof/>
                </w:rPr>
                <w:t xml:space="preserve">George Thomas, G. P., 2006. </w:t>
              </w:r>
              <w:r>
                <w:rPr>
                  <w:i/>
                  <w:iCs/>
                  <w:noProof/>
                </w:rPr>
                <w:t xml:space="preserve">Potential Roles of Ammonia, </w:t>
              </w:r>
              <w:r>
                <w:rPr>
                  <w:noProof/>
                </w:rPr>
                <w:t>N/A: U.S. Department of Energy .</w:t>
              </w:r>
            </w:p>
            <w:p w14:paraId="484017A5" w14:textId="77777777" w:rsidR="00C720E7" w:rsidRDefault="00C720E7" w:rsidP="00C720E7">
              <w:pPr>
                <w:pStyle w:val="Bibliography"/>
                <w:rPr>
                  <w:noProof/>
                </w:rPr>
              </w:pPr>
              <w:r>
                <w:rPr>
                  <w:noProof/>
                </w:rPr>
                <w:t xml:space="preserve">Gilboy, J., 2017. </w:t>
              </w:r>
              <w:r>
                <w:rPr>
                  <w:i/>
                  <w:iCs/>
                  <w:noProof/>
                </w:rPr>
                <w:t xml:space="preserve">The Drive. </w:t>
              </w:r>
              <w:r>
                <w:rPr>
                  <w:noProof/>
                </w:rPr>
                <w:t xml:space="preserve">[Online] </w:t>
              </w:r>
              <w:r>
                <w:rPr>
                  <w:noProof/>
                </w:rPr>
                <w:br/>
                <w:t xml:space="preserve">Available at: </w:t>
              </w:r>
              <w:r>
                <w:rPr>
                  <w:noProof/>
                  <w:u w:val="single"/>
                </w:rPr>
                <w:t>http://www.thedrive.com/sheetmetal/13221/new-670-mile-tesla-range-record-set</w:t>
              </w:r>
              <w:r>
                <w:rPr>
                  <w:noProof/>
                </w:rPr>
                <w:br/>
                <w:t>[Accessed 27 March 2018].</w:t>
              </w:r>
            </w:p>
            <w:p w14:paraId="5DD7E2DE" w14:textId="77777777" w:rsidR="00C720E7" w:rsidRDefault="00C720E7" w:rsidP="00C720E7">
              <w:pPr>
                <w:pStyle w:val="Bibliography"/>
                <w:rPr>
                  <w:noProof/>
                </w:rPr>
              </w:pPr>
              <w:r>
                <w:rPr>
                  <w:noProof/>
                </w:rPr>
                <w:t xml:space="preserve">H2 Mobility , 2018. </w:t>
              </w:r>
              <w:r>
                <w:rPr>
                  <w:i/>
                  <w:iCs/>
                  <w:noProof/>
                </w:rPr>
                <w:t xml:space="preserve">H2 Mobility. </w:t>
              </w:r>
              <w:r>
                <w:rPr>
                  <w:noProof/>
                </w:rPr>
                <w:t xml:space="preserve">[Online] </w:t>
              </w:r>
              <w:r>
                <w:rPr>
                  <w:noProof/>
                </w:rPr>
                <w:br/>
                <w:t xml:space="preserve">Available at: </w:t>
              </w:r>
              <w:r>
                <w:rPr>
                  <w:noProof/>
                  <w:u w:val="single"/>
                </w:rPr>
                <w:t>http://h2-mobility.de/en/h2-stations/</w:t>
              </w:r>
              <w:r>
                <w:rPr>
                  <w:noProof/>
                </w:rPr>
                <w:br/>
                <w:t>[Accessed 28 March 2018].</w:t>
              </w:r>
            </w:p>
            <w:p w14:paraId="3E2734E4" w14:textId="77777777" w:rsidR="00C720E7" w:rsidRDefault="00C720E7" w:rsidP="00C720E7">
              <w:pPr>
                <w:pStyle w:val="Bibliography"/>
                <w:rPr>
                  <w:noProof/>
                </w:rPr>
              </w:pPr>
              <w:r>
                <w:rPr>
                  <w:noProof/>
                </w:rPr>
                <w:t xml:space="preserve">Hoffmann, P., 2012. </w:t>
              </w:r>
              <w:r>
                <w:rPr>
                  <w:i/>
                  <w:iCs/>
                  <w:noProof/>
                </w:rPr>
                <w:t xml:space="preserve">Tomorrow's Energy. Hydrogen Fuel Cells, and the Prospects for a Cleaner Planet. </w:t>
              </w:r>
              <w:r>
                <w:rPr>
                  <w:noProof/>
                </w:rPr>
                <w:t>1 ed. Massachusetts: MIT Press.</w:t>
              </w:r>
            </w:p>
            <w:p w14:paraId="0124EB4B" w14:textId="77777777" w:rsidR="00C720E7" w:rsidRDefault="00C720E7" w:rsidP="00C720E7">
              <w:pPr>
                <w:pStyle w:val="Bibliography"/>
                <w:rPr>
                  <w:noProof/>
                </w:rPr>
              </w:pPr>
              <w:r>
                <w:rPr>
                  <w:noProof/>
                </w:rPr>
                <w:t xml:space="preserve">Hydrogen Mobility Europe , 2015. </w:t>
              </w:r>
              <w:r>
                <w:rPr>
                  <w:i/>
                  <w:iCs/>
                  <w:noProof/>
                </w:rPr>
                <w:t xml:space="preserve">Hydrogen Refuelling Infastructure. </w:t>
              </w:r>
              <w:r>
                <w:rPr>
                  <w:noProof/>
                </w:rPr>
                <w:t xml:space="preserve">[Online] </w:t>
              </w:r>
              <w:r>
                <w:rPr>
                  <w:noProof/>
                </w:rPr>
                <w:br/>
                <w:t xml:space="preserve">Available at: </w:t>
              </w:r>
              <w:r>
                <w:rPr>
                  <w:noProof/>
                  <w:u w:val="single"/>
                </w:rPr>
                <w:t>https://h2me.eu/about/hydrogen-refuelling-infrastructure/</w:t>
              </w:r>
              <w:r>
                <w:rPr>
                  <w:noProof/>
                </w:rPr>
                <w:br/>
                <w:t>[Accessed 29 March 2018].</w:t>
              </w:r>
            </w:p>
            <w:p w14:paraId="00635545" w14:textId="77777777" w:rsidR="00C720E7" w:rsidRDefault="00C720E7" w:rsidP="00C720E7">
              <w:pPr>
                <w:pStyle w:val="Bibliography"/>
                <w:rPr>
                  <w:noProof/>
                </w:rPr>
              </w:pPr>
              <w:r>
                <w:rPr>
                  <w:noProof/>
                </w:rPr>
                <w:t xml:space="preserve">Lambert, F., 2017. </w:t>
              </w:r>
              <w:r>
                <w:rPr>
                  <w:i/>
                  <w:iCs/>
                  <w:noProof/>
                </w:rPr>
                <w:t xml:space="preserve">electrek. </w:t>
              </w:r>
              <w:r>
                <w:rPr>
                  <w:noProof/>
                </w:rPr>
                <w:t xml:space="preserve">[Online] </w:t>
              </w:r>
              <w:r>
                <w:rPr>
                  <w:noProof/>
                </w:rPr>
                <w:br/>
                <w:t xml:space="preserve">Available at: </w:t>
              </w:r>
              <w:r>
                <w:rPr>
                  <w:noProof/>
                  <w:u w:val="single"/>
                </w:rPr>
                <w:t>https://electrek.co/2017/06/20/tesla-model-s-hypermilling-record/</w:t>
              </w:r>
              <w:r>
                <w:rPr>
                  <w:noProof/>
                </w:rPr>
                <w:br/>
                <w:t>[Accessed 27 March 2018].</w:t>
              </w:r>
            </w:p>
            <w:p w14:paraId="7DCAF44E" w14:textId="77777777" w:rsidR="00C720E7" w:rsidRDefault="00C720E7" w:rsidP="00C720E7">
              <w:pPr>
                <w:pStyle w:val="Bibliography"/>
                <w:rPr>
                  <w:noProof/>
                </w:rPr>
              </w:pPr>
              <w:r>
                <w:rPr>
                  <w:noProof/>
                </w:rPr>
                <w:t xml:space="preserve">Markovich, T., 2018. </w:t>
              </w:r>
              <w:r>
                <w:rPr>
                  <w:i/>
                  <w:iCs/>
                  <w:noProof/>
                </w:rPr>
                <w:t xml:space="preserve">Car and Driver. </w:t>
              </w:r>
              <w:r>
                <w:rPr>
                  <w:noProof/>
                </w:rPr>
                <w:t xml:space="preserve">[Online] </w:t>
              </w:r>
              <w:r>
                <w:rPr>
                  <w:noProof/>
                </w:rPr>
                <w:br/>
                <w:t xml:space="preserve">Available at: </w:t>
              </w:r>
              <w:r>
                <w:rPr>
                  <w:noProof/>
                  <w:u w:val="single"/>
                </w:rPr>
                <w:t>https://www.caranddriver.com/photo-gallery/2018-ioniq-plug-in-hybrid-gallery#1</w:t>
              </w:r>
              <w:r>
                <w:rPr>
                  <w:noProof/>
                </w:rPr>
                <w:br/>
                <w:t>[Accessed 28 March 2018].</w:t>
              </w:r>
            </w:p>
            <w:p w14:paraId="6E0B6189" w14:textId="77777777" w:rsidR="00C720E7" w:rsidRDefault="00C720E7" w:rsidP="00C720E7">
              <w:pPr>
                <w:pStyle w:val="Bibliography"/>
                <w:rPr>
                  <w:noProof/>
                </w:rPr>
              </w:pPr>
              <w:r>
                <w:rPr>
                  <w:noProof/>
                </w:rPr>
                <w:t xml:space="preserve">Ministry of Economy, Trade and Industry, 2016. </w:t>
              </w:r>
              <w:r>
                <w:rPr>
                  <w:i/>
                  <w:iCs/>
                  <w:noProof/>
                </w:rPr>
                <w:t xml:space="preserve">Compilation of the Revised Version of the Strategic Roadmap for Hydrogen and Fuel Cells. </w:t>
              </w:r>
              <w:r>
                <w:rPr>
                  <w:noProof/>
                </w:rPr>
                <w:t xml:space="preserve">[Online] </w:t>
              </w:r>
              <w:r>
                <w:rPr>
                  <w:noProof/>
                </w:rPr>
                <w:br/>
                <w:t xml:space="preserve">Available at: </w:t>
              </w:r>
              <w:r>
                <w:rPr>
                  <w:noProof/>
                  <w:u w:val="single"/>
                </w:rPr>
                <w:t>http://www.meti.go.jp/english/press/2016/0322_05.html</w:t>
              </w:r>
              <w:r>
                <w:rPr>
                  <w:noProof/>
                </w:rPr>
                <w:br/>
                <w:t>[Accessed 28 March 2018].</w:t>
              </w:r>
            </w:p>
            <w:p w14:paraId="45A9A940" w14:textId="77777777" w:rsidR="00C720E7" w:rsidRDefault="00C720E7" w:rsidP="00C720E7">
              <w:pPr>
                <w:pStyle w:val="Bibliography"/>
                <w:rPr>
                  <w:noProof/>
                </w:rPr>
              </w:pPr>
              <w:r>
                <w:rPr>
                  <w:noProof/>
                </w:rPr>
                <w:t xml:space="preserve">Nature Communications, 2017. </w:t>
              </w:r>
              <w:r>
                <w:rPr>
                  <w:i/>
                  <w:iCs/>
                  <w:noProof/>
                </w:rPr>
                <w:t xml:space="preserve">Accessing the bottleneck in all-solid state batteries, lithium-ion transport over the solid-electrolyte-electrode interface. </w:t>
              </w:r>
              <w:r>
                <w:rPr>
                  <w:noProof/>
                </w:rPr>
                <w:t xml:space="preserve">[Online] </w:t>
              </w:r>
              <w:r>
                <w:rPr>
                  <w:noProof/>
                </w:rPr>
                <w:br/>
                <w:t xml:space="preserve">Available at: </w:t>
              </w:r>
              <w:r>
                <w:rPr>
                  <w:noProof/>
                  <w:u w:val="single"/>
                </w:rPr>
                <w:t>https://www.nature.com/articles/s41467-017-01187-y</w:t>
              </w:r>
              <w:r>
                <w:rPr>
                  <w:noProof/>
                </w:rPr>
                <w:br/>
                <w:t>[Accessed 27 March 2018].</w:t>
              </w:r>
            </w:p>
            <w:p w14:paraId="18CEC60F" w14:textId="77777777" w:rsidR="00C720E7" w:rsidRDefault="00C720E7" w:rsidP="00C720E7">
              <w:pPr>
                <w:pStyle w:val="Bibliography"/>
                <w:rPr>
                  <w:noProof/>
                </w:rPr>
              </w:pPr>
              <w:r>
                <w:rPr>
                  <w:noProof/>
                </w:rPr>
                <w:lastRenderedPageBreak/>
                <w:t xml:space="preserve">Office of Energy Efficiency and Renewable Energy, no date . </w:t>
              </w:r>
              <w:r>
                <w:rPr>
                  <w:i/>
                  <w:iCs/>
                  <w:noProof/>
                </w:rPr>
                <w:t xml:space="preserve">Hydrogen Storage. </w:t>
              </w:r>
              <w:r>
                <w:rPr>
                  <w:noProof/>
                </w:rPr>
                <w:t xml:space="preserve">[Online] </w:t>
              </w:r>
              <w:r>
                <w:rPr>
                  <w:noProof/>
                </w:rPr>
                <w:br/>
                <w:t xml:space="preserve">Available at: </w:t>
              </w:r>
              <w:r>
                <w:rPr>
                  <w:noProof/>
                  <w:u w:val="single"/>
                </w:rPr>
                <w:t>https://www.energy.gov/eere/fuelcells/hydrogen-storage</w:t>
              </w:r>
              <w:r>
                <w:rPr>
                  <w:noProof/>
                </w:rPr>
                <w:br/>
                <w:t>[Accessed 27 March 2018].</w:t>
              </w:r>
            </w:p>
            <w:p w14:paraId="4F90DDB4" w14:textId="77777777" w:rsidR="00C720E7" w:rsidRDefault="00C720E7" w:rsidP="00C720E7">
              <w:pPr>
                <w:pStyle w:val="Bibliography"/>
                <w:rPr>
                  <w:noProof/>
                </w:rPr>
              </w:pPr>
              <w:r>
                <w:rPr>
                  <w:noProof/>
                </w:rPr>
                <w:t xml:space="preserve">Raman, V., 1999. The Hydrogen Fuel Option for Fuel Cell. </w:t>
              </w:r>
              <w:r>
                <w:rPr>
                  <w:i/>
                  <w:iCs/>
                  <w:noProof/>
                </w:rPr>
                <w:t xml:space="preserve">SAE, </w:t>
              </w:r>
              <w:r>
                <w:rPr>
                  <w:noProof/>
                </w:rPr>
                <w:t>p. 3.</w:t>
              </w:r>
            </w:p>
            <w:p w14:paraId="03961B56" w14:textId="77777777" w:rsidR="00C720E7" w:rsidRDefault="00C720E7" w:rsidP="00C720E7">
              <w:pPr>
                <w:pStyle w:val="Bibliography"/>
                <w:rPr>
                  <w:noProof/>
                </w:rPr>
              </w:pPr>
              <w:r>
                <w:rPr>
                  <w:noProof/>
                </w:rPr>
                <w:t xml:space="preserve">Robert Eccles, I. I. G. S., 2012. Is sustainability now the key to corporate success?. </w:t>
              </w:r>
              <w:r>
                <w:rPr>
                  <w:i/>
                  <w:iCs/>
                  <w:noProof/>
                </w:rPr>
                <w:t xml:space="preserve">The Guardian, </w:t>
              </w:r>
              <w:r>
                <w:rPr>
                  <w:noProof/>
                </w:rPr>
                <w:t>. (.), p. no page .</w:t>
              </w:r>
            </w:p>
            <w:p w14:paraId="30A356A9" w14:textId="77777777" w:rsidR="00C720E7" w:rsidRDefault="00C720E7" w:rsidP="00C720E7">
              <w:pPr>
                <w:pStyle w:val="Bibliography"/>
                <w:rPr>
                  <w:noProof/>
                </w:rPr>
              </w:pPr>
              <w:r>
                <w:rPr>
                  <w:noProof/>
                </w:rPr>
                <w:t xml:space="preserve">Statista , 2017. </w:t>
              </w:r>
              <w:r>
                <w:rPr>
                  <w:i/>
                  <w:iCs/>
                  <w:noProof/>
                </w:rPr>
                <w:t xml:space="preserve">Countries with the largest lithium reserves worldwide as of 2017 (in metric tons). </w:t>
              </w:r>
              <w:r>
                <w:rPr>
                  <w:noProof/>
                </w:rPr>
                <w:t xml:space="preserve">[Online] </w:t>
              </w:r>
              <w:r>
                <w:rPr>
                  <w:noProof/>
                </w:rPr>
                <w:br/>
                <w:t xml:space="preserve">Available at: </w:t>
              </w:r>
              <w:r>
                <w:rPr>
                  <w:noProof/>
                  <w:u w:val="single"/>
                </w:rPr>
                <w:t>https://www.statista.com/statistics/268790/countries-with-the-largest-lithium-reserves-worldwide/</w:t>
              </w:r>
              <w:r>
                <w:rPr>
                  <w:noProof/>
                </w:rPr>
                <w:br/>
                <w:t>[Accessed 29 March 2018].</w:t>
              </w:r>
            </w:p>
            <w:p w14:paraId="05404F84" w14:textId="77777777" w:rsidR="00C720E7" w:rsidRDefault="00C720E7" w:rsidP="00C720E7">
              <w:pPr>
                <w:pStyle w:val="Bibliography"/>
                <w:rPr>
                  <w:noProof/>
                </w:rPr>
              </w:pPr>
              <w:r>
                <w:rPr>
                  <w:noProof/>
                </w:rPr>
                <w:t xml:space="preserve">The Engineer, 2017. </w:t>
              </w:r>
              <w:r>
                <w:rPr>
                  <w:i/>
                  <w:iCs/>
                  <w:noProof/>
                </w:rPr>
                <w:t xml:space="preserve">Compact hydrogen storage gets a boost. </w:t>
              </w:r>
              <w:r>
                <w:rPr>
                  <w:noProof/>
                </w:rPr>
                <w:t xml:space="preserve">[Online] </w:t>
              </w:r>
              <w:r>
                <w:rPr>
                  <w:noProof/>
                </w:rPr>
                <w:br/>
                <w:t xml:space="preserve">Available at: </w:t>
              </w:r>
              <w:r>
                <w:rPr>
                  <w:noProof/>
                  <w:u w:val="single"/>
                </w:rPr>
                <w:t>https://www.theengineer.co.uk/compact-hydrogen-storage-gets-a-boost/</w:t>
              </w:r>
              <w:r>
                <w:rPr>
                  <w:noProof/>
                </w:rPr>
                <w:br/>
                <w:t>[Accessed 27 March 2018].</w:t>
              </w:r>
            </w:p>
            <w:p w14:paraId="0F371E53" w14:textId="77777777" w:rsidR="00C720E7" w:rsidRDefault="00C720E7" w:rsidP="00C720E7">
              <w:pPr>
                <w:pStyle w:val="Bibliography"/>
                <w:rPr>
                  <w:noProof/>
                </w:rPr>
              </w:pPr>
              <w:r>
                <w:rPr>
                  <w:noProof/>
                </w:rPr>
                <w:t xml:space="preserve">Thomas, C., 2009. </w:t>
              </w:r>
              <w:r>
                <w:rPr>
                  <w:i/>
                  <w:iCs/>
                  <w:noProof/>
                </w:rPr>
                <w:t xml:space="preserve">Fuel cell and battery electric vehicles compared. </w:t>
              </w:r>
              <w:r>
                <w:rPr>
                  <w:noProof/>
                </w:rPr>
                <w:t>Alexandria: H2Gen Innovations, Inc.</w:t>
              </w:r>
            </w:p>
            <w:p w14:paraId="5092FF70" w14:textId="77777777" w:rsidR="00C720E7" w:rsidRDefault="00C720E7" w:rsidP="00C720E7">
              <w:pPr>
                <w:pStyle w:val="Bibliography"/>
                <w:rPr>
                  <w:noProof/>
                </w:rPr>
              </w:pPr>
              <w:r>
                <w:rPr>
                  <w:noProof/>
                </w:rPr>
                <w:t xml:space="preserve">UK H2 Mobility, 2018. </w:t>
              </w:r>
              <w:r>
                <w:rPr>
                  <w:i/>
                  <w:iCs/>
                  <w:noProof/>
                </w:rPr>
                <w:t xml:space="preserve">FCEVS. </w:t>
              </w:r>
              <w:r>
                <w:rPr>
                  <w:noProof/>
                </w:rPr>
                <w:t xml:space="preserve">[Online] </w:t>
              </w:r>
              <w:r>
                <w:rPr>
                  <w:noProof/>
                </w:rPr>
                <w:br/>
                <w:t xml:space="preserve">Available at: </w:t>
              </w:r>
              <w:r>
                <w:rPr>
                  <w:noProof/>
                  <w:u w:val="single"/>
                </w:rPr>
                <w:t>http://www.ukh2mobility.co.uk/fcevs/</w:t>
              </w:r>
              <w:r>
                <w:rPr>
                  <w:noProof/>
                </w:rPr>
                <w:br/>
                <w:t>[Accessed 29 March 2018].</w:t>
              </w:r>
            </w:p>
            <w:p w14:paraId="325E48C0" w14:textId="77777777" w:rsidR="00C720E7" w:rsidRDefault="00C720E7" w:rsidP="00C720E7">
              <w:pPr>
                <w:pStyle w:val="Bibliography"/>
                <w:rPr>
                  <w:noProof/>
                </w:rPr>
              </w:pPr>
              <w:r>
                <w:rPr>
                  <w:noProof/>
                </w:rPr>
                <w:t xml:space="preserve">WLTP Facts, no date. </w:t>
              </w:r>
              <w:r>
                <w:rPr>
                  <w:i/>
                  <w:iCs/>
                  <w:noProof/>
                </w:rPr>
                <w:t xml:space="preserve">WLTP Facts. </w:t>
              </w:r>
              <w:r>
                <w:rPr>
                  <w:noProof/>
                </w:rPr>
                <w:t xml:space="preserve">[Online] </w:t>
              </w:r>
              <w:r>
                <w:rPr>
                  <w:noProof/>
                </w:rPr>
                <w:br/>
                <w:t xml:space="preserve">Available at: </w:t>
              </w:r>
              <w:r>
                <w:rPr>
                  <w:noProof/>
                  <w:u w:val="single"/>
                </w:rPr>
                <w:t>http://wltpfacts.eu/from-nedc-to-wltp-change/</w:t>
              </w:r>
              <w:r>
                <w:rPr>
                  <w:noProof/>
                </w:rPr>
                <w:br/>
                <w:t>[Accessed 27 March 2018].</w:t>
              </w:r>
            </w:p>
            <w:p w14:paraId="4066F57F" w14:textId="03BA982C" w:rsidR="00C720E7" w:rsidRDefault="00C720E7" w:rsidP="00C720E7">
              <w:r>
                <w:rPr>
                  <w:b/>
                  <w:bCs/>
                  <w:noProof/>
                </w:rPr>
                <w:fldChar w:fldCharType="end"/>
              </w:r>
            </w:p>
          </w:sdtContent>
        </w:sdt>
      </w:sdtContent>
    </w:sdt>
    <w:p w14:paraId="16D961CF" w14:textId="77777777" w:rsidR="00F94C4B" w:rsidRPr="00271E05" w:rsidRDefault="00F94C4B" w:rsidP="00271E05"/>
    <w:sectPr w:rsidR="00F94C4B" w:rsidRPr="00271E05">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1F6D04A" w14:textId="77777777" w:rsidR="0070151C" w:rsidRDefault="0070151C" w:rsidP="00723686">
      <w:pPr>
        <w:spacing w:after="0" w:line="240" w:lineRule="auto"/>
      </w:pPr>
      <w:r>
        <w:separator/>
      </w:r>
    </w:p>
  </w:endnote>
  <w:endnote w:type="continuationSeparator" w:id="0">
    <w:p w14:paraId="445AF94A" w14:textId="77777777" w:rsidR="0070151C" w:rsidRDefault="0070151C" w:rsidP="007236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2369609"/>
      <w:docPartObj>
        <w:docPartGallery w:val="Page Numbers (Bottom of Page)"/>
        <w:docPartUnique/>
      </w:docPartObj>
    </w:sdtPr>
    <w:sdtEndPr>
      <w:rPr>
        <w:noProof/>
      </w:rPr>
    </w:sdtEndPr>
    <w:sdtContent>
      <w:p w14:paraId="183D7B7B" w14:textId="52EB8A3E" w:rsidR="00CD1D49" w:rsidRDefault="00CD1D49">
        <w:pPr>
          <w:pStyle w:val="Footer"/>
        </w:pPr>
        <w:r>
          <w:fldChar w:fldCharType="begin"/>
        </w:r>
        <w:r>
          <w:instrText xml:space="preserve"> PAGE   \* MERGEFORMAT </w:instrText>
        </w:r>
        <w:r>
          <w:fldChar w:fldCharType="separate"/>
        </w:r>
        <w:r w:rsidR="009704EF">
          <w:rPr>
            <w:noProof/>
          </w:rPr>
          <w:t>3</w:t>
        </w:r>
        <w:r>
          <w:rPr>
            <w:noProof/>
          </w:rPr>
          <w:fldChar w:fldCharType="end"/>
        </w:r>
      </w:p>
    </w:sdtContent>
  </w:sdt>
  <w:p w14:paraId="09B6E073" w14:textId="77777777" w:rsidR="00CD1D49" w:rsidRDefault="00CD1D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839DA5" w14:textId="77777777" w:rsidR="0070151C" w:rsidRDefault="0070151C" w:rsidP="00723686">
      <w:pPr>
        <w:spacing w:after="0" w:line="240" w:lineRule="auto"/>
      </w:pPr>
      <w:r>
        <w:separator/>
      </w:r>
    </w:p>
  </w:footnote>
  <w:footnote w:type="continuationSeparator" w:id="0">
    <w:p w14:paraId="3A456281" w14:textId="77777777" w:rsidR="0070151C" w:rsidRDefault="0070151C" w:rsidP="007236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8008C"/>
    <w:multiLevelType w:val="multilevel"/>
    <w:tmpl w:val="59B61A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072244"/>
    <w:multiLevelType w:val="hybridMultilevel"/>
    <w:tmpl w:val="926220C8"/>
    <w:lvl w:ilvl="0" w:tplc="577811D6">
      <w:start w:val="1"/>
      <w:numFmt w:val="decimal"/>
      <w:lvlText w:val="%1."/>
      <w:lvlJc w:val="left"/>
      <w:pPr>
        <w:ind w:left="435" w:hanging="360"/>
      </w:pPr>
      <w:rPr>
        <w:rFonts w:hint="default"/>
      </w:rPr>
    </w:lvl>
    <w:lvl w:ilvl="1" w:tplc="08090019" w:tentative="1">
      <w:start w:val="1"/>
      <w:numFmt w:val="lowerLetter"/>
      <w:lvlText w:val="%2."/>
      <w:lvlJc w:val="left"/>
      <w:pPr>
        <w:ind w:left="1155" w:hanging="360"/>
      </w:pPr>
    </w:lvl>
    <w:lvl w:ilvl="2" w:tplc="0809001B" w:tentative="1">
      <w:start w:val="1"/>
      <w:numFmt w:val="lowerRoman"/>
      <w:lvlText w:val="%3."/>
      <w:lvlJc w:val="right"/>
      <w:pPr>
        <w:ind w:left="1875" w:hanging="180"/>
      </w:pPr>
    </w:lvl>
    <w:lvl w:ilvl="3" w:tplc="0809000F" w:tentative="1">
      <w:start w:val="1"/>
      <w:numFmt w:val="decimal"/>
      <w:lvlText w:val="%4."/>
      <w:lvlJc w:val="left"/>
      <w:pPr>
        <w:ind w:left="2595" w:hanging="360"/>
      </w:pPr>
    </w:lvl>
    <w:lvl w:ilvl="4" w:tplc="08090019" w:tentative="1">
      <w:start w:val="1"/>
      <w:numFmt w:val="lowerLetter"/>
      <w:lvlText w:val="%5."/>
      <w:lvlJc w:val="left"/>
      <w:pPr>
        <w:ind w:left="3315" w:hanging="360"/>
      </w:pPr>
    </w:lvl>
    <w:lvl w:ilvl="5" w:tplc="0809001B" w:tentative="1">
      <w:start w:val="1"/>
      <w:numFmt w:val="lowerRoman"/>
      <w:lvlText w:val="%6."/>
      <w:lvlJc w:val="right"/>
      <w:pPr>
        <w:ind w:left="4035" w:hanging="180"/>
      </w:pPr>
    </w:lvl>
    <w:lvl w:ilvl="6" w:tplc="0809000F" w:tentative="1">
      <w:start w:val="1"/>
      <w:numFmt w:val="decimal"/>
      <w:lvlText w:val="%7."/>
      <w:lvlJc w:val="left"/>
      <w:pPr>
        <w:ind w:left="4755" w:hanging="360"/>
      </w:pPr>
    </w:lvl>
    <w:lvl w:ilvl="7" w:tplc="08090019" w:tentative="1">
      <w:start w:val="1"/>
      <w:numFmt w:val="lowerLetter"/>
      <w:lvlText w:val="%8."/>
      <w:lvlJc w:val="left"/>
      <w:pPr>
        <w:ind w:left="5475" w:hanging="360"/>
      </w:pPr>
    </w:lvl>
    <w:lvl w:ilvl="8" w:tplc="0809001B" w:tentative="1">
      <w:start w:val="1"/>
      <w:numFmt w:val="lowerRoman"/>
      <w:lvlText w:val="%9."/>
      <w:lvlJc w:val="right"/>
      <w:pPr>
        <w:ind w:left="6195" w:hanging="180"/>
      </w:pPr>
    </w:lvl>
  </w:abstractNum>
  <w:abstractNum w:abstractNumId="2" w15:restartNumberingAfterBreak="0">
    <w:nsid w:val="1B124161"/>
    <w:multiLevelType w:val="hybridMultilevel"/>
    <w:tmpl w:val="F27C1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B47BB1"/>
    <w:multiLevelType w:val="multilevel"/>
    <w:tmpl w:val="22F2E3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CF09B9"/>
    <w:multiLevelType w:val="hybridMultilevel"/>
    <w:tmpl w:val="52B6A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F006BF"/>
    <w:multiLevelType w:val="hybridMultilevel"/>
    <w:tmpl w:val="CC882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763B23"/>
    <w:multiLevelType w:val="hybridMultilevel"/>
    <w:tmpl w:val="FCD40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CE1B99"/>
    <w:multiLevelType w:val="multilevel"/>
    <w:tmpl w:val="DB4685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A67324"/>
    <w:multiLevelType w:val="hybridMultilevel"/>
    <w:tmpl w:val="F8FED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6432B7"/>
    <w:multiLevelType w:val="hybridMultilevel"/>
    <w:tmpl w:val="F8D820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5E7740C"/>
    <w:multiLevelType w:val="hybridMultilevel"/>
    <w:tmpl w:val="48A8BCBA"/>
    <w:lvl w:ilvl="0" w:tplc="345E8C70">
      <w:start w:val="1"/>
      <w:numFmt w:val="decimal"/>
      <w:lvlText w:val="%1."/>
      <w:lvlJc w:val="left"/>
      <w:pPr>
        <w:ind w:left="735" w:hanging="37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AEE2796"/>
    <w:multiLevelType w:val="multilevel"/>
    <w:tmpl w:val="531229C2"/>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2" w15:restartNumberingAfterBreak="0">
    <w:nsid w:val="67E763BE"/>
    <w:multiLevelType w:val="multilevel"/>
    <w:tmpl w:val="643CC1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A405B3"/>
    <w:multiLevelType w:val="hybridMultilevel"/>
    <w:tmpl w:val="C2F6D0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9"/>
  </w:num>
  <w:num w:numId="3">
    <w:abstractNumId w:val="5"/>
  </w:num>
  <w:num w:numId="4">
    <w:abstractNumId w:val="13"/>
  </w:num>
  <w:num w:numId="5">
    <w:abstractNumId w:val="0"/>
  </w:num>
  <w:num w:numId="6">
    <w:abstractNumId w:val="12"/>
  </w:num>
  <w:num w:numId="7">
    <w:abstractNumId w:val="7"/>
  </w:num>
  <w:num w:numId="8">
    <w:abstractNumId w:val="8"/>
  </w:num>
  <w:num w:numId="9">
    <w:abstractNumId w:val="3"/>
  </w:num>
  <w:num w:numId="10">
    <w:abstractNumId w:val="11"/>
  </w:num>
  <w:num w:numId="11">
    <w:abstractNumId w:val="6"/>
  </w:num>
  <w:num w:numId="12">
    <w:abstractNumId w:val="2"/>
  </w:num>
  <w:num w:numId="13">
    <w:abstractNumId w:val="10"/>
  </w:num>
  <w:num w:numId="1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6" w:nlCheck="1" w:checkStyle="1"/>
  <w:activeWritingStyle w:appName="MSWord" w:lang="en-GB" w:vendorID="64" w:dllVersion="0" w:nlCheck="1" w:checkStyle="0"/>
  <w:activeWritingStyle w:appName="MSWord" w:lang="en-US" w:vendorID="64" w:dllVersion="0" w:nlCheck="1" w:checkStyle="0"/>
  <w:activeWritingStyle w:appName="MSWord" w:lang="en-US" w:vendorID="64" w:dllVersion="6"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393A"/>
    <w:rsid w:val="00000CC7"/>
    <w:rsid w:val="00001B89"/>
    <w:rsid w:val="00005C8D"/>
    <w:rsid w:val="00007CA7"/>
    <w:rsid w:val="00014607"/>
    <w:rsid w:val="0001561E"/>
    <w:rsid w:val="00016535"/>
    <w:rsid w:val="00016E19"/>
    <w:rsid w:val="000171D5"/>
    <w:rsid w:val="000232DE"/>
    <w:rsid w:val="00023640"/>
    <w:rsid w:val="00025DD7"/>
    <w:rsid w:val="00030934"/>
    <w:rsid w:val="00030AEE"/>
    <w:rsid w:val="000347B6"/>
    <w:rsid w:val="00037A47"/>
    <w:rsid w:val="000415DE"/>
    <w:rsid w:val="00043CA3"/>
    <w:rsid w:val="00044A88"/>
    <w:rsid w:val="00045C58"/>
    <w:rsid w:val="000464DB"/>
    <w:rsid w:val="0004687B"/>
    <w:rsid w:val="00047E39"/>
    <w:rsid w:val="0005099C"/>
    <w:rsid w:val="00051ABF"/>
    <w:rsid w:val="00052CA1"/>
    <w:rsid w:val="00052EA4"/>
    <w:rsid w:val="00054C68"/>
    <w:rsid w:val="00056F4B"/>
    <w:rsid w:val="0006199D"/>
    <w:rsid w:val="00062614"/>
    <w:rsid w:val="0006263A"/>
    <w:rsid w:val="00063053"/>
    <w:rsid w:val="00063A0B"/>
    <w:rsid w:val="000641C6"/>
    <w:rsid w:val="000644B4"/>
    <w:rsid w:val="00066313"/>
    <w:rsid w:val="000665BB"/>
    <w:rsid w:val="00070E4D"/>
    <w:rsid w:val="00075F73"/>
    <w:rsid w:val="00076551"/>
    <w:rsid w:val="00077214"/>
    <w:rsid w:val="00080716"/>
    <w:rsid w:val="00081404"/>
    <w:rsid w:val="00082A1C"/>
    <w:rsid w:val="00084EF1"/>
    <w:rsid w:val="00085499"/>
    <w:rsid w:val="00086CEE"/>
    <w:rsid w:val="00090E27"/>
    <w:rsid w:val="00091668"/>
    <w:rsid w:val="0009214C"/>
    <w:rsid w:val="00094E42"/>
    <w:rsid w:val="000955B8"/>
    <w:rsid w:val="00096FE7"/>
    <w:rsid w:val="00097E34"/>
    <w:rsid w:val="000A1DE0"/>
    <w:rsid w:val="000A3246"/>
    <w:rsid w:val="000A3D72"/>
    <w:rsid w:val="000B3FC4"/>
    <w:rsid w:val="000B4909"/>
    <w:rsid w:val="000C04A9"/>
    <w:rsid w:val="000C0A61"/>
    <w:rsid w:val="000C0DB1"/>
    <w:rsid w:val="000C1A01"/>
    <w:rsid w:val="000C3FF6"/>
    <w:rsid w:val="000C45FA"/>
    <w:rsid w:val="000C5BB8"/>
    <w:rsid w:val="000C5C90"/>
    <w:rsid w:val="000C6540"/>
    <w:rsid w:val="000C79E8"/>
    <w:rsid w:val="000D1E7F"/>
    <w:rsid w:val="000D4731"/>
    <w:rsid w:val="000D5DEC"/>
    <w:rsid w:val="000D6B14"/>
    <w:rsid w:val="000E07FD"/>
    <w:rsid w:val="000E5B97"/>
    <w:rsid w:val="000E68E8"/>
    <w:rsid w:val="000E7AC7"/>
    <w:rsid w:val="000F0E52"/>
    <w:rsid w:val="000F3E0C"/>
    <w:rsid w:val="000F52F2"/>
    <w:rsid w:val="000F6B92"/>
    <w:rsid w:val="000F7C2D"/>
    <w:rsid w:val="001015AF"/>
    <w:rsid w:val="0010426C"/>
    <w:rsid w:val="0010621C"/>
    <w:rsid w:val="001103BB"/>
    <w:rsid w:val="001141E5"/>
    <w:rsid w:val="001144C1"/>
    <w:rsid w:val="0011468E"/>
    <w:rsid w:val="00114F8F"/>
    <w:rsid w:val="0011590B"/>
    <w:rsid w:val="00116FA0"/>
    <w:rsid w:val="001174C3"/>
    <w:rsid w:val="001258CA"/>
    <w:rsid w:val="0013033F"/>
    <w:rsid w:val="00131B27"/>
    <w:rsid w:val="00135DAD"/>
    <w:rsid w:val="0013762D"/>
    <w:rsid w:val="0014043B"/>
    <w:rsid w:val="001447BC"/>
    <w:rsid w:val="00145060"/>
    <w:rsid w:val="00151608"/>
    <w:rsid w:val="00152813"/>
    <w:rsid w:val="00153E52"/>
    <w:rsid w:val="00156FBC"/>
    <w:rsid w:val="001578A4"/>
    <w:rsid w:val="00160AB5"/>
    <w:rsid w:val="00162789"/>
    <w:rsid w:val="0016376A"/>
    <w:rsid w:val="00163D97"/>
    <w:rsid w:val="00165AD0"/>
    <w:rsid w:val="0016604E"/>
    <w:rsid w:val="001666BD"/>
    <w:rsid w:val="00170F41"/>
    <w:rsid w:val="00172919"/>
    <w:rsid w:val="00173975"/>
    <w:rsid w:val="00176D2E"/>
    <w:rsid w:val="00182A4A"/>
    <w:rsid w:val="00183072"/>
    <w:rsid w:val="0018332A"/>
    <w:rsid w:val="001834C7"/>
    <w:rsid w:val="0018693B"/>
    <w:rsid w:val="0019160E"/>
    <w:rsid w:val="001917FF"/>
    <w:rsid w:val="0019328B"/>
    <w:rsid w:val="00193718"/>
    <w:rsid w:val="00194D38"/>
    <w:rsid w:val="0019510E"/>
    <w:rsid w:val="00195A03"/>
    <w:rsid w:val="00196CC9"/>
    <w:rsid w:val="00197B52"/>
    <w:rsid w:val="001A0A28"/>
    <w:rsid w:val="001A3547"/>
    <w:rsid w:val="001A4C26"/>
    <w:rsid w:val="001A5CDE"/>
    <w:rsid w:val="001A5DBF"/>
    <w:rsid w:val="001B1723"/>
    <w:rsid w:val="001B2BC1"/>
    <w:rsid w:val="001B2BD1"/>
    <w:rsid w:val="001B2F56"/>
    <w:rsid w:val="001B3218"/>
    <w:rsid w:val="001B391B"/>
    <w:rsid w:val="001B4465"/>
    <w:rsid w:val="001B45CB"/>
    <w:rsid w:val="001B4C1D"/>
    <w:rsid w:val="001B63D8"/>
    <w:rsid w:val="001B73DF"/>
    <w:rsid w:val="001C4FD8"/>
    <w:rsid w:val="001C5645"/>
    <w:rsid w:val="001C6584"/>
    <w:rsid w:val="001C737D"/>
    <w:rsid w:val="001D1BF4"/>
    <w:rsid w:val="001D5916"/>
    <w:rsid w:val="001D59B6"/>
    <w:rsid w:val="001D5DD0"/>
    <w:rsid w:val="001D6C2C"/>
    <w:rsid w:val="001E06C6"/>
    <w:rsid w:val="001E181F"/>
    <w:rsid w:val="001E2115"/>
    <w:rsid w:val="001E2A6D"/>
    <w:rsid w:val="001E437C"/>
    <w:rsid w:val="001E4B25"/>
    <w:rsid w:val="001E5CBA"/>
    <w:rsid w:val="001E5E9C"/>
    <w:rsid w:val="001E7B44"/>
    <w:rsid w:val="001F0A8F"/>
    <w:rsid w:val="001F1059"/>
    <w:rsid w:val="001F18C9"/>
    <w:rsid w:val="001F1F1F"/>
    <w:rsid w:val="001F39FB"/>
    <w:rsid w:val="001F3A39"/>
    <w:rsid w:val="001F4661"/>
    <w:rsid w:val="001F4C24"/>
    <w:rsid w:val="001F4C30"/>
    <w:rsid w:val="001F4D1F"/>
    <w:rsid w:val="00200660"/>
    <w:rsid w:val="002007E1"/>
    <w:rsid w:val="002009F7"/>
    <w:rsid w:val="00203AFC"/>
    <w:rsid w:val="00205260"/>
    <w:rsid w:val="00206A2E"/>
    <w:rsid w:val="0020701A"/>
    <w:rsid w:val="00207B4C"/>
    <w:rsid w:val="00207D24"/>
    <w:rsid w:val="00214C41"/>
    <w:rsid w:val="00215212"/>
    <w:rsid w:val="00215808"/>
    <w:rsid w:val="002159CB"/>
    <w:rsid w:val="00215AD6"/>
    <w:rsid w:val="00215C28"/>
    <w:rsid w:val="0022284C"/>
    <w:rsid w:val="00222EA6"/>
    <w:rsid w:val="00224248"/>
    <w:rsid w:val="00227953"/>
    <w:rsid w:val="00230E09"/>
    <w:rsid w:val="00231BA0"/>
    <w:rsid w:val="002414CF"/>
    <w:rsid w:val="002415C0"/>
    <w:rsid w:val="00241BB5"/>
    <w:rsid w:val="00241C1D"/>
    <w:rsid w:val="002433BE"/>
    <w:rsid w:val="00246440"/>
    <w:rsid w:val="002464ED"/>
    <w:rsid w:val="00247256"/>
    <w:rsid w:val="00247953"/>
    <w:rsid w:val="00253480"/>
    <w:rsid w:val="00253768"/>
    <w:rsid w:val="00254509"/>
    <w:rsid w:val="002559E5"/>
    <w:rsid w:val="0025786B"/>
    <w:rsid w:val="00261738"/>
    <w:rsid w:val="00264A59"/>
    <w:rsid w:val="002655FA"/>
    <w:rsid w:val="002658D7"/>
    <w:rsid w:val="00265B7B"/>
    <w:rsid w:val="002668CD"/>
    <w:rsid w:val="00266A13"/>
    <w:rsid w:val="00267E6F"/>
    <w:rsid w:val="00271E05"/>
    <w:rsid w:val="00274EAF"/>
    <w:rsid w:val="00277165"/>
    <w:rsid w:val="002777C2"/>
    <w:rsid w:val="00277C9B"/>
    <w:rsid w:val="00280C9D"/>
    <w:rsid w:val="002826CB"/>
    <w:rsid w:val="0028270B"/>
    <w:rsid w:val="00284E56"/>
    <w:rsid w:val="002860E6"/>
    <w:rsid w:val="00286DFC"/>
    <w:rsid w:val="00290646"/>
    <w:rsid w:val="00290B43"/>
    <w:rsid w:val="002947C4"/>
    <w:rsid w:val="00294C37"/>
    <w:rsid w:val="00294F48"/>
    <w:rsid w:val="00296B59"/>
    <w:rsid w:val="002A241F"/>
    <w:rsid w:val="002A461F"/>
    <w:rsid w:val="002A576B"/>
    <w:rsid w:val="002A5F4C"/>
    <w:rsid w:val="002A6C21"/>
    <w:rsid w:val="002B012E"/>
    <w:rsid w:val="002B14AE"/>
    <w:rsid w:val="002B187D"/>
    <w:rsid w:val="002B18F7"/>
    <w:rsid w:val="002B1CDC"/>
    <w:rsid w:val="002B4C78"/>
    <w:rsid w:val="002B5931"/>
    <w:rsid w:val="002B5A97"/>
    <w:rsid w:val="002B5FA9"/>
    <w:rsid w:val="002B6238"/>
    <w:rsid w:val="002B673C"/>
    <w:rsid w:val="002B6B73"/>
    <w:rsid w:val="002B751B"/>
    <w:rsid w:val="002C27BC"/>
    <w:rsid w:val="002C4A60"/>
    <w:rsid w:val="002C537F"/>
    <w:rsid w:val="002C54C8"/>
    <w:rsid w:val="002C7210"/>
    <w:rsid w:val="002C72E0"/>
    <w:rsid w:val="002D0016"/>
    <w:rsid w:val="002D1B49"/>
    <w:rsid w:val="002D44DC"/>
    <w:rsid w:val="002E20FA"/>
    <w:rsid w:val="002E422D"/>
    <w:rsid w:val="002E4304"/>
    <w:rsid w:val="002E5064"/>
    <w:rsid w:val="002E5496"/>
    <w:rsid w:val="002E5953"/>
    <w:rsid w:val="002E6A4E"/>
    <w:rsid w:val="002E73E4"/>
    <w:rsid w:val="002E7972"/>
    <w:rsid w:val="002F0185"/>
    <w:rsid w:val="002F25D3"/>
    <w:rsid w:val="002F4D22"/>
    <w:rsid w:val="002F688F"/>
    <w:rsid w:val="002F6EAC"/>
    <w:rsid w:val="003009F3"/>
    <w:rsid w:val="00302ABD"/>
    <w:rsid w:val="00302C3D"/>
    <w:rsid w:val="003047F7"/>
    <w:rsid w:val="003052AC"/>
    <w:rsid w:val="003068D8"/>
    <w:rsid w:val="00313022"/>
    <w:rsid w:val="00314762"/>
    <w:rsid w:val="00314A56"/>
    <w:rsid w:val="00316481"/>
    <w:rsid w:val="00317F90"/>
    <w:rsid w:val="003207F6"/>
    <w:rsid w:val="00322BB1"/>
    <w:rsid w:val="00323251"/>
    <w:rsid w:val="0032434A"/>
    <w:rsid w:val="0032454E"/>
    <w:rsid w:val="0033345D"/>
    <w:rsid w:val="003367F8"/>
    <w:rsid w:val="00336CC6"/>
    <w:rsid w:val="00336EB0"/>
    <w:rsid w:val="0034340C"/>
    <w:rsid w:val="00344FC5"/>
    <w:rsid w:val="00351C2E"/>
    <w:rsid w:val="00352245"/>
    <w:rsid w:val="0035273B"/>
    <w:rsid w:val="00352C46"/>
    <w:rsid w:val="00353137"/>
    <w:rsid w:val="0035445E"/>
    <w:rsid w:val="0035575F"/>
    <w:rsid w:val="003559FF"/>
    <w:rsid w:val="003564FA"/>
    <w:rsid w:val="00360096"/>
    <w:rsid w:val="00360CE2"/>
    <w:rsid w:val="0036308C"/>
    <w:rsid w:val="00363982"/>
    <w:rsid w:val="00363C67"/>
    <w:rsid w:val="00364282"/>
    <w:rsid w:val="0036532E"/>
    <w:rsid w:val="00365702"/>
    <w:rsid w:val="003715FF"/>
    <w:rsid w:val="00371800"/>
    <w:rsid w:val="0037280D"/>
    <w:rsid w:val="00373C8F"/>
    <w:rsid w:val="00373D47"/>
    <w:rsid w:val="00374479"/>
    <w:rsid w:val="003776A3"/>
    <w:rsid w:val="00380421"/>
    <w:rsid w:val="00383F78"/>
    <w:rsid w:val="0038586A"/>
    <w:rsid w:val="0038699F"/>
    <w:rsid w:val="003908A0"/>
    <w:rsid w:val="003924A3"/>
    <w:rsid w:val="00393AE1"/>
    <w:rsid w:val="00393D45"/>
    <w:rsid w:val="003945B6"/>
    <w:rsid w:val="00394EA2"/>
    <w:rsid w:val="003955E4"/>
    <w:rsid w:val="00395C8F"/>
    <w:rsid w:val="003971AE"/>
    <w:rsid w:val="00397D09"/>
    <w:rsid w:val="003A095E"/>
    <w:rsid w:val="003A1090"/>
    <w:rsid w:val="003A188B"/>
    <w:rsid w:val="003A4BE6"/>
    <w:rsid w:val="003A6328"/>
    <w:rsid w:val="003A68CE"/>
    <w:rsid w:val="003A73E3"/>
    <w:rsid w:val="003A76D4"/>
    <w:rsid w:val="003B27F0"/>
    <w:rsid w:val="003B3013"/>
    <w:rsid w:val="003B57C0"/>
    <w:rsid w:val="003B6DE9"/>
    <w:rsid w:val="003B71CF"/>
    <w:rsid w:val="003C06DD"/>
    <w:rsid w:val="003C135A"/>
    <w:rsid w:val="003C1ADB"/>
    <w:rsid w:val="003C1D7D"/>
    <w:rsid w:val="003C2CAD"/>
    <w:rsid w:val="003C2F84"/>
    <w:rsid w:val="003C3956"/>
    <w:rsid w:val="003C4128"/>
    <w:rsid w:val="003C436C"/>
    <w:rsid w:val="003C5186"/>
    <w:rsid w:val="003C5C13"/>
    <w:rsid w:val="003C6FDC"/>
    <w:rsid w:val="003C7F8F"/>
    <w:rsid w:val="003D03F5"/>
    <w:rsid w:val="003D31CC"/>
    <w:rsid w:val="003D5F5D"/>
    <w:rsid w:val="003D6337"/>
    <w:rsid w:val="003D648C"/>
    <w:rsid w:val="003D6F17"/>
    <w:rsid w:val="003D7A5E"/>
    <w:rsid w:val="003E0E39"/>
    <w:rsid w:val="003E1D87"/>
    <w:rsid w:val="003E26F3"/>
    <w:rsid w:val="003E2C37"/>
    <w:rsid w:val="003E358C"/>
    <w:rsid w:val="003E388D"/>
    <w:rsid w:val="003E47B7"/>
    <w:rsid w:val="003E5F2D"/>
    <w:rsid w:val="003E61B3"/>
    <w:rsid w:val="003F0A8D"/>
    <w:rsid w:val="003F0E8A"/>
    <w:rsid w:val="003F35F1"/>
    <w:rsid w:val="003F3941"/>
    <w:rsid w:val="003F3AC7"/>
    <w:rsid w:val="003F422F"/>
    <w:rsid w:val="003F4FA6"/>
    <w:rsid w:val="003F7D53"/>
    <w:rsid w:val="00401326"/>
    <w:rsid w:val="00401703"/>
    <w:rsid w:val="0040306C"/>
    <w:rsid w:val="00410E82"/>
    <w:rsid w:val="00414620"/>
    <w:rsid w:val="00414772"/>
    <w:rsid w:val="00417763"/>
    <w:rsid w:val="00420009"/>
    <w:rsid w:val="00422FDA"/>
    <w:rsid w:val="00424110"/>
    <w:rsid w:val="004242AC"/>
    <w:rsid w:val="00425E96"/>
    <w:rsid w:val="00426EEE"/>
    <w:rsid w:val="00430F90"/>
    <w:rsid w:val="00430FCD"/>
    <w:rsid w:val="00432271"/>
    <w:rsid w:val="00433C4D"/>
    <w:rsid w:val="00435B9A"/>
    <w:rsid w:val="004370A1"/>
    <w:rsid w:val="00437E86"/>
    <w:rsid w:val="00444213"/>
    <w:rsid w:val="00444776"/>
    <w:rsid w:val="00447D85"/>
    <w:rsid w:val="00450379"/>
    <w:rsid w:val="00451636"/>
    <w:rsid w:val="00451A38"/>
    <w:rsid w:val="0045761A"/>
    <w:rsid w:val="00457F27"/>
    <w:rsid w:val="0046045E"/>
    <w:rsid w:val="0046316D"/>
    <w:rsid w:val="00466501"/>
    <w:rsid w:val="004665CB"/>
    <w:rsid w:val="004702CC"/>
    <w:rsid w:val="0047089C"/>
    <w:rsid w:val="00476FE7"/>
    <w:rsid w:val="004770E4"/>
    <w:rsid w:val="00481AC2"/>
    <w:rsid w:val="004827E9"/>
    <w:rsid w:val="00484AB4"/>
    <w:rsid w:val="004857AA"/>
    <w:rsid w:val="00485F24"/>
    <w:rsid w:val="004861A8"/>
    <w:rsid w:val="00491463"/>
    <w:rsid w:val="00492D4A"/>
    <w:rsid w:val="0049695A"/>
    <w:rsid w:val="004978E7"/>
    <w:rsid w:val="00497EC0"/>
    <w:rsid w:val="004A02DC"/>
    <w:rsid w:val="004A0AAC"/>
    <w:rsid w:val="004A1098"/>
    <w:rsid w:val="004A439D"/>
    <w:rsid w:val="004A5777"/>
    <w:rsid w:val="004A7FF7"/>
    <w:rsid w:val="004B0060"/>
    <w:rsid w:val="004B0F48"/>
    <w:rsid w:val="004B3055"/>
    <w:rsid w:val="004B31ED"/>
    <w:rsid w:val="004B394F"/>
    <w:rsid w:val="004B5578"/>
    <w:rsid w:val="004B58FF"/>
    <w:rsid w:val="004B77E7"/>
    <w:rsid w:val="004C0D54"/>
    <w:rsid w:val="004C0F15"/>
    <w:rsid w:val="004C304E"/>
    <w:rsid w:val="004C5450"/>
    <w:rsid w:val="004C612B"/>
    <w:rsid w:val="004D1AF5"/>
    <w:rsid w:val="004D426A"/>
    <w:rsid w:val="004D592C"/>
    <w:rsid w:val="004D63B2"/>
    <w:rsid w:val="004D6906"/>
    <w:rsid w:val="004D6FAE"/>
    <w:rsid w:val="004E0FD2"/>
    <w:rsid w:val="004E29B7"/>
    <w:rsid w:val="004E2F2C"/>
    <w:rsid w:val="004F0F98"/>
    <w:rsid w:val="004F27E8"/>
    <w:rsid w:val="004F3088"/>
    <w:rsid w:val="004F34C5"/>
    <w:rsid w:val="004F4F41"/>
    <w:rsid w:val="004F5D26"/>
    <w:rsid w:val="0050161B"/>
    <w:rsid w:val="00504712"/>
    <w:rsid w:val="00504D1A"/>
    <w:rsid w:val="00506522"/>
    <w:rsid w:val="00507165"/>
    <w:rsid w:val="00507D32"/>
    <w:rsid w:val="00507FB5"/>
    <w:rsid w:val="0051082D"/>
    <w:rsid w:val="0051205D"/>
    <w:rsid w:val="00514CAD"/>
    <w:rsid w:val="00515EAF"/>
    <w:rsid w:val="00516769"/>
    <w:rsid w:val="00517000"/>
    <w:rsid w:val="0052003F"/>
    <w:rsid w:val="0052144E"/>
    <w:rsid w:val="00522004"/>
    <w:rsid w:val="005246C4"/>
    <w:rsid w:val="00524EFA"/>
    <w:rsid w:val="005271E5"/>
    <w:rsid w:val="00531250"/>
    <w:rsid w:val="00531B82"/>
    <w:rsid w:val="00534818"/>
    <w:rsid w:val="00534E25"/>
    <w:rsid w:val="00535501"/>
    <w:rsid w:val="0053599C"/>
    <w:rsid w:val="00535A7E"/>
    <w:rsid w:val="005374D8"/>
    <w:rsid w:val="00540FA3"/>
    <w:rsid w:val="00541A64"/>
    <w:rsid w:val="00545DBA"/>
    <w:rsid w:val="00553258"/>
    <w:rsid w:val="00554231"/>
    <w:rsid w:val="00554845"/>
    <w:rsid w:val="00556E7F"/>
    <w:rsid w:val="00557741"/>
    <w:rsid w:val="005578FA"/>
    <w:rsid w:val="00557AB5"/>
    <w:rsid w:val="005602A1"/>
    <w:rsid w:val="0056199F"/>
    <w:rsid w:val="00561FCB"/>
    <w:rsid w:val="0056317E"/>
    <w:rsid w:val="005631A9"/>
    <w:rsid w:val="00565A82"/>
    <w:rsid w:val="00567279"/>
    <w:rsid w:val="00567359"/>
    <w:rsid w:val="005675B2"/>
    <w:rsid w:val="0056786C"/>
    <w:rsid w:val="0057026E"/>
    <w:rsid w:val="00571488"/>
    <w:rsid w:val="00574FCC"/>
    <w:rsid w:val="00575E38"/>
    <w:rsid w:val="00576841"/>
    <w:rsid w:val="00576F4D"/>
    <w:rsid w:val="00581687"/>
    <w:rsid w:val="00581D74"/>
    <w:rsid w:val="005823AA"/>
    <w:rsid w:val="0058247B"/>
    <w:rsid w:val="005901B1"/>
    <w:rsid w:val="00590784"/>
    <w:rsid w:val="00591B33"/>
    <w:rsid w:val="005941AE"/>
    <w:rsid w:val="0059570B"/>
    <w:rsid w:val="00597CC6"/>
    <w:rsid w:val="005A187C"/>
    <w:rsid w:val="005A276A"/>
    <w:rsid w:val="005A33A3"/>
    <w:rsid w:val="005A62D4"/>
    <w:rsid w:val="005A66F3"/>
    <w:rsid w:val="005A6883"/>
    <w:rsid w:val="005A6F36"/>
    <w:rsid w:val="005A73A5"/>
    <w:rsid w:val="005B05FC"/>
    <w:rsid w:val="005B1006"/>
    <w:rsid w:val="005B297F"/>
    <w:rsid w:val="005B6236"/>
    <w:rsid w:val="005B73CD"/>
    <w:rsid w:val="005B7594"/>
    <w:rsid w:val="005B7F23"/>
    <w:rsid w:val="005C3579"/>
    <w:rsid w:val="005C71D5"/>
    <w:rsid w:val="005D4127"/>
    <w:rsid w:val="005D5C50"/>
    <w:rsid w:val="005D621E"/>
    <w:rsid w:val="005D7A31"/>
    <w:rsid w:val="005E0C47"/>
    <w:rsid w:val="005E2394"/>
    <w:rsid w:val="005E3A1F"/>
    <w:rsid w:val="005E4D2E"/>
    <w:rsid w:val="005E5EE2"/>
    <w:rsid w:val="005E7643"/>
    <w:rsid w:val="005E7C54"/>
    <w:rsid w:val="005F02B1"/>
    <w:rsid w:val="005F17BC"/>
    <w:rsid w:val="005F1D1B"/>
    <w:rsid w:val="005F2F19"/>
    <w:rsid w:val="005F3262"/>
    <w:rsid w:val="005F3A3E"/>
    <w:rsid w:val="005F4949"/>
    <w:rsid w:val="005F7C74"/>
    <w:rsid w:val="00600E16"/>
    <w:rsid w:val="006048B3"/>
    <w:rsid w:val="00605D3B"/>
    <w:rsid w:val="00610CAA"/>
    <w:rsid w:val="0061199A"/>
    <w:rsid w:val="006119D6"/>
    <w:rsid w:val="00611F1E"/>
    <w:rsid w:val="0061235D"/>
    <w:rsid w:val="00612DA2"/>
    <w:rsid w:val="00613492"/>
    <w:rsid w:val="00615862"/>
    <w:rsid w:val="00615E64"/>
    <w:rsid w:val="0061617C"/>
    <w:rsid w:val="00621120"/>
    <w:rsid w:val="00621D93"/>
    <w:rsid w:val="00623FE3"/>
    <w:rsid w:val="006241E4"/>
    <w:rsid w:val="00626B0C"/>
    <w:rsid w:val="00627634"/>
    <w:rsid w:val="00635C30"/>
    <w:rsid w:val="006377C4"/>
    <w:rsid w:val="006402CE"/>
    <w:rsid w:val="00640407"/>
    <w:rsid w:val="00640562"/>
    <w:rsid w:val="006405B4"/>
    <w:rsid w:val="00641002"/>
    <w:rsid w:val="00642BD0"/>
    <w:rsid w:val="00642FDF"/>
    <w:rsid w:val="00644651"/>
    <w:rsid w:val="00645094"/>
    <w:rsid w:val="00645A4D"/>
    <w:rsid w:val="00645F3E"/>
    <w:rsid w:val="0064628B"/>
    <w:rsid w:val="0064732E"/>
    <w:rsid w:val="00650896"/>
    <w:rsid w:val="00653066"/>
    <w:rsid w:val="00653BDA"/>
    <w:rsid w:val="00654810"/>
    <w:rsid w:val="00660336"/>
    <w:rsid w:val="006622AC"/>
    <w:rsid w:val="0066378A"/>
    <w:rsid w:val="006654A4"/>
    <w:rsid w:val="00665671"/>
    <w:rsid w:val="006657F6"/>
    <w:rsid w:val="00670C8F"/>
    <w:rsid w:val="006719C7"/>
    <w:rsid w:val="00673569"/>
    <w:rsid w:val="0068000F"/>
    <w:rsid w:val="006800BE"/>
    <w:rsid w:val="0068038D"/>
    <w:rsid w:val="00680C7A"/>
    <w:rsid w:val="006812A6"/>
    <w:rsid w:val="006812A8"/>
    <w:rsid w:val="00681E1E"/>
    <w:rsid w:val="006820AE"/>
    <w:rsid w:val="00685472"/>
    <w:rsid w:val="006861F1"/>
    <w:rsid w:val="006869DC"/>
    <w:rsid w:val="0068766B"/>
    <w:rsid w:val="00687B2C"/>
    <w:rsid w:val="0069132A"/>
    <w:rsid w:val="00691AA7"/>
    <w:rsid w:val="00695B62"/>
    <w:rsid w:val="00695EBF"/>
    <w:rsid w:val="00695F08"/>
    <w:rsid w:val="006963CA"/>
    <w:rsid w:val="0069663F"/>
    <w:rsid w:val="006A0288"/>
    <w:rsid w:val="006A040E"/>
    <w:rsid w:val="006A0721"/>
    <w:rsid w:val="006A33C8"/>
    <w:rsid w:val="006B137C"/>
    <w:rsid w:val="006C29C1"/>
    <w:rsid w:val="006C2E22"/>
    <w:rsid w:val="006C3AFC"/>
    <w:rsid w:val="006C5300"/>
    <w:rsid w:val="006C5F9A"/>
    <w:rsid w:val="006D1DF3"/>
    <w:rsid w:val="006D2638"/>
    <w:rsid w:val="006D3774"/>
    <w:rsid w:val="006D3E01"/>
    <w:rsid w:val="006D4791"/>
    <w:rsid w:val="006D4884"/>
    <w:rsid w:val="006D71E7"/>
    <w:rsid w:val="006D7832"/>
    <w:rsid w:val="006D7E61"/>
    <w:rsid w:val="006E5285"/>
    <w:rsid w:val="006E53DF"/>
    <w:rsid w:val="006E5DC5"/>
    <w:rsid w:val="006E6473"/>
    <w:rsid w:val="006F59F1"/>
    <w:rsid w:val="006F6A18"/>
    <w:rsid w:val="00700326"/>
    <w:rsid w:val="00700D03"/>
    <w:rsid w:val="0070151C"/>
    <w:rsid w:val="0070273E"/>
    <w:rsid w:val="00702AC6"/>
    <w:rsid w:val="00706A49"/>
    <w:rsid w:val="0070704A"/>
    <w:rsid w:val="00710CA6"/>
    <w:rsid w:val="00711604"/>
    <w:rsid w:val="007127E5"/>
    <w:rsid w:val="00712C68"/>
    <w:rsid w:val="00714294"/>
    <w:rsid w:val="00714920"/>
    <w:rsid w:val="007154BE"/>
    <w:rsid w:val="0071738A"/>
    <w:rsid w:val="00717F19"/>
    <w:rsid w:val="007208D3"/>
    <w:rsid w:val="00723686"/>
    <w:rsid w:val="00724660"/>
    <w:rsid w:val="00726B37"/>
    <w:rsid w:val="00727187"/>
    <w:rsid w:val="007272AE"/>
    <w:rsid w:val="00730405"/>
    <w:rsid w:val="0073061C"/>
    <w:rsid w:val="00732012"/>
    <w:rsid w:val="007327DD"/>
    <w:rsid w:val="0073380E"/>
    <w:rsid w:val="00734937"/>
    <w:rsid w:val="00735288"/>
    <w:rsid w:val="00735E95"/>
    <w:rsid w:val="00737A28"/>
    <w:rsid w:val="00737C02"/>
    <w:rsid w:val="0074095B"/>
    <w:rsid w:val="00740AF7"/>
    <w:rsid w:val="007429F9"/>
    <w:rsid w:val="00743962"/>
    <w:rsid w:val="00743E63"/>
    <w:rsid w:val="00743F05"/>
    <w:rsid w:val="00744C22"/>
    <w:rsid w:val="0074514A"/>
    <w:rsid w:val="00746E12"/>
    <w:rsid w:val="00746E43"/>
    <w:rsid w:val="00747873"/>
    <w:rsid w:val="00747B25"/>
    <w:rsid w:val="00752FE6"/>
    <w:rsid w:val="0075390D"/>
    <w:rsid w:val="00754FAD"/>
    <w:rsid w:val="007554BD"/>
    <w:rsid w:val="00756D87"/>
    <w:rsid w:val="00757730"/>
    <w:rsid w:val="00760E98"/>
    <w:rsid w:val="00761D03"/>
    <w:rsid w:val="00763B4B"/>
    <w:rsid w:val="00763EEB"/>
    <w:rsid w:val="00763F57"/>
    <w:rsid w:val="00764083"/>
    <w:rsid w:val="00764232"/>
    <w:rsid w:val="00764CD6"/>
    <w:rsid w:val="0076525E"/>
    <w:rsid w:val="007654A6"/>
    <w:rsid w:val="00765B60"/>
    <w:rsid w:val="00767419"/>
    <w:rsid w:val="0077069E"/>
    <w:rsid w:val="00773578"/>
    <w:rsid w:val="00773F1B"/>
    <w:rsid w:val="00774926"/>
    <w:rsid w:val="00774D7C"/>
    <w:rsid w:val="00774E90"/>
    <w:rsid w:val="007750AD"/>
    <w:rsid w:val="00781EC3"/>
    <w:rsid w:val="00782981"/>
    <w:rsid w:val="0078347D"/>
    <w:rsid w:val="00786597"/>
    <w:rsid w:val="0079051A"/>
    <w:rsid w:val="0079239A"/>
    <w:rsid w:val="007925E3"/>
    <w:rsid w:val="0079390A"/>
    <w:rsid w:val="00793DC6"/>
    <w:rsid w:val="00796265"/>
    <w:rsid w:val="00796484"/>
    <w:rsid w:val="00796FC4"/>
    <w:rsid w:val="00797680"/>
    <w:rsid w:val="007A115E"/>
    <w:rsid w:val="007A533D"/>
    <w:rsid w:val="007A5AA5"/>
    <w:rsid w:val="007A7495"/>
    <w:rsid w:val="007A7BB0"/>
    <w:rsid w:val="007B25A7"/>
    <w:rsid w:val="007B28DD"/>
    <w:rsid w:val="007B473A"/>
    <w:rsid w:val="007B4792"/>
    <w:rsid w:val="007B5B5F"/>
    <w:rsid w:val="007B6D25"/>
    <w:rsid w:val="007C4241"/>
    <w:rsid w:val="007C5CE4"/>
    <w:rsid w:val="007C64D4"/>
    <w:rsid w:val="007C6AD5"/>
    <w:rsid w:val="007D0223"/>
    <w:rsid w:val="007D05A2"/>
    <w:rsid w:val="007D12D8"/>
    <w:rsid w:val="007D2EE5"/>
    <w:rsid w:val="007D386A"/>
    <w:rsid w:val="007D6B5E"/>
    <w:rsid w:val="007F3C47"/>
    <w:rsid w:val="007F4F97"/>
    <w:rsid w:val="007F5F86"/>
    <w:rsid w:val="007F618B"/>
    <w:rsid w:val="007F6A1F"/>
    <w:rsid w:val="007F6E21"/>
    <w:rsid w:val="007F7F35"/>
    <w:rsid w:val="00801190"/>
    <w:rsid w:val="008036B3"/>
    <w:rsid w:val="00803965"/>
    <w:rsid w:val="00803AE6"/>
    <w:rsid w:val="00803DC5"/>
    <w:rsid w:val="0080486C"/>
    <w:rsid w:val="008054F3"/>
    <w:rsid w:val="00811A09"/>
    <w:rsid w:val="008138C4"/>
    <w:rsid w:val="00813A5C"/>
    <w:rsid w:val="0081438A"/>
    <w:rsid w:val="00820C67"/>
    <w:rsid w:val="008211BE"/>
    <w:rsid w:val="00821D1C"/>
    <w:rsid w:val="00822D24"/>
    <w:rsid w:val="0082513E"/>
    <w:rsid w:val="00825CDE"/>
    <w:rsid w:val="00826059"/>
    <w:rsid w:val="00826113"/>
    <w:rsid w:val="00833505"/>
    <w:rsid w:val="00834856"/>
    <w:rsid w:val="00835F6C"/>
    <w:rsid w:val="00836C4D"/>
    <w:rsid w:val="00842687"/>
    <w:rsid w:val="00844436"/>
    <w:rsid w:val="00844B4C"/>
    <w:rsid w:val="00845827"/>
    <w:rsid w:val="00845BC0"/>
    <w:rsid w:val="00845BC9"/>
    <w:rsid w:val="00847B60"/>
    <w:rsid w:val="00853B55"/>
    <w:rsid w:val="00854579"/>
    <w:rsid w:val="008547AA"/>
    <w:rsid w:val="00854CCE"/>
    <w:rsid w:val="00855130"/>
    <w:rsid w:val="00856A5A"/>
    <w:rsid w:val="00857B88"/>
    <w:rsid w:val="00860281"/>
    <w:rsid w:val="0086271B"/>
    <w:rsid w:val="00863AF8"/>
    <w:rsid w:val="008647E7"/>
    <w:rsid w:val="0086656E"/>
    <w:rsid w:val="00870382"/>
    <w:rsid w:val="00872292"/>
    <w:rsid w:val="00873D3E"/>
    <w:rsid w:val="008743E6"/>
    <w:rsid w:val="008754E7"/>
    <w:rsid w:val="00881116"/>
    <w:rsid w:val="00886400"/>
    <w:rsid w:val="00886867"/>
    <w:rsid w:val="00886CA7"/>
    <w:rsid w:val="00887919"/>
    <w:rsid w:val="008924A5"/>
    <w:rsid w:val="008935D5"/>
    <w:rsid w:val="008963C6"/>
    <w:rsid w:val="008976BC"/>
    <w:rsid w:val="008A0DBC"/>
    <w:rsid w:val="008A1961"/>
    <w:rsid w:val="008A315D"/>
    <w:rsid w:val="008A527E"/>
    <w:rsid w:val="008A5E3B"/>
    <w:rsid w:val="008A63FC"/>
    <w:rsid w:val="008A70E5"/>
    <w:rsid w:val="008A796D"/>
    <w:rsid w:val="008B29BF"/>
    <w:rsid w:val="008B316D"/>
    <w:rsid w:val="008B5F4C"/>
    <w:rsid w:val="008C4618"/>
    <w:rsid w:val="008D0CE4"/>
    <w:rsid w:val="008D1DA5"/>
    <w:rsid w:val="008D2BE7"/>
    <w:rsid w:val="008D5617"/>
    <w:rsid w:val="008D70A1"/>
    <w:rsid w:val="008E12C8"/>
    <w:rsid w:val="008E2FFF"/>
    <w:rsid w:val="008E5BA1"/>
    <w:rsid w:val="008E6D80"/>
    <w:rsid w:val="008E754D"/>
    <w:rsid w:val="008E7D84"/>
    <w:rsid w:val="008F00F6"/>
    <w:rsid w:val="008F0B3E"/>
    <w:rsid w:val="008F5BEC"/>
    <w:rsid w:val="00902D58"/>
    <w:rsid w:val="00905753"/>
    <w:rsid w:val="00905F3D"/>
    <w:rsid w:val="009061C2"/>
    <w:rsid w:val="00907471"/>
    <w:rsid w:val="00907CFF"/>
    <w:rsid w:val="0091005C"/>
    <w:rsid w:val="009104B7"/>
    <w:rsid w:val="00911387"/>
    <w:rsid w:val="009128FE"/>
    <w:rsid w:val="009129D7"/>
    <w:rsid w:val="00912ADA"/>
    <w:rsid w:val="009150E7"/>
    <w:rsid w:val="00915C82"/>
    <w:rsid w:val="00920FB4"/>
    <w:rsid w:val="00921776"/>
    <w:rsid w:val="00921BFD"/>
    <w:rsid w:val="00922374"/>
    <w:rsid w:val="00924320"/>
    <w:rsid w:val="00925374"/>
    <w:rsid w:val="00925712"/>
    <w:rsid w:val="00926BF4"/>
    <w:rsid w:val="009305A2"/>
    <w:rsid w:val="00931432"/>
    <w:rsid w:val="00932670"/>
    <w:rsid w:val="00932F02"/>
    <w:rsid w:val="009338E2"/>
    <w:rsid w:val="009343EF"/>
    <w:rsid w:val="009350A2"/>
    <w:rsid w:val="00936688"/>
    <w:rsid w:val="00937D06"/>
    <w:rsid w:val="00937F31"/>
    <w:rsid w:val="00940373"/>
    <w:rsid w:val="00941628"/>
    <w:rsid w:val="00941DAC"/>
    <w:rsid w:val="00942871"/>
    <w:rsid w:val="00946273"/>
    <w:rsid w:val="009470A7"/>
    <w:rsid w:val="00954ED4"/>
    <w:rsid w:val="00956299"/>
    <w:rsid w:val="00956A8F"/>
    <w:rsid w:val="00960448"/>
    <w:rsid w:val="009607F8"/>
    <w:rsid w:val="00963A76"/>
    <w:rsid w:val="00963BC1"/>
    <w:rsid w:val="009646A1"/>
    <w:rsid w:val="009653CD"/>
    <w:rsid w:val="0096596D"/>
    <w:rsid w:val="0096702C"/>
    <w:rsid w:val="009677CA"/>
    <w:rsid w:val="009704EF"/>
    <w:rsid w:val="00970A6E"/>
    <w:rsid w:val="009725AD"/>
    <w:rsid w:val="0097455D"/>
    <w:rsid w:val="00980C7E"/>
    <w:rsid w:val="00982C0B"/>
    <w:rsid w:val="00983707"/>
    <w:rsid w:val="00983E7A"/>
    <w:rsid w:val="009841C4"/>
    <w:rsid w:val="009849CA"/>
    <w:rsid w:val="00984CEE"/>
    <w:rsid w:val="0098674E"/>
    <w:rsid w:val="009868AB"/>
    <w:rsid w:val="009907D7"/>
    <w:rsid w:val="00991D4D"/>
    <w:rsid w:val="009932EA"/>
    <w:rsid w:val="00994ACA"/>
    <w:rsid w:val="00995A6B"/>
    <w:rsid w:val="00995FE5"/>
    <w:rsid w:val="009974C5"/>
    <w:rsid w:val="009A031A"/>
    <w:rsid w:val="009A156A"/>
    <w:rsid w:val="009A5743"/>
    <w:rsid w:val="009A5E76"/>
    <w:rsid w:val="009A7582"/>
    <w:rsid w:val="009B2B90"/>
    <w:rsid w:val="009B3FDE"/>
    <w:rsid w:val="009C0338"/>
    <w:rsid w:val="009C16D9"/>
    <w:rsid w:val="009C1F8D"/>
    <w:rsid w:val="009C232A"/>
    <w:rsid w:val="009C3C31"/>
    <w:rsid w:val="009C4FD1"/>
    <w:rsid w:val="009D0241"/>
    <w:rsid w:val="009D0A21"/>
    <w:rsid w:val="009D1015"/>
    <w:rsid w:val="009D24C5"/>
    <w:rsid w:val="009D3409"/>
    <w:rsid w:val="009D45BD"/>
    <w:rsid w:val="009D4EF2"/>
    <w:rsid w:val="009D7F0E"/>
    <w:rsid w:val="009E08C0"/>
    <w:rsid w:val="009E2457"/>
    <w:rsid w:val="009E5388"/>
    <w:rsid w:val="009E54FE"/>
    <w:rsid w:val="009E6624"/>
    <w:rsid w:val="009F1C7A"/>
    <w:rsid w:val="009F4FA6"/>
    <w:rsid w:val="009F57A0"/>
    <w:rsid w:val="00A01C03"/>
    <w:rsid w:val="00A02506"/>
    <w:rsid w:val="00A03B11"/>
    <w:rsid w:val="00A03F77"/>
    <w:rsid w:val="00A055D1"/>
    <w:rsid w:val="00A0591C"/>
    <w:rsid w:val="00A07D5D"/>
    <w:rsid w:val="00A15FA9"/>
    <w:rsid w:val="00A265C5"/>
    <w:rsid w:val="00A26E24"/>
    <w:rsid w:val="00A3046B"/>
    <w:rsid w:val="00A31421"/>
    <w:rsid w:val="00A33460"/>
    <w:rsid w:val="00A349A0"/>
    <w:rsid w:val="00A34B95"/>
    <w:rsid w:val="00A35F5D"/>
    <w:rsid w:val="00A43F69"/>
    <w:rsid w:val="00A44472"/>
    <w:rsid w:val="00A50851"/>
    <w:rsid w:val="00A51CCC"/>
    <w:rsid w:val="00A51E1E"/>
    <w:rsid w:val="00A52AA1"/>
    <w:rsid w:val="00A54243"/>
    <w:rsid w:val="00A55092"/>
    <w:rsid w:val="00A617FA"/>
    <w:rsid w:val="00A6389F"/>
    <w:rsid w:val="00A648F1"/>
    <w:rsid w:val="00A67296"/>
    <w:rsid w:val="00A677FC"/>
    <w:rsid w:val="00A71C55"/>
    <w:rsid w:val="00A7393A"/>
    <w:rsid w:val="00A747CC"/>
    <w:rsid w:val="00A752FB"/>
    <w:rsid w:val="00A77EA9"/>
    <w:rsid w:val="00A80390"/>
    <w:rsid w:val="00A82CC6"/>
    <w:rsid w:val="00A82D7D"/>
    <w:rsid w:val="00A836C2"/>
    <w:rsid w:val="00A83D44"/>
    <w:rsid w:val="00A85860"/>
    <w:rsid w:val="00A91349"/>
    <w:rsid w:val="00A928D9"/>
    <w:rsid w:val="00A94A6B"/>
    <w:rsid w:val="00A95244"/>
    <w:rsid w:val="00A96574"/>
    <w:rsid w:val="00AA0029"/>
    <w:rsid w:val="00AA0E23"/>
    <w:rsid w:val="00AA1907"/>
    <w:rsid w:val="00AA2C5F"/>
    <w:rsid w:val="00AA3680"/>
    <w:rsid w:val="00AA36EC"/>
    <w:rsid w:val="00AA3C71"/>
    <w:rsid w:val="00AA444E"/>
    <w:rsid w:val="00AA5E9C"/>
    <w:rsid w:val="00AA6F18"/>
    <w:rsid w:val="00AA74BC"/>
    <w:rsid w:val="00AB2757"/>
    <w:rsid w:val="00AB329F"/>
    <w:rsid w:val="00AB432F"/>
    <w:rsid w:val="00AB44CF"/>
    <w:rsid w:val="00AB595D"/>
    <w:rsid w:val="00AB5DF8"/>
    <w:rsid w:val="00AB61E4"/>
    <w:rsid w:val="00AB6AEF"/>
    <w:rsid w:val="00AB76AE"/>
    <w:rsid w:val="00AB781B"/>
    <w:rsid w:val="00AC07B9"/>
    <w:rsid w:val="00AC1B52"/>
    <w:rsid w:val="00AC2B00"/>
    <w:rsid w:val="00AC30EF"/>
    <w:rsid w:val="00AC6254"/>
    <w:rsid w:val="00AC74EF"/>
    <w:rsid w:val="00AD0D95"/>
    <w:rsid w:val="00AD3AAF"/>
    <w:rsid w:val="00AD3B21"/>
    <w:rsid w:val="00AD5BF4"/>
    <w:rsid w:val="00AD720D"/>
    <w:rsid w:val="00AE1015"/>
    <w:rsid w:val="00AE11C9"/>
    <w:rsid w:val="00AE12EF"/>
    <w:rsid w:val="00AE1405"/>
    <w:rsid w:val="00AE2135"/>
    <w:rsid w:val="00AE26EA"/>
    <w:rsid w:val="00AF0ECD"/>
    <w:rsid w:val="00AF103E"/>
    <w:rsid w:val="00AF1BA6"/>
    <w:rsid w:val="00AF373E"/>
    <w:rsid w:val="00AF41D2"/>
    <w:rsid w:val="00B02E4C"/>
    <w:rsid w:val="00B03195"/>
    <w:rsid w:val="00B03B43"/>
    <w:rsid w:val="00B0558B"/>
    <w:rsid w:val="00B058FD"/>
    <w:rsid w:val="00B0593D"/>
    <w:rsid w:val="00B0633B"/>
    <w:rsid w:val="00B14354"/>
    <w:rsid w:val="00B156AB"/>
    <w:rsid w:val="00B15D07"/>
    <w:rsid w:val="00B2072E"/>
    <w:rsid w:val="00B22B54"/>
    <w:rsid w:val="00B24AF7"/>
    <w:rsid w:val="00B304B8"/>
    <w:rsid w:val="00B31B84"/>
    <w:rsid w:val="00B33687"/>
    <w:rsid w:val="00B3633F"/>
    <w:rsid w:val="00B37F80"/>
    <w:rsid w:val="00B444D9"/>
    <w:rsid w:val="00B447AE"/>
    <w:rsid w:val="00B44E6F"/>
    <w:rsid w:val="00B50452"/>
    <w:rsid w:val="00B5300F"/>
    <w:rsid w:val="00B53116"/>
    <w:rsid w:val="00B53E00"/>
    <w:rsid w:val="00B53F5F"/>
    <w:rsid w:val="00B54569"/>
    <w:rsid w:val="00B571DB"/>
    <w:rsid w:val="00B57591"/>
    <w:rsid w:val="00B6192D"/>
    <w:rsid w:val="00B62BD2"/>
    <w:rsid w:val="00B62CA6"/>
    <w:rsid w:val="00B62E90"/>
    <w:rsid w:val="00B63EE3"/>
    <w:rsid w:val="00B63EEE"/>
    <w:rsid w:val="00B6445D"/>
    <w:rsid w:val="00B675C9"/>
    <w:rsid w:val="00B703E2"/>
    <w:rsid w:val="00B709FE"/>
    <w:rsid w:val="00B7181C"/>
    <w:rsid w:val="00B718DB"/>
    <w:rsid w:val="00B749FB"/>
    <w:rsid w:val="00B74FED"/>
    <w:rsid w:val="00B75161"/>
    <w:rsid w:val="00B7599A"/>
    <w:rsid w:val="00B75EEF"/>
    <w:rsid w:val="00B7638C"/>
    <w:rsid w:val="00B80151"/>
    <w:rsid w:val="00B8219E"/>
    <w:rsid w:val="00B839B8"/>
    <w:rsid w:val="00B851AB"/>
    <w:rsid w:val="00B8579A"/>
    <w:rsid w:val="00B871EF"/>
    <w:rsid w:val="00B87F4A"/>
    <w:rsid w:val="00B93511"/>
    <w:rsid w:val="00B977B5"/>
    <w:rsid w:val="00BA000A"/>
    <w:rsid w:val="00BA0AE9"/>
    <w:rsid w:val="00BA214C"/>
    <w:rsid w:val="00BA2AE0"/>
    <w:rsid w:val="00BA6B92"/>
    <w:rsid w:val="00BB03D3"/>
    <w:rsid w:val="00BB0BD9"/>
    <w:rsid w:val="00BB225D"/>
    <w:rsid w:val="00BB3B4D"/>
    <w:rsid w:val="00BB7B36"/>
    <w:rsid w:val="00BC0CCA"/>
    <w:rsid w:val="00BC1410"/>
    <w:rsid w:val="00BC3611"/>
    <w:rsid w:val="00BC7D2E"/>
    <w:rsid w:val="00BD21D1"/>
    <w:rsid w:val="00BD2CEA"/>
    <w:rsid w:val="00BD34BA"/>
    <w:rsid w:val="00BD48FC"/>
    <w:rsid w:val="00BE3BC4"/>
    <w:rsid w:val="00BE52D5"/>
    <w:rsid w:val="00BE7CE5"/>
    <w:rsid w:val="00BF0D91"/>
    <w:rsid w:val="00BF66FB"/>
    <w:rsid w:val="00BF7A1A"/>
    <w:rsid w:val="00C02034"/>
    <w:rsid w:val="00C11D5D"/>
    <w:rsid w:val="00C13A31"/>
    <w:rsid w:val="00C1409E"/>
    <w:rsid w:val="00C15324"/>
    <w:rsid w:val="00C15FED"/>
    <w:rsid w:val="00C20479"/>
    <w:rsid w:val="00C22079"/>
    <w:rsid w:val="00C2301B"/>
    <w:rsid w:val="00C25C8B"/>
    <w:rsid w:val="00C25D1D"/>
    <w:rsid w:val="00C26F0B"/>
    <w:rsid w:val="00C26F81"/>
    <w:rsid w:val="00C27868"/>
    <w:rsid w:val="00C3125F"/>
    <w:rsid w:val="00C348E2"/>
    <w:rsid w:val="00C3510E"/>
    <w:rsid w:val="00C35417"/>
    <w:rsid w:val="00C35624"/>
    <w:rsid w:val="00C35CA6"/>
    <w:rsid w:val="00C36810"/>
    <w:rsid w:val="00C368CB"/>
    <w:rsid w:val="00C36B66"/>
    <w:rsid w:val="00C404B6"/>
    <w:rsid w:val="00C41F5F"/>
    <w:rsid w:val="00C42FE3"/>
    <w:rsid w:val="00C46B1A"/>
    <w:rsid w:val="00C47943"/>
    <w:rsid w:val="00C504D6"/>
    <w:rsid w:val="00C513F8"/>
    <w:rsid w:val="00C539D1"/>
    <w:rsid w:val="00C5429D"/>
    <w:rsid w:val="00C55575"/>
    <w:rsid w:val="00C5596C"/>
    <w:rsid w:val="00C56E45"/>
    <w:rsid w:val="00C60248"/>
    <w:rsid w:val="00C604AE"/>
    <w:rsid w:val="00C61DBA"/>
    <w:rsid w:val="00C63E10"/>
    <w:rsid w:val="00C63E77"/>
    <w:rsid w:val="00C64F7B"/>
    <w:rsid w:val="00C66CA7"/>
    <w:rsid w:val="00C673BB"/>
    <w:rsid w:val="00C67971"/>
    <w:rsid w:val="00C67F2D"/>
    <w:rsid w:val="00C7011D"/>
    <w:rsid w:val="00C720E7"/>
    <w:rsid w:val="00C73C57"/>
    <w:rsid w:val="00C75802"/>
    <w:rsid w:val="00C76269"/>
    <w:rsid w:val="00C76D7E"/>
    <w:rsid w:val="00C76EAB"/>
    <w:rsid w:val="00C821A9"/>
    <w:rsid w:val="00C831A7"/>
    <w:rsid w:val="00C840E8"/>
    <w:rsid w:val="00C84833"/>
    <w:rsid w:val="00C92C4D"/>
    <w:rsid w:val="00C94BB1"/>
    <w:rsid w:val="00CA0C07"/>
    <w:rsid w:val="00CA20EE"/>
    <w:rsid w:val="00CA3B78"/>
    <w:rsid w:val="00CA477D"/>
    <w:rsid w:val="00CB05A2"/>
    <w:rsid w:val="00CB13C3"/>
    <w:rsid w:val="00CB1E67"/>
    <w:rsid w:val="00CB383A"/>
    <w:rsid w:val="00CB38BB"/>
    <w:rsid w:val="00CB41EE"/>
    <w:rsid w:val="00CB5F5B"/>
    <w:rsid w:val="00CC01A2"/>
    <w:rsid w:val="00CC0A23"/>
    <w:rsid w:val="00CC1887"/>
    <w:rsid w:val="00CC3321"/>
    <w:rsid w:val="00CC66C5"/>
    <w:rsid w:val="00CC7624"/>
    <w:rsid w:val="00CD1D49"/>
    <w:rsid w:val="00CD1E07"/>
    <w:rsid w:val="00CD3CCA"/>
    <w:rsid w:val="00CD5858"/>
    <w:rsid w:val="00CD6D30"/>
    <w:rsid w:val="00CE1004"/>
    <w:rsid w:val="00CE108E"/>
    <w:rsid w:val="00CE1149"/>
    <w:rsid w:val="00CE1255"/>
    <w:rsid w:val="00CE2DFE"/>
    <w:rsid w:val="00CE5089"/>
    <w:rsid w:val="00CE5628"/>
    <w:rsid w:val="00CE6910"/>
    <w:rsid w:val="00CE6D1D"/>
    <w:rsid w:val="00CF0A25"/>
    <w:rsid w:val="00CF0D2A"/>
    <w:rsid w:val="00CF13E6"/>
    <w:rsid w:val="00CF1893"/>
    <w:rsid w:val="00CF31D5"/>
    <w:rsid w:val="00CF3F49"/>
    <w:rsid w:val="00CF4385"/>
    <w:rsid w:val="00CF4D8E"/>
    <w:rsid w:val="00CF66B2"/>
    <w:rsid w:val="00D03F70"/>
    <w:rsid w:val="00D04118"/>
    <w:rsid w:val="00D04D68"/>
    <w:rsid w:val="00D04E44"/>
    <w:rsid w:val="00D076A2"/>
    <w:rsid w:val="00D07C1D"/>
    <w:rsid w:val="00D10AC7"/>
    <w:rsid w:val="00D14F47"/>
    <w:rsid w:val="00D17BD4"/>
    <w:rsid w:val="00D218EE"/>
    <w:rsid w:val="00D26096"/>
    <w:rsid w:val="00D323C0"/>
    <w:rsid w:val="00D35117"/>
    <w:rsid w:val="00D35AC2"/>
    <w:rsid w:val="00D35F81"/>
    <w:rsid w:val="00D36171"/>
    <w:rsid w:val="00D37119"/>
    <w:rsid w:val="00D40017"/>
    <w:rsid w:val="00D42926"/>
    <w:rsid w:val="00D4296D"/>
    <w:rsid w:val="00D43202"/>
    <w:rsid w:val="00D43CBD"/>
    <w:rsid w:val="00D44010"/>
    <w:rsid w:val="00D4498B"/>
    <w:rsid w:val="00D45008"/>
    <w:rsid w:val="00D50E69"/>
    <w:rsid w:val="00D519F2"/>
    <w:rsid w:val="00D53129"/>
    <w:rsid w:val="00D560F6"/>
    <w:rsid w:val="00D60F14"/>
    <w:rsid w:val="00D6148B"/>
    <w:rsid w:val="00D61783"/>
    <w:rsid w:val="00D635F0"/>
    <w:rsid w:val="00D640C2"/>
    <w:rsid w:val="00D6508E"/>
    <w:rsid w:val="00D668F0"/>
    <w:rsid w:val="00D7044A"/>
    <w:rsid w:val="00D72ED9"/>
    <w:rsid w:val="00D758BD"/>
    <w:rsid w:val="00D75D60"/>
    <w:rsid w:val="00D7625E"/>
    <w:rsid w:val="00D76C6D"/>
    <w:rsid w:val="00D808EF"/>
    <w:rsid w:val="00D82E51"/>
    <w:rsid w:val="00D834BD"/>
    <w:rsid w:val="00D859DF"/>
    <w:rsid w:val="00D86011"/>
    <w:rsid w:val="00D868F5"/>
    <w:rsid w:val="00D916DF"/>
    <w:rsid w:val="00D91948"/>
    <w:rsid w:val="00D9683F"/>
    <w:rsid w:val="00D9686E"/>
    <w:rsid w:val="00DA1579"/>
    <w:rsid w:val="00DA217F"/>
    <w:rsid w:val="00DA53AC"/>
    <w:rsid w:val="00DB0D43"/>
    <w:rsid w:val="00DB0D66"/>
    <w:rsid w:val="00DB3551"/>
    <w:rsid w:val="00DB4DF8"/>
    <w:rsid w:val="00DB5F03"/>
    <w:rsid w:val="00DB7479"/>
    <w:rsid w:val="00DC0301"/>
    <w:rsid w:val="00DC03DC"/>
    <w:rsid w:val="00DC1341"/>
    <w:rsid w:val="00DC4815"/>
    <w:rsid w:val="00DC48EA"/>
    <w:rsid w:val="00DC49A4"/>
    <w:rsid w:val="00DC5B40"/>
    <w:rsid w:val="00DC7286"/>
    <w:rsid w:val="00DD2FC4"/>
    <w:rsid w:val="00DD3424"/>
    <w:rsid w:val="00DD3525"/>
    <w:rsid w:val="00DD6D46"/>
    <w:rsid w:val="00DE0350"/>
    <w:rsid w:val="00DE206E"/>
    <w:rsid w:val="00DE429A"/>
    <w:rsid w:val="00DE4BB0"/>
    <w:rsid w:val="00DE50E2"/>
    <w:rsid w:val="00DE60E1"/>
    <w:rsid w:val="00DF4B17"/>
    <w:rsid w:val="00DF566D"/>
    <w:rsid w:val="00E015DB"/>
    <w:rsid w:val="00E02991"/>
    <w:rsid w:val="00E04084"/>
    <w:rsid w:val="00E0674F"/>
    <w:rsid w:val="00E102E6"/>
    <w:rsid w:val="00E10ABD"/>
    <w:rsid w:val="00E1331F"/>
    <w:rsid w:val="00E141DB"/>
    <w:rsid w:val="00E15D9B"/>
    <w:rsid w:val="00E226DE"/>
    <w:rsid w:val="00E25550"/>
    <w:rsid w:val="00E25CB6"/>
    <w:rsid w:val="00E26431"/>
    <w:rsid w:val="00E268F4"/>
    <w:rsid w:val="00E30CF5"/>
    <w:rsid w:val="00E31069"/>
    <w:rsid w:val="00E310FC"/>
    <w:rsid w:val="00E313FA"/>
    <w:rsid w:val="00E32020"/>
    <w:rsid w:val="00E3319A"/>
    <w:rsid w:val="00E33A35"/>
    <w:rsid w:val="00E34D20"/>
    <w:rsid w:val="00E356EB"/>
    <w:rsid w:val="00E364EC"/>
    <w:rsid w:val="00E37F81"/>
    <w:rsid w:val="00E40F22"/>
    <w:rsid w:val="00E445B8"/>
    <w:rsid w:val="00E512CB"/>
    <w:rsid w:val="00E571C4"/>
    <w:rsid w:val="00E63649"/>
    <w:rsid w:val="00E6413F"/>
    <w:rsid w:val="00E6676E"/>
    <w:rsid w:val="00E66A8D"/>
    <w:rsid w:val="00E66F79"/>
    <w:rsid w:val="00E72B5B"/>
    <w:rsid w:val="00E72FA5"/>
    <w:rsid w:val="00E7419C"/>
    <w:rsid w:val="00E7466F"/>
    <w:rsid w:val="00E75CFA"/>
    <w:rsid w:val="00E80432"/>
    <w:rsid w:val="00E80F81"/>
    <w:rsid w:val="00E824BE"/>
    <w:rsid w:val="00E8511E"/>
    <w:rsid w:val="00E85CC1"/>
    <w:rsid w:val="00E85DAD"/>
    <w:rsid w:val="00E86008"/>
    <w:rsid w:val="00E907AD"/>
    <w:rsid w:val="00EA1302"/>
    <w:rsid w:val="00EA1E51"/>
    <w:rsid w:val="00EA35C3"/>
    <w:rsid w:val="00EA5E4E"/>
    <w:rsid w:val="00EA6809"/>
    <w:rsid w:val="00EB0566"/>
    <w:rsid w:val="00EB1869"/>
    <w:rsid w:val="00EB2163"/>
    <w:rsid w:val="00EB5955"/>
    <w:rsid w:val="00EB59FE"/>
    <w:rsid w:val="00EC0D0C"/>
    <w:rsid w:val="00EC6A6E"/>
    <w:rsid w:val="00ED0A13"/>
    <w:rsid w:val="00ED10B0"/>
    <w:rsid w:val="00ED62AF"/>
    <w:rsid w:val="00ED71AE"/>
    <w:rsid w:val="00ED7918"/>
    <w:rsid w:val="00EE0902"/>
    <w:rsid w:val="00EE1107"/>
    <w:rsid w:val="00EE26F9"/>
    <w:rsid w:val="00EE354D"/>
    <w:rsid w:val="00EE3E8B"/>
    <w:rsid w:val="00EE4AAD"/>
    <w:rsid w:val="00EE4F3F"/>
    <w:rsid w:val="00EE5B8C"/>
    <w:rsid w:val="00EE75AE"/>
    <w:rsid w:val="00EF092D"/>
    <w:rsid w:val="00EF2E1B"/>
    <w:rsid w:val="00EF3467"/>
    <w:rsid w:val="00EF35AE"/>
    <w:rsid w:val="00EF3EFE"/>
    <w:rsid w:val="00EF4199"/>
    <w:rsid w:val="00EF5637"/>
    <w:rsid w:val="00EF5F7E"/>
    <w:rsid w:val="00EF6B82"/>
    <w:rsid w:val="00F0002D"/>
    <w:rsid w:val="00F00F77"/>
    <w:rsid w:val="00F01806"/>
    <w:rsid w:val="00F04FAF"/>
    <w:rsid w:val="00F07646"/>
    <w:rsid w:val="00F10AD8"/>
    <w:rsid w:val="00F11C2A"/>
    <w:rsid w:val="00F11C91"/>
    <w:rsid w:val="00F12BD8"/>
    <w:rsid w:val="00F13A6A"/>
    <w:rsid w:val="00F14466"/>
    <w:rsid w:val="00F1479B"/>
    <w:rsid w:val="00F147BD"/>
    <w:rsid w:val="00F15B21"/>
    <w:rsid w:val="00F15E86"/>
    <w:rsid w:val="00F15FE2"/>
    <w:rsid w:val="00F1759C"/>
    <w:rsid w:val="00F203DE"/>
    <w:rsid w:val="00F20DAA"/>
    <w:rsid w:val="00F20F15"/>
    <w:rsid w:val="00F219E7"/>
    <w:rsid w:val="00F21BCF"/>
    <w:rsid w:val="00F26FFB"/>
    <w:rsid w:val="00F32844"/>
    <w:rsid w:val="00F335A9"/>
    <w:rsid w:val="00F3535E"/>
    <w:rsid w:val="00F372D4"/>
    <w:rsid w:val="00F40C20"/>
    <w:rsid w:val="00F4535D"/>
    <w:rsid w:val="00F51450"/>
    <w:rsid w:val="00F515C2"/>
    <w:rsid w:val="00F52A1E"/>
    <w:rsid w:val="00F52CD3"/>
    <w:rsid w:val="00F533B7"/>
    <w:rsid w:val="00F551C5"/>
    <w:rsid w:val="00F57D5E"/>
    <w:rsid w:val="00F67D11"/>
    <w:rsid w:val="00F67E66"/>
    <w:rsid w:val="00F7138A"/>
    <w:rsid w:val="00F73A11"/>
    <w:rsid w:val="00F74B4E"/>
    <w:rsid w:val="00F766E9"/>
    <w:rsid w:val="00F7715F"/>
    <w:rsid w:val="00F81915"/>
    <w:rsid w:val="00F825F2"/>
    <w:rsid w:val="00F848B6"/>
    <w:rsid w:val="00F8558A"/>
    <w:rsid w:val="00F8625F"/>
    <w:rsid w:val="00F90348"/>
    <w:rsid w:val="00F90735"/>
    <w:rsid w:val="00F92C34"/>
    <w:rsid w:val="00F92CE3"/>
    <w:rsid w:val="00F93CAA"/>
    <w:rsid w:val="00F93E5E"/>
    <w:rsid w:val="00F94A22"/>
    <w:rsid w:val="00F94C4B"/>
    <w:rsid w:val="00F94F8E"/>
    <w:rsid w:val="00F95ECF"/>
    <w:rsid w:val="00F96B34"/>
    <w:rsid w:val="00F97678"/>
    <w:rsid w:val="00FA0D3C"/>
    <w:rsid w:val="00FA236E"/>
    <w:rsid w:val="00FA335A"/>
    <w:rsid w:val="00FA4EC2"/>
    <w:rsid w:val="00FA4F5E"/>
    <w:rsid w:val="00FA56D1"/>
    <w:rsid w:val="00FA6CD7"/>
    <w:rsid w:val="00FB2F3D"/>
    <w:rsid w:val="00FB33B1"/>
    <w:rsid w:val="00FC1FFD"/>
    <w:rsid w:val="00FC5528"/>
    <w:rsid w:val="00FC6665"/>
    <w:rsid w:val="00FC68F8"/>
    <w:rsid w:val="00FD0B9A"/>
    <w:rsid w:val="00FD0EBF"/>
    <w:rsid w:val="00FD1FCF"/>
    <w:rsid w:val="00FD655B"/>
    <w:rsid w:val="00FD75BA"/>
    <w:rsid w:val="00FE2600"/>
    <w:rsid w:val="00FE2EB3"/>
    <w:rsid w:val="00FE585D"/>
    <w:rsid w:val="00FE7142"/>
    <w:rsid w:val="00FF11F8"/>
    <w:rsid w:val="00FF412E"/>
    <w:rsid w:val="00FF453F"/>
    <w:rsid w:val="00FF474A"/>
    <w:rsid w:val="00FF4BA8"/>
    <w:rsid w:val="00FF65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882F71"/>
  <w15:chartTrackingRefBased/>
  <w15:docId w15:val="{DCDD62F4-62F4-4052-ACF5-958E3518F6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666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C666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4370A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B62E90"/>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B6DE9"/>
    <w:rPr>
      <w:color w:val="808080"/>
    </w:rPr>
  </w:style>
  <w:style w:type="paragraph" w:styleId="Header">
    <w:name w:val="header"/>
    <w:basedOn w:val="Normal"/>
    <w:link w:val="HeaderChar"/>
    <w:uiPriority w:val="99"/>
    <w:unhideWhenUsed/>
    <w:rsid w:val="007236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3686"/>
  </w:style>
  <w:style w:type="paragraph" w:styleId="Footer">
    <w:name w:val="footer"/>
    <w:basedOn w:val="Normal"/>
    <w:link w:val="FooterChar"/>
    <w:uiPriority w:val="99"/>
    <w:unhideWhenUsed/>
    <w:rsid w:val="007236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3686"/>
  </w:style>
  <w:style w:type="character" w:customStyle="1" w:styleId="Heading1Char">
    <w:name w:val="Heading 1 Char"/>
    <w:basedOn w:val="DefaultParagraphFont"/>
    <w:link w:val="Heading1"/>
    <w:uiPriority w:val="9"/>
    <w:rsid w:val="00FC6665"/>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53258"/>
    <w:pPr>
      <w:outlineLvl w:val="9"/>
    </w:pPr>
    <w:rPr>
      <w:lang w:val="en-US"/>
    </w:rPr>
  </w:style>
  <w:style w:type="paragraph" w:styleId="TOC1">
    <w:name w:val="toc 1"/>
    <w:basedOn w:val="Normal"/>
    <w:next w:val="Normal"/>
    <w:autoRedefine/>
    <w:uiPriority w:val="39"/>
    <w:unhideWhenUsed/>
    <w:rsid w:val="00553258"/>
    <w:pPr>
      <w:spacing w:after="100"/>
    </w:pPr>
  </w:style>
  <w:style w:type="character" w:styleId="Hyperlink">
    <w:name w:val="Hyperlink"/>
    <w:basedOn w:val="DefaultParagraphFont"/>
    <w:uiPriority w:val="99"/>
    <w:unhideWhenUsed/>
    <w:rsid w:val="00553258"/>
    <w:rPr>
      <w:color w:val="0563C1" w:themeColor="hyperlink"/>
      <w:u w:val="single"/>
    </w:rPr>
  </w:style>
  <w:style w:type="paragraph" w:styleId="EndnoteText">
    <w:name w:val="endnote text"/>
    <w:basedOn w:val="Normal"/>
    <w:link w:val="EndnoteTextChar"/>
    <w:uiPriority w:val="99"/>
    <w:semiHidden/>
    <w:unhideWhenUsed/>
    <w:rsid w:val="000C04A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C04A9"/>
    <w:rPr>
      <w:sz w:val="20"/>
      <w:szCs w:val="20"/>
    </w:rPr>
  </w:style>
  <w:style w:type="character" w:styleId="EndnoteReference">
    <w:name w:val="endnote reference"/>
    <w:basedOn w:val="DefaultParagraphFont"/>
    <w:uiPriority w:val="99"/>
    <w:semiHidden/>
    <w:unhideWhenUsed/>
    <w:rsid w:val="000C04A9"/>
    <w:rPr>
      <w:vertAlign w:val="superscript"/>
    </w:rPr>
  </w:style>
  <w:style w:type="character" w:customStyle="1" w:styleId="apple-converted-space">
    <w:name w:val="apple-converted-space"/>
    <w:basedOn w:val="DefaultParagraphFont"/>
    <w:rsid w:val="004E0FD2"/>
  </w:style>
  <w:style w:type="table" w:styleId="TableGrid">
    <w:name w:val="Table Grid"/>
    <w:basedOn w:val="TableNormal"/>
    <w:uiPriority w:val="39"/>
    <w:rsid w:val="007127E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rsid w:val="00FC6665"/>
    <w:rPr>
      <w:rFonts w:asciiTheme="majorHAnsi" w:eastAsiaTheme="majorEastAsia" w:hAnsiTheme="majorHAnsi" w:cstheme="majorBidi"/>
      <w:color w:val="2E74B5" w:themeColor="accent1" w:themeShade="BF"/>
      <w:sz w:val="26"/>
      <w:szCs w:val="26"/>
    </w:rPr>
  </w:style>
  <w:style w:type="paragraph" w:styleId="Caption">
    <w:name w:val="caption"/>
    <w:basedOn w:val="Normal"/>
    <w:next w:val="Normal"/>
    <w:uiPriority w:val="35"/>
    <w:unhideWhenUsed/>
    <w:qFormat/>
    <w:rsid w:val="006405B4"/>
    <w:pPr>
      <w:spacing w:after="200" w:line="240" w:lineRule="auto"/>
    </w:pPr>
    <w:rPr>
      <w:i/>
      <w:iCs/>
      <w:color w:val="44546A" w:themeColor="text2"/>
      <w:sz w:val="18"/>
      <w:szCs w:val="18"/>
    </w:rPr>
  </w:style>
  <w:style w:type="paragraph" w:styleId="ListParagraph">
    <w:name w:val="List Paragraph"/>
    <w:basedOn w:val="Normal"/>
    <w:uiPriority w:val="34"/>
    <w:qFormat/>
    <w:rsid w:val="004857AA"/>
    <w:pPr>
      <w:ind w:left="720"/>
      <w:contextualSpacing/>
    </w:pPr>
  </w:style>
  <w:style w:type="paragraph" w:styleId="FootnoteText">
    <w:name w:val="footnote text"/>
    <w:basedOn w:val="Normal"/>
    <w:link w:val="FootnoteTextChar"/>
    <w:uiPriority w:val="99"/>
    <w:semiHidden/>
    <w:unhideWhenUsed/>
    <w:rsid w:val="009974C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74C5"/>
    <w:rPr>
      <w:sz w:val="20"/>
      <w:szCs w:val="20"/>
    </w:rPr>
  </w:style>
  <w:style w:type="character" w:styleId="FootnoteReference">
    <w:name w:val="footnote reference"/>
    <w:basedOn w:val="DefaultParagraphFont"/>
    <w:uiPriority w:val="99"/>
    <w:semiHidden/>
    <w:unhideWhenUsed/>
    <w:rsid w:val="009974C5"/>
    <w:rPr>
      <w:vertAlign w:val="superscript"/>
    </w:rPr>
  </w:style>
  <w:style w:type="table" w:styleId="TableGridLight">
    <w:name w:val="Grid Table Light"/>
    <w:basedOn w:val="TableNormal"/>
    <w:uiPriority w:val="40"/>
    <w:rsid w:val="006D7E6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2">
    <w:name w:val="toc 2"/>
    <w:basedOn w:val="Normal"/>
    <w:next w:val="Normal"/>
    <w:autoRedefine/>
    <w:uiPriority w:val="39"/>
    <w:unhideWhenUsed/>
    <w:rsid w:val="00FA4EC2"/>
    <w:pPr>
      <w:spacing w:after="100"/>
      <w:ind w:left="220"/>
    </w:pPr>
  </w:style>
  <w:style w:type="paragraph" w:styleId="NormalWeb">
    <w:name w:val="Normal (Web)"/>
    <w:basedOn w:val="Normal"/>
    <w:uiPriority w:val="99"/>
    <w:semiHidden/>
    <w:unhideWhenUsed/>
    <w:rsid w:val="00206A2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bikegray">
    <w:name w:val="mbike_gray"/>
    <w:basedOn w:val="DefaultParagraphFont"/>
    <w:rsid w:val="00FC68F8"/>
  </w:style>
  <w:style w:type="character" w:customStyle="1" w:styleId="Heading3Char">
    <w:name w:val="Heading 3 Char"/>
    <w:basedOn w:val="DefaultParagraphFont"/>
    <w:link w:val="Heading3"/>
    <w:uiPriority w:val="9"/>
    <w:rsid w:val="004370A1"/>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4370A1"/>
    <w:pPr>
      <w:spacing w:after="100"/>
      <w:ind w:left="440"/>
    </w:pPr>
  </w:style>
  <w:style w:type="table" w:styleId="GridTable1Light">
    <w:name w:val="Grid Table 1 Light"/>
    <w:basedOn w:val="TableNormal"/>
    <w:uiPriority w:val="46"/>
    <w:rsid w:val="009F1C7A"/>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NoSpacing">
    <w:name w:val="No Spacing"/>
    <w:uiPriority w:val="1"/>
    <w:qFormat/>
    <w:rsid w:val="00D03F70"/>
    <w:pPr>
      <w:spacing w:after="0" w:line="240" w:lineRule="auto"/>
    </w:pPr>
  </w:style>
  <w:style w:type="paragraph" w:customStyle="1" w:styleId="Style1">
    <w:name w:val="Style#1"/>
    <w:basedOn w:val="Normal"/>
    <w:next w:val="Normal"/>
    <w:link w:val="Style1Char"/>
    <w:rsid w:val="00963A76"/>
    <w:pPr>
      <w:keepNext/>
      <w:spacing w:before="240" w:after="60"/>
      <w:jc w:val="center"/>
    </w:pPr>
    <w:rPr>
      <w:b/>
      <w:color w:val="000000"/>
      <w:sz w:val="26"/>
    </w:rPr>
  </w:style>
  <w:style w:type="character" w:customStyle="1" w:styleId="Style1Char">
    <w:name w:val="Style#1 Char"/>
    <w:basedOn w:val="DefaultParagraphFont"/>
    <w:link w:val="Style1"/>
    <w:rsid w:val="00963A76"/>
    <w:rPr>
      <w:b/>
      <w:color w:val="000000"/>
      <w:sz w:val="26"/>
    </w:rPr>
  </w:style>
  <w:style w:type="paragraph" w:customStyle="1" w:styleId="Style3">
    <w:name w:val="Style#3"/>
    <w:basedOn w:val="Normal"/>
    <w:next w:val="Normal"/>
    <w:link w:val="Style3Char"/>
    <w:rsid w:val="00963A76"/>
    <w:pPr>
      <w:keepNext/>
      <w:spacing w:before="200" w:after="60"/>
    </w:pPr>
    <w:rPr>
      <w:b/>
      <w:color w:val="000000"/>
      <w:sz w:val="24"/>
    </w:rPr>
  </w:style>
  <w:style w:type="character" w:customStyle="1" w:styleId="Style3Char">
    <w:name w:val="Style#3 Char"/>
    <w:basedOn w:val="DefaultParagraphFont"/>
    <w:link w:val="Style3"/>
    <w:rsid w:val="00963A76"/>
    <w:rPr>
      <w:b/>
      <w:color w:val="000000"/>
      <w:sz w:val="24"/>
    </w:rPr>
  </w:style>
  <w:style w:type="character" w:styleId="Emphasis">
    <w:name w:val="Emphasis"/>
    <w:basedOn w:val="DefaultParagraphFont"/>
    <w:uiPriority w:val="20"/>
    <w:qFormat/>
    <w:rsid w:val="00491463"/>
    <w:rPr>
      <w:i/>
      <w:iCs/>
    </w:rPr>
  </w:style>
  <w:style w:type="character" w:customStyle="1" w:styleId="reference-viewcite-subtitle">
    <w:name w:val="reference-view__cite-subtitle"/>
    <w:basedOn w:val="DefaultParagraphFont"/>
    <w:rsid w:val="00A349A0"/>
  </w:style>
  <w:style w:type="character" w:customStyle="1" w:styleId="Heading4Char">
    <w:name w:val="Heading 4 Char"/>
    <w:basedOn w:val="DefaultParagraphFont"/>
    <w:link w:val="Heading4"/>
    <w:uiPriority w:val="9"/>
    <w:semiHidden/>
    <w:rsid w:val="00B62E90"/>
    <w:rPr>
      <w:rFonts w:asciiTheme="majorHAnsi" w:eastAsiaTheme="majorEastAsia" w:hAnsiTheme="majorHAnsi" w:cstheme="majorBidi"/>
      <w:i/>
      <w:iCs/>
      <w:color w:val="2E74B5" w:themeColor="accent1" w:themeShade="BF"/>
    </w:rPr>
  </w:style>
  <w:style w:type="paragraph" w:styleId="Bibliography">
    <w:name w:val="Bibliography"/>
    <w:basedOn w:val="Normal"/>
    <w:next w:val="Normal"/>
    <w:uiPriority w:val="37"/>
    <w:unhideWhenUsed/>
    <w:rsid w:val="00A617FA"/>
  </w:style>
  <w:style w:type="character" w:customStyle="1" w:styleId="a-size-large">
    <w:name w:val="a-size-large"/>
    <w:basedOn w:val="DefaultParagraphFont"/>
    <w:rsid w:val="00F515C2"/>
  </w:style>
  <w:style w:type="character" w:customStyle="1" w:styleId="UnresolvedMention1">
    <w:name w:val="Unresolved Mention1"/>
    <w:basedOn w:val="DefaultParagraphFont"/>
    <w:uiPriority w:val="99"/>
    <w:semiHidden/>
    <w:unhideWhenUsed/>
    <w:rsid w:val="00BB225D"/>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326543">
      <w:bodyDiv w:val="1"/>
      <w:marLeft w:val="0"/>
      <w:marRight w:val="0"/>
      <w:marTop w:val="0"/>
      <w:marBottom w:val="0"/>
      <w:divBdr>
        <w:top w:val="none" w:sz="0" w:space="0" w:color="auto"/>
        <w:left w:val="none" w:sz="0" w:space="0" w:color="auto"/>
        <w:bottom w:val="none" w:sz="0" w:space="0" w:color="auto"/>
        <w:right w:val="none" w:sz="0" w:space="0" w:color="auto"/>
      </w:divBdr>
    </w:div>
    <w:div w:id="11614116">
      <w:bodyDiv w:val="1"/>
      <w:marLeft w:val="0"/>
      <w:marRight w:val="0"/>
      <w:marTop w:val="0"/>
      <w:marBottom w:val="0"/>
      <w:divBdr>
        <w:top w:val="none" w:sz="0" w:space="0" w:color="auto"/>
        <w:left w:val="none" w:sz="0" w:space="0" w:color="auto"/>
        <w:bottom w:val="none" w:sz="0" w:space="0" w:color="auto"/>
        <w:right w:val="none" w:sz="0" w:space="0" w:color="auto"/>
      </w:divBdr>
    </w:div>
    <w:div w:id="35323990">
      <w:bodyDiv w:val="1"/>
      <w:marLeft w:val="0"/>
      <w:marRight w:val="0"/>
      <w:marTop w:val="0"/>
      <w:marBottom w:val="0"/>
      <w:divBdr>
        <w:top w:val="none" w:sz="0" w:space="0" w:color="auto"/>
        <w:left w:val="none" w:sz="0" w:space="0" w:color="auto"/>
        <w:bottom w:val="none" w:sz="0" w:space="0" w:color="auto"/>
        <w:right w:val="none" w:sz="0" w:space="0" w:color="auto"/>
      </w:divBdr>
    </w:div>
    <w:div w:id="57628206">
      <w:bodyDiv w:val="1"/>
      <w:marLeft w:val="0"/>
      <w:marRight w:val="0"/>
      <w:marTop w:val="0"/>
      <w:marBottom w:val="0"/>
      <w:divBdr>
        <w:top w:val="none" w:sz="0" w:space="0" w:color="auto"/>
        <w:left w:val="none" w:sz="0" w:space="0" w:color="auto"/>
        <w:bottom w:val="none" w:sz="0" w:space="0" w:color="auto"/>
        <w:right w:val="none" w:sz="0" w:space="0" w:color="auto"/>
      </w:divBdr>
    </w:div>
    <w:div w:id="61877748">
      <w:bodyDiv w:val="1"/>
      <w:marLeft w:val="0"/>
      <w:marRight w:val="0"/>
      <w:marTop w:val="0"/>
      <w:marBottom w:val="0"/>
      <w:divBdr>
        <w:top w:val="none" w:sz="0" w:space="0" w:color="auto"/>
        <w:left w:val="none" w:sz="0" w:space="0" w:color="auto"/>
        <w:bottom w:val="none" w:sz="0" w:space="0" w:color="auto"/>
        <w:right w:val="none" w:sz="0" w:space="0" w:color="auto"/>
      </w:divBdr>
    </w:div>
    <w:div w:id="82730490">
      <w:bodyDiv w:val="1"/>
      <w:marLeft w:val="0"/>
      <w:marRight w:val="0"/>
      <w:marTop w:val="0"/>
      <w:marBottom w:val="0"/>
      <w:divBdr>
        <w:top w:val="none" w:sz="0" w:space="0" w:color="auto"/>
        <w:left w:val="none" w:sz="0" w:space="0" w:color="auto"/>
        <w:bottom w:val="none" w:sz="0" w:space="0" w:color="auto"/>
        <w:right w:val="none" w:sz="0" w:space="0" w:color="auto"/>
      </w:divBdr>
    </w:div>
    <w:div w:id="98917907">
      <w:bodyDiv w:val="1"/>
      <w:marLeft w:val="0"/>
      <w:marRight w:val="0"/>
      <w:marTop w:val="0"/>
      <w:marBottom w:val="0"/>
      <w:divBdr>
        <w:top w:val="none" w:sz="0" w:space="0" w:color="auto"/>
        <w:left w:val="none" w:sz="0" w:space="0" w:color="auto"/>
        <w:bottom w:val="none" w:sz="0" w:space="0" w:color="auto"/>
        <w:right w:val="none" w:sz="0" w:space="0" w:color="auto"/>
      </w:divBdr>
    </w:div>
    <w:div w:id="122817486">
      <w:bodyDiv w:val="1"/>
      <w:marLeft w:val="0"/>
      <w:marRight w:val="0"/>
      <w:marTop w:val="0"/>
      <w:marBottom w:val="0"/>
      <w:divBdr>
        <w:top w:val="none" w:sz="0" w:space="0" w:color="auto"/>
        <w:left w:val="none" w:sz="0" w:space="0" w:color="auto"/>
        <w:bottom w:val="none" w:sz="0" w:space="0" w:color="auto"/>
        <w:right w:val="none" w:sz="0" w:space="0" w:color="auto"/>
      </w:divBdr>
    </w:div>
    <w:div w:id="186336222">
      <w:bodyDiv w:val="1"/>
      <w:marLeft w:val="0"/>
      <w:marRight w:val="0"/>
      <w:marTop w:val="0"/>
      <w:marBottom w:val="0"/>
      <w:divBdr>
        <w:top w:val="none" w:sz="0" w:space="0" w:color="auto"/>
        <w:left w:val="none" w:sz="0" w:space="0" w:color="auto"/>
        <w:bottom w:val="none" w:sz="0" w:space="0" w:color="auto"/>
        <w:right w:val="none" w:sz="0" w:space="0" w:color="auto"/>
      </w:divBdr>
    </w:div>
    <w:div w:id="230895012">
      <w:bodyDiv w:val="1"/>
      <w:marLeft w:val="0"/>
      <w:marRight w:val="0"/>
      <w:marTop w:val="0"/>
      <w:marBottom w:val="0"/>
      <w:divBdr>
        <w:top w:val="none" w:sz="0" w:space="0" w:color="auto"/>
        <w:left w:val="none" w:sz="0" w:space="0" w:color="auto"/>
        <w:bottom w:val="none" w:sz="0" w:space="0" w:color="auto"/>
        <w:right w:val="none" w:sz="0" w:space="0" w:color="auto"/>
      </w:divBdr>
    </w:div>
    <w:div w:id="255484550">
      <w:bodyDiv w:val="1"/>
      <w:marLeft w:val="0"/>
      <w:marRight w:val="0"/>
      <w:marTop w:val="0"/>
      <w:marBottom w:val="0"/>
      <w:divBdr>
        <w:top w:val="none" w:sz="0" w:space="0" w:color="auto"/>
        <w:left w:val="none" w:sz="0" w:space="0" w:color="auto"/>
        <w:bottom w:val="none" w:sz="0" w:space="0" w:color="auto"/>
        <w:right w:val="none" w:sz="0" w:space="0" w:color="auto"/>
      </w:divBdr>
    </w:div>
    <w:div w:id="291441784">
      <w:bodyDiv w:val="1"/>
      <w:marLeft w:val="0"/>
      <w:marRight w:val="0"/>
      <w:marTop w:val="0"/>
      <w:marBottom w:val="0"/>
      <w:divBdr>
        <w:top w:val="none" w:sz="0" w:space="0" w:color="auto"/>
        <w:left w:val="none" w:sz="0" w:space="0" w:color="auto"/>
        <w:bottom w:val="none" w:sz="0" w:space="0" w:color="auto"/>
        <w:right w:val="none" w:sz="0" w:space="0" w:color="auto"/>
      </w:divBdr>
    </w:div>
    <w:div w:id="316694976">
      <w:bodyDiv w:val="1"/>
      <w:marLeft w:val="0"/>
      <w:marRight w:val="0"/>
      <w:marTop w:val="0"/>
      <w:marBottom w:val="0"/>
      <w:divBdr>
        <w:top w:val="none" w:sz="0" w:space="0" w:color="auto"/>
        <w:left w:val="none" w:sz="0" w:space="0" w:color="auto"/>
        <w:bottom w:val="none" w:sz="0" w:space="0" w:color="auto"/>
        <w:right w:val="none" w:sz="0" w:space="0" w:color="auto"/>
      </w:divBdr>
      <w:divsChild>
        <w:div w:id="1537233606">
          <w:marLeft w:val="0"/>
          <w:marRight w:val="0"/>
          <w:marTop w:val="0"/>
          <w:marBottom w:val="0"/>
          <w:divBdr>
            <w:top w:val="none" w:sz="0" w:space="0" w:color="auto"/>
            <w:left w:val="none" w:sz="0" w:space="0" w:color="auto"/>
            <w:bottom w:val="none" w:sz="0" w:space="0" w:color="auto"/>
            <w:right w:val="none" w:sz="0" w:space="0" w:color="auto"/>
          </w:divBdr>
        </w:div>
      </w:divsChild>
    </w:div>
    <w:div w:id="350884504">
      <w:bodyDiv w:val="1"/>
      <w:marLeft w:val="0"/>
      <w:marRight w:val="0"/>
      <w:marTop w:val="0"/>
      <w:marBottom w:val="0"/>
      <w:divBdr>
        <w:top w:val="none" w:sz="0" w:space="0" w:color="auto"/>
        <w:left w:val="none" w:sz="0" w:space="0" w:color="auto"/>
        <w:bottom w:val="none" w:sz="0" w:space="0" w:color="auto"/>
        <w:right w:val="none" w:sz="0" w:space="0" w:color="auto"/>
      </w:divBdr>
    </w:div>
    <w:div w:id="354380177">
      <w:bodyDiv w:val="1"/>
      <w:marLeft w:val="0"/>
      <w:marRight w:val="0"/>
      <w:marTop w:val="0"/>
      <w:marBottom w:val="0"/>
      <w:divBdr>
        <w:top w:val="none" w:sz="0" w:space="0" w:color="auto"/>
        <w:left w:val="none" w:sz="0" w:space="0" w:color="auto"/>
        <w:bottom w:val="none" w:sz="0" w:space="0" w:color="auto"/>
        <w:right w:val="none" w:sz="0" w:space="0" w:color="auto"/>
      </w:divBdr>
    </w:div>
    <w:div w:id="377553147">
      <w:bodyDiv w:val="1"/>
      <w:marLeft w:val="0"/>
      <w:marRight w:val="0"/>
      <w:marTop w:val="0"/>
      <w:marBottom w:val="0"/>
      <w:divBdr>
        <w:top w:val="none" w:sz="0" w:space="0" w:color="auto"/>
        <w:left w:val="none" w:sz="0" w:space="0" w:color="auto"/>
        <w:bottom w:val="none" w:sz="0" w:space="0" w:color="auto"/>
        <w:right w:val="none" w:sz="0" w:space="0" w:color="auto"/>
      </w:divBdr>
    </w:div>
    <w:div w:id="406270734">
      <w:bodyDiv w:val="1"/>
      <w:marLeft w:val="0"/>
      <w:marRight w:val="0"/>
      <w:marTop w:val="0"/>
      <w:marBottom w:val="0"/>
      <w:divBdr>
        <w:top w:val="none" w:sz="0" w:space="0" w:color="auto"/>
        <w:left w:val="none" w:sz="0" w:space="0" w:color="auto"/>
        <w:bottom w:val="none" w:sz="0" w:space="0" w:color="auto"/>
        <w:right w:val="none" w:sz="0" w:space="0" w:color="auto"/>
      </w:divBdr>
    </w:div>
    <w:div w:id="406731216">
      <w:bodyDiv w:val="1"/>
      <w:marLeft w:val="0"/>
      <w:marRight w:val="0"/>
      <w:marTop w:val="0"/>
      <w:marBottom w:val="0"/>
      <w:divBdr>
        <w:top w:val="none" w:sz="0" w:space="0" w:color="auto"/>
        <w:left w:val="none" w:sz="0" w:space="0" w:color="auto"/>
        <w:bottom w:val="none" w:sz="0" w:space="0" w:color="auto"/>
        <w:right w:val="none" w:sz="0" w:space="0" w:color="auto"/>
      </w:divBdr>
    </w:div>
    <w:div w:id="460534315">
      <w:bodyDiv w:val="1"/>
      <w:marLeft w:val="0"/>
      <w:marRight w:val="0"/>
      <w:marTop w:val="0"/>
      <w:marBottom w:val="0"/>
      <w:divBdr>
        <w:top w:val="none" w:sz="0" w:space="0" w:color="auto"/>
        <w:left w:val="none" w:sz="0" w:space="0" w:color="auto"/>
        <w:bottom w:val="none" w:sz="0" w:space="0" w:color="auto"/>
        <w:right w:val="none" w:sz="0" w:space="0" w:color="auto"/>
      </w:divBdr>
    </w:div>
    <w:div w:id="481897598">
      <w:bodyDiv w:val="1"/>
      <w:marLeft w:val="0"/>
      <w:marRight w:val="0"/>
      <w:marTop w:val="0"/>
      <w:marBottom w:val="0"/>
      <w:divBdr>
        <w:top w:val="none" w:sz="0" w:space="0" w:color="auto"/>
        <w:left w:val="none" w:sz="0" w:space="0" w:color="auto"/>
        <w:bottom w:val="none" w:sz="0" w:space="0" w:color="auto"/>
        <w:right w:val="none" w:sz="0" w:space="0" w:color="auto"/>
      </w:divBdr>
    </w:div>
    <w:div w:id="487327249">
      <w:bodyDiv w:val="1"/>
      <w:marLeft w:val="0"/>
      <w:marRight w:val="0"/>
      <w:marTop w:val="0"/>
      <w:marBottom w:val="0"/>
      <w:divBdr>
        <w:top w:val="none" w:sz="0" w:space="0" w:color="auto"/>
        <w:left w:val="none" w:sz="0" w:space="0" w:color="auto"/>
        <w:bottom w:val="none" w:sz="0" w:space="0" w:color="auto"/>
        <w:right w:val="none" w:sz="0" w:space="0" w:color="auto"/>
      </w:divBdr>
    </w:div>
    <w:div w:id="515773816">
      <w:bodyDiv w:val="1"/>
      <w:marLeft w:val="0"/>
      <w:marRight w:val="0"/>
      <w:marTop w:val="0"/>
      <w:marBottom w:val="0"/>
      <w:divBdr>
        <w:top w:val="none" w:sz="0" w:space="0" w:color="auto"/>
        <w:left w:val="none" w:sz="0" w:space="0" w:color="auto"/>
        <w:bottom w:val="none" w:sz="0" w:space="0" w:color="auto"/>
        <w:right w:val="none" w:sz="0" w:space="0" w:color="auto"/>
      </w:divBdr>
    </w:div>
    <w:div w:id="516506418">
      <w:bodyDiv w:val="1"/>
      <w:marLeft w:val="0"/>
      <w:marRight w:val="0"/>
      <w:marTop w:val="0"/>
      <w:marBottom w:val="0"/>
      <w:divBdr>
        <w:top w:val="none" w:sz="0" w:space="0" w:color="auto"/>
        <w:left w:val="none" w:sz="0" w:space="0" w:color="auto"/>
        <w:bottom w:val="none" w:sz="0" w:space="0" w:color="auto"/>
        <w:right w:val="none" w:sz="0" w:space="0" w:color="auto"/>
      </w:divBdr>
    </w:div>
    <w:div w:id="558513760">
      <w:bodyDiv w:val="1"/>
      <w:marLeft w:val="0"/>
      <w:marRight w:val="0"/>
      <w:marTop w:val="0"/>
      <w:marBottom w:val="0"/>
      <w:divBdr>
        <w:top w:val="none" w:sz="0" w:space="0" w:color="auto"/>
        <w:left w:val="none" w:sz="0" w:space="0" w:color="auto"/>
        <w:bottom w:val="none" w:sz="0" w:space="0" w:color="auto"/>
        <w:right w:val="none" w:sz="0" w:space="0" w:color="auto"/>
      </w:divBdr>
    </w:div>
    <w:div w:id="617295554">
      <w:bodyDiv w:val="1"/>
      <w:marLeft w:val="0"/>
      <w:marRight w:val="0"/>
      <w:marTop w:val="0"/>
      <w:marBottom w:val="0"/>
      <w:divBdr>
        <w:top w:val="none" w:sz="0" w:space="0" w:color="auto"/>
        <w:left w:val="none" w:sz="0" w:space="0" w:color="auto"/>
        <w:bottom w:val="none" w:sz="0" w:space="0" w:color="auto"/>
        <w:right w:val="none" w:sz="0" w:space="0" w:color="auto"/>
      </w:divBdr>
    </w:div>
    <w:div w:id="619188899">
      <w:bodyDiv w:val="1"/>
      <w:marLeft w:val="0"/>
      <w:marRight w:val="0"/>
      <w:marTop w:val="0"/>
      <w:marBottom w:val="0"/>
      <w:divBdr>
        <w:top w:val="none" w:sz="0" w:space="0" w:color="auto"/>
        <w:left w:val="none" w:sz="0" w:space="0" w:color="auto"/>
        <w:bottom w:val="none" w:sz="0" w:space="0" w:color="auto"/>
        <w:right w:val="none" w:sz="0" w:space="0" w:color="auto"/>
      </w:divBdr>
    </w:div>
    <w:div w:id="631130146">
      <w:bodyDiv w:val="1"/>
      <w:marLeft w:val="0"/>
      <w:marRight w:val="0"/>
      <w:marTop w:val="0"/>
      <w:marBottom w:val="0"/>
      <w:divBdr>
        <w:top w:val="none" w:sz="0" w:space="0" w:color="auto"/>
        <w:left w:val="none" w:sz="0" w:space="0" w:color="auto"/>
        <w:bottom w:val="none" w:sz="0" w:space="0" w:color="auto"/>
        <w:right w:val="none" w:sz="0" w:space="0" w:color="auto"/>
      </w:divBdr>
    </w:div>
    <w:div w:id="644703839">
      <w:bodyDiv w:val="1"/>
      <w:marLeft w:val="0"/>
      <w:marRight w:val="0"/>
      <w:marTop w:val="0"/>
      <w:marBottom w:val="0"/>
      <w:divBdr>
        <w:top w:val="none" w:sz="0" w:space="0" w:color="auto"/>
        <w:left w:val="none" w:sz="0" w:space="0" w:color="auto"/>
        <w:bottom w:val="none" w:sz="0" w:space="0" w:color="auto"/>
        <w:right w:val="none" w:sz="0" w:space="0" w:color="auto"/>
      </w:divBdr>
    </w:div>
    <w:div w:id="670983382">
      <w:bodyDiv w:val="1"/>
      <w:marLeft w:val="0"/>
      <w:marRight w:val="0"/>
      <w:marTop w:val="0"/>
      <w:marBottom w:val="0"/>
      <w:divBdr>
        <w:top w:val="none" w:sz="0" w:space="0" w:color="auto"/>
        <w:left w:val="none" w:sz="0" w:space="0" w:color="auto"/>
        <w:bottom w:val="none" w:sz="0" w:space="0" w:color="auto"/>
        <w:right w:val="none" w:sz="0" w:space="0" w:color="auto"/>
      </w:divBdr>
    </w:div>
    <w:div w:id="681518583">
      <w:bodyDiv w:val="1"/>
      <w:marLeft w:val="0"/>
      <w:marRight w:val="0"/>
      <w:marTop w:val="0"/>
      <w:marBottom w:val="0"/>
      <w:divBdr>
        <w:top w:val="none" w:sz="0" w:space="0" w:color="auto"/>
        <w:left w:val="none" w:sz="0" w:space="0" w:color="auto"/>
        <w:bottom w:val="none" w:sz="0" w:space="0" w:color="auto"/>
        <w:right w:val="none" w:sz="0" w:space="0" w:color="auto"/>
      </w:divBdr>
    </w:div>
    <w:div w:id="711273698">
      <w:bodyDiv w:val="1"/>
      <w:marLeft w:val="0"/>
      <w:marRight w:val="0"/>
      <w:marTop w:val="0"/>
      <w:marBottom w:val="0"/>
      <w:divBdr>
        <w:top w:val="none" w:sz="0" w:space="0" w:color="auto"/>
        <w:left w:val="none" w:sz="0" w:space="0" w:color="auto"/>
        <w:bottom w:val="none" w:sz="0" w:space="0" w:color="auto"/>
        <w:right w:val="none" w:sz="0" w:space="0" w:color="auto"/>
      </w:divBdr>
    </w:div>
    <w:div w:id="720711841">
      <w:bodyDiv w:val="1"/>
      <w:marLeft w:val="0"/>
      <w:marRight w:val="0"/>
      <w:marTop w:val="0"/>
      <w:marBottom w:val="0"/>
      <w:divBdr>
        <w:top w:val="none" w:sz="0" w:space="0" w:color="auto"/>
        <w:left w:val="none" w:sz="0" w:space="0" w:color="auto"/>
        <w:bottom w:val="none" w:sz="0" w:space="0" w:color="auto"/>
        <w:right w:val="none" w:sz="0" w:space="0" w:color="auto"/>
      </w:divBdr>
    </w:div>
    <w:div w:id="798377276">
      <w:bodyDiv w:val="1"/>
      <w:marLeft w:val="0"/>
      <w:marRight w:val="0"/>
      <w:marTop w:val="0"/>
      <w:marBottom w:val="0"/>
      <w:divBdr>
        <w:top w:val="none" w:sz="0" w:space="0" w:color="auto"/>
        <w:left w:val="none" w:sz="0" w:space="0" w:color="auto"/>
        <w:bottom w:val="none" w:sz="0" w:space="0" w:color="auto"/>
        <w:right w:val="none" w:sz="0" w:space="0" w:color="auto"/>
      </w:divBdr>
    </w:div>
    <w:div w:id="843201692">
      <w:bodyDiv w:val="1"/>
      <w:marLeft w:val="0"/>
      <w:marRight w:val="0"/>
      <w:marTop w:val="0"/>
      <w:marBottom w:val="0"/>
      <w:divBdr>
        <w:top w:val="none" w:sz="0" w:space="0" w:color="auto"/>
        <w:left w:val="none" w:sz="0" w:space="0" w:color="auto"/>
        <w:bottom w:val="none" w:sz="0" w:space="0" w:color="auto"/>
        <w:right w:val="none" w:sz="0" w:space="0" w:color="auto"/>
      </w:divBdr>
    </w:div>
    <w:div w:id="860826973">
      <w:bodyDiv w:val="1"/>
      <w:marLeft w:val="0"/>
      <w:marRight w:val="0"/>
      <w:marTop w:val="0"/>
      <w:marBottom w:val="0"/>
      <w:divBdr>
        <w:top w:val="none" w:sz="0" w:space="0" w:color="auto"/>
        <w:left w:val="none" w:sz="0" w:space="0" w:color="auto"/>
        <w:bottom w:val="none" w:sz="0" w:space="0" w:color="auto"/>
        <w:right w:val="none" w:sz="0" w:space="0" w:color="auto"/>
      </w:divBdr>
    </w:div>
    <w:div w:id="864173702">
      <w:bodyDiv w:val="1"/>
      <w:marLeft w:val="0"/>
      <w:marRight w:val="0"/>
      <w:marTop w:val="0"/>
      <w:marBottom w:val="0"/>
      <w:divBdr>
        <w:top w:val="none" w:sz="0" w:space="0" w:color="auto"/>
        <w:left w:val="none" w:sz="0" w:space="0" w:color="auto"/>
        <w:bottom w:val="none" w:sz="0" w:space="0" w:color="auto"/>
        <w:right w:val="none" w:sz="0" w:space="0" w:color="auto"/>
      </w:divBdr>
    </w:div>
    <w:div w:id="871111291">
      <w:bodyDiv w:val="1"/>
      <w:marLeft w:val="0"/>
      <w:marRight w:val="0"/>
      <w:marTop w:val="0"/>
      <w:marBottom w:val="0"/>
      <w:divBdr>
        <w:top w:val="none" w:sz="0" w:space="0" w:color="auto"/>
        <w:left w:val="none" w:sz="0" w:space="0" w:color="auto"/>
        <w:bottom w:val="none" w:sz="0" w:space="0" w:color="auto"/>
        <w:right w:val="none" w:sz="0" w:space="0" w:color="auto"/>
      </w:divBdr>
    </w:div>
    <w:div w:id="875000978">
      <w:bodyDiv w:val="1"/>
      <w:marLeft w:val="0"/>
      <w:marRight w:val="0"/>
      <w:marTop w:val="0"/>
      <w:marBottom w:val="0"/>
      <w:divBdr>
        <w:top w:val="none" w:sz="0" w:space="0" w:color="auto"/>
        <w:left w:val="none" w:sz="0" w:space="0" w:color="auto"/>
        <w:bottom w:val="none" w:sz="0" w:space="0" w:color="auto"/>
        <w:right w:val="none" w:sz="0" w:space="0" w:color="auto"/>
      </w:divBdr>
    </w:div>
    <w:div w:id="918102874">
      <w:bodyDiv w:val="1"/>
      <w:marLeft w:val="0"/>
      <w:marRight w:val="0"/>
      <w:marTop w:val="0"/>
      <w:marBottom w:val="0"/>
      <w:divBdr>
        <w:top w:val="none" w:sz="0" w:space="0" w:color="auto"/>
        <w:left w:val="none" w:sz="0" w:space="0" w:color="auto"/>
        <w:bottom w:val="none" w:sz="0" w:space="0" w:color="auto"/>
        <w:right w:val="none" w:sz="0" w:space="0" w:color="auto"/>
      </w:divBdr>
    </w:div>
    <w:div w:id="955022111">
      <w:bodyDiv w:val="1"/>
      <w:marLeft w:val="0"/>
      <w:marRight w:val="0"/>
      <w:marTop w:val="0"/>
      <w:marBottom w:val="0"/>
      <w:divBdr>
        <w:top w:val="none" w:sz="0" w:space="0" w:color="auto"/>
        <w:left w:val="none" w:sz="0" w:space="0" w:color="auto"/>
        <w:bottom w:val="none" w:sz="0" w:space="0" w:color="auto"/>
        <w:right w:val="none" w:sz="0" w:space="0" w:color="auto"/>
      </w:divBdr>
    </w:div>
    <w:div w:id="996956849">
      <w:bodyDiv w:val="1"/>
      <w:marLeft w:val="0"/>
      <w:marRight w:val="0"/>
      <w:marTop w:val="0"/>
      <w:marBottom w:val="0"/>
      <w:divBdr>
        <w:top w:val="none" w:sz="0" w:space="0" w:color="auto"/>
        <w:left w:val="none" w:sz="0" w:space="0" w:color="auto"/>
        <w:bottom w:val="none" w:sz="0" w:space="0" w:color="auto"/>
        <w:right w:val="none" w:sz="0" w:space="0" w:color="auto"/>
      </w:divBdr>
    </w:div>
    <w:div w:id="1015112110">
      <w:bodyDiv w:val="1"/>
      <w:marLeft w:val="0"/>
      <w:marRight w:val="0"/>
      <w:marTop w:val="0"/>
      <w:marBottom w:val="0"/>
      <w:divBdr>
        <w:top w:val="none" w:sz="0" w:space="0" w:color="auto"/>
        <w:left w:val="none" w:sz="0" w:space="0" w:color="auto"/>
        <w:bottom w:val="none" w:sz="0" w:space="0" w:color="auto"/>
        <w:right w:val="none" w:sz="0" w:space="0" w:color="auto"/>
      </w:divBdr>
    </w:div>
    <w:div w:id="1027028385">
      <w:bodyDiv w:val="1"/>
      <w:marLeft w:val="0"/>
      <w:marRight w:val="0"/>
      <w:marTop w:val="0"/>
      <w:marBottom w:val="0"/>
      <w:divBdr>
        <w:top w:val="none" w:sz="0" w:space="0" w:color="auto"/>
        <w:left w:val="none" w:sz="0" w:space="0" w:color="auto"/>
        <w:bottom w:val="none" w:sz="0" w:space="0" w:color="auto"/>
        <w:right w:val="none" w:sz="0" w:space="0" w:color="auto"/>
      </w:divBdr>
    </w:div>
    <w:div w:id="1116680365">
      <w:bodyDiv w:val="1"/>
      <w:marLeft w:val="0"/>
      <w:marRight w:val="0"/>
      <w:marTop w:val="0"/>
      <w:marBottom w:val="0"/>
      <w:divBdr>
        <w:top w:val="none" w:sz="0" w:space="0" w:color="auto"/>
        <w:left w:val="none" w:sz="0" w:space="0" w:color="auto"/>
        <w:bottom w:val="none" w:sz="0" w:space="0" w:color="auto"/>
        <w:right w:val="none" w:sz="0" w:space="0" w:color="auto"/>
      </w:divBdr>
    </w:div>
    <w:div w:id="1118718875">
      <w:bodyDiv w:val="1"/>
      <w:marLeft w:val="0"/>
      <w:marRight w:val="0"/>
      <w:marTop w:val="0"/>
      <w:marBottom w:val="0"/>
      <w:divBdr>
        <w:top w:val="none" w:sz="0" w:space="0" w:color="auto"/>
        <w:left w:val="none" w:sz="0" w:space="0" w:color="auto"/>
        <w:bottom w:val="none" w:sz="0" w:space="0" w:color="auto"/>
        <w:right w:val="none" w:sz="0" w:space="0" w:color="auto"/>
      </w:divBdr>
    </w:div>
    <w:div w:id="1119883525">
      <w:bodyDiv w:val="1"/>
      <w:marLeft w:val="0"/>
      <w:marRight w:val="0"/>
      <w:marTop w:val="0"/>
      <w:marBottom w:val="0"/>
      <w:divBdr>
        <w:top w:val="none" w:sz="0" w:space="0" w:color="auto"/>
        <w:left w:val="none" w:sz="0" w:space="0" w:color="auto"/>
        <w:bottom w:val="none" w:sz="0" w:space="0" w:color="auto"/>
        <w:right w:val="none" w:sz="0" w:space="0" w:color="auto"/>
      </w:divBdr>
    </w:div>
    <w:div w:id="1122074455">
      <w:bodyDiv w:val="1"/>
      <w:marLeft w:val="0"/>
      <w:marRight w:val="0"/>
      <w:marTop w:val="0"/>
      <w:marBottom w:val="0"/>
      <w:divBdr>
        <w:top w:val="none" w:sz="0" w:space="0" w:color="auto"/>
        <w:left w:val="none" w:sz="0" w:space="0" w:color="auto"/>
        <w:bottom w:val="none" w:sz="0" w:space="0" w:color="auto"/>
        <w:right w:val="none" w:sz="0" w:space="0" w:color="auto"/>
      </w:divBdr>
      <w:divsChild>
        <w:div w:id="918170963">
          <w:marLeft w:val="0"/>
          <w:marRight w:val="0"/>
          <w:marTop w:val="0"/>
          <w:marBottom w:val="0"/>
          <w:divBdr>
            <w:top w:val="none" w:sz="0" w:space="0" w:color="auto"/>
            <w:left w:val="none" w:sz="0" w:space="0" w:color="auto"/>
            <w:bottom w:val="none" w:sz="0" w:space="0" w:color="auto"/>
            <w:right w:val="none" w:sz="0" w:space="0" w:color="auto"/>
          </w:divBdr>
          <w:divsChild>
            <w:div w:id="901019007">
              <w:marLeft w:val="0"/>
              <w:marRight w:val="0"/>
              <w:marTop w:val="0"/>
              <w:marBottom w:val="0"/>
              <w:divBdr>
                <w:top w:val="none" w:sz="0" w:space="0" w:color="auto"/>
                <w:left w:val="none" w:sz="0" w:space="0" w:color="auto"/>
                <w:bottom w:val="none" w:sz="0" w:space="0" w:color="auto"/>
                <w:right w:val="none" w:sz="0" w:space="0" w:color="auto"/>
              </w:divBdr>
            </w:div>
            <w:div w:id="555703868">
              <w:marLeft w:val="0"/>
              <w:marRight w:val="0"/>
              <w:marTop w:val="0"/>
              <w:marBottom w:val="0"/>
              <w:divBdr>
                <w:top w:val="none" w:sz="0" w:space="0" w:color="auto"/>
                <w:left w:val="none" w:sz="0" w:space="0" w:color="auto"/>
                <w:bottom w:val="none" w:sz="0" w:space="0" w:color="auto"/>
                <w:right w:val="none" w:sz="0" w:space="0" w:color="auto"/>
              </w:divBdr>
            </w:div>
          </w:divsChild>
        </w:div>
        <w:div w:id="738986610">
          <w:marLeft w:val="0"/>
          <w:marRight w:val="0"/>
          <w:marTop w:val="0"/>
          <w:marBottom w:val="0"/>
          <w:divBdr>
            <w:top w:val="none" w:sz="0" w:space="0" w:color="auto"/>
            <w:left w:val="none" w:sz="0" w:space="0" w:color="auto"/>
            <w:bottom w:val="none" w:sz="0" w:space="0" w:color="auto"/>
            <w:right w:val="none" w:sz="0" w:space="0" w:color="auto"/>
          </w:divBdr>
          <w:divsChild>
            <w:div w:id="1617174039">
              <w:marLeft w:val="0"/>
              <w:marRight w:val="0"/>
              <w:marTop w:val="0"/>
              <w:marBottom w:val="0"/>
              <w:divBdr>
                <w:top w:val="none" w:sz="0" w:space="0" w:color="auto"/>
                <w:left w:val="none" w:sz="0" w:space="0" w:color="auto"/>
                <w:bottom w:val="none" w:sz="0" w:space="0" w:color="auto"/>
                <w:right w:val="none" w:sz="0" w:space="0" w:color="auto"/>
              </w:divBdr>
            </w:div>
            <w:div w:id="1979650385">
              <w:marLeft w:val="0"/>
              <w:marRight w:val="0"/>
              <w:marTop w:val="0"/>
              <w:marBottom w:val="0"/>
              <w:divBdr>
                <w:top w:val="none" w:sz="0" w:space="0" w:color="auto"/>
                <w:left w:val="none" w:sz="0" w:space="0" w:color="auto"/>
                <w:bottom w:val="none" w:sz="0" w:space="0" w:color="auto"/>
                <w:right w:val="none" w:sz="0" w:space="0" w:color="auto"/>
              </w:divBdr>
            </w:div>
            <w:div w:id="1697078866">
              <w:marLeft w:val="0"/>
              <w:marRight w:val="0"/>
              <w:marTop w:val="0"/>
              <w:marBottom w:val="0"/>
              <w:divBdr>
                <w:top w:val="none" w:sz="0" w:space="0" w:color="auto"/>
                <w:left w:val="none" w:sz="0" w:space="0" w:color="auto"/>
                <w:bottom w:val="none" w:sz="0" w:space="0" w:color="auto"/>
                <w:right w:val="none" w:sz="0" w:space="0" w:color="auto"/>
              </w:divBdr>
            </w:div>
            <w:div w:id="429744640">
              <w:marLeft w:val="0"/>
              <w:marRight w:val="0"/>
              <w:marTop w:val="0"/>
              <w:marBottom w:val="0"/>
              <w:divBdr>
                <w:top w:val="none" w:sz="0" w:space="0" w:color="auto"/>
                <w:left w:val="none" w:sz="0" w:space="0" w:color="auto"/>
                <w:bottom w:val="none" w:sz="0" w:space="0" w:color="auto"/>
                <w:right w:val="none" w:sz="0" w:space="0" w:color="auto"/>
              </w:divBdr>
            </w:div>
            <w:div w:id="1351951407">
              <w:marLeft w:val="960"/>
              <w:marRight w:val="0"/>
              <w:marTop w:val="0"/>
              <w:marBottom w:val="0"/>
              <w:divBdr>
                <w:top w:val="none" w:sz="0" w:space="0" w:color="auto"/>
                <w:left w:val="none" w:sz="0" w:space="0" w:color="auto"/>
                <w:bottom w:val="none" w:sz="0" w:space="0" w:color="auto"/>
                <w:right w:val="none" w:sz="0" w:space="0" w:color="auto"/>
              </w:divBdr>
            </w:div>
          </w:divsChild>
        </w:div>
      </w:divsChild>
    </w:div>
    <w:div w:id="1140147491">
      <w:bodyDiv w:val="1"/>
      <w:marLeft w:val="0"/>
      <w:marRight w:val="0"/>
      <w:marTop w:val="0"/>
      <w:marBottom w:val="0"/>
      <w:divBdr>
        <w:top w:val="none" w:sz="0" w:space="0" w:color="auto"/>
        <w:left w:val="none" w:sz="0" w:space="0" w:color="auto"/>
        <w:bottom w:val="none" w:sz="0" w:space="0" w:color="auto"/>
        <w:right w:val="none" w:sz="0" w:space="0" w:color="auto"/>
      </w:divBdr>
    </w:div>
    <w:div w:id="1173881218">
      <w:bodyDiv w:val="1"/>
      <w:marLeft w:val="0"/>
      <w:marRight w:val="0"/>
      <w:marTop w:val="0"/>
      <w:marBottom w:val="0"/>
      <w:divBdr>
        <w:top w:val="none" w:sz="0" w:space="0" w:color="auto"/>
        <w:left w:val="none" w:sz="0" w:space="0" w:color="auto"/>
        <w:bottom w:val="none" w:sz="0" w:space="0" w:color="auto"/>
        <w:right w:val="none" w:sz="0" w:space="0" w:color="auto"/>
      </w:divBdr>
    </w:div>
    <w:div w:id="1174418917">
      <w:bodyDiv w:val="1"/>
      <w:marLeft w:val="0"/>
      <w:marRight w:val="0"/>
      <w:marTop w:val="0"/>
      <w:marBottom w:val="0"/>
      <w:divBdr>
        <w:top w:val="none" w:sz="0" w:space="0" w:color="auto"/>
        <w:left w:val="none" w:sz="0" w:space="0" w:color="auto"/>
        <w:bottom w:val="none" w:sz="0" w:space="0" w:color="auto"/>
        <w:right w:val="none" w:sz="0" w:space="0" w:color="auto"/>
      </w:divBdr>
      <w:divsChild>
        <w:div w:id="1243370169">
          <w:marLeft w:val="0"/>
          <w:marRight w:val="0"/>
          <w:marTop w:val="0"/>
          <w:marBottom w:val="0"/>
          <w:divBdr>
            <w:top w:val="none" w:sz="0" w:space="0" w:color="auto"/>
            <w:left w:val="none" w:sz="0" w:space="0" w:color="auto"/>
            <w:bottom w:val="none" w:sz="0" w:space="0" w:color="auto"/>
            <w:right w:val="none" w:sz="0" w:space="0" w:color="auto"/>
          </w:divBdr>
        </w:div>
      </w:divsChild>
    </w:div>
    <w:div w:id="1214004894">
      <w:bodyDiv w:val="1"/>
      <w:marLeft w:val="0"/>
      <w:marRight w:val="0"/>
      <w:marTop w:val="0"/>
      <w:marBottom w:val="0"/>
      <w:divBdr>
        <w:top w:val="none" w:sz="0" w:space="0" w:color="auto"/>
        <w:left w:val="none" w:sz="0" w:space="0" w:color="auto"/>
        <w:bottom w:val="none" w:sz="0" w:space="0" w:color="auto"/>
        <w:right w:val="none" w:sz="0" w:space="0" w:color="auto"/>
      </w:divBdr>
    </w:div>
    <w:div w:id="1215122323">
      <w:bodyDiv w:val="1"/>
      <w:marLeft w:val="0"/>
      <w:marRight w:val="0"/>
      <w:marTop w:val="0"/>
      <w:marBottom w:val="0"/>
      <w:divBdr>
        <w:top w:val="none" w:sz="0" w:space="0" w:color="auto"/>
        <w:left w:val="none" w:sz="0" w:space="0" w:color="auto"/>
        <w:bottom w:val="none" w:sz="0" w:space="0" w:color="auto"/>
        <w:right w:val="none" w:sz="0" w:space="0" w:color="auto"/>
      </w:divBdr>
    </w:div>
    <w:div w:id="1218779918">
      <w:bodyDiv w:val="1"/>
      <w:marLeft w:val="0"/>
      <w:marRight w:val="0"/>
      <w:marTop w:val="0"/>
      <w:marBottom w:val="0"/>
      <w:divBdr>
        <w:top w:val="none" w:sz="0" w:space="0" w:color="auto"/>
        <w:left w:val="none" w:sz="0" w:space="0" w:color="auto"/>
        <w:bottom w:val="none" w:sz="0" w:space="0" w:color="auto"/>
        <w:right w:val="none" w:sz="0" w:space="0" w:color="auto"/>
      </w:divBdr>
    </w:div>
    <w:div w:id="1222905429">
      <w:bodyDiv w:val="1"/>
      <w:marLeft w:val="0"/>
      <w:marRight w:val="0"/>
      <w:marTop w:val="0"/>
      <w:marBottom w:val="0"/>
      <w:divBdr>
        <w:top w:val="none" w:sz="0" w:space="0" w:color="auto"/>
        <w:left w:val="none" w:sz="0" w:space="0" w:color="auto"/>
        <w:bottom w:val="none" w:sz="0" w:space="0" w:color="auto"/>
        <w:right w:val="none" w:sz="0" w:space="0" w:color="auto"/>
      </w:divBdr>
    </w:div>
    <w:div w:id="1253246931">
      <w:bodyDiv w:val="1"/>
      <w:marLeft w:val="0"/>
      <w:marRight w:val="0"/>
      <w:marTop w:val="0"/>
      <w:marBottom w:val="0"/>
      <w:divBdr>
        <w:top w:val="none" w:sz="0" w:space="0" w:color="auto"/>
        <w:left w:val="none" w:sz="0" w:space="0" w:color="auto"/>
        <w:bottom w:val="none" w:sz="0" w:space="0" w:color="auto"/>
        <w:right w:val="none" w:sz="0" w:space="0" w:color="auto"/>
      </w:divBdr>
    </w:div>
    <w:div w:id="1265190327">
      <w:bodyDiv w:val="1"/>
      <w:marLeft w:val="0"/>
      <w:marRight w:val="0"/>
      <w:marTop w:val="0"/>
      <w:marBottom w:val="0"/>
      <w:divBdr>
        <w:top w:val="none" w:sz="0" w:space="0" w:color="auto"/>
        <w:left w:val="none" w:sz="0" w:space="0" w:color="auto"/>
        <w:bottom w:val="none" w:sz="0" w:space="0" w:color="auto"/>
        <w:right w:val="none" w:sz="0" w:space="0" w:color="auto"/>
      </w:divBdr>
      <w:divsChild>
        <w:div w:id="1013144939">
          <w:marLeft w:val="0"/>
          <w:marRight w:val="0"/>
          <w:marTop w:val="0"/>
          <w:marBottom w:val="0"/>
          <w:divBdr>
            <w:top w:val="none" w:sz="0" w:space="0" w:color="auto"/>
            <w:left w:val="none" w:sz="0" w:space="0" w:color="auto"/>
            <w:bottom w:val="none" w:sz="0" w:space="0" w:color="auto"/>
            <w:right w:val="none" w:sz="0" w:space="0" w:color="auto"/>
          </w:divBdr>
        </w:div>
      </w:divsChild>
    </w:div>
    <w:div w:id="1282689668">
      <w:bodyDiv w:val="1"/>
      <w:marLeft w:val="0"/>
      <w:marRight w:val="0"/>
      <w:marTop w:val="0"/>
      <w:marBottom w:val="0"/>
      <w:divBdr>
        <w:top w:val="none" w:sz="0" w:space="0" w:color="auto"/>
        <w:left w:val="none" w:sz="0" w:space="0" w:color="auto"/>
        <w:bottom w:val="none" w:sz="0" w:space="0" w:color="auto"/>
        <w:right w:val="none" w:sz="0" w:space="0" w:color="auto"/>
      </w:divBdr>
    </w:div>
    <w:div w:id="1311516716">
      <w:bodyDiv w:val="1"/>
      <w:marLeft w:val="0"/>
      <w:marRight w:val="0"/>
      <w:marTop w:val="0"/>
      <w:marBottom w:val="0"/>
      <w:divBdr>
        <w:top w:val="none" w:sz="0" w:space="0" w:color="auto"/>
        <w:left w:val="none" w:sz="0" w:space="0" w:color="auto"/>
        <w:bottom w:val="none" w:sz="0" w:space="0" w:color="auto"/>
        <w:right w:val="none" w:sz="0" w:space="0" w:color="auto"/>
      </w:divBdr>
    </w:div>
    <w:div w:id="1351836377">
      <w:bodyDiv w:val="1"/>
      <w:marLeft w:val="0"/>
      <w:marRight w:val="0"/>
      <w:marTop w:val="0"/>
      <w:marBottom w:val="0"/>
      <w:divBdr>
        <w:top w:val="none" w:sz="0" w:space="0" w:color="auto"/>
        <w:left w:val="none" w:sz="0" w:space="0" w:color="auto"/>
        <w:bottom w:val="none" w:sz="0" w:space="0" w:color="auto"/>
        <w:right w:val="none" w:sz="0" w:space="0" w:color="auto"/>
      </w:divBdr>
    </w:div>
    <w:div w:id="1354572050">
      <w:bodyDiv w:val="1"/>
      <w:marLeft w:val="0"/>
      <w:marRight w:val="0"/>
      <w:marTop w:val="0"/>
      <w:marBottom w:val="0"/>
      <w:divBdr>
        <w:top w:val="none" w:sz="0" w:space="0" w:color="auto"/>
        <w:left w:val="none" w:sz="0" w:space="0" w:color="auto"/>
        <w:bottom w:val="none" w:sz="0" w:space="0" w:color="auto"/>
        <w:right w:val="none" w:sz="0" w:space="0" w:color="auto"/>
      </w:divBdr>
    </w:div>
    <w:div w:id="1357195489">
      <w:bodyDiv w:val="1"/>
      <w:marLeft w:val="0"/>
      <w:marRight w:val="0"/>
      <w:marTop w:val="0"/>
      <w:marBottom w:val="0"/>
      <w:divBdr>
        <w:top w:val="none" w:sz="0" w:space="0" w:color="auto"/>
        <w:left w:val="none" w:sz="0" w:space="0" w:color="auto"/>
        <w:bottom w:val="none" w:sz="0" w:space="0" w:color="auto"/>
        <w:right w:val="none" w:sz="0" w:space="0" w:color="auto"/>
      </w:divBdr>
      <w:divsChild>
        <w:div w:id="702899669">
          <w:marLeft w:val="0"/>
          <w:marRight w:val="0"/>
          <w:marTop w:val="0"/>
          <w:marBottom w:val="0"/>
          <w:divBdr>
            <w:top w:val="none" w:sz="0" w:space="0" w:color="auto"/>
            <w:left w:val="none" w:sz="0" w:space="0" w:color="auto"/>
            <w:bottom w:val="none" w:sz="0" w:space="0" w:color="auto"/>
            <w:right w:val="none" w:sz="0" w:space="0" w:color="auto"/>
          </w:divBdr>
        </w:div>
        <w:div w:id="1280912652">
          <w:marLeft w:val="0"/>
          <w:marRight w:val="0"/>
          <w:marTop w:val="0"/>
          <w:marBottom w:val="0"/>
          <w:divBdr>
            <w:top w:val="none" w:sz="0" w:space="0" w:color="auto"/>
            <w:left w:val="none" w:sz="0" w:space="0" w:color="auto"/>
            <w:bottom w:val="none" w:sz="0" w:space="0" w:color="auto"/>
            <w:right w:val="none" w:sz="0" w:space="0" w:color="auto"/>
          </w:divBdr>
        </w:div>
        <w:div w:id="748119649">
          <w:marLeft w:val="0"/>
          <w:marRight w:val="0"/>
          <w:marTop w:val="0"/>
          <w:marBottom w:val="0"/>
          <w:divBdr>
            <w:top w:val="none" w:sz="0" w:space="0" w:color="auto"/>
            <w:left w:val="none" w:sz="0" w:space="0" w:color="auto"/>
            <w:bottom w:val="none" w:sz="0" w:space="0" w:color="auto"/>
            <w:right w:val="none" w:sz="0" w:space="0" w:color="auto"/>
          </w:divBdr>
        </w:div>
        <w:div w:id="825824285">
          <w:marLeft w:val="0"/>
          <w:marRight w:val="0"/>
          <w:marTop w:val="0"/>
          <w:marBottom w:val="0"/>
          <w:divBdr>
            <w:top w:val="none" w:sz="0" w:space="0" w:color="auto"/>
            <w:left w:val="none" w:sz="0" w:space="0" w:color="auto"/>
            <w:bottom w:val="none" w:sz="0" w:space="0" w:color="auto"/>
            <w:right w:val="none" w:sz="0" w:space="0" w:color="auto"/>
          </w:divBdr>
        </w:div>
        <w:div w:id="809592604">
          <w:marLeft w:val="0"/>
          <w:marRight w:val="0"/>
          <w:marTop w:val="0"/>
          <w:marBottom w:val="0"/>
          <w:divBdr>
            <w:top w:val="none" w:sz="0" w:space="0" w:color="auto"/>
            <w:left w:val="none" w:sz="0" w:space="0" w:color="auto"/>
            <w:bottom w:val="none" w:sz="0" w:space="0" w:color="auto"/>
            <w:right w:val="none" w:sz="0" w:space="0" w:color="auto"/>
          </w:divBdr>
        </w:div>
        <w:div w:id="1063137616">
          <w:marLeft w:val="0"/>
          <w:marRight w:val="0"/>
          <w:marTop w:val="0"/>
          <w:marBottom w:val="0"/>
          <w:divBdr>
            <w:top w:val="none" w:sz="0" w:space="0" w:color="auto"/>
            <w:left w:val="none" w:sz="0" w:space="0" w:color="auto"/>
            <w:bottom w:val="none" w:sz="0" w:space="0" w:color="auto"/>
            <w:right w:val="none" w:sz="0" w:space="0" w:color="auto"/>
          </w:divBdr>
        </w:div>
        <w:div w:id="1347292785">
          <w:marLeft w:val="0"/>
          <w:marRight w:val="0"/>
          <w:marTop w:val="0"/>
          <w:marBottom w:val="0"/>
          <w:divBdr>
            <w:top w:val="none" w:sz="0" w:space="0" w:color="auto"/>
            <w:left w:val="none" w:sz="0" w:space="0" w:color="auto"/>
            <w:bottom w:val="none" w:sz="0" w:space="0" w:color="auto"/>
            <w:right w:val="none" w:sz="0" w:space="0" w:color="auto"/>
          </w:divBdr>
        </w:div>
        <w:div w:id="180121767">
          <w:marLeft w:val="0"/>
          <w:marRight w:val="0"/>
          <w:marTop w:val="0"/>
          <w:marBottom w:val="0"/>
          <w:divBdr>
            <w:top w:val="none" w:sz="0" w:space="0" w:color="auto"/>
            <w:left w:val="none" w:sz="0" w:space="0" w:color="auto"/>
            <w:bottom w:val="none" w:sz="0" w:space="0" w:color="auto"/>
            <w:right w:val="none" w:sz="0" w:space="0" w:color="auto"/>
          </w:divBdr>
        </w:div>
      </w:divsChild>
    </w:div>
    <w:div w:id="1371414292">
      <w:bodyDiv w:val="1"/>
      <w:marLeft w:val="0"/>
      <w:marRight w:val="0"/>
      <w:marTop w:val="0"/>
      <w:marBottom w:val="0"/>
      <w:divBdr>
        <w:top w:val="none" w:sz="0" w:space="0" w:color="auto"/>
        <w:left w:val="none" w:sz="0" w:space="0" w:color="auto"/>
        <w:bottom w:val="none" w:sz="0" w:space="0" w:color="auto"/>
        <w:right w:val="none" w:sz="0" w:space="0" w:color="auto"/>
      </w:divBdr>
    </w:div>
    <w:div w:id="1376079658">
      <w:bodyDiv w:val="1"/>
      <w:marLeft w:val="0"/>
      <w:marRight w:val="0"/>
      <w:marTop w:val="0"/>
      <w:marBottom w:val="0"/>
      <w:divBdr>
        <w:top w:val="none" w:sz="0" w:space="0" w:color="auto"/>
        <w:left w:val="none" w:sz="0" w:space="0" w:color="auto"/>
        <w:bottom w:val="none" w:sz="0" w:space="0" w:color="auto"/>
        <w:right w:val="none" w:sz="0" w:space="0" w:color="auto"/>
      </w:divBdr>
    </w:div>
    <w:div w:id="1389454338">
      <w:bodyDiv w:val="1"/>
      <w:marLeft w:val="0"/>
      <w:marRight w:val="0"/>
      <w:marTop w:val="0"/>
      <w:marBottom w:val="0"/>
      <w:divBdr>
        <w:top w:val="none" w:sz="0" w:space="0" w:color="auto"/>
        <w:left w:val="none" w:sz="0" w:space="0" w:color="auto"/>
        <w:bottom w:val="none" w:sz="0" w:space="0" w:color="auto"/>
        <w:right w:val="none" w:sz="0" w:space="0" w:color="auto"/>
      </w:divBdr>
      <w:divsChild>
        <w:div w:id="1585339020">
          <w:marLeft w:val="0"/>
          <w:marRight w:val="0"/>
          <w:marTop w:val="0"/>
          <w:marBottom w:val="0"/>
          <w:divBdr>
            <w:top w:val="none" w:sz="0" w:space="0" w:color="auto"/>
            <w:left w:val="none" w:sz="0" w:space="0" w:color="auto"/>
            <w:bottom w:val="none" w:sz="0" w:space="0" w:color="auto"/>
            <w:right w:val="none" w:sz="0" w:space="0" w:color="auto"/>
          </w:divBdr>
        </w:div>
      </w:divsChild>
    </w:div>
    <w:div w:id="1403914333">
      <w:bodyDiv w:val="1"/>
      <w:marLeft w:val="0"/>
      <w:marRight w:val="0"/>
      <w:marTop w:val="0"/>
      <w:marBottom w:val="0"/>
      <w:divBdr>
        <w:top w:val="none" w:sz="0" w:space="0" w:color="auto"/>
        <w:left w:val="none" w:sz="0" w:space="0" w:color="auto"/>
        <w:bottom w:val="none" w:sz="0" w:space="0" w:color="auto"/>
        <w:right w:val="none" w:sz="0" w:space="0" w:color="auto"/>
      </w:divBdr>
    </w:div>
    <w:div w:id="1436367636">
      <w:bodyDiv w:val="1"/>
      <w:marLeft w:val="0"/>
      <w:marRight w:val="0"/>
      <w:marTop w:val="0"/>
      <w:marBottom w:val="0"/>
      <w:divBdr>
        <w:top w:val="none" w:sz="0" w:space="0" w:color="auto"/>
        <w:left w:val="none" w:sz="0" w:space="0" w:color="auto"/>
        <w:bottom w:val="none" w:sz="0" w:space="0" w:color="auto"/>
        <w:right w:val="none" w:sz="0" w:space="0" w:color="auto"/>
      </w:divBdr>
    </w:div>
    <w:div w:id="1470591668">
      <w:bodyDiv w:val="1"/>
      <w:marLeft w:val="0"/>
      <w:marRight w:val="0"/>
      <w:marTop w:val="0"/>
      <w:marBottom w:val="0"/>
      <w:divBdr>
        <w:top w:val="none" w:sz="0" w:space="0" w:color="auto"/>
        <w:left w:val="none" w:sz="0" w:space="0" w:color="auto"/>
        <w:bottom w:val="none" w:sz="0" w:space="0" w:color="auto"/>
        <w:right w:val="none" w:sz="0" w:space="0" w:color="auto"/>
      </w:divBdr>
    </w:div>
    <w:div w:id="1474638625">
      <w:bodyDiv w:val="1"/>
      <w:marLeft w:val="0"/>
      <w:marRight w:val="0"/>
      <w:marTop w:val="0"/>
      <w:marBottom w:val="0"/>
      <w:divBdr>
        <w:top w:val="none" w:sz="0" w:space="0" w:color="auto"/>
        <w:left w:val="none" w:sz="0" w:space="0" w:color="auto"/>
        <w:bottom w:val="none" w:sz="0" w:space="0" w:color="auto"/>
        <w:right w:val="none" w:sz="0" w:space="0" w:color="auto"/>
      </w:divBdr>
    </w:div>
    <w:div w:id="1498114410">
      <w:bodyDiv w:val="1"/>
      <w:marLeft w:val="0"/>
      <w:marRight w:val="0"/>
      <w:marTop w:val="0"/>
      <w:marBottom w:val="0"/>
      <w:divBdr>
        <w:top w:val="none" w:sz="0" w:space="0" w:color="auto"/>
        <w:left w:val="none" w:sz="0" w:space="0" w:color="auto"/>
        <w:bottom w:val="none" w:sz="0" w:space="0" w:color="auto"/>
        <w:right w:val="none" w:sz="0" w:space="0" w:color="auto"/>
      </w:divBdr>
    </w:div>
    <w:div w:id="1499005945">
      <w:bodyDiv w:val="1"/>
      <w:marLeft w:val="0"/>
      <w:marRight w:val="0"/>
      <w:marTop w:val="0"/>
      <w:marBottom w:val="0"/>
      <w:divBdr>
        <w:top w:val="none" w:sz="0" w:space="0" w:color="auto"/>
        <w:left w:val="none" w:sz="0" w:space="0" w:color="auto"/>
        <w:bottom w:val="none" w:sz="0" w:space="0" w:color="auto"/>
        <w:right w:val="none" w:sz="0" w:space="0" w:color="auto"/>
      </w:divBdr>
    </w:div>
    <w:div w:id="1561789222">
      <w:bodyDiv w:val="1"/>
      <w:marLeft w:val="0"/>
      <w:marRight w:val="0"/>
      <w:marTop w:val="0"/>
      <w:marBottom w:val="0"/>
      <w:divBdr>
        <w:top w:val="none" w:sz="0" w:space="0" w:color="auto"/>
        <w:left w:val="none" w:sz="0" w:space="0" w:color="auto"/>
        <w:bottom w:val="none" w:sz="0" w:space="0" w:color="auto"/>
        <w:right w:val="none" w:sz="0" w:space="0" w:color="auto"/>
      </w:divBdr>
    </w:div>
    <w:div w:id="1574730632">
      <w:bodyDiv w:val="1"/>
      <w:marLeft w:val="0"/>
      <w:marRight w:val="0"/>
      <w:marTop w:val="0"/>
      <w:marBottom w:val="0"/>
      <w:divBdr>
        <w:top w:val="none" w:sz="0" w:space="0" w:color="auto"/>
        <w:left w:val="none" w:sz="0" w:space="0" w:color="auto"/>
        <w:bottom w:val="none" w:sz="0" w:space="0" w:color="auto"/>
        <w:right w:val="none" w:sz="0" w:space="0" w:color="auto"/>
      </w:divBdr>
    </w:div>
    <w:div w:id="1595362441">
      <w:bodyDiv w:val="1"/>
      <w:marLeft w:val="0"/>
      <w:marRight w:val="0"/>
      <w:marTop w:val="0"/>
      <w:marBottom w:val="0"/>
      <w:divBdr>
        <w:top w:val="none" w:sz="0" w:space="0" w:color="auto"/>
        <w:left w:val="none" w:sz="0" w:space="0" w:color="auto"/>
        <w:bottom w:val="none" w:sz="0" w:space="0" w:color="auto"/>
        <w:right w:val="none" w:sz="0" w:space="0" w:color="auto"/>
      </w:divBdr>
    </w:div>
    <w:div w:id="1598296134">
      <w:bodyDiv w:val="1"/>
      <w:marLeft w:val="0"/>
      <w:marRight w:val="0"/>
      <w:marTop w:val="0"/>
      <w:marBottom w:val="0"/>
      <w:divBdr>
        <w:top w:val="none" w:sz="0" w:space="0" w:color="auto"/>
        <w:left w:val="none" w:sz="0" w:space="0" w:color="auto"/>
        <w:bottom w:val="none" w:sz="0" w:space="0" w:color="auto"/>
        <w:right w:val="none" w:sz="0" w:space="0" w:color="auto"/>
      </w:divBdr>
      <w:divsChild>
        <w:div w:id="1692223391">
          <w:marLeft w:val="0"/>
          <w:marRight w:val="0"/>
          <w:marTop w:val="0"/>
          <w:marBottom w:val="0"/>
          <w:divBdr>
            <w:top w:val="none" w:sz="0" w:space="0" w:color="auto"/>
            <w:left w:val="none" w:sz="0" w:space="0" w:color="auto"/>
            <w:bottom w:val="none" w:sz="0" w:space="0" w:color="auto"/>
            <w:right w:val="none" w:sz="0" w:space="0" w:color="auto"/>
          </w:divBdr>
        </w:div>
      </w:divsChild>
    </w:div>
    <w:div w:id="1600285545">
      <w:bodyDiv w:val="1"/>
      <w:marLeft w:val="0"/>
      <w:marRight w:val="0"/>
      <w:marTop w:val="0"/>
      <w:marBottom w:val="0"/>
      <w:divBdr>
        <w:top w:val="none" w:sz="0" w:space="0" w:color="auto"/>
        <w:left w:val="none" w:sz="0" w:space="0" w:color="auto"/>
        <w:bottom w:val="none" w:sz="0" w:space="0" w:color="auto"/>
        <w:right w:val="none" w:sz="0" w:space="0" w:color="auto"/>
      </w:divBdr>
    </w:div>
    <w:div w:id="1613056368">
      <w:bodyDiv w:val="1"/>
      <w:marLeft w:val="0"/>
      <w:marRight w:val="0"/>
      <w:marTop w:val="0"/>
      <w:marBottom w:val="0"/>
      <w:divBdr>
        <w:top w:val="none" w:sz="0" w:space="0" w:color="auto"/>
        <w:left w:val="none" w:sz="0" w:space="0" w:color="auto"/>
        <w:bottom w:val="none" w:sz="0" w:space="0" w:color="auto"/>
        <w:right w:val="none" w:sz="0" w:space="0" w:color="auto"/>
      </w:divBdr>
    </w:div>
    <w:div w:id="1625965910">
      <w:bodyDiv w:val="1"/>
      <w:marLeft w:val="0"/>
      <w:marRight w:val="0"/>
      <w:marTop w:val="0"/>
      <w:marBottom w:val="0"/>
      <w:divBdr>
        <w:top w:val="none" w:sz="0" w:space="0" w:color="auto"/>
        <w:left w:val="none" w:sz="0" w:space="0" w:color="auto"/>
        <w:bottom w:val="none" w:sz="0" w:space="0" w:color="auto"/>
        <w:right w:val="none" w:sz="0" w:space="0" w:color="auto"/>
      </w:divBdr>
    </w:div>
    <w:div w:id="1626882995">
      <w:bodyDiv w:val="1"/>
      <w:marLeft w:val="0"/>
      <w:marRight w:val="0"/>
      <w:marTop w:val="0"/>
      <w:marBottom w:val="0"/>
      <w:divBdr>
        <w:top w:val="none" w:sz="0" w:space="0" w:color="auto"/>
        <w:left w:val="none" w:sz="0" w:space="0" w:color="auto"/>
        <w:bottom w:val="none" w:sz="0" w:space="0" w:color="auto"/>
        <w:right w:val="none" w:sz="0" w:space="0" w:color="auto"/>
      </w:divBdr>
    </w:div>
    <w:div w:id="1638217481">
      <w:bodyDiv w:val="1"/>
      <w:marLeft w:val="0"/>
      <w:marRight w:val="0"/>
      <w:marTop w:val="0"/>
      <w:marBottom w:val="0"/>
      <w:divBdr>
        <w:top w:val="none" w:sz="0" w:space="0" w:color="auto"/>
        <w:left w:val="none" w:sz="0" w:space="0" w:color="auto"/>
        <w:bottom w:val="none" w:sz="0" w:space="0" w:color="auto"/>
        <w:right w:val="none" w:sz="0" w:space="0" w:color="auto"/>
      </w:divBdr>
    </w:div>
    <w:div w:id="1642298978">
      <w:bodyDiv w:val="1"/>
      <w:marLeft w:val="0"/>
      <w:marRight w:val="0"/>
      <w:marTop w:val="0"/>
      <w:marBottom w:val="0"/>
      <w:divBdr>
        <w:top w:val="none" w:sz="0" w:space="0" w:color="auto"/>
        <w:left w:val="none" w:sz="0" w:space="0" w:color="auto"/>
        <w:bottom w:val="none" w:sz="0" w:space="0" w:color="auto"/>
        <w:right w:val="none" w:sz="0" w:space="0" w:color="auto"/>
      </w:divBdr>
    </w:div>
    <w:div w:id="1659725886">
      <w:bodyDiv w:val="1"/>
      <w:marLeft w:val="0"/>
      <w:marRight w:val="0"/>
      <w:marTop w:val="0"/>
      <w:marBottom w:val="0"/>
      <w:divBdr>
        <w:top w:val="none" w:sz="0" w:space="0" w:color="auto"/>
        <w:left w:val="none" w:sz="0" w:space="0" w:color="auto"/>
        <w:bottom w:val="none" w:sz="0" w:space="0" w:color="auto"/>
        <w:right w:val="none" w:sz="0" w:space="0" w:color="auto"/>
      </w:divBdr>
    </w:div>
    <w:div w:id="1659730608">
      <w:bodyDiv w:val="1"/>
      <w:marLeft w:val="0"/>
      <w:marRight w:val="0"/>
      <w:marTop w:val="0"/>
      <w:marBottom w:val="0"/>
      <w:divBdr>
        <w:top w:val="none" w:sz="0" w:space="0" w:color="auto"/>
        <w:left w:val="none" w:sz="0" w:space="0" w:color="auto"/>
        <w:bottom w:val="none" w:sz="0" w:space="0" w:color="auto"/>
        <w:right w:val="none" w:sz="0" w:space="0" w:color="auto"/>
      </w:divBdr>
    </w:div>
    <w:div w:id="1696149150">
      <w:bodyDiv w:val="1"/>
      <w:marLeft w:val="0"/>
      <w:marRight w:val="0"/>
      <w:marTop w:val="0"/>
      <w:marBottom w:val="0"/>
      <w:divBdr>
        <w:top w:val="none" w:sz="0" w:space="0" w:color="auto"/>
        <w:left w:val="none" w:sz="0" w:space="0" w:color="auto"/>
        <w:bottom w:val="none" w:sz="0" w:space="0" w:color="auto"/>
        <w:right w:val="none" w:sz="0" w:space="0" w:color="auto"/>
      </w:divBdr>
    </w:div>
    <w:div w:id="1701279996">
      <w:bodyDiv w:val="1"/>
      <w:marLeft w:val="0"/>
      <w:marRight w:val="0"/>
      <w:marTop w:val="0"/>
      <w:marBottom w:val="0"/>
      <w:divBdr>
        <w:top w:val="none" w:sz="0" w:space="0" w:color="auto"/>
        <w:left w:val="none" w:sz="0" w:space="0" w:color="auto"/>
        <w:bottom w:val="none" w:sz="0" w:space="0" w:color="auto"/>
        <w:right w:val="none" w:sz="0" w:space="0" w:color="auto"/>
      </w:divBdr>
    </w:div>
    <w:div w:id="1722561601">
      <w:bodyDiv w:val="1"/>
      <w:marLeft w:val="0"/>
      <w:marRight w:val="0"/>
      <w:marTop w:val="0"/>
      <w:marBottom w:val="0"/>
      <w:divBdr>
        <w:top w:val="none" w:sz="0" w:space="0" w:color="auto"/>
        <w:left w:val="none" w:sz="0" w:space="0" w:color="auto"/>
        <w:bottom w:val="none" w:sz="0" w:space="0" w:color="auto"/>
        <w:right w:val="none" w:sz="0" w:space="0" w:color="auto"/>
      </w:divBdr>
    </w:div>
    <w:div w:id="1730962206">
      <w:bodyDiv w:val="1"/>
      <w:marLeft w:val="0"/>
      <w:marRight w:val="0"/>
      <w:marTop w:val="0"/>
      <w:marBottom w:val="0"/>
      <w:divBdr>
        <w:top w:val="none" w:sz="0" w:space="0" w:color="auto"/>
        <w:left w:val="none" w:sz="0" w:space="0" w:color="auto"/>
        <w:bottom w:val="none" w:sz="0" w:space="0" w:color="auto"/>
        <w:right w:val="none" w:sz="0" w:space="0" w:color="auto"/>
      </w:divBdr>
    </w:div>
    <w:div w:id="1732732913">
      <w:bodyDiv w:val="1"/>
      <w:marLeft w:val="0"/>
      <w:marRight w:val="0"/>
      <w:marTop w:val="0"/>
      <w:marBottom w:val="0"/>
      <w:divBdr>
        <w:top w:val="none" w:sz="0" w:space="0" w:color="auto"/>
        <w:left w:val="none" w:sz="0" w:space="0" w:color="auto"/>
        <w:bottom w:val="none" w:sz="0" w:space="0" w:color="auto"/>
        <w:right w:val="none" w:sz="0" w:space="0" w:color="auto"/>
      </w:divBdr>
    </w:div>
    <w:div w:id="1764835741">
      <w:bodyDiv w:val="1"/>
      <w:marLeft w:val="0"/>
      <w:marRight w:val="0"/>
      <w:marTop w:val="0"/>
      <w:marBottom w:val="0"/>
      <w:divBdr>
        <w:top w:val="none" w:sz="0" w:space="0" w:color="auto"/>
        <w:left w:val="none" w:sz="0" w:space="0" w:color="auto"/>
        <w:bottom w:val="none" w:sz="0" w:space="0" w:color="auto"/>
        <w:right w:val="none" w:sz="0" w:space="0" w:color="auto"/>
      </w:divBdr>
    </w:div>
    <w:div w:id="1766340993">
      <w:bodyDiv w:val="1"/>
      <w:marLeft w:val="0"/>
      <w:marRight w:val="0"/>
      <w:marTop w:val="0"/>
      <w:marBottom w:val="0"/>
      <w:divBdr>
        <w:top w:val="none" w:sz="0" w:space="0" w:color="auto"/>
        <w:left w:val="none" w:sz="0" w:space="0" w:color="auto"/>
        <w:bottom w:val="none" w:sz="0" w:space="0" w:color="auto"/>
        <w:right w:val="none" w:sz="0" w:space="0" w:color="auto"/>
      </w:divBdr>
    </w:div>
    <w:div w:id="1784230436">
      <w:bodyDiv w:val="1"/>
      <w:marLeft w:val="0"/>
      <w:marRight w:val="0"/>
      <w:marTop w:val="0"/>
      <w:marBottom w:val="0"/>
      <w:divBdr>
        <w:top w:val="none" w:sz="0" w:space="0" w:color="auto"/>
        <w:left w:val="none" w:sz="0" w:space="0" w:color="auto"/>
        <w:bottom w:val="none" w:sz="0" w:space="0" w:color="auto"/>
        <w:right w:val="none" w:sz="0" w:space="0" w:color="auto"/>
      </w:divBdr>
    </w:div>
    <w:div w:id="1806462312">
      <w:bodyDiv w:val="1"/>
      <w:marLeft w:val="0"/>
      <w:marRight w:val="0"/>
      <w:marTop w:val="0"/>
      <w:marBottom w:val="0"/>
      <w:divBdr>
        <w:top w:val="none" w:sz="0" w:space="0" w:color="auto"/>
        <w:left w:val="none" w:sz="0" w:space="0" w:color="auto"/>
        <w:bottom w:val="none" w:sz="0" w:space="0" w:color="auto"/>
        <w:right w:val="none" w:sz="0" w:space="0" w:color="auto"/>
      </w:divBdr>
    </w:div>
    <w:div w:id="1847747969">
      <w:bodyDiv w:val="1"/>
      <w:marLeft w:val="0"/>
      <w:marRight w:val="0"/>
      <w:marTop w:val="0"/>
      <w:marBottom w:val="0"/>
      <w:divBdr>
        <w:top w:val="none" w:sz="0" w:space="0" w:color="auto"/>
        <w:left w:val="none" w:sz="0" w:space="0" w:color="auto"/>
        <w:bottom w:val="none" w:sz="0" w:space="0" w:color="auto"/>
        <w:right w:val="none" w:sz="0" w:space="0" w:color="auto"/>
      </w:divBdr>
    </w:div>
    <w:div w:id="1893956566">
      <w:bodyDiv w:val="1"/>
      <w:marLeft w:val="0"/>
      <w:marRight w:val="0"/>
      <w:marTop w:val="0"/>
      <w:marBottom w:val="0"/>
      <w:divBdr>
        <w:top w:val="none" w:sz="0" w:space="0" w:color="auto"/>
        <w:left w:val="none" w:sz="0" w:space="0" w:color="auto"/>
        <w:bottom w:val="none" w:sz="0" w:space="0" w:color="auto"/>
        <w:right w:val="none" w:sz="0" w:space="0" w:color="auto"/>
      </w:divBdr>
    </w:div>
    <w:div w:id="1903177138">
      <w:bodyDiv w:val="1"/>
      <w:marLeft w:val="0"/>
      <w:marRight w:val="0"/>
      <w:marTop w:val="0"/>
      <w:marBottom w:val="0"/>
      <w:divBdr>
        <w:top w:val="none" w:sz="0" w:space="0" w:color="auto"/>
        <w:left w:val="none" w:sz="0" w:space="0" w:color="auto"/>
        <w:bottom w:val="none" w:sz="0" w:space="0" w:color="auto"/>
        <w:right w:val="none" w:sz="0" w:space="0" w:color="auto"/>
      </w:divBdr>
    </w:div>
    <w:div w:id="1904367545">
      <w:bodyDiv w:val="1"/>
      <w:marLeft w:val="0"/>
      <w:marRight w:val="0"/>
      <w:marTop w:val="0"/>
      <w:marBottom w:val="0"/>
      <w:divBdr>
        <w:top w:val="none" w:sz="0" w:space="0" w:color="auto"/>
        <w:left w:val="none" w:sz="0" w:space="0" w:color="auto"/>
        <w:bottom w:val="none" w:sz="0" w:space="0" w:color="auto"/>
        <w:right w:val="none" w:sz="0" w:space="0" w:color="auto"/>
      </w:divBdr>
    </w:div>
    <w:div w:id="1924685317">
      <w:bodyDiv w:val="1"/>
      <w:marLeft w:val="0"/>
      <w:marRight w:val="0"/>
      <w:marTop w:val="0"/>
      <w:marBottom w:val="0"/>
      <w:divBdr>
        <w:top w:val="none" w:sz="0" w:space="0" w:color="auto"/>
        <w:left w:val="none" w:sz="0" w:space="0" w:color="auto"/>
        <w:bottom w:val="none" w:sz="0" w:space="0" w:color="auto"/>
        <w:right w:val="none" w:sz="0" w:space="0" w:color="auto"/>
      </w:divBdr>
    </w:div>
    <w:div w:id="1938051577">
      <w:bodyDiv w:val="1"/>
      <w:marLeft w:val="0"/>
      <w:marRight w:val="0"/>
      <w:marTop w:val="0"/>
      <w:marBottom w:val="0"/>
      <w:divBdr>
        <w:top w:val="none" w:sz="0" w:space="0" w:color="auto"/>
        <w:left w:val="none" w:sz="0" w:space="0" w:color="auto"/>
        <w:bottom w:val="none" w:sz="0" w:space="0" w:color="auto"/>
        <w:right w:val="none" w:sz="0" w:space="0" w:color="auto"/>
      </w:divBdr>
    </w:div>
    <w:div w:id="1949465548">
      <w:bodyDiv w:val="1"/>
      <w:marLeft w:val="0"/>
      <w:marRight w:val="0"/>
      <w:marTop w:val="0"/>
      <w:marBottom w:val="0"/>
      <w:divBdr>
        <w:top w:val="none" w:sz="0" w:space="0" w:color="auto"/>
        <w:left w:val="none" w:sz="0" w:space="0" w:color="auto"/>
        <w:bottom w:val="none" w:sz="0" w:space="0" w:color="auto"/>
        <w:right w:val="none" w:sz="0" w:space="0" w:color="auto"/>
      </w:divBdr>
    </w:div>
    <w:div w:id="1953239398">
      <w:bodyDiv w:val="1"/>
      <w:marLeft w:val="0"/>
      <w:marRight w:val="0"/>
      <w:marTop w:val="0"/>
      <w:marBottom w:val="0"/>
      <w:divBdr>
        <w:top w:val="none" w:sz="0" w:space="0" w:color="auto"/>
        <w:left w:val="none" w:sz="0" w:space="0" w:color="auto"/>
        <w:bottom w:val="none" w:sz="0" w:space="0" w:color="auto"/>
        <w:right w:val="none" w:sz="0" w:space="0" w:color="auto"/>
      </w:divBdr>
    </w:div>
    <w:div w:id="1962229550">
      <w:bodyDiv w:val="1"/>
      <w:marLeft w:val="0"/>
      <w:marRight w:val="0"/>
      <w:marTop w:val="0"/>
      <w:marBottom w:val="0"/>
      <w:divBdr>
        <w:top w:val="none" w:sz="0" w:space="0" w:color="auto"/>
        <w:left w:val="none" w:sz="0" w:space="0" w:color="auto"/>
        <w:bottom w:val="none" w:sz="0" w:space="0" w:color="auto"/>
        <w:right w:val="none" w:sz="0" w:space="0" w:color="auto"/>
      </w:divBdr>
    </w:div>
    <w:div w:id="1970428288">
      <w:bodyDiv w:val="1"/>
      <w:marLeft w:val="0"/>
      <w:marRight w:val="0"/>
      <w:marTop w:val="0"/>
      <w:marBottom w:val="0"/>
      <w:divBdr>
        <w:top w:val="none" w:sz="0" w:space="0" w:color="auto"/>
        <w:left w:val="none" w:sz="0" w:space="0" w:color="auto"/>
        <w:bottom w:val="none" w:sz="0" w:space="0" w:color="auto"/>
        <w:right w:val="none" w:sz="0" w:space="0" w:color="auto"/>
      </w:divBdr>
    </w:div>
    <w:div w:id="1976056739">
      <w:bodyDiv w:val="1"/>
      <w:marLeft w:val="0"/>
      <w:marRight w:val="0"/>
      <w:marTop w:val="0"/>
      <w:marBottom w:val="0"/>
      <w:divBdr>
        <w:top w:val="none" w:sz="0" w:space="0" w:color="auto"/>
        <w:left w:val="none" w:sz="0" w:space="0" w:color="auto"/>
        <w:bottom w:val="none" w:sz="0" w:space="0" w:color="auto"/>
        <w:right w:val="none" w:sz="0" w:space="0" w:color="auto"/>
      </w:divBdr>
    </w:div>
    <w:div w:id="1976835228">
      <w:bodyDiv w:val="1"/>
      <w:marLeft w:val="0"/>
      <w:marRight w:val="0"/>
      <w:marTop w:val="0"/>
      <w:marBottom w:val="0"/>
      <w:divBdr>
        <w:top w:val="none" w:sz="0" w:space="0" w:color="auto"/>
        <w:left w:val="none" w:sz="0" w:space="0" w:color="auto"/>
        <w:bottom w:val="none" w:sz="0" w:space="0" w:color="auto"/>
        <w:right w:val="none" w:sz="0" w:space="0" w:color="auto"/>
      </w:divBdr>
    </w:div>
    <w:div w:id="1980307336">
      <w:bodyDiv w:val="1"/>
      <w:marLeft w:val="0"/>
      <w:marRight w:val="0"/>
      <w:marTop w:val="0"/>
      <w:marBottom w:val="0"/>
      <w:divBdr>
        <w:top w:val="none" w:sz="0" w:space="0" w:color="auto"/>
        <w:left w:val="none" w:sz="0" w:space="0" w:color="auto"/>
        <w:bottom w:val="none" w:sz="0" w:space="0" w:color="auto"/>
        <w:right w:val="none" w:sz="0" w:space="0" w:color="auto"/>
      </w:divBdr>
      <w:divsChild>
        <w:div w:id="1697265133">
          <w:marLeft w:val="0"/>
          <w:marRight w:val="0"/>
          <w:marTop w:val="0"/>
          <w:marBottom w:val="0"/>
          <w:divBdr>
            <w:top w:val="none" w:sz="0" w:space="0" w:color="auto"/>
            <w:left w:val="none" w:sz="0" w:space="0" w:color="auto"/>
            <w:bottom w:val="none" w:sz="0" w:space="0" w:color="auto"/>
            <w:right w:val="none" w:sz="0" w:space="0" w:color="auto"/>
          </w:divBdr>
        </w:div>
      </w:divsChild>
    </w:div>
    <w:div w:id="2044283120">
      <w:bodyDiv w:val="1"/>
      <w:marLeft w:val="0"/>
      <w:marRight w:val="0"/>
      <w:marTop w:val="0"/>
      <w:marBottom w:val="0"/>
      <w:divBdr>
        <w:top w:val="none" w:sz="0" w:space="0" w:color="auto"/>
        <w:left w:val="none" w:sz="0" w:space="0" w:color="auto"/>
        <w:bottom w:val="none" w:sz="0" w:space="0" w:color="auto"/>
        <w:right w:val="none" w:sz="0" w:space="0" w:color="auto"/>
      </w:divBdr>
    </w:div>
    <w:div w:id="2045523895">
      <w:bodyDiv w:val="1"/>
      <w:marLeft w:val="0"/>
      <w:marRight w:val="0"/>
      <w:marTop w:val="0"/>
      <w:marBottom w:val="0"/>
      <w:divBdr>
        <w:top w:val="none" w:sz="0" w:space="0" w:color="auto"/>
        <w:left w:val="none" w:sz="0" w:space="0" w:color="auto"/>
        <w:bottom w:val="none" w:sz="0" w:space="0" w:color="auto"/>
        <w:right w:val="none" w:sz="0" w:space="0" w:color="auto"/>
      </w:divBdr>
    </w:div>
    <w:div w:id="2063215569">
      <w:bodyDiv w:val="1"/>
      <w:marLeft w:val="0"/>
      <w:marRight w:val="0"/>
      <w:marTop w:val="0"/>
      <w:marBottom w:val="0"/>
      <w:divBdr>
        <w:top w:val="none" w:sz="0" w:space="0" w:color="auto"/>
        <w:left w:val="none" w:sz="0" w:space="0" w:color="auto"/>
        <w:bottom w:val="none" w:sz="0" w:space="0" w:color="auto"/>
        <w:right w:val="none" w:sz="0" w:space="0" w:color="auto"/>
      </w:divBdr>
    </w:div>
    <w:div w:id="2072385081">
      <w:bodyDiv w:val="1"/>
      <w:marLeft w:val="0"/>
      <w:marRight w:val="0"/>
      <w:marTop w:val="0"/>
      <w:marBottom w:val="0"/>
      <w:divBdr>
        <w:top w:val="none" w:sz="0" w:space="0" w:color="auto"/>
        <w:left w:val="none" w:sz="0" w:space="0" w:color="auto"/>
        <w:bottom w:val="none" w:sz="0" w:space="0" w:color="auto"/>
        <w:right w:val="none" w:sz="0" w:space="0" w:color="auto"/>
      </w:divBdr>
    </w:div>
    <w:div w:id="2091073923">
      <w:bodyDiv w:val="1"/>
      <w:marLeft w:val="0"/>
      <w:marRight w:val="0"/>
      <w:marTop w:val="0"/>
      <w:marBottom w:val="0"/>
      <w:divBdr>
        <w:top w:val="none" w:sz="0" w:space="0" w:color="auto"/>
        <w:left w:val="none" w:sz="0" w:space="0" w:color="auto"/>
        <w:bottom w:val="none" w:sz="0" w:space="0" w:color="auto"/>
        <w:right w:val="none" w:sz="0" w:space="0" w:color="auto"/>
      </w:divBdr>
    </w:div>
    <w:div w:id="2092458776">
      <w:bodyDiv w:val="1"/>
      <w:marLeft w:val="0"/>
      <w:marRight w:val="0"/>
      <w:marTop w:val="0"/>
      <w:marBottom w:val="0"/>
      <w:divBdr>
        <w:top w:val="none" w:sz="0" w:space="0" w:color="auto"/>
        <w:left w:val="none" w:sz="0" w:space="0" w:color="auto"/>
        <w:bottom w:val="none" w:sz="0" w:space="0" w:color="auto"/>
        <w:right w:val="none" w:sz="0" w:space="0" w:color="auto"/>
      </w:divBdr>
      <w:divsChild>
        <w:div w:id="529537990">
          <w:marLeft w:val="0"/>
          <w:marRight w:val="0"/>
          <w:marTop w:val="0"/>
          <w:marBottom w:val="0"/>
          <w:divBdr>
            <w:top w:val="none" w:sz="0" w:space="0" w:color="auto"/>
            <w:left w:val="none" w:sz="0" w:space="0" w:color="auto"/>
            <w:bottom w:val="none" w:sz="0" w:space="0" w:color="auto"/>
            <w:right w:val="none" w:sz="0" w:space="0" w:color="auto"/>
          </w:divBdr>
        </w:div>
        <w:div w:id="167254171">
          <w:marLeft w:val="0"/>
          <w:marRight w:val="0"/>
          <w:marTop w:val="0"/>
          <w:marBottom w:val="0"/>
          <w:divBdr>
            <w:top w:val="none" w:sz="0" w:space="0" w:color="auto"/>
            <w:left w:val="none" w:sz="0" w:space="0" w:color="auto"/>
            <w:bottom w:val="none" w:sz="0" w:space="0" w:color="auto"/>
            <w:right w:val="none" w:sz="0" w:space="0" w:color="auto"/>
          </w:divBdr>
        </w:div>
        <w:div w:id="2064518011">
          <w:marLeft w:val="0"/>
          <w:marRight w:val="0"/>
          <w:marTop w:val="0"/>
          <w:marBottom w:val="0"/>
          <w:divBdr>
            <w:top w:val="none" w:sz="0" w:space="0" w:color="auto"/>
            <w:left w:val="none" w:sz="0" w:space="0" w:color="auto"/>
            <w:bottom w:val="none" w:sz="0" w:space="0" w:color="auto"/>
            <w:right w:val="none" w:sz="0" w:space="0" w:color="auto"/>
          </w:divBdr>
        </w:div>
      </w:divsChild>
    </w:div>
    <w:div w:id="2099012794">
      <w:bodyDiv w:val="1"/>
      <w:marLeft w:val="0"/>
      <w:marRight w:val="0"/>
      <w:marTop w:val="0"/>
      <w:marBottom w:val="0"/>
      <w:divBdr>
        <w:top w:val="none" w:sz="0" w:space="0" w:color="auto"/>
        <w:left w:val="none" w:sz="0" w:space="0" w:color="auto"/>
        <w:bottom w:val="none" w:sz="0" w:space="0" w:color="auto"/>
        <w:right w:val="none" w:sz="0" w:space="0" w:color="auto"/>
      </w:divBdr>
    </w:div>
    <w:div w:id="2111311099">
      <w:bodyDiv w:val="1"/>
      <w:marLeft w:val="0"/>
      <w:marRight w:val="0"/>
      <w:marTop w:val="0"/>
      <w:marBottom w:val="0"/>
      <w:divBdr>
        <w:top w:val="none" w:sz="0" w:space="0" w:color="auto"/>
        <w:left w:val="none" w:sz="0" w:space="0" w:color="auto"/>
        <w:bottom w:val="none" w:sz="0" w:space="0" w:color="auto"/>
        <w:right w:val="none" w:sz="0" w:space="0" w:color="auto"/>
      </w:divBdr>
    </w:div>
    <w:div w:id="2131972269">
      <w:bodyDiv w:val="1"/>
      <w:marLeft w:val="0"/>
      <w:marRight w:val="0"/>
      <w:marTop w:val="0"/>
      <w:marBottom w:val="0"/>
      <w:divBdr>
        <w:top w:val="none" w:sz="0" w:space="0" w:color="auto"/>
        <w:left w:val="none" w:sz="0" w:space="0" w:color="auto"/>
        <w:bottom w:val="none" w:sz="0" w:space="0" w:color="auto"/>
        <w:right w:val="none" w:sz="0" w:space="0" w:color="auto"/>
      </w:divBdr>
    </w:div>
    <w:div w:id="2138448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EPI17</b:Tag>
    <b:SourceType>InternetSite</b:SourceType>
    <b:Guid>{352F73CD-E837-444D-9A10-7C97FB1CF3EB}</b:Guid>
    <b:Title>Piston Motion Basics</b:Title>
    <b:Year>2017</b:Year>
    <b:Author>
      <b:Author>
        <b:Corporate>EPI Inc.</b:Corporate>
      </b:Author>
    </b:Author>
    <b:InternetSiteTitle>EPI Inc.</b:InternetSiteTitle>
    <b:Month>November</b:Month>
    <b:Day>2nd</b:Day>
    <b:URL>http://www.epi-eng.com/piston_engine_technology/piston_motion_basics.htm</b:URL>
    <b:RefOrder>20</b:RefOrder>
  </b:Source>
  <b:Source>
    <b:Tag>Mah08</b:Tag>
    <b:SourceType>Report</b:SourceType>
    <b:Guid>{4043A7BE-FB42-4B4E-93BF-C52E183B1B9B}</b:Guid>
    <b:Title>A New 3 Cylinder 1.2L Advanced Downsizing Technology Demonstrator Engine</b:Title>
    <b:Year>2008</b:Year>
    <b:Publisher>SAE International</b:Publisher>
    <b:Author>
      <b:Author>
        <b:NameList>
          <b:Person>
            <b:Last>Dave Hancock</b:Last>
            <b:First>Niel</b:First>
            <b:Middle>Fraser, Mike Jeremy, Richard Skykes, Hugh Blaxill</b:Middle>
          </b:Person>
        </b:NameList>
      </b:Author>
    </b:Author>
    <b:RefOrder>21</b:RefOrder>
  </b:Source>
  <b:Source>
    <b:Tag>WLTte</b:Tag>
    <b:SourceType>InternetSite</b:SourceType>
    <b:Guid>{82DDCC19-0C9F-4CE0-9F82-4753F699C46A}</b:Guid>
    <b:Author>
      <b:Author>
        <b:Corporate>WLTP Facts</b:Corporate>
      </b:Author>
    </b:Author>
    <b:Title>WLTP Facts</b:Title>
    <b:Year>no date</b:Year>
    <b:YearAccessed>2018</b:YearAccessed>
    <b:MonthAccessed>March</b:MonthAccessed>
    <b:DayAccessed>27</b:DayAccessed>
    <b:URL>http://wltpfacts.eu/from-nedc-to-wltp-change/</b:URL>
    <b:RefOrder>1</b:RefOrder>
  </b:Source>
  <b:Source>
    <b:Tag>CFS16</b:Tag>
    <b:SourceType>JournalArticle</b:SourceType>
    <b:Guid>{94826798-6A28-4A18-8AEF-FB1177B0E0A0}</b:Guid>
    <b:Title>Science and policy characteristics of the Paris Agreement temperature goal</b:Title>
    <b:Year>2016</b:Year>
    <b:Author>
      <b:Author>
        <b:NameList>
          <b:Person>
            <b:Last>C.-F. Schleussner</b:Last>
            <b:First>J.</b:First>
            <b:Middle>Rogelj, M. Schaeffer, T. Lissner, R. Licker, E.M. Fischer, R. Knutti, A. Levermann, K. Frieler, W. Hare</b:Middle>
          </b:Person>
        </b:NameList>
      </b:Author>
    </b:Author>
    <b:BookTitle>Nature Climate Change </b:BookTitle>
    <b:Pages>827- 835</b:Pages>
    <b:JournalName>Nature Climate Change</b:JournalName>
    <b:Volume>6</b:Volume>
    <b:Issue>9</b:Issue>
    <b:RefOrder>2</b:RefOrder>
  </b:Source>
  <b:Source>
    <b:Tag>Rob12</b:Tag>
    <b:SourceType>JournalArticle</b:SourceType>
    <b:Guid>{3F1EDDC9-5ADD-4BA8-92F3-7A95BC415E99}</b:Guid>
    <b:Author>
      <b:Author>
        <b:NameList>
          <b:Person>
            <b:Last>Robert Eccles</b:Last>
            <b:First>Ioannis</b:First>
            <b:Middle>Ioannou George Serafeim</b:Middle>
          </b:Person>
        </b:NameList>
      </b:Author>
    </b:Author>
    <b:Title>Is sustainability now the key to corporate success?</b:Title>
    <b:JournalName>The Guardian</b:JournalName>
    <b:Year>2012</b:Year>
    <b:Pages>no page </b:Pages>
    <b:Volume>. </b:Volume>
    <b:Issue>.</b:Issue>
    <b:RefOrder>3</b:RefOrder>
  </b:Source>
  <b:Source>
    <b:Tag>Pet12</b:Tag>
    <b:SourceType>Book</b:SourceType>
    <b:Guid>{85E065C5-6139-4343-9BFF-90B33DEA5DCA}</b:Guid>
    <b:Title>Tomorrow's Energy. Hydrogen Fuel Cells, and the Prospects for a Cleaner Planet</b:Title>
    <b:Year>2012</b:Year>
    <b:Author>
      <b:Author>
        <b:NameList>
          <b:Person>
            <b:Last>Hoffmann</b:Last>
            <b:First>Peter</b:First>
          </b:Person>
        </b:NameList>
      </b:Author>
    </b:Author>
    <b:City>Massachusetts</b:City>
    <b:Publisher>MIT Press</b:Publisher>
    <b:Edition>1</b:Edition>
    <b:RefOrder>12</b:RefOrder>
  </b:Source>
  <b:Source>
    <b:Tag>Geo06</b:Tag>
    <b:SourceType>Report</b:SourceType>
    <b:Guid>{617C1681-E249-4CEB-87ED-55AC70764D19}</b:Guid>
    <b:Title>Potential Roles of Ammonia</b:Title>
    <b:Year>2006</b:Year>
    <b:City>N/A</b:City>
    <b:Publisher>U.S. Department of Energy </b:Publisher>
    <b:Author>
      <b:Author>
        <b:NameList>
          <b:Person>
            <b:Last>George Thomas</b:Last>
            <b:First>George</b:First>
            <b:Middle>Parks</b:Middle>
          </b:Person>
        </b:NameList>
      </b:Author>
    </b:Author>
    <b:RefOrder>4</b:RefOrder>
  </b:Source>
  <b:Source>
    <b:Tag>Offte</b:Tag>
    <b:SourceType>InternetSite</b:SourceType>
    <b:Guid>{24EF4E2D-2ED7-4BDA-B05B-9EF9F997E5C5}</b:Guid>
    <b:Title>Hydrogen Storage </b:Title>
    <b:Year>no date </b:Year>
    <b:Author>
      <b:Author>
        <b:Corporate>Office of Energy Efficiency and Renewable Energy</b:Corporate>
      </b:Author>
    </b:Author>
    <b:YearAccessed>2018</b:YearAccessed>
    <b:MonthAccessed>March</b:MonthAccessed>
    <b:DayAccessed>27</b:DayAccessed>
    <b:URL>https://www.energy.gov/eere/fuelcells/hydrogen-storage</b:URL>
    <b:RefOrder>9</b:RefOrder>
  </b:Source>
  <b:Source>
    <b:Tag>The17</b:Tag>
    <b:SourceType>InternetSite</b:SourceType>
    <b:Guid>{30AD9897-1427-4E34-AD1D-22ADAF304F72}</b:Guid>
    <b:Author>
      <b:Author>
        <b:Corporate>The Engineer</b:Corporate>
      </b:Author>
    </b:Author>
    <b:Title>Compact hydrogen storage gets a boost</b:Title>
    <b:Year>2017</b:Year>
    <b:YearAccessed>2018</b:YearAccessed>
    <b:MonthAccessed>March</b:MonthAccessed>
    <b:DayAccessed>27</b:DayAccessed>
    <b:URL>https://www.theengineer.co.uk/compact-hydrogen-storage-gets-a-boost/</b:URL>
    <b:RefOrder>10</b:RefOrder>
  </b:Source>
  <b:Source>
    <b:Tag>Nat17</b:Tag>
    <b:SourceType>InternetSite</b:SourceType>
    <b:Guid>{24B6BE76-5FB6-4998-A039-30768D67F8C3}</b:Guid>
    <b:Author>
      <b:Author>
        <b:Corporate>Nature Communications</b:Corporate>
      </b:Author>
    </b:Author>
    <b:Title>Accessing the bottleneck in all-solid state batteries, lithium-ion transport over the solid-electrolyte-electrode interface</b:Title>
    <b:Year>2017</b:Year>
    <b:YearAccessed>2018</b:YearAccessed>
    <b:MonthAccessed>March</b:MonthAccessed>
    <b:DayAccessed>27</b:DayAccessed>
    <b:URL>https://www.nature.com/articles/s41467-017-01187-y</b:URL>
    <b:RefOrder>11</b:RefOrder>
  </b:Source>
  <b:Source>
    <b:Tag>Aut18</b:Tag>
    <b:SourceType>InternetSite</b:SourceType>
    <b:Guid>{D8F5934A-29FD-42AA-9116-59FC6721E2CA}</b:Guid>
    <b:Author>
      <b:Author>
        <b:Corporate>Auto Express</b:Corporate>
      </b:Author>
    </b:Author>
    <b:Title>New Hyundai NEXO hydrogen fuel cell SUV secrets revealed</b:Title>
    <b:Year>2018</b:Year>
    <b:YearAccessed>2018</b:YearAccessed>
    <b:MonthAccessed>March</b:MonthAccessed>
    <b:DayAccessed>27</b:DayAccessed>
    <b:URL>http://www.autoexpress.co.uk/hyundai/98807/new-hyundai-nexo-hydrogen-fuel-cell-suv-secrets-revealed</b:URL>
    <b:RefOrder>6</b:RefOrder>
  </b:Source>
  <b:Source>
    <b:Tag>Fre17</b:Tag>
    <b:SourceType>InternetSite</b:SourceType>
    <b:Guid>{79D99EF3-D800-4559-B25F-74C17C38B2FB}</b:Guid>
    <b:Author>
      <b:Author>
        <b:NameList>
          <b:Person>
            <b:Last>Lambert</b:Last>
            <b:First>Fred</b:First>
          </b:Person>
        </b:NameList>
      </b:Author>
    </b:Author>
    <b:Title>electrek</b:Title>
    <b:Year>2017</b:Year>
    <b:YearAccessed>2018</b:YearAccessed>
    <b:MonthAccessed>March</b:MonthAccessed>
    <b:DayAccessed>27</b:DayAccessed>
    <b:URL>https://electrek.co/2017/06/20/tesla-model-s-hypermilling-record/</b:URL>
    <b:RefOrder>22</b:RefOrder>
  </b:Source>
  <b:Source>
    <b:Tag>Jam17</b:Tag>
    <b:SourceType>InternetSite</b:SourceType>
    <b:Guid>{80C6014C-7BC3-4F29-971A-2CCD8B62917C}</b:Guid>
    <b:Author>
      <b:Author>
        <b:NameList>
          <b:Person>
            <b:Last>Gilboy</b:Last>
            <b:First>James</b:First>
          </b:Person>
        </b:NameList>
      </b:Author>
    </b:Author>
    <b:Title>The Drive</b:Title>
    <b:Year>2017</b:Year>
    <b:YearAccessed>2018</b:YearAccessed>
    <b:MonthAccessed>March</b:MonthAccessed>
    <b:DayAccessed>27</b:DayAccessed>
    <b:URL>http://www.thedrive.com/sheetmetal/13221/new-670-mile-tesla-range-record-set</b:URL>
    <b:RefOrder>8</b:RefOrder>
  </b:Source>
  <b:Source>
    <b:Tag>Boe13</b:Tag>
    <b:SourceType>InternetSite</b:SourceType>
    <b:Guid>{059400FC-97E9-47BA-A212-BF89F3366459}</b:Guid>
    <b:Author>
      <b:Author>
        <b:NameList>
          <b:Person>
            <b:Last>Boeriu</b:Last>
            <b:First>Horatiu</b:First>
          </b:Person>
        </b:NameList>
      </b:Author>
    </b:Author>
    <b:Title>BMW and Toyota to share hydrogen fuel cell technology</b:Title>
    <b:Year>2013</b:Year>
    <b:YearAccessed>2018</b:YearAccessed>
    <b:MonthAccessed>March</b:MonthAccessed>
    <b:DayAccessed>28</b:DayAccessed>
    <b:URL>http://www.bmwblog.com/2013/01/23/bmw-and-toyota-to-share-hydrogen-fuel-cell-technology/</b:URL>
    <b:RefOrder>13</b:RefOrder>
  </b:Source>
  <b:Source>
    <b:Tag>Ton18</b:Tag>
    <b:SourceType>InternetSite</b:SourceType>
    <b:Guid>{EDDC130C-A4A8-4117-9230-B6040A06079A}</b:Guid>
    <b:Author>
      <b:Author>
        <b:NameList>
          <b:Person>
            <b:Last>Markovich</b:Last>
            <b:First>Tony</b:First>
          </b:Person>
        </b:NameList>
      </b:Author>
    </b:Author>
    <b:Title>Car and Driver</b:Title>
    <b:Year>2018</b:Year>
    <b:YearAccessed>2018</b:YearAccessed>
    <b:MonthAccessed>March</b:MonthAccessed>
    <b:DayAccessed>28</b:DayAccessed>
    <b:URL>https://www.caranddriver.com/photo-gallery/2018-ioniq-plug-in-hybrid-gallery#1</b:URL>
    <b:RefOrder>7</b:RefOrder>
  </b:Source>
  <b:Source>
    <b:Tag>H2M18</b:Tag>
    <b:SourceType>InternetSite</b:SourceType>
    <b:Guid>{6B8D4B09-A93F-44D3-AFEB-F5E5CD51F008}</b:Guid>
    <b:Author>
      <b:Author>
        <b:Corporate>H2 Mobility </b:Corporate>
      </b:Author>
    </b:Author>
    <b:Title>H2 Mobility </b:Title>
    <b:Year>2018</b:Year>
    <b:YearAccessed>2018</b:YearAccessed>
    <b:MonthAccessed>March</b:MonthAccessed>
    <b:DayAccessed>28</b:DayAccessed>
    <b:URL>http://h2-mobility.de/en/h2-stations/</b:URL>
    <b:RefOrder>14</b:RefOrder>
  </b:Source>
  <b:Source>
    <b:Tag>Min16</b:Tag>
    <b:SourceType>InternetSite</b:SourceType>
    <b:Guid>{A26C4D9B-A0EA-4EBA-A5C1-4EC0D1C7D604}</b:Guid>
    <b:Author>
      <b:Author>
        <b:Corporate>Ministry of Economy, Trade and Industry</b:Corporate>
      </b:Author>
    </b:Author>
    <b:Title>Compilation of the Revised Version of the Strategic Roadmap for Hydrogen and Fuel Cells </b:Title>
    <b:Year>2016</b:Year>
    <b:YearAccessed>2018</b:YearAccessed>
    <b:MonthAccessed>March</b:MonthAccessed>
    <b:DayAccessed>28</b:DayAccessed>
    <b:URL>http://www.meti.go.jp/english/press/2016/0322_05.html</b:URL>
    <b:RefOrder>15</b:RefOrder>
  </b:Source>
  <b:Source>
    <b:Tag>UKH18</b:Tag>
    <b:SourceType>InternetSite</b:SourceType>
    <b:Guid>{52C0ABD0-D629-45FA-BC22-65DB075205D0}</b:Guid>
    <b:Author>
      <b:Author>
        <b:Corporate>UK H2 Mobility</b:Corporate>
      </b:Author>
    </b:Author>
    <b:Title>FCEVS</b:Title>
    <b:Year>2018</b:Year>
    <b:YearAccessed>2018</b:YearAccessed>
    <b:MonthAccessed>March</b:MonthAccessed>
    <b:DayAccessed>29</b:DayAccessed>
    <b:URL>http://www.ukh2mobility.co.uk/fcevs/</b:URL>
    <b:RefOrder>5</b:RefOrder>
  </b:Source>
  <b:Source>
    <b:Tag>Ven99</b:Tag>
    <b:SourceType>JournalArticle</b:SourceType>
    <b:Guid>{E52F4761-31F6-4B8A-BA7C-F3718A0F7165}</b:Guid>
    <b:Title>The Hydrogen Fuel Option for Fuel Cell</b:Title>
    <b:Year>1999</b:Year>
    <b:Author>
      <b:Author>
        <b:NameList>
          <b:Person>
            <b:Last>Raman</b:Last>
            <b:First>Venki</b:First>
          </b:Person>
        </b:NameList>
      </b:Author>
    </b:Author>
    <b:JournalName>SAE</b:JournalName>
    <b:Pages>3</b:Pages>
    <b:RefOrder>16</b:RefOrder>
  </b:Source>
  <b:Source>
    <b:Tag>CET09</b:Tag>
    <b:SourceType>Book</b:SourceType>
    <b:Guid>{994AF5A5-D401-4D9D-AC79-108A73A13C19}</b:Guid>
    <b:Title>Fuel cell and battery electric vehicles compared</b:Title>
    <b:Year>2009</b:Year>
    <b:Author>
      <b:Author>
        <b:NameList>
          <b:Person>
            <b:Last>Thomas</b:Last>
            <b:First>C.E</b:First>
          </b:Person>
        </b:NameList>
      </b:Author>
    </b:Author>
    <b:City>Alexandria</b:City>
    <b:Publisher>H2Gen Innovations, Inc</b:Publisher>
    <b:RefOrder>17</b:RefOrder>
  </b:Source>
  <b:Source>
    <b:Tag>Hyd15</b:Tag>
    <b:SourceType>InternetSite</b:SourceType>
    <b:Guid>{588B9E73-588A-493F-9BBD-39BC45CEA3A9}</b:Guid>
    <b:Title>Hydrogen Refuelling Infastructure</b:Title>
    <b:Year>2015</b:Year>
    <b:Author>
      <b:Author>
        <b:Corporate>Hydrogen Mobility Europe </b:Corporate>
      </b:Author>
    </b:Author>
    <b:YearAccessed>2018</b:YearAccessed>
    <b:MonthAccessed>March</b:MonthAccessed>
    <b:DayAccessed>29</b:DayAccessed>
    <b:URL>https://h2me.eu/about/hydrogen-refuelling-infrastructure/</b:URL>
    <b:RefOrder>18</b:RefOrder>
  </b:Source>
  <b:Source>
    <b:Tag>Sta17</b:Tag>
    <b:SourceType>InternetSite</b:SourceType>
    <b:Guid>{A8618D44-978B-4261-8E40-42693EE78B1E}</b:Guid>
    <b:Author>
      <b:Author>
        <b:Corporate>Statista </b:Corporate>
      </b:Author>
    </b:Author>
    <b:Title>Countries with the largest lithium reserves worldwide as of 2017 (in metric tons)</b:Title>
    <b:Year>2017</b:Year>
    <b:YearAccessed>2018</b:YearAccessed>
    <b:MonthAccessed>March </b:MonthAccessed>
    <b:DayAccessed>29</b:DayAccessed>
    <b:URL>https://www.statista.com/statistics/268790/countries-with-the-largest-lithium-reserves-worldwide/</b:URL>
    <b:RefOrder>19</b:RefOrder>
  </b:Source>
</b:Sources>
</file>

<file path=customXml/itemProps1.xml><?xml version="1.0" encoding="utf-8"?>
<ds:datastoreItem xmlns:ds="http://schemas.openxmlformats.org/officeDocument/2006/customXml" ds:itemID="{A0D7BE5D-F967-4919-A74D-F16F960C0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1742</Words>
  <Characters>9933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Christopher Hine (P139976)</dc:creator>
  <cp:keywords/>
  <dc:description/>
  <cp:lastModifiedBy>Christopher Hine</cp:lastModifiedBy>
  <cp:revision>2</cp:revision>
  <dcterms:created xsi:type="dcterms:W3CDTF">2018-03-29T13:25:00Z</dcterms:created>
  <dcterms:modified xsi:type="dcterms:W3CDTF">2018-03-29T13:25:00Z</dcterms:modified>
</cp:coreProperties>
</file>