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80DD3"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r w:rsidRPr="00F16203">
        <w:rPr>
          <w:rFonts w:asciiTheme="minorHAnsi" w:hAnsiTheme="minorHAnsi" w:cstheme="minorHAnsi"/>
          <w:noProof/>
          <w:sz w:val="22"/>
          <w:szCs w:val="22"/>
        </w:rPr>
        <w:drawing>
          <wp:inline distT="0" distB="0" distL="0" distR="0" wp14:anchorId="22501664" wp14:editId="7577CB19">
            <wp:extent cx="1905000" cy="638175"/>
            <wp:effectExtent l="19050" t="19050" r="19050" b="2857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3170E34"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6889D5C"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2099C4E"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lang w:val="cy-GB"/>
        </w:rPr>
      </w:pPr>
      <w:r w:rsidRPr="00F16203">
        <w:rPr>
          <w:rFonts w:asciiTheme="minorHAnsi" w:hAnsiTheme="minorHAnsi" w:cstheme="minorHAnsi"/>
          <w:b/>
          <w:sz w:val="22"/>
          <w:szCs w:val="22"/>
          <w:lang w:val="cy-GB"/>
        </w:rPr>
        <w:t xml:space="preserve">Postgraduate/Distance Learning </w:t>
      </w:r>
    </w:p>
    <w:p w14:paraId="15BE1390"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rPr>
      </w:pPr>
      <w:r w:rsidRPr="00F16203">
        <w:rPr>
          <w:rFonts w:asciiTheme="minorHAnsi" w:hAnsiTheme="minorHAnsi" w:cstheme="minorHAnsi"/>
          <w:b/>
          <w:sz w:val="22"/>
          <w:szCs w:val="22"/>
          <w:lang w:val="cy-GB"/>
        </w:rPr>
        <w:t>Assignment coversheet &amp; feedback form</w:t>
      </w:r>
    </w:p>
    <w:p w14:paraId="380129C5" w14:textId="77777777" w:rsidR="00BE787F" w:rsidRPr="00F16203" w:rsidRDefault="00BE787F" w:rsidP="00BE787F">
      <w:pPr>
        <w:rPr>
          <w:rFonts w:cstheme="minorHAnsi"/>
          <w:lang w:val="cy-GB"/>
        </w:rPr>
      </w:pPr>
    </w:p>
    <w:p w14:paraId="1FAC35B9" w14:textId="77777777" w:rsidR="00BE787F" w:rsidRPr="00F16203" w:rsidRDefault="00BE787F" w:rsidP="00BE787F">
      <w:pPr>
        <w:pStyle w:val="Heading3"/>
        <w:jc w:val="center"/>
        <w:rPr>
          <w:rFonts w:asciiTheme="minorHAnsi" w:hAnsiTheme="minorHAnsi" w:cstheme="minorHAnsi"/>
          <w:sz w:val="22"/>
          <w:szCs w:val="22"/>
          <w:lang w:val="cy-GB"/>
        </w:rPr>
      </w:pPr>
      <w:r w:rsidRPr="00F16203">
        <w:rPr>
          <w:rFonts w:asciiTheme="minorHAnsi" w:hAnsiTheme="minorHAnsi" w:cstheme="minorHAnsi"/>
          <w:sz w:val="22"/>
          <w:szCs w:val="22"/>
          <w:lang w:val="cy-GB"/>
        </w:rPr>
        <w:t>THIS SHEET MUST BE THE FIRST PAGE OF THE ASSIGNMENT YOU ARE SUBMITTING  (DO NOT SEND AS A SEPARATE FILE)</w:t>
      </w:r>
    </w:p>
    <w:p w14:paraId="2C95B4CD" w14:textId="77777777" w:rsidR="00BE787F" w:rsidRPr="00F16203" w:rsidRDefault="00BE787F" w:rsidP="00BE787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787F" w:rsidRPr="00F16203" w14:paraId="454669E4" w14:textId="77777777" w:rsidTr="00F24345">
        <w:trPr>
          <w:trHeight w:val="614"/>
        </w:trPr>
        <w:tc>
          <w:tcPr>
            <w:tcW w:w="8856" w:type="dxa"/>
            <w:gridSpan w:val="5"/>
          </w:tcPr>
          <w:p w14:paraId="0645F7F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For completion by the student</w:t>
            </w:r>
            <w:r w:rsidRPr="00F16203">
              <w:rPr>
                <w:rFonts w:asciiTheme="minorHAnsi" w:hAnsiTheme="minorHAnsi" w:cstheme="minorHAnsi"/>
                <w:sz w:val="22"/>
                <w:szCs w:val="22"/>
              </w:rPr>
              <w:t>:</w:t>
            </w:r>
          </w:p>
        </w:tc>
      </w:tr>
      <w:tr w:rsidR="00BE787F" w:rsidRPr="00F16203" w14:paraId="002D7D03" w14:textId="77777777" w:rsidTr="00F24345">
        <w:trPr>
          <w:trHeight w:val="718"/>
        </w:trPr>
        <w:tc>
          <w:tcPr>
            <w:tcW w:w="8856" w:type="dxa"/>
            <w:gridSpan w:val="5"/>
          </w:tcPr>
          <w:p w14:paraId="39591B48"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Name: Anne Louise Day-Jones</w:t>
            </w:r>
          </w:p>
          <w:p w14:paraId="2A786FA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95F182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Student </w:t>
            </w:r>
            <w:r w:rsidRPr="00F16203">
              <w:rPr>
                <w:rFonts w:asciiTheme="minorHAnsi" w:hAnsiTheme="minorHAnsi" w:cstheme="minorHAnsi"/>
                <w:b/>
                <w:bCs/>
                <w:sz w:val="22"/>
                <w:szCs w:val="22"/>
                <w:u w:val="single"/>
              </w:rPr>
              <w:t>University</w:t>
            </w:r>
            <w:r w:rsidRPr="00F16203">
              <w:rPr>
                <w:rFonts w:asciiTheme="minorHAnsi" w:hAnsiTheme="minorHAnsi" w:cstheme="minorHAnsi"/>
                <w:sz w:val="22"/>
                <w:szCs w:val="22"/>
                <w:u w:val="single"/>
              </w:rPr>
              <w:t xml:space="preserve"> </w:t>
            </w:r>
            <w:r w:rsidRPr="00F16203">
              <w:rPr>
                <w:rFonts w:asciiTheme="minorHAnsi" w:hAnsiTheme="minorHAnsi" w:cstheme="minorHAnsi"/>
                <w:sz w:val="22"/>
                <w:szCs w:val="22"/>
              </w:rPr>
              <w:t>Email: 1704596@student.uwtsd.ac.uk</w:t>
            </w:r>
          </w:p>
        </w:tc>
      </w:tr>
      <w:tr w:rsidR="00BE787F" w:rsidRPr="00F16203" w14:paraId="4A6D957D" w14:textId="77777777" w:rsidTr="00F24345">
        <w:trPr>
          <w:trHeight w:val="849"/>
        </w:trPr>
        <w:tc>
          <w:tcPr>
            <w:tcW w:w="4788" w:type="dxa"/>
          </w:tcPr>
          <w:p w14:paraId="6C219974" w14:textId="17AB84D8"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Module code: </w:t>
            </w:r>
            <w:r w:rsidRPr="00F16203">
              <w:rPr>
                <w:rStyle w:val="Strong"/>
                <w:rFonts w:asciiTheme="minorHAnsi" w:hAnsiTheme="minorHAnsi" w:cstheme="minorHAnsi"/>
                <w:color w:val="373A3C"/>
                <w:sz w:val="22"/>
                <w:szCs w:val="22"/>
                <w:lang w:val="de-DE"/>
              </w:rPr>
              <w:t>(</w:t>
            </w:r>
            <w:r w:rsidR="00F81E6F">
              <w:rPr>
                <w:rStyle w:val="Strong"/>
                <w:rFonts w:asciiTheme="minorHAnsi" w:hAnsiTheme="minorHAnsi" w:cstheme="minorHAnsi"/>
                <w:color w:val="373A3C"/>
                <w:sz w:val="22"/>
                <w:szCs w:val="22"/>
                <w:lang w:val="de-DE"/>
              </w:rPr>
              <w:t>AHAN7023</w:t>
            </w:r>
            <w:r w:rsidRPr="00F16203">
              <w:rPr>
                <w:rStyle w:val="Strong"/>
                <w:rFonts w:asciiTheme="minorHAnsi" w:hAnsiTheme="minorHAnsi" w:cstheme="minorHAnsi"/>
                <w:color w:val="373A3C"/>
                <w:sz w:val="22"/>
                <w:szCs w:val="22"/>
                <w:lang w:val="de-DE"/>
              </w:rPr>
              <w:t>)</w:t>
            </w:r>
          </w:p>
          <w:p w14:paraId="6008EE4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A9FAAD" w14:textId="3468A3CE" w:rsidR="00BE787F" w:rsidRPr="00F16203" w:rsidRDefault="00BE787F" w:rsidP="00F24345">
            <w:pPr>
              <w:pStyle w:val="Heading1"/>
              <w:shd w:val="clear" w:color="auto" w:fill="FFFFFF"/>
              <w:rPr>
                <w:rFonts w:asciiTheme="minorHAnsi" w:hAnsiTheme="minorHAnsi" w:cstheme="minorHAnsi"/>
                <w:color w:val="auto"/>
                <w:sz w:val="22"/>
                <w:szCs w:val="22"/>
              </w:rPr>
            </w:pPr>
            <w:r w:rsidRPr="00F16203">
              <w:rPr>
                <w:rFonts w:asciiTheme="minorHAnsi" w:hAnsiTheme="minorHAnsi" w:cstheme="minorHAnsi"/>
                <w:color w:val="auto"/>
                <w:sz w:val="22"/>
                <w:szCs w:val="22"/>
              </w:rPr>
              <w:t>Module title:</w:t>
            </w:r>
            <w:r w:rsidRPr="00F16203">
              <w:rPr>
                <w:rFonts w:asciiTheme="minorHAnsi" w:hAnsiTheme="minorHAnsi" w:cstheme="minorHAnsi"/>
                <w:b/>
                <w:bCs/>
                <w:color w:val="auto"/>
                <w:sz w:val="22"/>
                <w:szCs w:val="22"/>
                <w:lang w:val="de-DE"/>
              </w:rPr>
              <w:t xml:space="preserve"> </w:t>
            </w:r>
            <w:r w:rsidR="00F81E6F">
              <w:rPr>
                <w:rFonts w:asciiTheme="minorHAnsi" w:hAnsiTheme="minorHAnsi" w:cstheme="minorHAnsi"/>
                <w:b/>
                <w:bCs/>
                <w:sz w:val="22"/>
                <w:szCs w:val="22"/>
                <w:lang w:val="de-DE"/>
              </w:rPr>
              <w:t xml:space="preserve">ASTRAL RELIGION </w:t>
            </w:r>
          </w:p>
          <w:p w14:paraId="0102935F"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ADC52C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6100D3"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14:paraId="1169841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ID number: 1704596</w:t>
            </w:r>
          </w:p>
        </w:tc>
        <w:tc>
          <w:tcPr>
            <w:tcW w:w="1802" w:type="dxa"/>
          </w:tcPr>
          <w:p w14:paraId="17FDD76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Educational support needs:</w:t>
            </w:r>
          </w:p>
          <w:p w14:paraId="003D4AD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No</w:t>
            </w:r>
          </w:p>
        </w:tc>
      </w:tr>
      <w:tr w:rsidR="00BE787F" w:rsidRPr="00F16203" w14:paraId="3E532543" w14:textId="77777777" w:rsidTr="00F24345">
        <w:trPr>
          <w:trHeight w:val="1139"/>
        </w:trPr>
        <w:tc>
          <w:tcPr>
            <w:tcW w:w="8856" w:type="dxa"/>
            <w:gridSpan w:val="5"/>
          </w:tcPr>
          <w:p w14:paraId="4A04E467" w14:textId="3CF5A89B" w:rsidR="004118F9" w:rsidRPr="00201D89" w:rsidRDefault="00BE787F" w:rsidP="004118F9">
            <w:pPr>
              <w:pStyle w:val="Heading2"/>
              <w:rPr>
                <w:i/>
                <w:iCs/>
                <w:highlight w:val="white"/>
                <w:lang w:val="en"/>
              </w:rPr>
            </w:pPr>
            <w:r w:rsidRPr="00F16203">
              <w:rPr>
                <w:rFonts w:asciiTheme="minorHAnsi" w:hAnsiTheme="minorHAnsi" w:cstheme="minorHAnsi"/>
                <w:sz w:val="22"/>
                <w:szCs w:val="22"/>
              </w:rPr>
              <w:t>Assignment title:</w:t>
            </w:r>
            <w:r w:rsidR="00777BB4" w:rsidRPr="00F16203">
              <w:rPr>
                <w:rFonts w:asciiTheme="minorHAnsi" w:hAnsiTheme="minorHAnsi" w:cstheme="minorHAnsi"/>
                <w:sz w:val="22"/>
                <w:szCs w:val="22"/>
              </w:rPr>
              <w:t xml:space="preserve"> </w:t>
            </w:r>
            <w:r w:rsidR="006B09EB">
              <w:rPr>
                <w:highlight w:val="white"/>
                <w:lang w:val="en"/>
              </w:rPr>
              <w:t>Is Astro</w:t>
            </w:r>
            <w:r w:rsidR="00CF66D5">
              <w:rPr>
                <w:highlight w:val="white"/>
                <w:lang w:val="en"/>
              </w:rPr>
              <w:t>logy a Material Religion?</w:t>
            </w:r>
          </w:p>
          <w:p w14:paraId="690CC5C2" w14:textId="24A78779" w:rsidR="00BE787F" w:rsidRPr="00F16203" w:rsidRDefault="006036E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w:t>
            </w:r>
          </w:p>
          <w:p w14:paraId="2A0B9A8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1A346BAA" w14:textId="13791D01"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8130FD4" w14:textId="1CC34AFE"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Assignment due date: </w:t>
            </w:r>
            <w:r w:rsidR="00CF66D5">
              <w:rPr>
                <w:rFonts w:asciiTheme="minorHAnsi" w:hAnsiTheme="minorHAnsi" w:cstheme="minorHAnsi"/>
                <w:sz w:val="22"/>
                <w:szCs w:val="22"/>
              </w:rPr>
              <w:t>29 April</w:t>
            </w:r>
            <w:r w:rsidR="000B4E7E" w:rsidRPr="00F16203">
              <w:rPr>
                <w:rFonts w:asciiTheme="minorHAnsi" w:hAnsiTheme="minorHAnsi" w:cstheme="minorHAnsi"/>
                <w:sz w:val="22"/>
                <w:szCs w:val="22"/>
              </w:rPr>
              <w:t>,</w:t>
            </w:r>
            <w:r w:rsidR="003A6740" w:rsidRPr="00F16203">
              <w:rPr>
                <w:rFonts w:asciiTheme="minorHAnsi" w:hAnsiTheme="minorHAnsi" w:cstheme="minorHAnsi"/>
                <w:sz w:val="22"/>
                <w:szCs w:val="22"/>
              </w:rPr>
              <w:t xml:space="preserve"> 201</w:t>
            </w:r>
            <w:r w:rsidR="00777BB4" w:rsidRPr="00F16203">
              <w:rPr>
                <w:rFonts w:asciiTheme="minorHAnsi" w:hAnsiTheme="minorHAnsi" w:cstheme="minorHAnsi"/>
                <w:sz w:val="22"/>
                <w:szCs w:val="22"/>
              </w:rPr>
              <w:t>9</w:t>
            </w:r>
          </w:p>
        </w:tc>
      </w:tr>
      <w:tr w:rsidR="00BE787F" w:rsidRPr="00F16203" w14:paraId="43DE6281" w14:textId="77777777" w:rsidTr="00F24345">
        <w:trPr>
          <w:trHeight w:val="978"/>
        </w:trPr>
        <w:tc>
          <w:tcPr>
            <w:tcW w:w="8856" w:type="dxa"/>
            <w:gridSpan w:val="5"/>
            <w:tcBorders>
              <w:bottom w:val="single" w:sz="4" w:space="0" w:color="000000"/>
            </w:tcBorders>
          </w:tcPr>
          <w:p w14:paraId="16C94EBD" w14:textId="76B5C11C" w:rsidR="00BE787F" w:rsidRPr="00F16203" w:rsidRDefault="00BE787F" w:rsidP="00F24345">
            <w:pPr>
              <w:rPr>
                <w:rFonts w:cstheme="minorHAnsi"/>
              </w:rPr>
            </w:pPr>
            <w:r w:rsidRPr="00F16203">
              <w:rPr>
                <w:rFonts w:cstheme="minorHAnsi"/>
              </w:rPr>
              <w:t>This assignment is for the       1</w:t>
            </w:r>
            <w:r w:rsidRPr="00F16203">
              <w:rPr>
                <w:rFonts w:cstheme="minorHAnsi"/>
                <w:vertAlign w:val="superscript"/>
              </w:rPr>
              <w:t xml:space="preserve">st </w:t>
            </w:r>
            <w:r w:rsidR="0023084A" w:rsidRPr="00F16203">
              <w:rPr>
                <w:rFonts w:cstheme="minorHAnsi"/>
              </w:rPr>
              <w:fldChar w:fldCharType="begin">
                <w:ffData>
                  <w:name w:val="Check13"/>
                  <w:enabled/>
                  <w:calcOnExit w:val="0"/>
                  <w:checkBox>
                    <w:sizeAuto/>
                    <w:default w:val="0"/>
                  </w:checkBox>
                </w:ffData>
              </w:fldChar>
            </w:r>
            <w:bookmarkStart w:id="0" w:name="Check13"/>
            <w:r w:rsidR="0023084A" w:rsidRPr="00F16203">
              <w:rPr>
                <w:rFonts w:cstheme="minorHAnsi"/>
              </w:rPr>
              <w:instrText xml:space="preserve"> FORMCHECKBOX </w:instrText>
            </w:r>
            <w:r w:rsidR="00AE264A">
              <w:rPr>
                <w:rFonts w:cstheme="minorHAnsi"/>
              </w:rPr>
            </w:r>
            <w:r w:rsidR="00AE264A">
              <w:rPr>
                <w:rFonts w:cstheme="minorHAnsi"/>
              </w:rPr>
              <w:fldChar w:fldCharType="separate"/>
            </w:r>
            <w:r w:rsidR="0023084A" w:rsidRPr="00F16203">
              <w:rPr>
                <w:rFonts w:cstheme="minorHAnsi"/>
              </w:rPr>
              <w:fldChar w:fldCharType="end"/>
            </w:r>
            <w:bookmarkEnd w:id="0"/>
            <w:r w:rsidRPr="00F16203">
              <w:rPr>
                <w:rFonts w:cstheme="minorHAnsi"/>
              </w:rPr>
              <w:t xml:space="preserve">    2</w:t>
            </w:r>
            <w:r w:rsidRPr="00F16203">
              <w:rPr>
                <w:rFonts w:cstheme="minorHAnsi"/>
                <w:vertAlign w:val="superscript"/>
              </w:rPr>
              <w:t>nd</w:t>
            </w:r>
            <w:r w:rsidRPr="00F16203">
              <w:rPr>
                <w:rFonts w:cstheme="minorHAnsi"/>
              </w:rPr>
              <w:t xml:space="preserve">      3</w:t>
            </w:r>
            <w:r w:rsidRPr="00F16203">
              <w:rPr>
                <w:rFonts w:cstheme="minorHAnsi"/>
                <w:vertAlign w:val="superscript"/>
              </w:rPr>
              <w:t>rd</w:t>
            </w:r>
            <w:r w:rsidRPr="00F16203">
              <w:rPr>
                <w:rFonts w:cstheme="minorHAnsi"/>
              </w:rPr>
              <w:t xml:space="preserve">  </w:t>
            </w:r>
            <w:r w:rsidRPr="00F16203">
              <w:rPr>
                <w:rFonts w:cstheme="minorHAnsi"/>
              </w:rPr>
              <w:fldChar w:fldCharType="begin">
                <w:ffData>
                  <w:name w:val="Check15"/>
                  <w:enabled/>
                  <w:calcOnExit w:val="0"/>
                  <w:checkBox>
                    <w:sizeAuto/>
                    <w:default w:val="0"/>
                  </w:checkBox>
                </w:ffData>
              </w:fldChar>
            </w:r>
            <w:r w:rsidRPr="00F16203">
              <w:rPr>
                <w:rFonts w:cstheme="minorHAnsi"/>
              </w:rPr>
              <w:instrText xml:space="preserve"> FORMCHECKBOX </w:instrText>
            </w:r>
            <w:r w:rsidR="00AE264A">
              <w:rPr>
                <w:rFonts w:cstheme="minorHAnsi"/>
              </w:rPr>
            </w:r>
            <w:r w:rsidR="00AE264A">
              <w:rPr>
                <w:rFonts w:cstheme="minorHAnsi"/>
              </w:rPr>
              <w:fldChar w:fldCharType="separate"/>
            </w:r>
            <w:r w:rsidRPr="00F16203">
              <w:rPr>
                <w:rFonts w:cstheme="minorHAnsi"/>
              </w:rPr>
              <w:fldChar w:fldCharType="end"/>
            </w:r>
            <w:r w:rsidRPr="00F16203">
              <w:rPr>
                <w:rFonts w:cstheme="minorHAnsi"/>
              </w:rPr>
              <w:t xml:space="preserve">      4</w:t>
            </w:r>
            <w:r w:rsidRPr="00F16203">
              <w:rPr>
                <w:rFonts w:cstheme="minorHAnsi"/>
              </w:rPr>
              <w:fldChar w:fldCharType="begin">
                <w:ffData>
                  <w:name w:val="Check16"/>
                  <w:enabled/>
                  <w:calcOnExit w:val="0"/>
                  <w:checkBox>
                    <w:sizeAuto/>
                    <w:default w:val="0"/>
                  </w:checkBox>
                </w:ffData>
              </w:fldChar>
            </w:r>
            <w:r w:rsidRPr="00F16203">
              <w:rPr>
                <w:rFonts w:cstheme="minorHAnsi"/>
              </w:rPr>
              <w:instrText xml:space="preserve"> FORMCHECKBOX </w:instrText>
            </w:r>
            <w:r w:rsidR="00AE264A">
              <w:rPr>
                <w:rFonts w:cstheme="minorHAnsi"/>
              </w:rPr>
            </w:r>
            <w:r w:rsidR="00AE264A">
              <w:rPr>
                <w:rFonts w:cstheme="minorHAnsi"/>
              </w:rPr>
              <w:fldChar w:fldCharType="separate"/>
            </w:r>
            <w:r w:rsidRPr="00F16203">
              <w:rPr>
                <w:rFonts w:cstheme="minorHAnsi"/>
              </w:rPr>
              <w:fldChar w:fldCharType="end"/>
            </w:r>
            <w:r w:rsidRPr="00F16203">
              <w:rPr>
                <w:rFonts w:cstheme="minorHAnsi"/>
              </w:rPr>
              <w:t xml:space="preserve">      5</w:t>
            </w:r>
            <w:r w:rsidRPr="00F16203">
              <w:rPr>
                <w:rFonts w:cstheme="minorHAnsi"/>
                <w:vertAlign w:val="superscript"/>
              </w:rPr>
              <w:t>th</w:t>
            </w:r>
            <w:r w:rsidRPr="00F16203">
              <w:rPr>
                <w:rFonts w:cstheme="minorHAnsi"/>
              </w:rPr>
              <w:t xml:space="preserve"> </w:t>
            </w:r>
            <w:r w:rsidR="00F81E6F">
              <w:rPr>
                <w:rFonts w:cstheme="minorHAnsi"/>
              </w:rPr>
              <w:t>X</w:t>
            </w:r>
            <w:r w:rsidRPr="00F16203">
              <w:rPr>
                <w:rFonts w:cstheme="minorHAnsi"/>
              </w:rPr>
              <w:fldChar w:fldCharType="begin">
                <w:ffData>
                  <w:name w:val="Check17"/>
                  <w:enabled/>
                  <w:calcOnExit w:val="0"/>
                  <w:checkBox>
                    <w:sizeAuto/>
                    <w:default w:val="0"/>
                  </w:checkBox>
                </w:ffData>
              </w:fldChar>
            </w:r>
            <w:r w:rsidRPr="00F16203">
              <w:rPr>
                <w:rFonts w:cstheme="minorHAnsi"/>
              </w:rPr>
              <w:instrText xml:space="preserve"> FORMCHECKBOX </w:instrText>
            </w:r>
            <w:r w:rsidR="00AE264A">
              <w:rPr>
                <w:rFonts w:cstheme="minorHAnsi"/>
              </w:rPr>
            </w:r>
            <w:r w:rsidR="00AE264A">
              <w:rPr>
                <w:rFonts w:cstheme="minorHAnsi"/>
              </w:rPr>
              <w:fldChar w:fldCharType="separate"/>
            </w:r>
            <w:r w:rsidRPr="00F16203">
              <w:rPr>
                <w:rFonts w:cstheme="minorHAnsi"/>
              </w:rPr>
              <w:fldChar w:fldCharType="end"/>
            </w:r>
            <w:r w:rsidRPr="00F16203">
              <w:rPr>
                <w:rFonts w:cstheme="minorHAnsi"/>
              </w:rPr>
              <w:t xml:space="preserve">      6</w:t>
            </w:r>
            <w:r w:rsidRPr="00F16203">
              <w:rPr>
                <w:rFonts w:cstheme="minorHAnsi"/>
                <w:vertAlign w:val="superscript"/>
              </w:rPr>
              <w:t>th</w:t>
            </w:r>
            <w:r w:rsidRPr="00F16203">
              <w:rPr>
                <w:rFonts w:cstheme="minorHAnsi"/>
              </w:rPr>
              <w:t xml:space="preserve"> </w:t>
            </w:r>
            <w:r w:rsidRPr="00F16203">
              <w:rPr>
                <w:rFonts w:cstheme="minorHAnsi"/>
              </w:rPr>
              <w:fldChar w:fldCharType="begin">
                <w:ffData>
                  <w:name w:val="Check18"/>
                  <w:enabled/>
                  <w:calcOnExit w:val="0"/>
                  <w:checkBox>
                    <w:sizeAuto/>
                    <w:default w:val="0"/>
                  </w:checkBox>
                </w:ffData>
              </w:fldChar>
            </w:r>
            <w:r w:rsidRPr="00F16203">
              <w:rPr>
                <w:rFonts w:cstheme="minorHAnsi"/>
              </w:rPr>
              <w:instrText xml:space="preserve"> FORMCHECKBOX </w:instrText>
            </w:r>
            <w:r w:rsidR="00AE264A">
              <w:rPr>
                <w:rFonts w:cstheme="minorHAnsi"/>
              </w:rPr>
            </w:r>
            <w:r w:rsidR="00AE264A">
              <w:rPr>
                <w:rFonts w:cstheme="minorHAnsi"/>
              </w:rPr>
              <w:fldChar w:fldCharType="separate"/>
            </w:r>
            <w:r w:rsidRPr="00F16203">
              <w:rPr>
                <w:rFonts w:cstheme="minorHAnsi"/>
              </w:rPr>
              <w:fldChar w:fldCharType="end"/>
            </w:r>
            <w:r w:rsidRPr="00F16203">
              <w:rPr>
                <w:rFonts w:cstheme="minorHAnsi"/>
                <w:b/>
              </w:rPr>
              <w:t xml:space="preserve">   </w:t>
            </w:r>
            <w:r w:rsidRPr="00F16203">
              <w:rPr>
                <w:rFonts w:cstheme="minorHAnsi"/>
              </w:rPr>
              <w:t>module of the degree</w:t>
            </w:r>
          </w:p>
        </w:tc>
      </w:tr>
      <w:tr w:rsidR="00BE787F" w:rsidRPr="00F16203" w14:paraId="0A9F2C75" w14:textId="77777777" w:rsidTr="00F24345">
        <w:trPr>
          <w:trHeight w:val="978"/>
        </w:trPr>
        <w:tc>
          <w:tcPr>
            <w:tcW w:w="8856" w:type="dxa"/>
            <w:gridSpan w:val="5"/>
            <w:shd w:val="clear" w:color="auto" w:fill="D9D9D9"/>
          </w:tcPr>
          <w:p w14:paraId="4575D165"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I confirm that this is my original work and that I have adhered to the University policy on plagiarism.</w:t>
            </w:r>
          </w:p>
          <w:p w14:paraId="53EEE40F" w14:textId="1930A78F"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Signed ……………</w:t>
            </w:r>
            <w:r w:rsidR="00777BB4" w:rsidRPr="00F16203">
              <w:rPr>
                <w:rFonts w:asciiTheme="minorHAnsi" w:hAnsiTheme="minorHAnsi" w:cstheme="minorHAnsi"/>
                <w:sz w:val="22"/>
                <w:szCs w:val="22"/>
              </w:rPr>
              <w:t>Anne Louise Day-Jones</w:t>
            </w:r>
            <w:r w:rsidRPr="00F16203">
              <w:rPr>
                <w:rFonts w:asciiTheme="minorHAnsi" w:hAnsiTheme="minorHAnsi" w:cstheme="minorHAnsi"/>
                <w:sz w:val="22"/>
                <w:szCs w:val="22"/>
              </w:rPr>
              <w:t>………………………………………………</w:t>
            </w:r>
          </w:p>
          <w:p w14:paraId="0EB00186" w14:textId="77777777" w:rsidR="00BE787F" w:rsidRPr="00F16203" w:rsidRDefault="00BE787F" w:rsidP="00F24345">
            <w:pPr>
              <w:pStyle w:val="NormalWeb"/>
              <w:spacing w:before="0" w:beforeAutospacing="0" w:after="0" w:afterAutospacing="0"/>
              <w:ind w:right="34"/>
              <w:rPr>
                <w:rFonts w:asciiTheme="minorHAnsi" w:hAnsiTheme="minorHAnsi" w:cstheme="minorHAnsi"/>
                <w:b/>
                <w:sz w:val="22"/>
                <w:szCs w:val="22"/>
              </w:rPr>
            </w:pPr>
            <w:r w:rsidRPr="00F16203">
              <w:rPr>
                <w:rFonts w:asciiTheme="minorHAnsi" w:hAnsiTheme="minorHAnsi" w:cstheme="minorHAnsi"/>
                <w:b/>
                <w:sz w:val="22"/>
                <w:szCs w:val="22"/>
              </w:rPr>
              <w:t xml:space="preserve">Email </w:t>
            </w:r>
            <w:proofErr w:type="spellStart"/>
            <w:proofErr w:type="gramStart"/>
            <w:r w:rsidRPr="00F16203">
              <w:rPr>
                <w:rFonts w:asciiTheme="minorHAnsi" w:hAnsiTheme="minorHAnsi" w:cstheme="minorHAnsi"/>
                <w:b/>
                <w:sz w:val="22"/>
                <w:szCs w:val="22"/>
              </w:rPr>
              <w:t>submission:if</w:t>
            </w:r>
            <w:proofErr w:type="spellEnd"/>
            <w:proofErr w:type="gramEnd"/>
            <w:r w:rsidRPr="00F16203">
              <w:rPr>
                <w:rFonts w:asciiTheme="minorHAnsi" w:hAnsiTheme="minorHAnsi" w:cstheme="minorHAnsi"/>
                <w:b/>
                <w:sz w:val="22"/>
                <w:szCs w:val="22"/>
              </w:rPr>
              <w:t xml:space="preserve"> you are submitting this form via email, please tick this box </w:t>
            </w:r>
            <w:r w:rsidRPr="00F16203">
              <w:rPr>
                <w:rFonts w:asciiTheme="minorHAnsi" w:hAnsiTheme="minorHAnsi" w:cstheme="minorHAnsi"/>
                <w:b/>
                <w:sz w:val="22"/>
                <w:szCs w:val="22"/>
              </w:rPr>
              <w:sym w:font="Wingdings" w:char="F0FC"/>
            </w:r>
          </w:p>
          <w:p w14:paraId="11371EA4"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(as a substitute for your signature) to confirm that you agree to the above declaration.</w:t>
            </w:r>
          </w:p>
        </w:tc>
      </w:tr>
      <w:tr w:rsidR="00BE787F" w:rsidRPr="00F16203" w14:paraId="3BB1C1E5" w14:textId="77777777" w:rsidTr="00F24345">
        <w:trPr>
          <w:trHeight w:val="3972"/>
        </w:trPr>
        <w:tc>
          <w:tcPr>
            <w:tcW w:w="8856" w:type="dxa"/>
            <w:gridSpan w:val="5"/>
          </w:tcPr>
          <w:p w14:paraId="177944CC" w14:textId="77777777" w:rsidR="00BE787F" w:rsidRPr="00F16203" w:rsidRDefault="00BE787F" w:rsidP="00F24345">
            <w:pPr>
              <w:rPr>
                <w:rFonts w:cstheme="minorHAnsi"/>
                <w:b/>
              </w:rPr>
            </w:pPr>
          </w:p>
          <w:p w14:paraId="2250F3BE" w14:textId="77777777" w:rsidR="00BE787F" w:rsidRPr="00F16203" w:rsidRDefault="00BE787F" w:rsidP="00F24345">
            <w:pPr>
              <w:rPr>
                <w:rFonts w:cstheme="minorHAnsi"/>
              </w:rPr>
            </w:pPr>
            <w:r w:rsidRPr="00F16203">
              <w:rPr>
                <w:rFonts w:cstheme="minorHAns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787F" w:rsidRPr="00F16203" w14:paraId="4199CD61" w14:textId="77777777" w:rsidTr="00F24345">
              <w:tc>
                <w:tcPr>
                  <w:tcW w:w="6970" w:type="dxa"/>
                </w:tcPr>
                <w:p w14:paraId="16A38B41" w14:textId="77777777" w:rsidR="00BE787F" w:rsidRPr="00F16203" w:rsidRDefault="00BE787F" w:rsidP="00F24345">
                  <w:pPr>
                    <w:rPr>
                      <w:rFonts w:cstheme="minorHAnsi"/>
                    </w:rPr>
                  </w:pPr>
                </w:p>
                <w:p w14:paraId="1B21FE2E" w14:textId="77777777" w:rsidR="00BE787F" w:rsidRPr="00F16203" w:rsidRDefault="00BE787F" w:rsidP="00F24345">
                  <w:pPr>
                    <w:rPr>
                      <w:rFonts w:cstheme="minorHAnsi"/>
                    </w:rPr>
                  </w:pPr>
                  <w:r w:rsidRPr="00F16203">
                    <w:rPr>
                      <w:rFonts w:cstheme="minorHAnsi"/>
                    </w:rPr>
                    <w:t>1</w:t>
                  </w:r>
                  <w:r w:rsidRPr="00F16203">
                    <w:rPr>
                      <w:rFonts w:cstheme="minorHAnsi"/>
                      <w:vertAlign w:val="superscript"/>
                    </w:rPr>
                    <w:t>st</w:t>
                  </w:r>
                  <w:r w:rsidRPr="00F16203">
                    <w:rPr>
                      <w:rFonts w:cstheme="minorHAnsi"/>
                    </w:rPr>
                    <w:t xml:space="preserve"> Marker’s Provisional mark</w:t>
                  </w:r>
                </w:p>
              </w:tc>
              <w:tc>
                <w:tcPr>
                  <w:tcW w:w="1660" w:type="dxa"/>
                </w:tcPr>
                <w:p w14:paraId="0220DBB8" w14:textId="77777777" w:rsidR="00BE787F" w:rsidRPr="00F16203" w:rsidRDefault="00BE787F" w:rsidP="00F24345">
                  <w:pPr>
                    <w:rPr>
                      <w:rFonts w:cstheme="minorHAnsi"/>
                    </w:rPr>
                  </w:pPr>
                </w:p>
              </w:tc>
            </w:tr>
            <w:tr w:rsidR="00BE787F" w:rsidRPr="00F16203" w14:paraId="16D743F8" w14:textId="77777777" w:rsidTr="00F24345">
              <w:tc>
                <w:tcPr>
                  <w:tcW w:w="6970" w:type="dxa"/>
                </w:tcPr>
                <w:p w14:paraId="4468CA2C" w14:textId="77777777" w:rsidR="00BE787F" w:rsidRPr="00F16203" w:rsidRDefault="00BE787F" w:rsidP="00F24345">
                  <w:pPr>
                    <w:rPr>
                      <w:rFonts w:cstheme="minorHAnsi"/>
                    </w:rPr>
                  </w:pPr>
                </w:p>
                <w:p w14:paraId="0320D2DA" w14:textId="77777777" w:rsidR="00BE787F" w:rsidRPr="00F16203" w:rsidRDefault="00BE787F" w:rsidP="00F24345">
                  <w:pPr>
                    <w:rPr>
                      <w:rFonts w:cstheme="minorHAnsi"/>
                    </w:rPr>
                  </w:pPr>
                  <w:r w:rsidRPr="00F16203">
                    <w:rPr>
                      <w:rFonts w:cstheme="minorHAnsi"/>
                    </w:rPr>
                    <w:t>2</w:t>
                  </w:r>
                  <w:r w:rsidRPr="00F16203">
                    <w:rPr>
                      <w:rFonts w:cstheme="minorHAnsi"/>
                      <w:vertAlign w:val="superscript"/>
                    </w:rPr>
                    <w:t>nd</w:t>
                  </w:r>
                  <w:r w:rsidRPr="00F16203">
                    <w:rPr>
                      <w:rFonts w:cstheme="minorHAnsi"/>
                    </w:rPr>
                    <w:t xml:space="preserve"> Marker’s/Moderator’s provisional mark</w:t>
                  </w:r>
                </w:p>
              </w:tc>
              <w:tc>
                <w:tcPr>
                  <w:tcW w:w="1660" w:type="dxa"/>
                </w:tcPr>
                <w:p w14:paraId="1D45B902" w14:textId="77777777" w:rsidR="00BE787F" w:rsidRPr="00F16203" w:rsidRDefault="00BE787F" w:rsidP="00F24345">
                  <w:pPr>
                    <w:rPr>
                      <w:rFonts w:cstheme="minorHAnsi"/>
                    </w:rPr>
                  </w:pPr>
                </w:p>
              </w:tc>
            </w:tr>
            <w:tr w:rsidR="00BE787F" w:rsidRPr="00F16203" w14:paraId="0B389419" w14:textId="77777777" w:rsidTr="00F24345">
              <w:tc>
                <w:tcPr>
                  <w:tcW w:w="6970" w:type="dxa"/>
                </w:tcPr>
                <w:p w14:paraId="5B573B16" w14:textId="77777777" w:rsidR="00BE787F" w:rsidRPr="00F16203" w:rsidRDefault="00BE787F" w:rsidP="00F24345">
                  <w:pPr>
                    <w:rPr>
                      <w:rFonts w:cstheme="minorHAnsi"/>
                    </w:rPr>
                  </w:pPr>
                </w:p>
                <w:p w14:paraId="3C82AB76" w14:textId="77777777" w:rsidR="00BE787F" w:rsidRPr="00F16203" w:rsidRDefault="00BE787F" w:rsidP="00F24345">
                  <w:pPr>
                    <w:rPr>
                      <w:rFonts w:cstheme="minorHAnsi"/>
                    </w:rPr>
                  </w:pPr>
                  <w:r w:rsidRPr="00F16203">
                    <w:rPr>
                      <w:rFonts w:cstheme="minorHAnsi"/>
                    </w:rPr>
                    <w:t>External Examiner’s mark (if relevant)</w:t>
                  </w:r>
                </w:p>
              </w:tc>
              <w:tc>
                <w:tcPr>
                  <w:tcW w:w="1660" w:type="dxa"/>
                </w:tcPr>
                <w:p w14:paraId="7BF899FE" w14:textId="77777777" w:rsidR="00BE787F" w:rsidRPr="00F16203" w:rsidRDefault="00BE787F" w:rsidP="00F24345">
                  <w:pPr>
                    <w:rPr>
                      <w:rFonts w:cstheme="minorHAnsi"/>
                    </w:rPr>
                  </w:pPr>
                </w:p>
              </w:tc>
            </w:tr>
            <w:tr w:rsidR="00BE787F" w:rsidRPr="00F16203" w14:paraId="3732F407" w14:textId="77777777" w:rsidTr="00F24345">
              <w:tc>
                <w:tcPr>
                  <w:tcW w:w="6970" w:type="dxa"/>
                </w:tcPr>
                <w:p w14:paraId="14962913" w14:textId="77777777" w:rsidR="00BE787F" w:rsidRPr="00F16203" w:rsidRDefault="00BE787F" w:rsidP="00F24345">
                  <w:pPr>
                    <w:rPr>
                      <w:rFonts w:cstheme="minorHAnsi"/>
                    </w:rPr>
                  </w:pPr>
                </w:p>
                <w:p w14:paraId="5FB274E6" w14:textId="77777777" w:rsidR="00BE787F" w:rsidRPr="00F16203" w:rsidRDefault="00BE787F" w:rsidP="00F24345">
                  <w:pPr>
                    <w:rPr>
                      <w:rFonts w:cstheme="minorHAnsi"/>
                      <w:b/>
                    </w:rPr>
                  </w:pPr>
                  <w:r w:rsidRPr="00F16203">
                    <w:rPr>
                      <w:rFonts w:cstheme="minorHAnsi"/>
                      <w:b/>
                    </w:rPr>
                    <w:t>Final Mark</w:t>
                  </w:r>
                </w:p>
                <w:p w14:paraId="5C3B81D5" w14:textId="77777777" w:rsidR="00BE787F" w:rsidRPr="00F16203" w:rsidRDefault="00BE787F" w:rsidP="00F24345">
                  <w:pPr>
                    <w:rPr>
                      <w:rFonts w:cstheme="minorHAnsi"/>
                    </w:rPr>
                  </w:pPr>
                </w:p>
              </w:tc>
              <w:tc>
                <w:tcPr>
                  <w:tcW w:w="1660" w:type="dxa"/>
                </w:tcPr>
                <w:p w14:paraId="71F09FE4" w14:textId="77777777" w:rsidR="00BE787F" w:rsidRPr="00F16203" w:rsidRDefault="00BE787F" w:rsidP="00F24345">
                  <w:pPr>
                    <w:rPr>
                      <w:rFonts w:cstheme="minorHAnsi"/>
                    </w:rPr>
                  </w:pPr>
                </w:p>
              </w:tc>
            </w:tr>
          </w:tbl>
          <w:p w14:paraId="38C8704F"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b/>
                <w:sz w:val="22"/>
                <w:szCs w:val="22"/>
              </w:rPr>
            </w:pPr>
          </w:p>
          <w:p w14:paraId="7C895047"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sz w:val="22"/>
                <w:szCs w:val="22"/>
              </w:rPr>
            </w:pPr>
            <w:r w:rsidRPr="00F16203">
              <w:rPr>
                <w:rFonts w:asciiTheme="minorHAnsi" w:hAnsiTheme="minorHAnsi" w:cstheme="minorHAnsi"/>
                <w:b/>
                <w:sz w:val="22"/>
                <w:szCs w:val="22"/>
              </w:rPr>
              <w:t>NB.</w:t>
            </w:r>
            <w:r w:rsidRPr="00F16203">
              <w:rPr>
                <w:rFonts w:asciiTheme="minorHAnsi" w:hAnsiTheme="minorHAnsi" w:cstheme="minorHAnsi"/>
                <w:sz w:val="22"/>
                <w:szCs w:val="22"/>
              </w:rPr>
              <w:t xml:space="preserve">  All marks are provisional until confirmed by the Final Examination Board.</w:t>
            </w:r>
          </w:p>
          <w:p w14:paraId="3AD99BDE"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93D7907"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658D22A"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2883802F"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7D94644"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5698B93"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r w:rsidRPr="00F16203">
              <w:rPr>
                <w:rFonts w:asciiTheme="minorHAnsi" w:hAnsiTheme="minorHAnsi" w:cstheme="minorHAnsi"/>
                <w:b/>
                <w:sz w:val="22"/>
                <w:szCs w:val="22"/>
              </w:rPr>
              <w:t xml:space="preserve">For completion by Marker </w:t>
            </w:r>
            <w:proofErr w:type="gramStart"/>
            <w:r w:rsidRPr="00F16203">
              <w:rPr>
                <w:rFonts w:asciiTheme="minorHAnsi" w:hAnsiTheme="minorHAnsi" w:cstheme="minorHAnsi"/>
                <w:b/>
                <w:sz w:val="22"/>
                <w:szCs w:val="22"/>
              </w:rPr>
              <w:t>1 :</w:t>
            </w:r>
            <w:proofErr w:type="gramEnd"/>
          </w:p>
          <w:p w14:paraId="7D1C5D51" w14:textId="77777777" w:rsidR="00BE787F" w:rsidRPr="00F16203" w:rsidRDefault="00BE787F" w:rsidP="00F24345">
            <w:pPr>
              <w:pStyle w:val="NormalWeb"/>
              <w:rPr>
                <w:rFonts w:asciiTheme="minorHAnsi" w:hAnsiTheme="minorHAnsi" w:cstheme="minorHAnsi"/>
                <w:sz w:val="22"/>
                <w:szCs w:val="22"/>
              </w:rPr>
            </w:pPr>
            <w:r w:rsidRPr="00F16203">
              <w:rPr>
                <w:rFonts w:asciiTheme="minorHAnsi" w:hAnsiTheme="minorHAnsi" w:cstheme="minorHAnsi"/>
                <w:sz w:val="22"/>
                <w:szCs w:val="22"/>
              </w:rPr>
              <w:t>Comments:</w:t>
            </w:r>
          </w:p>
          <w:p w14:paraId="4434E13D" w14:textId="77777777" w:rsidR="00BE787F" w:rsidRPr="00F16203" w:rsidRDefault="00BE787F" w:rsidP="00F24345">
            <w:pPr>
              <w:pStyle w:val="NormalWeb"/>
              <w:rPr>
                <w:rFonts w:asciiTheme="minorHAnsi" w:hAnsiTheme="minorHAnsi" w:cstheme="minorHAnsi"/>
                <w:sz w:val="22"/>
                <w:szCs w:val="22"/>
              </w:rPr>
            </w:pPr>
          </w:p>
        </w:tc>
      </w:tr>
      <w:tr w:rsidR="00BE787F" w:rsidRPr="00F16203" w14:paraId="2B2AB542" w14:textId="77777777" w:rsidTr="00F24345">
        <w:trPr>
          <w:trHeight w:val="492"/>
        </w:trPr>
        <w:tc>
          <w:tcPr>
            <w:tcW w:w="6768" w:type="dxa"/>
            <w:gridSpan w:val="3"/>
          </w:tcPr>
          <w:p w14:paraId="2D6834C6" w14:textId="77777777" w:rsidR="00BE787F" w:rsidRPr="00F16203" w:rsidRDefault="00BE787F" w:rsidP="00F24345">
            <w:pPr>
              <w:pStyle w:val="NormalWeb"/>
              <w:ind w:left="142" w:right="34"/>
              <w:rPr>
                <w:rFonts w:asciiTheme="minorHAnsi" w:hAnsiTheme="minorHAnsi" w:cstheme="minorHAnsi"/>
                <w:sz w:val="22"/>
                <w:szCs w:val="22"/>
              </w:rPr>
            </w:pPr>
            <w:r w:rsidRPr="00F16203">
              <w:rPr>
                <w:rFonts w:asciiTheme="minorHAnsi" w:hAnsiTheme="minorHAnsi" w:cstheme="minorHAnsi"/>
                <w:sz w:val="22"/>
                <w:szCs w:val="22"/>
              </w:rPr>
              <w:t>Marker’s signature:</w:t>
            </w:r>
          </w:p>
        </w:tc>
        <w:tc>
          <w:tcPr>
            <w:tcW w:w="2088" w:type="dxa"/>
            <w:gridSpan w:val="2"/>
          </w:tcPr>
          <w:p w14:paraId="11BD6DD1" w14:textId="77777777" w:rsidR="00BE787F" w:rsidRPr="00F16203" w:rsidRDefault="00BE787F" w:rsidP="00F24345">
            <w:pPr>
              <w:pStyle w:val="NormalWeb"/>
              <w:spacing w:after="0"/>
              <w:ind w:left="142" w:right="34"/>
              <w:rPr>
                <w:rFonts w:asciiTheme="minorHAnsi" w:hAnsiTheme="minorHAnsi" w:cstheme="minorHAnsi"/>
                <w:sz w:val="22"/>
                <w:szCs w:val="22"/>
              </w:rPr>
            </w:pPr>
            <w:r w:rsidRPr="00F16203">
              <w:rPr>
                <w:rFonts w:asciiTheme="minorHAnsi" w:hAnsiTheme="minorHAnsi" w:cstheme="minorHAnsi"/>
                <w:sz w:val="22"/>
                <w:szCs w:val="22"/>
              </w:rPr>
              <w:t>Date:</w:t>
            </w:r>
          </w:p>
        </w:tc>
      </w:tr>
      <w:tr w:rsidR="00BE787F" w:rsidRPr="00F16203" w14:paraId="6D4D8EEF" w14:textId="77777777" w:rsidTr="00F24345">
        <w:tc>
          <w:tcPr>
            <w:tcW w:w="8856" w:type="dxa"/>
            <w:gridSpan w:val="5"/>
          </w:tcPr>
          <w:p w14:paraId="20785FA6" w14:textId="77777777" w:rsidR="00BE787F" w:rsidRPr="00F16203" w:rsidRDefault="00BE787F" w:rsidP="00F24345">
            <w:pPr>
              <w:pStyle w:val="NormalWeb"/>
              <w:spacing w:before="0" w:beforeAutospacing="0" w:after="0" w:afterAutospacing="0"/>
              <w:ind w:right="-334"/>
              <w:rPr>
                <w:rFonts w:asciiTheme="minorHAnsi" w:hAnsiTheme="minorHAnsi" w:cstheme="minorHAnsi"/>
                <w:bCs/>
                <w:i/>
                <w:sz w:val="22"/>
                <w:szCs w:val="22"/>
              </w:rPr>
            </w:pPr>
          </w:p>
          <w:p w14:paraId="44FA1F66"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r w:rsidRPr="00F16203">
              <w:rPr>
                <w:rFonts w:asciiTheme="minorHAnsi" w:hAnsiTheme="minorHAnsi" w:cstheme="minorHAnsi"/>
                <w:b/>
                <w:bCs/>
                <w:sz w:val="22"/>
                <w:szCs w:val="22"/>
              </w:rPr>
              <w:t>For completion by Marker 2/Moderator:</w:t>
            </w:r>
          </w:p>
          <w:p w14:paraId="4A935975"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p>
          <w:p w14:paraId="11DBA95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Comments:</w:t>
            </w:r>
          </w:p>
          <w:p w14:paraId="32FBF4D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6EC1F6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B7DFA6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AFC138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38671F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7CF12F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E170F0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A7769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47CBDBF"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08801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CB934B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82923C1"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06FC3CC6" w14:textId="77777777" w:rsidTr="00F24345">
        <w:trPr>
          <w:trHeight w:val="720"/>
        </w:trPr>
        <w:tc>
          <w:tcPr>
            <w:tcW w:w="5211" w:type="dxa"/>
            <w:gridSpan w:val="2"/>
          </w:tcPr>
          <w:p w14:paraId="53714F4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Marker’s Signature:</w:t>
            </w:r>
          </w:p>
        </w:tc>
        <w:tc>
          <w:tcPr>
            <w:tcW w:w="3645" w:type="dxa"/>
            <w:gridSpan w:val="3"/>
          </w:tcPr>
          <w:p w14:paraId="3CFB125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Date:</w:t>
            </w:r>
          </w:p>
        </w:tc>
      </w:tr>
      <w:tr w:rsidR="00BE787F" w:rsidRPr="00F16203" w14:paraId="461BAE80" w14:textId="77777777" w:rsidTr="00F24345">
        <w:trPr>
          <w:trHeight w:val="720"/>
        </w:trPr>
        <w:tc>
          <w:tcPr>
            <w:tcW w:w="8856" w:type="dxa"/>
            <w:gridSpan w:val="5"/>
          </w:tcPr>
          <w:p w14:paraId="15B43A3E" w14:textId="77777777" w:rsidR="00BE787F" w:rsidRPr="00F16203" w:rsidRDefault="00BE787F" w:rsidP="00F24345">
            <w:pPr>
              <w:rPr>
                <w:rFonts w:cstheme="minorHAnsi"/>
                <w:b/>
              </w:rPr>
            </w:pPr>
            <w:r w:rsidRPr="00F16203">
              <w:rPr>
                <w:rFonts w:cstheme="minorHAnsi"/>
                <w:b/>
              </w:rPr>
              <w:t>External Examiner’s comments (if relevant)</w:t>
            </w:r>
          </w:p>
          <w:p w14:paraId="3E2B2CD9"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9644FE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595C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74929AA"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CD043C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CC463FC"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3C93B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FFB8CCE"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0556C9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33A7B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0B5B63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2E7E8A82" w14:textId="77777777" w:rsidTr="00F24345">
        <w:trPr>
          <w:trHeight w:val="720"/>
        </w:trPr>
        <w:tc>
          <w:tcPr>
            <w:tcW w:w="5211" w:type="dxa"/>
            <w:gridSpan w:val="2"/>
          </w:tcPr>
          <w:p w14:paraId="2F023486" w14:textId="77777777" w:rsidR="00BE787F" w:rsidRPr="00F16203" w:rsidRDefault="00BE787F" w:rsidP="00F24345">
            <w:pPr>
              <w:rPr>
                <w:rFonts w:cstheme="minorHAnsi"/>
              </w:rPr>
            </w:pPr>
            <w:r w:rsidRPr="00F16203">
              <w:rPr>
                <w:rFonts w:cstheme="minorHAnsi"/>
              </w:rPr>
              <w:lastRenderedPageBreak/>
              <w:t>External Examiner’s Signature:</w:t>
            </w:r>
          </w:p>
        </w:tc>
        <w:tc>
          <w:tcPr>
            <w:tcW w:w="3645" w:type="dxa"/>
            <w:gridSpan w:val="3"/>
          </w:tcPr>
          <w:p w14:paraId="02A5D239" w14:textId="77777777" w:rsidR="00BE787F" w:rsidRPr="00F16203" w:rsidRDefault="00BE787F" w:rsidP="00F24345">
            <w:pPr>
              <w:rPr>
                <w:rFonts w:cstheme="minorHAnsi"/>
              </w:rPr>
            </w:pPr>
            <w:r w:rsidRPr="00F16203">
              <w:rPr>
                <w:rFonts w:cstheme="minorHAnsi"/>
              </w:rPr>
              <w:t>Date:</w:t>
            </w:r>
          </w:p>
        </w:tc>
      </w:tr>
    </w:tbl>
    <w:p w14:paraId="479460BD" w14:textId="25A9B881" w:rsidR="00E363D9" w:rsidRPr="00F16203" w:rsidRDefault="00E363D9" w:rsidP="00BE787F">
      <w:pPr>
        <w:pStyle w:val="NormalWeb"/>
        <w:spacing w:before="0" w:beforeAutospacing="0" w:after="0" w:afterAutospacing="0"/>
        <w:ind w:right="-334"/>
        <w:rPr>
          <w:rFonts w:asciiTheme="minorHAnsi" w:hAnsiTheme="minorHAnsi" w:cstheme="minorHAnsi"/>
          <w:bCs/>
          <w:sz w:val="22"/>
          <w:szCs w:val="22"/>
        </w:rPr>
      </w:pPr>
    </w:p>
    <w:p w14:paraId="78A0575F" w14:textId="067A9DE0" w:rsidR="00B1510C" w:rsidRPr="00F16203" w:rsidRDefault="00E363D9" w:rsidP="00B1510C">
      <w:pPr>
        <w:rPr>
          <w:rFonts w:cstheme="minorHAnsi"/>
        </w:rPr>
      </w:pPr>
      <w:r w:rsidRPr="00F16203">
        <w:rPr>
          <w:rFonts w:cstheme="minorHAnsi"/>
          <w:bCs/>
        </w:rPr>
        <w:br w:type="page"/>
      </w:r>
    </w:p>
    <w:p w14:paraId="03B3F9D9" w14:textId="00D4B6E3" w:rsidR="00F81E6F" w:rsidRDefault="00F81E6F" w:rsidP="00201D89">
      <w:pPr>
        <w:pStyle w:val="Heading2"/>
        <w:rPr>
          <w:highlight w:val="white"/>
          <w:lang w:val="en"/>
        </w:rPr>
      </w:pPr>
      <w:r w:rsidRPr="00201D89">
        <w:rPr>
          <w:highlight w:val="white"/>
          <w:lang w:val="en"/>
        </w:rPr>
        <w:lastRenderedPageBreak/>
        <w:t xml:space="preserve">Essay </w:t>
      </w:r>
      <w:r w:rsidR="00CF66D5">
        <w:rPr>
          <w:highlight w:val="white"/>
          <w:lang w:val="en"/>
        </w:rPr>
        <w:t>2</w:t>
      </w:r>
      <w:r w:rsidRPr="00201D89">
        <w:rPr>
          <w:highlight w:val="white"/>
          <w:lang w:val="en"/>
        </w:rPr>
        <w:t xml:space="preserve"> AHAN7023 ASTRAL RELIGION</w:t>
      </w:r>
    </w:p>
    <w:p w14:paraId="755F1299" w14:textId="5E28D839" w:rsidR="00CF66D5" w:rsidRDefault="00CF66D5" w:rsidP="00CF66D5">
      <w:pPr>
        <w:pStyle w:val="Heading1"/>
        <w:rPr>
          <w:b/>
        </w:rPr>
      </w:pPr>
      <w:bookmarkStart w:id="1" w:name="_Hlk7281213"/>
      <w:bookmarkStart w:id="2" w:name="_Hlk7420199"/>
      <w:bookmarkStart w:id="3" w:name="_Hlk7281378"/>
      <w:r w:rsidRPr="00BB5C8E">
        <w:rPr>
          <w:b/>
        </w:rPr>
        <w:t>Is Astrology a Material Religion</w:t>
      </w:r>
      <w:r w:rsidR="00086463">
        <w:rPr>
          <w:b/>
        </w:rPr>
        <w:t>?</w:t>
      </w:r>
    </w:p>
    <w:p w14:paraId="60391246" w14:textId="77777777" w:rsidR="00086463" w:rsidRDefault="00086463" w:rsidP="00086463">
      <w:pPr>
        <w:rPr>
          <w:highlight w:val="white"/>
          <w:lang w:val="en"/>
        </w:rPr>
      </w:pPr>
    </w:p>
    <w:p w14:paraId="087EF581" w14:textId="29B51E41" w:rsidR="00086463" w:rsidRPr="00201D89" w:rsidRDefault="00086463" w:rsidP="00086463">
      <w:pPr>
        <w:rPr>
          <w:highlight w:val="white"/>
          <w:lang w:val="en"/>
        </w:rPr>
      </w:pPr>
      <w:r>
        <w:rPr>
          <w:highlight w:val="white"/>
          <w:lang w:val="en"/>
        </w:rPr>
        <w:t>Wordcount: 2</w:t>
      </w:r>
      <w:r w:rsidR="00521CF1">
        <w:rPr>
          <w:highlight w:val="white"/>
          <w:lang w:val="en"/>
        </w:rPr>
        <w:t>891</w:t>
      </w:r>
      <w:r>
        <w:rPr>
          <w:highlight w:val="white"/>
          <w:lang w:val="en"/>
        </w:rPr>
        <w:t xml:space="preserve"> words.</w:t>
      </w:r>
    </w:p>
    <w:p w14:paraId="63E0B18B" w14:textId="77777777" w:rsidR="00CF66D5" w:rsidRPr="00CF66D5" w:rsidRDefault="00CF66D5" w:rsidP="00CF66D5"/>
    <w:bookmarkEnd w:id="1"/>
    <w:p w14:paraId="5B5978AF" w14:textId="7DDAFA43" w:rsidR="00CF66D5" w:rsidRDefault="00CF66D5" w:rsidP="00CF66D5">
      <w:pPr>
        <w:rPr>
          <w:rStyle w:val="Heading2Char"/>
        </w:rPr>
      </w:pPr>
      <w:r w:rsidRPr="002C7931">
        <w:rPr>
          <w:rStyle w:val="Heading2Char"/>
        </w:rPr>
        <w:t>Introduction</w:t>
      </w:r>
      <w:r>
        <w:rPr>
          <w:rStyle w:val="Heading2Char"/>
        </w:rPr>
        <w:t xml:space="preserve"> </w:t>
      </w:r>
    </w:p>
    <w:p w14:paraId="3E89B656" w14:textId="77777777" w:rsidR="00B641C5" w:rsidRDefault="00B641C5" w:rsidP="00CF66D5">
      <w:pPr>
        <w:rPr>
          <w:rStyle w:val="Heading2Char"/>
        </w:rPr>
      </w:pPr>
    </w:p>
    <w:p w14:paraId="1277AA38" w14:textId="4CC74A25" w:rsidR="00CF66D5" w:rsidRDefault="00CF66D5" w:rsidP="00CF66D5">
      <w:pPr>
        <w:rPr>
          <w:rFonts w:cs="Arial"/>
          <w:color w:val="111111"/>
        </w:rPr>
      </w:pPr>
      <w:r>
        <w:rPr>
          <w:rStyle w:val="Heading2Char"/>
          <w:rFonts w:asciiTheme="minorHAnsi" w:hAnsiTheme="minorHAnsi"/>
          <w:color w:val="auto"/>
          <w:sz w:val="22"/>
          <w:szCs w:val="22"/>
        </w:rPr>
        <w:t xml:space="preserve">The question </w:t>
      </w:r>
      <w:r w:rsidR="00521CF1">
        <w:rPr>
          <w:rStyle w:val="Heading2Char"/>
          <w:rFonts w:asciiTheme="minorHAnsi" w:hAnsiTheme="minorHAnsi"/>
          <w:color w:val="auto"/>
          <w:sz w:val="22"/>
          <w:szCs w:val="22"/>
        </w:rPr>
        <w:t>‘</w:t>
      </w:r>
      <w:r>
        <w:rPr>
          <w:rStyle w:val="Heading2Char"/>
          <w:rFonts w:asciiTheme="minorHAnsi" w:hAnsiTheme="minorHAnsi"/>
          <w:color w:val="auto"/>
          <w:sz w:val="22"/>
          <w:szCs w:val="22"/>
        </w:rPr>
        <w:t>Is Astrology a Material Religion?</w:t>
      </w:r>
      <w:r w:rsidR="00521CF1">
        <w:rPr>
          <w:rStyle w:val="Heading2Char"/>
          <w:rFonts w:asciiTheme="minorHAnsi" w:hAnsiTheme="minorHAnsi"/>
          <w:color w:val="auto"/>
          <w:sz w:val="22"/>
          <w:szCs w:val="22"/>
        </w:rPr>
        <w:t>’</w:t>
      </w:r>
      <w:r>
        <w:rPr>
          <w:rStyle w:val="Heading2Char"/>
          <w:rFonts w:asciiTheme="minorHAnsi" w:hAnsiTheme="minorHAnsi"/>
          <w:color w:val="auto"/>
          <w:sz w:val="22"/>
          <w:szCs w:val="22"/>
        </w:rPr>
        <w:t xml:space="preserve"> </w:t>
      </w:r>
      <w:r w:rsidR="00B641C5">
        <w:rPr>
          <w:rStyle w:val="Heading2Char"/>
          <w:rFonts w:asciiTheme="minorHAnsi" w:hAnsiTheme="minorHAnsi"/>
          <w:color w:val="auto"/>
          <w:sz w:val="22"/>
          <w:szCs w:val="22"/>
        </w:rPr>
        <w:t>immediately brings forward issues of definitions</w:t>
      </w:r>
      <w:r w:rsidR="00576F4B">
        <w:rPr>
          <w:rStyle w:val="Heading2Char"/>
          <w:rFonts w:asciiTheme="minorHAnsi" w:hAnsiTheme="minorHAnsi"/>
          <w:color w:val="auto"/>
          <w:sz w:val="22"/>
          <w:szCs w:val="22"/>
        </w:rPr>
        <w:t xml:space="preserve">, </w:t>
      </w:r>
      <w:r w:rsidR="00B641C5">
        <w:rPr>
          <w:rStyle w:val="Heading2Char"/>
          <w:rFonts w:asciiTheme="minorHAnsi" w:hAnsiTheme="minorHAnsi"/>
          <w:color w:val="auto"/>
          <w:sz w:val="22"/>
          <w:szCs w:val="22"/>
        </w:rPr>
        <w:t>ra</w:t>
      </w:r>
      <w:r w:rsidR="00576F4B">
        <w:rPr>
          <w:rStyle w:val="Heading2Char"/>
          <w:rFonts w:asciiTheme="minorHAnsi" w:hAnsiTheme="minorHAnsi"/>
          <w:color w:val="auto"/>
          <w:sz w:val="22"/>
          <w:szCs w:val="22"/>
        </w:rPr>
        <w:t>i</w:t>
      </w:r>
      <w:r w:rsidR="00B641C5">
        <w:rPr>
          <w:rStyle w:val="Heading2Char"/>
          <w:rFonts w:asciiTheme="minorHAnsi" w:hAnsiTheme="minorHAnsi"/>
          <w:color w:val="auto"/>
          <w:sz w:val="22"/>
          <w:szCs w:val="22"/>
        </w:rPr>
        <w:t>sing</w:t>
      </w:r>
      <w:r w:rsidR="00C0354D">
        <w:rPr>
          <w:rStyle w:val="Heading2Char"/>
          <w:rFonts w:asciiTheme="minorHAnsi" w:hAnsiTheme="minorHAnsi"/>
          <w:color w:val="auto"/>
          <w:sz w:val="22"/>
          <w:szCs w:val="22"/>
        </w:rPr>
        <w:t xml:space="preserve"> subsequent</w:t>
      </w:r>
      <w:r w:rsidR="00B641C5">
        <w:rPr>
          <w:rStyle w:val="Heading2Char"/>
          <w:rFonts w:asciiTheme="minorHAnsi" w:hAnsiTheme="minorHAnsi"/>
          <w:color w:val="auto"/>
          <w:sz w:val="22"/>
          <w:szCs w:val="22"/>
        </w:rPr>
        <w:t xml:space="preserve"> questions such as: </w:t>
      </w:r>
      <w:r w:rsidR="00521CF1">
        <w:rPr>
          <w:rStyle w:val="Heading2Char"/>
          <w:rFonts w:asciiTheme="minorHAnsi" w:hAnsiTheme="minorHAnsi"/>
          <w:color w:val="auto"/>
          <w:sz w:val="22"/>
          <w:szCs w:val="22"/>
        </w:rPr>
        <w:t>‘</w:t>
      </w:r>
      <w:r w:rsidR="00B641C5">
        <w:rPr>
          <w:rStyle w:val="Heading2Char"/>
          <w:rFonts w:asciiTheme="minorHAnsi" w:hAnsiTheme="minorHAnsi"/>
          <w:color w:val="auto"/>
          <w:sz w:val="22"/>
          <w:szCs w:val="22"/>
        </w:rPr>
        <w:t xml:space="preserve">What is </w:t>
      </w:r>
      <w:r w:rsidR="00521CF1">
        <w:rPr>
          <w:rStyle w:val="Heading2Char"/>
          <w:rFonts w:asciiTheme="minorHAnsi" w:hAnsiTheme="minorHAnsi"/>
          <w:color w:val="auto"/>
          <w:sz w:val="22"/>
          <w:szCs w:val="22"/>
        </w:rPr>
        <w:t>a</w:t>
      </w:r>
      <w:r w:rsidR="00B641C5">
        <w:rPr>
          <w:rStyle w:val="Heading2Char"/>
          <w:rFonts w:asciiTheme="minorHAnsi" w:hAnsiTheme="minorHAnsi"/>
          <w:color w:val="auto"/>
          <w:sz w:val="22"/>
          <w:szCs w:val="22"/>
        </w:rPr>
        <w:t>strology?</w:t>
      </w:r>
      <w:r w:rsidR="00521CF1">
        <w:rPr>
          <w:rStyle w:val="Heading2Char"/>
          <w:rFonts w:asciiTheme="minorHAnsi" w:hAnsiTheme="minorHAnsi"/>
          <w:color w:val="auto"/>
          <w:sz w:val="22"/>
          <w:szCs w:val="22"/>
        </w:rPr>
        <w:t>’</w:t>
      </w:r>
      <w:r w:rsidR="00B641C5">
        <w:rPr>
          <w:rStyle w:val="Heading2Char"/>
          <w:rFonts w:asciiTheme="minorHAnsi" w:hAnsiTheme="minorHAnsi"/>
          <w:color w:val="auto"/>
          <w:sz w:val="22"/>
          <w:szCs w:val="22"/>
        </w:rPr>
        <w:t xml:space="preserve"> </w:t>
      </w:r>
      <w:r w:rsidR="00521CF1">
        <w:rPr>
          <w:rStyle w:val="Heading2Char"/>
          <w:rFonts w:asciiTheme="minorHAnsi" w:hAnsiTheme="minorHAnsi"/>
          <w:color w:val="auto"/>
          <w:sz w:val="22"/>
          <w:szCs w:val="22"/>
        </w:rPr>
        <w:t>‘</w:t>
      </w:r>
      <w:r w:rsidR="00B641C5">
        <w:rPr>
          <w:rStyle w:val="Heading2Char"/>
          <w:rFonts w:asciiTheme="minorHAnsi" w:hAnsiTheme="minorHAnsi"/>
          <w:color w:val="auto"/>
          <w:sz w:val="22"/>
          <w:szCs w:val="22"/>
        </w:rPr>
        <w:t xml:space="preserve">What is </w:t>
      </w:r>
      <w:r w:rsidR="00521CF1">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eligion?</w:t>
      </w:r>
      <w:r w:rsidR="00521CF1">
        <w:rPr>
          <w:rStyle w:val="Heading2Char"/>
          <w:rFonts w:asciiTheme="minorHAnsi" w:hAnsiTheme="minorHAnsi"/>
          <w:color w:val="auto"/>
          <w:sz w:val="22"/>
          <w:szCs w:val="22"/>
        </w:rPr>
        <w:t>’</w:t>
      </w:r>
      <w:r w:rsidR="00B641C5">
        <w:rPr>
          <w:rStyle w:val="Heading2Char"/>
          <w:rFonts w:asciiTheme="minorHAnsi" w:hAnsiTheme="minorHAnsi"/>
          <w:color w:val="auto"/>
          <w:sz w:val="22"/>
          <w:szCs w:val="22"/>
        </w:rPr>
        <w:t xml:space="preserve"> </w:t>
      </w:r>
      <w:r w:rsidR="00BE1D3B">
        <w:rPr>
          <w:rStyle w:val="Heading2Char"/>
          <w:rFonts w:asciiTheme="minorHAnsi" w:hAnsiTheme="minorHAnsi"/>
          <w:color w:val="auto"/>
          <w:sz w:val="22"/>
          <w:szCs w:val="22"/>
        </w:rPr>
        <w:t>‘</w:t>
      </w:r>
      <w:r w:rsidR="00293431">
        <w:rPr>
          <w:rStyle w:val="Heading2Char"/>
          <w:rFonts w:asciiTheme="minorHAnsi" w:hAnsiTheme="minorHAnsi"/>
          <w:color w:val="auto"/>
          <w:sz w:val="22"/>
          <w:szCs w:val="22"/>
        </w:rPr>
        <w:t>I</w:t>
      </w:r>
      <w:r w:rsidR="00B641C5">
        <w:rPr>
          <w:rStyle w:val="Heading2Char"/>
          <w:rFonts w:asciiTheme="minorHAnsi" w:hAnsiTheme="minorHAnsi"/>
          <w:color w:val="auto"/>
          <w:sz w:val="22"/>
          <w:szCs w:val="22"/>
        </w:rPr>
        <w:t xml:space="preserve">s </w:t>
      </w:r>
      <w:r w:rsidR="00521CF1">
        <w:rPr>
          <w:rStyle w:val="Heading2Char"/>
          <w:rFonts w:asciiTheme="minorHAnsi" w:hAnsiTheme="minorHAnsi"/>
          <w:color w:val="auto"/>
          <w:sz w:val="22"/>
          <w:szCs w:val="22"/>
        </w:rPr>
        <w:t>m</w:t>
      </w:r>
      <w:r w:rsidR="00B641C5">
        <w:rPr>
          <w:rStyle w:val="Heading2Char"/>
          <w:rFonts w:asciiTheme="minorHAnsi" w:hAnsiTheme="minorHAnsi"/>
          <w:color w:val="auto"/>
          <w:sz w:val="22"/>
          <w:szCs w:val="22"/>
        </w:rPr>
        <w:t xml:space="preserve">aterial </w:t>
      </w:r>
      <w:r w:rsidR="00521CF1">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 xml:space="preserve">eligion something </w:t>
      </w:r>
      <w:r w:rsidR="00B641C5" w:rsidRPr="000C0F0A">
        <w:rPr>
          <w:rStyle w:val="Heading2Char"/>
          <w:rFonts w:asciiTheme="minorHAnsi" w:hAnsiTheme="minorHAnsi"/>
          <w:i/>
          <w:color w:val="auto"/>
          <w:sz w:val="22"/>
          <w:szCs w:val="22"/>
        </w:rPr>
        <w:t>different</w:t>
      </w:r>
      <w:r w:rsidR="00B641C5">
        <w:rPr>
          <w:rStyle w:val="Heading2Char"/>
          <w:rFonts w:asciiTheme="minorHAnsi" w:hAnsiTheme="minorHAnsi"/>
          <w:color w:val="auto"/>
          <w:sz w:val="22"/>
          <w:szCs w:val="22"/>
        </w:rPr>
        <w:t xml:space="preserve"> from </w:t>
      </w:r>
      <w:r w:rsidR="00521CF1">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eligion</w:t>
      </w:r>
      <w:r w:rsidR="00576F4B">
        <w:rPr>
          <w:rStyle w:val="Heading2Char"/>
          <w:rFonts w:asciiTheme="minorHAnsi" w:hAnsiTheme="minorHAnsi"/>
          <w:color w:val="auto"/>
          <w:sz w:val="22"/>
          <w:szCs w:val="22"/>
        </w:rPr>
        <w:t>?</w:t>
      </w:r>
      <w:r w:rsidR="00B641C5">
        <w:rPr>
          <w:rStyle w:val="Heading2Char"/>
          <w:rFonts w:asciiTheme="minorHAnsi" w:hAnsiTheme="minorHAnsi"/>
          <w:color w:val="auto"/>
          <w:sz w:val="22"/>
          <w:szCs w:val="22"/>
        </w:rPr>
        <w:t xml:space="preserve"> or is</w:t>
      </w:r>
      <w:r w:rsidR="00293431">
        <w:rPr>
          <w:rStyle w:val="Heading2Char"/>
          <w:rFonts w:asciiTheme="minorHAnsi" w:hAnsiTheme="minorHAnsi"/>
          <w:color w:val="auto"/>
          <w:sz w:val="22"/>
          <w:szCs w:val="22"/>
        </w:rPr>
        <w:t xml:space="preserve"> the term</w:t>
      </w:r>
      <w:r w:rsidR="00B641C5">
        <w:rPr>
          <w:rStyle w:val="Heading2Char"/>
          <w:rFonts w:asciiTheme="minorHAnsi" w:hAnsiTheme="minorHAnsi"/>
          <w:color w:val="auto"/>
          <w:sz w:val="22"/>
          <w:szCs w:val="22"/>
        </w:rPr>
        <w:t xml:space="preserve"> </w:t>
      </w:r>
      <w:r w:rsidR="00BE1D3B">
        <w:rPr>
          <w:rStyle w:val="Heading2Char"/>
          <w:rFonts w:asciiTheme="minorHAnsi" w:hAnsiTheme="minorHAnsi"/>
          <w:color w:val="auto"/>
          <w:sz w:val="22"/>
          <w:szCs w:val="22"/>
        </w:rPr>
        <w:t>m</w:t>
      </w:r>
      <w:r w:rsidR="00B641C5">
        <w:rPr>
          <w:rStyle w:val="Heading2Char"/>
          <w:rFonts w:asciiTheme="minorHAnsi" w:hAnsiTheme="minorHAnsi"/>
          <w:color w:val="auto"/>
          <w:sz w:val="22"/>
          <w:szCs w:val="22"/>
        </w:rPr>
        <w:t xml:space="preserve">aterial </w:t>
      </w:r>
      <w:r w:rsidR="00BE1D3B">
        <w:rPr>
          <w:rStyle w:val="Heading2Char"/>
          <w:rFonts w:asciiTheme="minorHAnsi" w:hAnsiTheme="minorHAnsi"/>
          <w:color w:val="auto"/>
          <w:sz w:val="22"/>
          <w:szCs w:val="22"/>
        </w:rPr>
        <w:t>r</w:t>
      </w:r>
      <w:r w:rsidR="00B641C5">
        <w:rPr>
          <w:rStyle w:val="Heading2Char"/>
          <w:rFonts w:asciiTheme="minorHAnsi" w:hAnsiTheme="minorHAnsi"/>
          <w:color w:val="auto"/>
          <w:sz w:val="22"/>
          <w:szCs w:val="22"/>
        </w:rPr>
        <w:t xml:space="preserve">eligion, as </w:t>
      </w:r>
      <w:r w:rsidR="001C4494">
        <w:rPr>
          <w:rStyle w:val="Heading2Char"/>
          <w:rFonts w:asciiTheme="minorHAnsi" w:hAnsiTheme="minorHAnsi"/>
          <w:color w:val="auto"/>
          <w:sz w:val="22"/>
          <w:szCs w:val="22"/>
        </w:rPr>
        <w:t>Simon Coleman</w:t>
      </w:r>
      <w:r w:rsidR="00B641C5">
        <w:rPr>
          <w:rStyle w:val="Heading2Char"/>
          <w:rFonts w:asciiTheme="minorHAnsi" w:hAnsiTheme="minorHAnsi"/>
          <w:color w:val="auto"/>
          <w:sz w:val="22"/>
          <w:szCs w:val="22"/>
        </w:rPr>
        <w:t xml:space="preserve"> has </w:t>
      </w:r>
      <w:r w:rsidR="00293431">
        <w:rPr>
          <w:rStyle w:val="Heading2Char"/>
          <w:rFonts w:asciiTheme="minorHAnsi" w:hAnsiTheme="minorHAnsi"/>
          <w:color w:val="auto"/>
          <w:sz w:val="22"/>
          <w:szCs w:val="22"/>
        </w:rPr>
        <w:t>suggested</w:t>
      </w:r>
      <w:r w:rsidR="00B641C5">
        <w:rPr>
          <w:rStyle w:val="Heading2Char"/>
          <w:rFonts w:asciiTheme="minorHAnsi" w:hAnsiTheme="minorHAnsi"/>
          <w:color w:val="auto"/>
          <w:sz w:val="22"/>
          <w:szCs w:val="22"/>
        </w:rPr>
        <w:t>, a ‘tautology’</w:t>
      </w:r>
      <w:r w:rsidR="00576F4B">
        <w:rPr>
          <w:rStyle w:val="Heading2Char"/>
          <w:rFonts w:asciiTheme="minorHAnsi" w:hAnsiTheme="minorHAnsi"/>
          <w:color w:val="auto"/>
          <w:sz w:val="22"/>
          <w:szCs w:val="22"/>
        </w:rPr>
        <w:t>?</w:t>
      </w:r>
      <w:r w:rsidR="00BE1D3B">
        <w:rPr>
          <w:rStyle w:val="Heading2Char"/>
          <w:rFonts w:asciiTheme="minorHAnsi" w:hAnsiTheme="minorHAnsi"/>
          <w:color w:val="auto"/>
          <w:sz w:val="22"/>
          <w:szCs w:val="22"/>
        </w:rPr>
        <w:t>’</w:t>
      </w:r>
      <w:r w:rsidR="00293431">
        <w:rPr>
          <w:rStyle w:val="FootnoteReference"/>
          <w:rFonts w:eastAsiaTheme="majorEastAsia" w:cstheme="majorBidi"/>
        </w:rPr>
        <w:footnoteReference w:id="1"/>
      </w:r>
      <w:r w:rsidR="00576F4B">
        <w:rPr>
          <w:rStyle w:val="Heading2Char"/>
          <w:rFonts w:asciiTheme="minorHAnsi" w:hAnsiTheme="minorHAnsi"/>
          <w:color w:val="auto"/>
          <w:sz w:val="22"/>
          <w:szCs w:val="22"/>
        </w:rPr>
        <w:t xml:space="preserve"> </w:t>
      </w:r>
      <w:r>
        <w:rPr>
          <w:rStyle w:val="Heading2Char"/>
          <w:rFonts w:asciiTheme="minorHAnsi" w:hAnsiTheme="minorHAnsi"/>
          <w:color w:val="auto"/>
          <w:sz w:val="22"/>
          <w:szCs w:val="22"/>
        </w:rPr>
        <w:t xml:space="preserve">This essay will explore whether </w:t>
      </w:r>
      <w:r w:rsidR="00576F4B">
        <w:rPr>
          <w:rStyle w:val="Heading2Char"/>
          <w:rFonts w:asciiTheme="minorHAnsi" w:hAnsiTheme="minorHAnsi"/>
          <w:color w:val="auto"/>
          <w:sz w:val="22"/>
          <w:szCs w:val="22"/>
        </w:rPr>
        <w:t>it is</w:t>
      </w:r>
      <w:r w:rsidR="00B641C5">
        <w:rPr>
          <w:rStyle w:val="Heading2Char"/>
          <w:rFonts w:asciiTheme="minorHAnsi" w:hAnsiTheme="minorHAnsi"/>
          <w:color w:val="auto"/>
          <w:sz w:val="22"/>
          <w:szCs w:val="22"/>
        </w:rPr>
        <w:t xml:space="preserve"> </w:t>
      </w:r>
      <w:r w:rsidR="00576F4B">
        <w:rPr>
          <w:rStyle w:val="Heading2Char"/>
          <w:rFonts w:asciiTheme="minorHAnsi" w:hAnsiTheme="minorHAnsi"/>
          <w:color w:val="auto"/>
          <w:sz w:val="22"/>
          <w:szCs w:val="22"/>
        </w:rPr>
        <w:t xml:space="preserve">possible to arrive at </w:t>
      </w:r>
      <w:r w:rsidR="000C0F0A">
        <w:rPr>
          <w:rStyle w:val="Heading2Char"/>
          <w:rFonts w:asciiTheme="minorHAnsi" w:hAnsiTheme="minorHAnsi"/>
          <w:color w:val="auto"/>
          <w:sz w:val="22"/>
          <w:szCs w:val="22"/>
        </w:rPr>
        <w:t xml:space="preserve">a </w:t>
      </w:r>
      <w:r w:rsidR="00576F4B">
        <w:rPr>
          <w:rStyle w:val="Heading2Char"/>
          <w:rFonts w:asciiTheme="minorHAnsi" w:hAnsiTheme="minorHAnsi"/>
          <w:color w:val="auto"/>
          <w:sz w:val="22"/>
          <w:szCs w:val="22"/>
        </w:rPr>
        <w:t>definitive answer by following the trail of definitions</w:t>
      </w:r>
      <w:r>
        <w:rPr>
          <w:rStyle w:val="Heading2Char"/>
          <w:rFonts w:asciiTheme="minorHAnsi" w:hAnsiTheme="minorHAnsi"/>
          <w:color w:val="auto"/>
          <w:sz w:val="22"/>
          <w:szCs w:val="22"/>
        </w:rPr>
        <w:t xml:space="preserve">, and will then turn to look at the essay question </w:t>
      </w:r>
      <w:r w:rsidR="00B641C5">
        <w:rPr>
          <w:rStyle w:val="Heading2Char"/>
          <w:rFonts w:asciiTheme="minorHAnsi" w:hAnsiTheme="minorHAnsi"/>
          <w:color w:val="auto"/>
          <w:sz w:val="22"/>
          <w:szCs w:val="22"/>
        </w:rPr>
        <w:t xml:space="preserve">from a different angle, </w:t>
      </w:r>
      <w:r>
        <w:rPr>
          <w:rStyle w:val="Heading2Char"/>
          <w:rFonts w:asciiTheme="minorHAnsi" w:hAnsiTheme="minorHAnsi"/>
          <w:color w:val="auto"/>
          <w:sz w:val="22"/>
          <w:szCs w:val="22"/>
        </w:rPr>
        <w:t>through the framework of material religion</w:t>
      </w:r>
      <w:r w:rsidR="00576F4B">
        <w:rPr>
          <w:rStyle w:val="Heading2Char"/>
          <w:rFonts w:asciiTheme="minorHAnsi" w:hAnsiTheme="minorHAnsi"/>
          <w:color w:val="auto"/>
          <w:sz w:val="22"/>
          <w:szCs w:val="22"/>
        </w:rPr>
        <w:t xml:space="preserve"> studies</w:t>
      </w:r>
      <w:r w:rsidR="000C0F0A">
        <w:rPr>
          <w:rStyle w:val="Heading2Char"/>
          <w:rFonts w:asciiTheme="minorHAnsi" w:hAnsiTheme="minorHAnsi"/>
          <w:color w:val="auto"/>
          <w:sz w:val="22"/>
          <w:szCs w:val="22"/>
        </w:rPr>
        <w:t>,</w:t>
      </w:r>
      <w:r w:rsidR="00576F4B">
        <w:rPr>
          <w:rStyle w:val="Heading2Char"/>
          <w:rFonts w:asciiTheme="minorHAnsi" w:hAnsiTheme="minorHAnsi"/>
          <w:color w:val="auto"/>
          <w:sz w:val="22"/>
          <w:szCs w:val="22"/>
        </w:rPr>
        <w:t xml:space="preserve"> where the focus is on </w:t>
      </w:r>
      <w:r w:rsidR="00293431">
        <w:rPr>
          <w:rStyle w:val="Heading2Char"/>
          <w:rFonts w:asciiTheme="minorHAnsi" w:hAnsiTheme="minorHAnsi"/>
          <w:color w:val="auto"/>
          <w:sz w:val="22"/>
          <w:szCs w:val="22"/>
        </w:rPr>
        <w:t xml:space="preserve">investigating </w:t>
      </w:r>
      <w:r w:rsidR="001C4494">
        <w:rPr>
          <w:rStyle w:val="Heading2Char"/>
          <w:rFonts w:asciiTheme="minorHAnsi" w:hAnsiTheme="minorHAnsi"/>
          <w:color w:val="auto"/>
          <w:sz w:val="22"/>
          <w:szCs w:val="22"/>
        </w:rPr>
        <w:t xml:space="preserve">how religion is made from the </w:t>
      </w:r>
      <w:r w:rsidR="00293431">
        <w:rPr>
          <w:rStyle w:val="Heading2Char"/>
          <w:rFonts w:asciiTheme="minorHAnsi" w:hAnsiTheme="minorHAnsi"/>
          <w:color w:val="auto"/>
          <w:sz w:val="22"/>
          <w:szCs w:val="22"/>
        </w:rPr>
        <w:t>meeting</w:t>
      </w:r>
      <w:r w:rsidR="001C4494">
        <w:rPr>
          <w:rStyle w:val="Heading2Char"/>
          <w:rFonts w:asciiTheme="minorHAnsi" w:hAnsiTheme="minorHAnsi"/>
          <w:color w:val="auto"/>
          <w:sz w:val="22"/>
          <w:szCs w:val="22"/>
        </w:rPr>
        <w:t xml:space="preserve"> of bodies, objects</w:t>
      </w:r>
      <w:r w:rsidR="00FE180D">
        <w:rPr>
          <w:rStyle w:val="Heading2Char"/>
          <w:rFonts w:asciiTheme="minorHAnsi" w:hAnsiTheme="minorHAnsi"/>
          <w:color w:val="auto"/>
          <w:sz w:val="22"/>
          <w:szCs w:val="22"/>
        </w:rPr>
        <w:t>,</w:t>
      </w:r>
      <w:r w:rsidR="001C4494">
        <w:rPr>
          <w:rStyle w:val="Heading2Char"/>
          <w:rFonts w:asciiTheme="minorHAnsi" w:hAnsiTheme="minorHAnsi"/>
          <w:color w:val="auto"/>
          <w:sz w:val="22"/>
          <w:szCs w:val="22"/>
        </w:rPr>
        <w:t xml:space="preserve"> and space</w:t>
      </w:r>
      <w:r w:rsidR="000C0F0A">
        <w:rPr>
          <w:rStyle w:val="Heading2Char"/>
          <w:rFonts w:asciiTheme="minorHAnsi" w:hAnsiTheme="minorHAnsi"/>
          <w:color w:val="auto"/>
          <w:sz w:val="22"/>
          <w:szCs w:val="22"/>
        </w:rPr>
        <w:t xml:space="preserve">. It will consider </w:t>
      </w:r>
      <w:r>
        <w:rPr>
          <w:rStyle w:val="Heading2Char"/>
          <w:rFonts w:asciiTheme="minorHAnsi" w:hAnsiTheme="minorHAnsi"/>
          <w:color w:val="auto"/>
          <w:sz w:val="22"/>
          <w:szCs w:val="22"/>
        </w:rPr>
        <w:t xml:space="preserve">the </w:t>
      </w:r>
      <w:r w:rsidR="000C0F0A">
        <w:rPr>
          <w:rStyle w:val="Heading2Char"/>
          <w:rFonts w:asciiTheme="minorHAnsi" w:hAnsiTheme="minorHAnsi"/>
          <w:color w:val="auto"/>
          <w:sz w:val="22"/>
          <w:szCs w:val="22"/>
        </w:rPr>
        <w:t xml:space="preserve">astrological </w:t>
      </w:r>
      <w:r>
        <w:rPr>
          <w:rStyle w:val="Heading2Char"/>
          <w:rFonts w:asciiTheme="minorHAnsi" w:hAnsiTheme="minorHAnsi"/>
          <w:color w:val="auto"/>
          <w:sz w:val="22"/>
          <w:szCs w:val="22"/>
        </w:rPr>
        <w:t xml:space="preserve">natal chart </w:t>
      </w:r>
      <w:r w:rsidR="000C0F0A">
        <w:rPr>
          <w:rStyle w:val="Heading2Char"/>
          <w:rFonts w:asciiTheme="minorHAnsi" w:hAnsiTheme="minorHAnsi"/>
          <w:color w:val="auto"/>
          <w:sz w:val="22"/>
          <w:szCs w:val="22"/>
        </w:rPr>
        <w:t xml:space="preserve">from this angle </w:t>
      </w:r>
      <w:r>
        <w:rPr>
          <w:rStyle w:val="Heading2Char"/>
          <w:rFonts w:asciiTheme="minorHAnsi" w:hAnsiTheme="minorHAnsi"/>
          <w:color w:val="auto"/>
          <w:sz w:val="22"/>
          <w:szCs w:val="22"/>
        </w:rPr>
        <w:t>– what it is, and how it’s used</w:t>
      </w:r>
      <w:r w:rsidR="00A416EA">
        <w:rPr>
          <w:rStyle w:val="Heading2Char"/>
          <w:rFonts w:asciiTheme="minorHAnsi" w:hAnsiTheme="minorHAnsi"/>
          <w:color w:val="auto"/>
          <w:sz w:val="22"/>
          <w:szCs w:val="22"/>
        </w:rPr>
        <w:t xml:space="preserve">. It will investigate </w:t>
      </w:r>
      <w:r>
        <w:rPr>
          <w:rStyle w:val="Heading2Char"/>
          <w:rFonts w:asciiTheme="minorHAnsi" w:hAnsiTheme="minorHAnsi"/>
          <w:color w:val="auto"/>
          <w:sz w:val="22"/>
          <w:szCs w:val="22"/>
        </w:rPr>
        <w:t xml:space="preserve">whether </w:t>
      </w:r>
      <w:r w:rsidR="00A416EA">
        <w:rPr>
          <w:rStyle w:val="Heading2Char"/>
          <w:rFonts w:asciiTheme="minorHAnsi" w:hAnsiTheme="minorHAnsi"/>
          <w:color w:val="auto"/>
          <w:sz w:val="22"/>
          <w:szCs w:val="22"/>
        </w:rPr>
        <w:t>the natal chart</w:t>
      </w:r>
      <w:r>
        <w:rPr>
          <w:rStyle w:val="Heading2Char"/>
          <w:rFonts w:asciiTheme="minorHAnsi" w:hAnsiTheme="minorHAnsi"/>
          <w:color w:val="auto"/>
          <w:sz w:val="22"/>
          <w:szCs w:val="22"/>
        </w:rPr>
        <w:t xml:space="preserve"> can be a religious object, something ‘</w:t>
      </w:r>
      <w:r w:rsidR="00AB1D9D">
        <w:rPr>
          <w:rFonts w:cs="Arial"/>
          <w:color w:val="111111"/>
        </w:rPr>
        <w:t>c</w:t>
      </w:r>
      <w:r w:rsidRPr="00A24EC4">
        <w:rPr>
          <w:rFonts w:cs="Arial"/>
          <w:color w:val="111111"/>
        </w:rPr>
        <w:t>harged with culturally-specific sacred meanings’ –</w:t>
      </w:r>
      <w:r w:rsidR="000C0F0A">
        <w:rPr>
          <w:rFonts w:cs="Arial"/>
          <w:color w:val="111111"/>
        </w:rPr>
        <w:t xml:space="preserve"> </w:t>
      </w:r>
      <w:r w:rsidRPr="00A24EC4">
        <w:rPr>
          <w:rFonts w:cs="Arial"/>
          <w:color w:val="111111"/>
        </w:rPr>
        <w:t>and if engagement with it by the astrologer is an example of material religio</w:t>
      </w:r>
      <w:r w:rsidR="000C0F0A">
        <w:rPr>
          <w:rFonts w:cs="Arial"/>
          <w:color w:val="111111"/>
        </w:rPr>
        <w:t>us practice</w:t>
      </w:r>
      <w:r w:rsidRPr="00A24EC4">
        <w:rPr>
          <w:rFonts w:cs="Arial"/>
          <w:color w:val="111111"/>
        </w:rPr>
        <w:t>.</w:t>
      </w:r>
      <w:r w:rsidRPr="00A24EC4">
        <w:rPr>
          <w:rStyle w:val="FootnoteReference"/>
          <w:rFonts w:cs="Arial"/>
          <w:color w:val="111111"/>
        </w:rPr>
        <w:footnoteReference w:id="2"/>
      </w:r>
    </w:p>
    <w:p w14:paraId="06F23D11" w14:textId="7AA4BB5D" w:rsidR="0040449A" w:rsidRDefault="0040449A" w:rsidP="00CF66D5">
      <w:pPr>
        <w:rPr>
          <w:rFonts w:cs="Arial"/>
          <w:color w:val="111111"/>
        </w:rPr>
      </w:pPr>
    </w:p>
    <w:p w14:paraId="000E2E50" w14:textId="2B8965BE" w:rsidR="0040449A" w:rsidRDefault="0040449A" w:rsidP="0040449A">
      <w:pPr>
        <w:pStyle w:val="Heading2"/>
      </w:pPr>
      <w:r>
        <w:t>Definitions</w:t>
      </w:r>
      <w:r w:rsidR="00064DCB">
        <w:t xml:space="preserve"> - The Thing Itself</w:t>
      </w:r>
    </w:p>
    <w:p w14:paraId="1A586CC5" w14:textId="7A0407D5" w:rsidR="00865056" w:rsidRDefault="00E85269" w:rsidP="00E17108">
      <w:pPr>
        <w:autoSpaceDE w:val="0"/>
        <w:autoSpaceDN w:val="0"/>
        <w:adjustRightInd w:val="0"/>
        <w:rPr>
          <w:rFonts w:cs="Arial"/>
          <w:color w:val="111111"/>
        </w:rPr>
      </w:pPr>
      <w:r w:rsidRPr="00E85269">
        <w:rPr>
          <w:rFonts w:cs="Arial"/>
          <w:color w:val="111111"/>
        </w:rPr>
        <w:t xml:space="preserve">Hildred Geertz begins her paper ‘An Anthropology of Religion and Magic’, by </w:t>
      </w:r>
      <w:r w:rsidR="00E17108" w:rsidRPr="00E85269">
        <w:rPr>
          <w:rFonts w:cs="Arial"/>
          <w:color w:val="111111"/>
        </w:rPr>
        <w:t>discuss</w:t>
      </w:r>
      <w:r w:rsidRPr="00E85269">
        <w:rPr>
          <w:rFonts w:cs="Arial"/>
          <w:color w:val="111111"/>
        </w:rPr>
        <w:t>ing</w:t>
      </w:r>
      <w:r w:rsidR="00E17108" w:rsidRPr="00E85269">
        <w:rPr>
          <w:rFonts w:cs="Arial"/>
          <w:color w:val="111111"/>
        </w:rPr>
        <w:t xml:space="preserve"> the necessity of arriving at definitions, of </w:t>
      </w:r>
      <w:r w:rsidRPr="00E85269">
        <w:rPr>
          <w:rFonts w:cs="Arial"/>
          <w:color w:val="111111"/>
        </w:rPr>
        <w:t>defining</w:t>
      </w:r>
      <w:r w:rsidR="00E17108" w:rsidRPr="00E85269">
        <w:rPr>
          <w:rFonts w:cs="Arial"/>
          <w:color w:val="111111"/>
        </w:rPr>
        <w:t xml:space="preserve"> </w:t>
      </w:r>
      <w:r w:rsidR="00C0354D">
        <w:rPr>
          <w:rFonts w:cs="Arial"/>
          <w:color w:val="111111"/>
        </w:rPr>
        <w:t>t</w:t>
      </w:r>
      <w:r w:rsidR="00CF66D5" w:rsidRPr="00E85269">
        <w:rPr>
          <w:rFonts w:cs="Arial"/>
          <w:color w:val="111111"/>
        </w:rPr>
        <w:t xml:space="preserve">he </w:t>
      </w:r>
      <w:r w:rsidR="00C0354D">
        <w:rPr>
          <w:rFonts w:cs="Arial"/>
          <w:color w:val="111111"/>
        </w:rPr>
        <w:t>‘</w:t>
      </w:r>
      <w:r w:rsidR="00CF66D5" w:rsidRPr="00E85269">
        <w:rPr>
          <w:rFonts w:cs="Arial"/>
          <w:color w:val="111111"/>
        </w:rPr>
        <w:t>Thing itself’</w:t>
      </w:r>
      <w:r w:rsidRPr="00E85269">
        <w:rPr>
          <w:rFonts w:cs="Arial"/>
          <w:color w:val="111111"/>
        </w:rPr>
        <w:t xml:space="preserve"> -</w:t>
      </w:r>
      <w:r w:rsidR="00CF66D5" w:rsidRPr="00E85269">
        <w:rPr>
          <w:rFonts w:cs="Arial"/>
          <w:color w:val="111111"/>
        </w:rPr>
        <w:t xml:space="preserve"> in order to be able to </w:t>
      </w:r>
      <w:r w:rsidRPr="00E85269">
        <w:rPr>
          <w:rFonts w:cs="Arial"/>
          <w:color w:val="111111"/>
        </w:rPr>
        <w:t xml:space="preserve">place it into a category, to </w:t>
      </w:r>
      <w:r w:rsidR="00CF66D5" w:rsidRPr="00E85269">
        <w:rPr>
          <w:rFonts w:cs="Arial"/>
          <w:color w:val="111111"/>
        </w:rPr>
        <w:t>compare or contrast it with other things</w:t>
      </w:r>
      <w:r w:rsidRPr="00E85269">
        <w:rPr>
          <w:rFonts w:cs="Arial"/>
          <w:color w:val="111111"/>
        </w:rPr>
        <w:t xml:space="preserve">, </w:t>
      </w:r>
      <w:r w:rsidR="00155992">
        <w:rPr>
          <w:rFonts w:cs="Arial"/>
          <w:color w:val="111111"/>
        </w:rPr>
        <w:t xml:space="preserve">and </w:t>
      </w:r>
      <w:r w:rsidRPr="00E85269">
        <w:rPr>
          <w:rFonts w:cs="Arial"/>
          <w:color w:val="111111"/>
        </w:rPr>
        <w:t>to see what other things might belong in that category</w:t>
      </w:r>
      <w:r w:rsidR="00C0354D">
        <w:rPr>
          <w:rFonts w:cs="Arial"/>
          <w:color w:val="111111"/>
        </w:rPr>
        <w:t xml:space="preserve"> with it</w:t>
      </w:r>
      <w:r w:rsidR="000C0F0A">
        <w:rPr>
          <w:rFonts w:cs="Arial"/>
          <w:color w:val="111111"/>
        </w:rPr>
        <w:t>.</w:t>
      </w:r>
      <w:r w:rsidR="00155992" w:rsidRPr="00155992">
        <w:rPr>
          <w:rStyle w:val="FootnoteReference"/>
          <w:rFonts w:cs="Arial"/>
          <w:color w:val="111111"/>
        </w:rPr>
        <w:t xml:space="preserve"> </w:t>
      </w:r>
      <w:r w:rsidR="00155992" w:rsidRPr="00E85269">
        <w:rPr>
          <w:rStyle w:val="FootnoteReference"/>
          <w:rFonts w:cs="Arial"/>
          <w:color w:val="111111"/>
        </w:rPr>
        <w:footnoteReference w:id="3"/>
      </w:r>
      <w:r w:rsidR="000C0F0A">
        <w:rPr>
          <w:rFonts w:cs="Arial"/>
          <w:color w:val="111111"/>
        </w:rPr>
        <w:t xml:space="preserve"> She also discusses </w:t>
      </w:r>
      <w:r w:rsidRPr="00E85269">
        <w:rPr>
          <w:rFonts w:cs="Arial"/>
          <w:color w:val="111111"/>
        </w:rPr>
        <w:t xml:space="preserve">the difficulties of arriving at such </w:t>
      </w:r>
      <w:r w:rsidR="00CF66D5" w:rsidRPr="00E85269">
        <w:rPr>
          <w:rFonts w:cs="Arial"/>
          <w:color w:val="111111"/>
        </w:rPr>
        <w:t xml:space="preserve">a definition. </w:t>
      </w:r>
      <w:r w:rsidR="000C0F0A">
        <w:rPr>
          <w:rFonts w:cs="Arial"/>
          <w:color w:val="111111"/>
        </w:rPr>
        <w:t>For</w:t>
      </w:r>
      <w:r>
        <w:rPr>
          <w:rFonts w:cs="Arial"/>
          <w:color w:val="111111"/>
        </w:rPr>
        <w:t xml:space="preserve"> this </w:t>
      </w:r>
      <w:r w:rsidR="000C0F0A">
        <w:rPr>
          <w:rFonts w:cs="Arial"/>
          <w:color w:val="111111"/>
        </w:rPr>
        <w:t>essay</w:t>
      </w:r>
      <w:r w:rsidR="00865056">
        <w:rPr>
          <w:rFonts w:cs="Arial"/>
          <w:color w:val="111111"/>
        </w:rPr>
        <w:t xml:space="preserve">, there are three immediate, pertinent definitions: </w:t>
      </w:r>
      <w:r w:rsidR="00155992">
        <w:rPr>
          <w:rFonts w:cs="Arial"/>
          <w:color w:val="111111"/>
        </w:rPr>
        <w:t>R</w:t>
      </w:r>
      <w:r w:rsidR="00865056">
        <w:rPr>
          <w:rFonts w:cs="Arial"/>
          <w:color w:val="111111"/>
        </w:rPr>
        <w:t xml:space="preserve">eligion, </w:t>
      </w:r>
      <w:r w:rsidR="00155992">
        <w:rPr>
          <w:rFonts w:cs="Arial"/>
          <w:color w:val="111111"/>
        </w:rPr>
        <w:t>A</w:t>
      </w:r>
      <w:r w:rsidR="00865056">
        <w:rPr>
          <w:rFonts w:cs="Arial"/>
          <w:color w:val="111111"/>
        </w:rPr>
        <w:t xml:space="preserve">strology, and </w:t>
      </w:r>
      <w:r w:rsidR="00155992">
        <w:rPr>
          <w:rFonts w:cs="Arial"/>
          <w:color w:val="111111"/>
        </w:rPr>
        <w:t>M</w:t>
      </w:r>
      <w:r w:rsidR="00865056">
        <w:rPr>
          <w:rFonts w:cs="Arial"/>
          <w:color w:val="111111"/>
        </w:rPr>
        <w:t xml:space="preserve">aterial </w:t>
      </w:r>
      <w:r w:rsidR="00155992">
        <w:rPr>
          <w:rFonts w:cs="Arial"/>
          <w:color w:val="111111"/>
        </w:rPr>
        <w:t>Re</w:t>
      </w:r>
      <w:r w:rsidR="00865056">
        <w:rPr>
          <w:rFonts w:cs="Arial"/>
          <w:color w:val="111111"/>
        </w:rPr>
        <w:t>ligion.</w:t>
      </w:r>
      <w:r w:rsidR="00C96990">
        <w:rPr>
          <w:rFonts w:cs="Arial"/>
          <w:color w:val="111111"/>
        </w:rPr>
        <w:t xml:space="preserve"> </w:t>
      </w:r>
    </w:p>
    <w:p w14:paraId="708A3091" w14:textId="0076244A" w:rsidR="00C96990" w:rsidRDefault="00C96990" w:rsidP="00E17108">
      <w:pPr>
        <w:autoSpaceDE w:val="0"/>
        <w:autoSpaceDN w:val="0"/>
        <w:adjustRightInd w:val="0"/>
        <w:rPr>
          <w:rFonts w:cs="Arial"/>
          <w:color w:val="111111"/>
        </w:rPr>
      </w:pPr>
    </w:p>
    <w:p w14:paraId="4F5AD6DD" w14:textId="5B93FC06" w:rsidR="00C96990" w:rsidRDefault="00C96990" w:rsidP="00C96990">
      <w:pPr>
        <w:pStyle w:val="Heading2"/>
      </w:pPr>
      <w:r>
        <w:t>Material Religion</w:t>
      </w:r>
    </w:p>
    <w:p w14:paraId="2C4F5418" w14:textId="689208BD" w:rsidR="00C96990" w:rsidRDefault="00C96990" w:rsidP="00C96990">
      <w:pPr>
        <w:autoSpaceDE w:val="0"/>
        <w:autoSpaceDN w:val="0"/>
        <w:adjustRightInd w:val="0"/>
        <w:rPr>
          <w:rFonts w:ascii="Times New Roman" w:hAnsi="Times New Roman" w:cs="Times New Roman"/>
        </w:rPr>
      </w:pPr>
      <w:r>
        <w:rPr>
          <w:rFonts w:cs="Arial"/>
          <w:color w:val="111111"/>
        </w:rPr>
        <w:t xml:space="preserve">Simon Coleman’s comment </w:t>
      </w:r>
      <w:r w:rsidR="00BE1D3B">
        <w:rPr>
          <w:rFonts w:cs="Arial"/>
          <w:color w:val="111111"/>
        </w:rPr>
        <w:t>that material religion is a ‘tautology’</w:t>
      </w:r>
      <w:r>
        <w:rPr>
          <w:rFonts w:cs="Arial"/>
          <w:color w:val="111111"/>
        </w:rPr>
        <w:t xml:space="preserve"> suggests</w:t>
      </w:r>
      <w:r w:rsidR="00155992">
        <w:rPr>
          <w:rFonts w:cs="Arial"/>
          <w:color w:val="111111"/>
        </w:rPr>
        <w:t xml:space="preserve"> that</w:t>
      </w:r>
      <w:r>
        <w:rPr>
          <w:rFonts w:cs="Arial"/>
          <w:color w:val="111111"/>
        </w:rPr>
        <w:t xml:space="preserve"> </w:t>
      </w:r>
      <w:r w:rsidR="00BE1D3B">
        <w:rPr>
          <w:rFonts w:cs="Arial"/>
          <w:color w:val="111111"/>
        </w:rPr>
        <w:t>m</w:t>
      </w:r>
      <w:r w:rsidR="006B73F9">
        <w:rPr>
          <w:rFonts w:cs="Arial"/>
          <w:color w:val="111111"/>
        </w:rPr>
        <w:t xml:space="preserve">aterial </w:t>
      </w:r>
      <w:r w:rsidR="00BE1D3B">
        <w:rPr>
          <w:rFonts w:cs="Arial"/>
          <w:color w:val="111111"/>
        </w:rPr>
        <w:t>r</w:t>
      </w:r>
      <w:r w:rsidR="006B73F9">
        <w:rPr>
          <w:rFonts w:cs="Arial"/>
          <w:color w:val="111111"/>
        </w:rPr>
        <w:t>eligion</w:t>
      </w:r>
      <w:r>
        <w:rPr>
          <w:rFonts w:cs="Arial"/>
          <w:color w:val="111111"/>
        </w:rPr>
        <w:t xml:space="preserve"> is not a discreet</w:t>
      </w:r>
      <w:r>
        <w:t xml:space="preserve"> ‘Thing itself’</w:t>
      </w:r>
      <w:r w:rsidR="006B73F9">
        <w:t xml:space="preserve">, separate from </w:t>
      </w:r>
      <w:r w:rsidR="00BE1D3B">
        <w:t>r</w:t>
      </w:r>
      <w:r w:rsidR="006B73F9">
        <w:t>eligion</w:t>
      </w:r>
      <w:r w:rsidR="00BE1D3B">
        <w:t>;</w:t>
      </w:r>
      <w:r>
        <w:t xml:space="preserve"> </w:t>
      </w:r>
      <w:r w:rsidR="00BE1D3B">
        <w:t>Coleman</w:t>
      </w:r>
      <w:r>
        <w:t xml:space="preserve"> goes on to say that ‘religion is inherently material in its very con</w:t>
      </w:r>
      <w:r w:rsidR="006B73F9">
        <w:t>s</w:t>
      </w:r>
      <w:r>
        <w:t>titution</w:t>
      </w:r>
      <w:r w:rsidR="00BE1D3B">
        <w:t>.</w:t>
      </w:r>
      <w:r>
        <w:t>’</w:t>
      </w:r>
      <w:r w:rsidR="00BE1D3B">
        <w:rPr>
          <w:rStyle w:val="FootnoteReference"/>
        </w:rPr>
        <w:footnoteReference w:id="4"/>
      </w:r>
      <w:r>
        <w:t xml:space="preserve"> </w:t>
      </w:r>
      <w:r w:rsidR="00BE1D3B">
        <w:t xml:space="preserve">This opinion is </w:t>
      </w:r>
      <w:r>
        <w:t>echoed by B</w:t>
      </w:r>
      <w:r w:rsidR="00D169C2">
        <w:t>irgit</w:t>
      </w:r>
      <w:r>
        <w:t xml:space="preserve"> Meyer et al</w:t>
      </w:r>
      <w:r w:rsidR="00BE1D3B">
        <w:t xml:space="preserve">, who state that </w:t>
      </w:r>
      <w:r>
        <w:t>‘there is no such thing as an immaterial religion’ because ‘religion is unable to do without things, places, or bodies.’</w:t>
      </w:r>
      <w:r w:rsidR="00155992">
        <w:rPr>
          <w:rStyle w:val="FootnoteReference"/>
        </w:rPr>
        <w:footnoteReference w:id="5"/>
      </w:r>
      <w:r>
        <w:t xml:space="preserve"> Following this logic</w:t>
      </w:r>
      <w:r w:rsidR="00F00788">
        <w:t xml:space="preserve">, therefore, </w:t>
      </w:r>
      <w:r w:rsidR="006B73F9">
        <w:t>if there is no such thing as ‘</w:t>
      </w:r>
      <w:r w:rsidR="006B73F9" w:rsidRPr="00B04B62">
        <w:rPr>
          <w:i/>
        </w:rPr>
        <w:t>a</w:t>
      </w:r>
      <w:r w:rsidR="006B73F9">
        <w:t xml:space="preserve">’ material religion, and </w:t>
      </w:r>
      <w:r w:rsidR="00F00788">
        <w:t xml:space="preserve">if </w:t>
      </w:r>
      <w:r w:rsidR="006B73F9">
        <w:t>all religions are</w:t>
      </w:r>
      <w:r w:rsidR="00F00788">
        <w:t xml:space="preserve"> necessarily material, then</w:t>
      </w:r>
      <w:r w:rsidR="006B73F9">
        <w:t xml:space="preserve"> </w:t>
      </w:r>
      <w:r>
        <w:t xml:space="preserve">to pursue the question of whether astrology is a material religion, it is necessary to </w:t>
      </w:r>
      <w:r w:rsidR="006B73F9">
        <w:t>address</w:t>
      </w:r>
      <w:r>
        <w:t xml:space="preserve"> the question of whether or not astrology is a religion.</w:t>
      </w:r>
    </w:p>
    <w:p w14:paraId="4AB60524" w14:textId="588F1A1D" w:rsidR="00865056" w:rsidRDefault="00865056" w:rsidP="00E17108">
      <w:pPr>
        <w:autoSpaceDE w:val="0"/>
        <w:autoSpaceDN w:val="0"/>
        <w:adjustRightInd w:val="0"/>
        <w:rPr>
          <w:rFonts w:cs="Arial"/>
          <w:color w:val="111111"/>
        </w:rPr>
      </w:pPr>
    </w:p>
    <w:p w14:paraId="04E99ED5" w14:textId="53C471DA" w:rsidR="00FD50C1" w:rsidRDefault="00FD50C1" w:rsidP="00FD50C1">
      <w:pPr>
        <w:pStyle w:val="Heading2"/>
      </w:pPr>
      <w:r>
        <w:t>Religion</w:t>
      </w:r>
    </w:p>
    <w:p w14:paraId="0369E343" w14:textId="1A4974C6" w:rsidR="00865056" w:rsidRPr="00C727F6" w:rsidRDefault="00865056" w:rsidP="00FD50C1">
      <w:pPr>
        <w:autoSpaceDE w:val="0"/>
        <w:autoSpaceDN w:val="0"/>
        <w:adjustRightInd w:val="0"/>
      </w:pPr>
      <w:r>
        <w:rPr>
          <w:rFonts w:cs="Arial"/>
          <w:color w:val="111111"/>
        </w:rPr>
        <w:t xml:space="preserve">Difficulties in </w:t>
      </w:r>
      <w:r w:rsidR="00FD50C1">
        <w:rPr>
          <w:rFonts w:cs="Arial"/>
          <w:color w:val="111111"/>
        </w:rPr>
        <w:t xml:space="preserve">coming to </w:t>
      </w:r>
      <w:r w:rsidR="00B04B62">
        <w:rPr>
          <w:rFonts w:cs="Arial"/>
          <w:color w:val="111111"/>
        </w:rPr>
        <w:t>a</w:t>
      </w:r>
      <w:r w:rsidR="00FD50C1">
        <w:rPr>
          <w:rFonts w:cs="Arial"/>
          <w:color w:val="111111"/>
        </w:rPr>
        <w:t xml:space="preserve"> </w:t>
      </w:r>
      <w:r w:rsidR="00BE1D3B">
        <w:rPr>
          <w:rFonts w:cs="Arial"/>
          <w:color w:val="111111"/>
        </w:rPr>
        <w:t xml:space="preserve">single </w:t>
      </w:r>
      <w:r w:rsidR="00B04B62">
        <w:rPr>
          <w:rFonts w:cs="Arial"/>
          <w:color w:val="111111"/>
        </w:rPr>
        <w:t>definition of</w:t>
      </w:r>
      <w:r>
        <w:rPr>
          <w:rFonts w:cs="Arial"/>
          <w:color w:val="111111"/>
        </w:rPr>
        <w:t xml:space="preserve"> religion have been noted by many scholars; </w:t>
      </w:r>
      <w:r w:rsidR="00CF66D5">
        <w:t xml:space="preserve">Talal </w:t>
      </w:r>
      <w:proofErr w:type="spellStart"/>
      <w:r w:rsidR="00CF66D5">
        <w:t>Asad</w:t>
      </w:r>
      <w:proofErr w:type="spellEnd"/>
      <w:r>
        <w:t>, for example,</w:t>
      </w:r>
      <w:r w:rsidR="00CF66D5">
        <w:t xml:space="preserve"> </w:t>
      </w:r>
      <w:r>
        <w:t xml:space="preserve">has </w:t>
      </w:r>
      <w:r w:rsidR="00B04B62">
        <w:t>stated</w:t>
      </w:r>
      <w:r w:rsidR="00CF66D5">
        <w:t xml:space="preserve"> that ‘there cannot be a universal definition of religion </w:t>
      </w:r>
      <w:r w:rsidR="00CF66D5" w:rsidRPr="00C727F6">
        <w:t xml:space="preserve">because any such definition is </w:t>
      </w:r>
      <w:r w:rsidR="00CF66D5" w:rsidRPr="00C727F6">
        <w:lastRenderedPageBreak/>
        <w:t>itself a historical and parochial product.’</w:t>
      </w:r>
      <w:r w:rsidR="00CF66D5" w:rsidRPr="00C727F6">
        <w:rPr>
          <w:rStyle w:val="FootnoteReference"/>
        </w:rPr>
        <w:footnoteReference w:id="6"/>
      </w:r>
      <w:r w:rsidR="00CF66D5" w:rsidRPr="00C727F6">
        <w:t xml:space="preserve"> William </w:t>
      </w:r>
      <w:proofErr w:type="spellStart"/>
      <w:r w:rsidR="00CF66D5" w:rsidRPr="00C727F6">
        <w:t>Herbrechtsmeier</w:t>
      </w:r>
      <w:proofErr w:type="spellEnd"/>
      <w:r w:rsidR="00CF66D5" w:rsidRPr="00C727F6">
        <w:t xml:space="preserve"> </w:t>
      </w:r>
      <w:r w:rsidRPr="00C727F6">
        <w:t>has written about the breadth of the debate, saying</w:t>
      </w:r>
      <w:r w:rsidR="00CF66D5" w:rsidRPr="00C727F6">
        <w:t xml:space="preserve"> that ‘</w:t>
      </w:r>
      <w:r w:rsidR="00BE1D3B">
        <w:rPr>
          <w:rFonts w:cs="Times New Roman"/>
        </w:rPr>
        <w:t>t</w:t>
      </w:r>
      <w:r w:rsidR="00CF66D5" w:rsidRPr="00C727F6">
        <w:rPr>
          <w:rFonts w:cs="Times New Roman"/>
        </w:rPr>
        <w:t>he definition of religion continues to be a matter of dispute among scholars. And I</w:t>
      </w:r>
      <w:r w:rsidR="00E17108" w:rsidRPr="00C727F6">
        <w:rPr>
          <w:rFonts w:cs="Times New Roman"/>
        </w:rPr>
        <w:t xml:space="preserve"> </w:t>
      </w:r>
      <w:r w:rsidR="00CF66D5" w:rsidRPr="00C727F6">
        <w:rPr>
          <w:rFonts w:cs="Times New Roman"/>
        </w:rPr>
        <w:t>suspect that disagreement about the topic will persist so long as religion is studied in</w:t>
      </w:r>
      <w:r w:rsidR="00E17108" w:rsidRPr="00C727F6">
        <w:rPr>
          <w:rFonts w:cs="Times New Roman"/>
        </w:rPr>
        <w:t xml:space="preserve"> </w:t>
      </w:r>
      <w:r w:rsidR="00CF66D5" w:rsidRPr="00C727F6">
        <w:rPr>
          <w:rFonts w:cs="Times New Roman"/>
        </w:rPr>
        <w:t>academic circles.</w:t>
      </w:r>
      <w:r w:rsidR="00112976" w:rsidRPr="00C727F6">
        <w:rPr>
          <w:rFonts w:cs="Times New Roman"/>
        </w:rPr>
        <w:t>’</w:t>
      </w:r>
      <w:r w:rsidR="00CF66D5" w:rsidRPr="00C727F6">
        <w:rPr>
          <w:rStyle w:val="FootnoteReference"/>
        </w:rPr>
        <w:footnoteReference w:id="7"/>
      </w:r>
      <w:r w:rsidRPr="00C727F6">
        <w:t xml:space="preserve"> </w:t>
      </w:r>
      <w:r w:rsidR="00CF66D5" w:rsidRPr="00C727F6">
        <w:t>Definitions</w:t>
      </w:r>
      <w:r w:rsidRPr="00C727F6">
        <w:t xml:space="preserve"> can vary from very specific</w:t>
      </w:r>
      <w:r w:rsidR="00BE1D3B">
        <w:t>,</w:t>
      </w:r>
      <w:r w:rsidR="00B04B62">
        <w:t xml:space="preserve"> </w:t>
      </w:r>
      <w:r w:rsidR="00CF66D5" w:rsidRPr="00C727F6">
        <w:t xml:space="preserve">such as </w:t>
      </w:r>
      <w:r w:rsidRPr="00C727F6">
        <w:t xml:space="preserve">Emile </w:t>
      </w:r>
      <w:r w:rsidR="00CF66D5" w:rsidRPr="00C727F6">
        <w:t>Durkheim’s</w:t>
      </w:r>
      <w:r w:rsidRPr="00C727F6">
        <w:t xml:space="preserve"> </w:t>
      </w:r>
      <w:r w:rsidR="00FD50C1" w:rsidRPr="00C727F6">
        <w:t xml:space="preserve">(1858-1917) </w:t>
      </w:r>
      <w:r w:rsidRPr="00C727F6">
        <w:t>definition of a religion as necessarily involving</w:t>
      </w:r>
      <w:r w:rsidR="00CF66D5" w:rsidRPr="00C727F6">
        <w:t xml:space="preserve"> </w:t>
      </w:r>
      <w:r w:rsidRPr="00C727F6">
        <w:t>‘</w:t>
      </w:r>
      <w:r w:rsidR="00CF66D5" w:rsidRPr="00C727F6">
        <w:rPr>
          <w:rFonts w:cs="Arial"/>
          <w:color w:val="222222"/>
          <w:shd w:val="clear" w:color="auto" w:fill="FFFFFF"/>
        </w:rPr>
        <w:t>one single moral community called a Church</w:t>
      </w:r>
      <w:r w:rsidR="00BE1D3B">
        <w:rPr>
          <w:rFonts w:cs="Arial"/>
          <w:color w:val="222222"/>
          <w:shd w:val="clear" w:color="auto" w:fill="FFFFFF"/>
        </w:rPr>
        <w:t xml:space="preserve">,’ </w:t>
      </w:r>
      <w:r w:rsidRPr="00C727F6">
        <w:t>to</w:t>
      </w:r>
      <w:r w:rsidR="00CF66D5" w:rsidRPr="00C727F6">
        <w:t xml:space="preserve"> very broad</w:t>
      </w:r>
      <w:r w:rsidR="00BE1D3B">
        <w:t>:</w:t>
      </w:r>
      <w:r w:rsidR="00CF66D5" w:rsidRPr="00C727F6">
        <w:t xml:space="preserve"> Mircea Eliade</w:t>
      </w:r>
      <w:r w:rsidR="00B04B62">
        <w:t xml:space="preserve"> </w:t>
      </w:r>
      <w:r w:rsidR="00D169C2" w:rsidRPr="00C727F6">
        <w:t>(1907-1986)</w:t>
      </w:r>
      <w:r w:rsidRPr="00C727F6">
        <w:t xml:space="preserve"> for example, </w:t>
      </w:r>
      <w:r w:rsidR="00CF66D5" w:rsidRPr="00C727F6">
        <w:t>posited that ‘to live is to be religious</w:t>
      </w:r>
      <w:r w:rsidR="00B04B62">
        <w:t>.</w:t>
      </w:r>
      <w:r w:rsidR="00CF66D5" w:rsidRPr="00C727F6">
        <w:t>’</w:t>
      </w:r>
      <w:r w:rsidR="00D169C2" w:rsidRPr="00C727F6">
        <w:rPr>
          <w:rStyle w:val="FootnoteReference"/>
        </w:rPr>
        <w:footnoteReference w:id="8"/>
      </w:r>
      <w:r w:rsidR="00CF66D5" w:rsidRPr="00C727F6">
        <w:t xml:space="preserve"> </w:t>
      </w:r>
      <w:r w:rsidR="00B04B62">
        <w:t>The word ‘r</w:t>
      </w:r>
      <w:r w:rsidRPr="00C727F6">
        <w:t>eligious</w:t>
      </w:r>
      <w:r w:rsidR="00FD50C1" w:rsidRPr="00C727F6">
        <w:t>’</w:t>
      </w:r>
      <w:r w:rsidRPr="00C727F6">
        <w:t xml:space="preserve"> is of course not identical with </w:t>
      </w:r>
      <w:r w:rsidR="00FD50C1" w:rsidRPr="00C727F6">
        <w:t>‘</w:t>
      </w:r>
      <w:r w:rsidRPr="00C727F6">
        <w:t>a religion</w:t>
      </w:r>
      <w:r w:rsidR="00FD50C1" w:rsidRPr="00C727F6">
        <w:t>’</w:t>
      </w:r>
      <w:r w:rsidRPr="00C727F6">
        <w:t xml:space="preserve">; </w:t>
      </w:r>
      <w:proofErr w:type="spellStart"/>
      <w:r w:rsidRPr="00C727F6">
        <w:t>Yinger</w:t>
      </w:r>
      <w:proofErr w:type="spellEnd"/>
      <w:r w:rsidRPr="00C727F6">
        <w:t xml:space="preserve">, </w:t>
      </w:r>
      <w:r w:rsidR="0081255C" w:rsidRPr="00C727F6">
        <w:t>prefers the term religious when he writes</w:t>
      </w:r>
      <w:r w:rsidR="00054ECE" w:rsidRPr="00C727F6">
        <w:rPr>
          <w:rFonts w:cs="Times New Roman"/>
        </w:rPr>
        <w:t xml:space="preserve"> ‘</w:t>
      </w:r>
      <w:r w:rsidR="00B04B62">
        <w:rPr>
          <w:rFonts w:cs="Times New Roman"/>
        </w:rPr>
        <w:t>w</w:t>
      </w:r>
      <w:r w:rsidRPr="00C727F6">
        <w:rPr>
          <w:rFonts w:cs="Times New Roman"/>
        </w:rPr>
        <w:t>e will do well, I think, to</w:t>
      </w:r>
      <w:r w:rsidR="00FD50C1" w:rsidRPr="00C727F6">
        <w:rPr>
          <w:rFonts w:cs="Times New Roman"/>
        </w:rPr>
        <w:t xml:space="preserve"> </w:t>
      </w:r>
      <w:r w:rsidRPr="00C727F6">
        <w:rPr>
          <w:rFonts w:cs="Times New Roman"/>
        </w:rPr>
        <w:t>speak in terms of a religious quality, present to greater of lesser degree in many</w:t>
      </w:r>
      <w:r w:rsidR="00FD50C1" w:rsidRPr="00C727F6">
        <w:rPr>
          <w:rFonts w:cs="Times New Roman"/>
        </w:rPr>
        <w:t xml:space="preserve"> </w:t>
      </w:r>
      <w:r w:rsidRPr="00C727F6">
        <w:rPr>
          <w:rFonts w:cs="Times New Roman"/>
        </w:rPr>
        <w:t>situations, rather than of religions.</w:t>
      </w:r>
      <w:r w:rsidR="00FD50C1" w:rsidRPr="00C727F6">
        <w:t>’</w:t>
      </w:r>
      <w:r w:rsidR="00054ECE" w:rsidRPr="00C727F6">
        <w:rPr>
          <w:rStyle w:val="FootnoteReference"/>
        </w:rPr>
        <w:footnoteReference w:id="9"/>
      </w:r>
      <w:r w:rsidR="00FD50C1" w:rsidRPr="00C727F6">
        <w:t xml:space="preserve"> De Vries and Weber </w:t>
      </w:r>
      <w:r w:rsidR="00F00788" w:rsidRPr="00C727F6">
        <w:t>prefer to look at practice, suggesting that</w:t>
      </w:r>
      <w:r w:rsidR="00FD50C1" w:rsidRPr="00C727F6">
        <w:t xml:space="preserve"> ‘it is fruitful to approach religion as a practice of mediation between the levels of humans and some spiritual, divine, or transcendental force</w:t>
      </w:r>
      <w:r w:rsidR="00B04B62">
        <w:t>.</w:t>
      </w:r>
      <w:r w:rsidR="00FD50C1" w:rsidRPr="00C727F6">
        <w:t>’</w:t>
      </w:r>
      <w:r w:rsidR="00FD50C1" w:rsidRPr="00C727F6">
        <w:rPr>
          <w:rStyle w:val="FootnoteReference"/>
        </w:rPr>
        <w:footnoteReference w:id="10"/>
      </w:r>
    </w:p>
    <w:p w14:paraId="7748DEA0" w14:textId="41919444" w:rsidR="00FD50C1" w:rsidRDefault="00FD50C1" w:rsidP="00FD50C1">
      <w:pPr>
        <w:autoSpaceDE w:val="0"/>
        <w:autoSpaceDN w:val="0"/>
        <w:adjustRightInd w:val="0"/>
      </w:pPr>
    </w:p>
    <w:p w14:paraId="08F1BD2A" w14:textId="22BA3A4D" w:rsidR="00FD50C1" w:rsidRDefault="00FD50C1" w:rsidP="00FD50C1">
      <w:pPr>
        <w:pStyle w:val="Heading2"/>
      </w:pPr>
      <w:r>
        <w:t>Religion and astrology</w:t>
      </w:r>
    </w:p>
    <w:p w14:paraId="7F0831EA" w14:textId="12F3166C" w:rsidR="00F00788" w:rsidRDefault="00C727F6" w:rsidP="00CF66D5">
      <w:r>
        <w:t xml:space="preserve">Turning to astrology, </w:t>
      </w:r>
      <w:r w:rsidR="00CF66D5">
        <w:t>Margaret Hone (1892-1969) wrote ‘there are as many angles of approach to astrology as to religion or art.</w:t>
      </w:r>
      <w:r w:rsidR="00B04B62">
        <w:t>’</w:t>
      </w:r>
      <w:r w:rsidR="00CF66D5">
        <w:rPr>
          <w:rStyle w:val="FootnoteReference"/>
        </w:rPr>
        <w:footnoteReference w:id="11"/>
      </w:r>
      <w:r w:rsidR="00F00788">
        <w:t xml:space="preserve"> Nonetheless, Patrick Curry’s definition of astrology as ‘</w:t>
      </w:r>
      <w:r w:rsidR="00EB0CBD">
        <w:t>the practice of relating the heavenly bodies to lives and events on earth, and the tradition that has thus been generated</w:t>
      </w:r>
      <w:r w:rsidR="00B04B62">
        <w:t>,’</w:t>
      </w:r>
      <w:r w:rsidR="00EB0CBD">
        <w:t xml:space="preserve"> </w:t>
      </w:r>
      <w:r w:rsidR="00D45E70">
        <w:t>is broad enough to cover Vedic astrology, with its rituals and statues, as well as newspaper Sun</w:t>
      </w:r>
      <w:r w:rsidR="00B04B62">
        <w:t>-</w:t>
      </w:r>
      <w:r w:rsidR="00D45E70">
        <w:t>sign columns.</w:t>
      </w:r>
      <w:r w:rsidR="00D45E70">
        <w:rPr>
          <w:rStyle w:val="FootnoteReference"/>
        </w:rPr>
        <w:t xml:space="preserve"> </w:t>
      </w:r>
      <w:r w:rsidR="00EB0CBD">
        <w:rPr>
          <w:rStyle w:val="FootnoteReference"/>
        </w:rPr>
        <w:footnoteReference w:id="12"/>
      </w:r>
      <w:r w:rsidR="00F00788">
        <w:t xml:space="preserve"> Astrology in this essay will </w:t>
      </w:r>
      <w:r w:rsidR="00BE1D3B">
        <w:t>primarily</w:t>
      </w:r>
      <w:r w:rsidR="00F00788">
        <w:t xml:space="preserve"> refer to contemporary Western horoscopic astrology.</w:t>
      </w:r>
    </w:p>
    <w:p w14:paraId="76679277" w14:textId="77777777" w:rsidR="00F00788" w:rsidRDefault="00F00788" w:rsidP="00CF66D5"/>
    <w:p w14:paraId="25CE8841" w14:textId="3B1A7869" w:rsidR="00B04B62" w:rsidRDefault="00C31E43" w:rsidP="00CF66D5">
      <w:pPr>
        <w:rPr>
          <w:rFonts w:cs="Times-Roman"/>
        </w:rPr>
      </w:pPr>
      <w:r>
        <w:t>Although, as has been explored in the essay so far, defining religion, and hence astrology</w:t>
      </w:r>
      <w:r w:rsidR="00B04B62">
        <w:t>-</w:t>
      </w:r>
      <w:r>
        <w:t>as</w:t>
      </w:r>
      <w:r w:rsidR="00B04B62">
        <w:t>-</w:t>
      </w:r>
      <w:r>
        <w:t>religion, is not a straightforward matter, i</w:t>
      </w:r>
      <w:r w:rsidR="00F00788">
        <w:t>ndividual a</w:t>
      </w:r>
      <w:r w:rsidR="00746402">
        <w:t xml:space="preserve">strologers may have </w:t>
      </w:r>
      <w:r w:rsidR="00BE1D3B">
        <w:t xml:space="preserve">very </w:t>
      </w:r>
      <w:r w:rsidR="00746402">
        <w:t xml:space="preserve">clear ideas on </w:t>
      </w:r>
      <w:r w:rsidR="00B04B62">
        <w:t>the subject</w:t>
      </w:r>
      <w:r w:rsidR="00746402">
        <w:t>. In a survey among astrologers</w:t>
      </w:r>
      <w:r>
        <w:t>, for example,</w:t>
      </w:r>
      <w:r w:rsidR="00746402">
        <w:t xml:space="preserve"> Nicholas Campion found that, astrologers’ response to the idea of astrology as a religion ‘</w:t>
      </w:r>
      <w:r w:rsidR="00746402" w:rsidRPr="00BB5C8E">
        <w:t>was universally negative.’</w:t>
      </w:r>
      <w:r w:rsidR="00746402">
        <w:rPr>
          <w:rStyle w:val="FootnoteReference"/>
        </w:rPr>
        <w:footnoteReference w:id="13"/>
      </w:r>
      <w:r w:rsidR="00746402" w:rsidRPr="00BB5C8E">
        <w:t xml:space="preserve"> </w:t>
      </w:r>
      <w:r w:rsidR="00746402">
        <w:rPr>
          <w:rFonts w:cs="Times-Roman"/>
        </w:rPr>
        <w:t>He quotes</w:t>
      </w:r>
      <w:r w:rsidR="00746402" w:rsidRPr="00BB5C8E">
        <w:rPr>
          <w:rFonts w:cs="Times-Roman"/>
        </w:rPr>
        <w:t xml:space="preserve"> Melanie Reinhart</w:t>
      </w:r>
      <w:r w:rsidR="00B04B62">
        <w:rPr>
          <w:rFonts w:cs="Times-Roman"/>
        </w:rPr>
        <w:t xml:space="preserve">, </w:t>
      </w:r>
      <w:r w:rsidR="00746402">
        <w:rPr>
          <w:rFonts w:cs="Times-Roman"/>
        </w:rPr>
        <w:t>who echoes Durkheim’s definition of religion as being necessarily involved with a Church</w:t>
      </w:r>
      <w:r w:rsidR="00192141">
        <w:rPr>
          <w:rFonts w:cs="Times-Roman"/>
        </w:rPr>
        <w:t>:</w:t>
      </w:r>
      <w:r w:rsidR="00746402">
        <w:rPr>
          <w:rFonts w:cs="Times-Roman"/>
        </w:rPr>
        <w:t xml:space="preserve"> </w:t>
      </w:r>
    </w:p>
    <w:p w14:paraId="6ACA1F4A" w14:textId="77777777" w:rsidR="00B04B62" w:rsidRDefault="00B04B62" w:rsidP="00CF66D5">
      <w:pPr>
        <w:rPr>
          <w:rFonts w:cs="Times-Roman"/>
        </w:rPr>
      </w:pPr>
    </w:p>
    <w:p w14:paraId="02317056" w14:textId="3696A959" w:rsidR="00CF66D5" w:rsidRPr="00B04B62" w:rsidRDefault="00746402" w:rsidP="00B04B62">
      <w:pPr>
        <w:ind w:left="720"/>
        <w:rPr>
          <w:sz w:val="20"/>
          <w:szCs w:val="20"/>
        </w:rPr>
      </w:pPr>
      <w:r w:rsidRPr="00B04B62">
        <w:rPr>
          <w:rFonts w:cs="Times-Roman"/>
          <w:sz w:val="20"/>
          <w:szCs w:val="20"/>
        </w:rPr>
        <w:t xml:space="preserve">astrology is not a religion in any formal sense because you know there isn't a church and there aren't a whole set of prescribed rituals and moral codes and hierarchy of officials and all the rest of it. </w:t>
      </w:r>
      <w:proofErr w:type="gramStart"/>
      <w:r w:rsidRPr="00B04B62">
        <w:rPr>
          <w:rFonts w:cs="Times-Roman"/>
          <w:sz w:val="20"/>
          <w:szCs w:val="20"/>
        </w:rPr>
        <w:t>So</w:t>
      </w:r>
      <w:proofErr w:type="gramEnd"/>
      <w:r w:rsidRPr="00B04B62">
        <w:rPr>
          <w:rFonts w:cs="Times-Roman"/>
          <w:sz w:val="20"/>
          <w:szCs w:val="20"/>
        </w:rPr>
        <w:t xml:space="preserve"> in that sense it is not a religion.</w:t>
      </w:r>
      <w:r w:rsidR="00F415AD" w:rsidRPr="00B04B62">
        <w:rPr>
          <w:rStyle w:val="FootnoteReference"/>
          <w:rFonts w:cs="Times-Roman"/>
          <w:sz w:val="20"/>
          <w:szCs w:val="20"/>
        </w:rPr>
        <w:footnoteReference w:id="14"/>
      </w:r>
    </w:p>
    <w:p w14:paraId="227BBDAF" w14:textId="77777777" w:rsidR="00CF66D5" w:rsidRDefault="00CF66D5" w:rsidP="00CF66D5"/>
    <w:p w14:paraId="5F58C0E1" w14:textId="1D39FDB2" w:rsidR="00E739E6" w:rsidRDefault="00746402" w:rsidP="00CF66D5">
      <w:r>
        <w:t xml:space="preserve">Other astrologers, however, such as </w:t>
      </w:r>
      <w:r w:rsidR="00CF66D5">
        <w:t>Steven Forrest</w:t>
      </w:r>
      <w:r w:rsidR="00B04B62">
        <w:t xml:space="preserve">, </w:t>
      </w:r>
      <w:r>
        <w:t xml:space="preserve">assert that astrology </w:t>
      </w:r>
      <w:r w:rsidRPr="00B04B62">
        <w:rPr>
          <w:i/>
        </w:rPr>
        <w:t>is</w:t>
      </w:r>
      <w:r>
        <w:t xml:space="preserve"> a religion; </w:t>
      </w:r>
      <w:r w:rsidR="00B04B62">
        <w:t>Forrest</w:t>
      </w:r>
      <w:r w:rsidR="00CF66D5">
        <w:t xml:space="preserve"> </w:t>
      </w:r>
      <w:r w:rsidR="00B04B62">
        <w:t>believes</w:t>
      </w:r>
      <w:r w:rsidR="00E739E6">
        <w:t xml:space="preserve"> </w:t>
      </w:r>
      <w:r w:rsidR="00CF66D5">
        <w:t>that ‘</w:t>
      </w:r>
      <w:r w:rsidR="00B04B62">
        <w:t>i</w:t>
      </w:r>
      <w:r w:rsidR="00CF66D5">
        <w:t>nsofar as it views cosmos, humans, and nature as being reigned over and guided by powers and forces from beyond, astrology is a religion</w:t>
      </w:r>
      <w:r w:rsidR="00E739E6">
        <w:t>.</w:t>
      </w:r>
      <w:r w:rsidR="00CF66D5">
        <w:t>’</w:t>
      </w:r>
      <w:r w:rsidR="00E739E6" w:rsidRPr="00E739E6">
        <w:rPr>
          <w:rStyle w:val="FootnoteReference"/>
        </w:rPr>
        <w:t xml:space="preserve"> </w:t>
      </w:r>
      <w:r w:rsidR="00E739E6">
        <w:rPr>
          <w:rStyle w:val="FootnoteReference"/>
        </w:rPr>
        <w:footnoteReference w:id="15"/>
      </w:r>
      <w:r w:rsidR="00E739E6">
        <w:t xml:space="preserve"> </w:t>
      </w:r>
      <w:r w:rsidR="00F415AD" w:rsidRPr="00F415AD">
        <w:t xml:space="preserve"> </w:t>
      </w:r>
      <w:r w:rsidR="00E739E6">
        <w:t>H</w:t>
      </w:r>
      <w:r w:rsidR="00F415AD">
        <w:t xml:space="preserve">e continues that astrology </w:t>
      </w:r>
    </w:p>
    <w:p w14:paraId="26862ACD" w14:textId="77777777" w:rsidR="00E739E6" w:rsidRDefault="00E739E6" w:rsidP="00CF66D5"/>
    <w:p w14:paraId="09AE8DA9" w14:textId="0424B31F" w:rsidR="00E739E6" w:rsidRDefault="00F415AD" w:rsidP="00E739E6">
      <w:pPr>
        <w:ind w:left="720"/>
        <w:rPr>
          <w:sz w:val="20"/>
          <w:szCs w:val="20"/>
        </w:rPr>
      </w:pPr>
      <w:r w:rsidRPr="00E739E6">
        <w:rPr>
          <w:sz w:val="20"/>
          <w:szCs w:val="20"/>
        </w:rPr>
        <w:t xml:space="preserve">cannot be separated from a metaphysical framework where dealing with the questions of the personal meaning of life for you and the nature of your spiritual path – those </w:t>
      </w:r>
      <w:proofErr w:type="gramStart"/>
      <w:r w:rsidRPr="00E739E6">
        <w:rPr>
          <w:sz w:val="20"/>
          <w:szCs w:val="20"/>
        </w:rPr>
        <w:t>sound like</w:t>
      </w:r>
      <w:proofErr w:type="gramEnd"/>
      <w:r w:rsidRPr="00E739E6">
        <w:rPr>
          <w:sz w:val="20"/>
          <w:szCs w:val="20"/>
        </w:rPr>
        <w:t xml:space="preserve"> religious categories to me.</w:t>
      </w:r>
      <w:r w:rsidR="00CF66D5" w:rsidRPr="00E739E6">
        <w:rPr>
          <w:rStyle w:val="FootnoteReference"/>
          <w:sz w:val="20"/>
          <w:szCs w:val="20"/>
        </w:rPr>
        <w:footnoteReference w:id="16"/>
      </w:r>
      <w:r w:rsidR="00CF66D5" w:rsidRPr="00E739E6">
        <w:rPr>
          <w:sz w:val="20"/>
          <w:szCs w:val="20"/>
        </w:rPr>
        <w:t xml:space="preserve"> </w:t>
      </w:r>
    </w:p>
    <w:p w14:paraId="0EF86C07" w14:textId="77777777" w:rsidR="00E739E6" w:rsidRPr="00E739E6" w:rsidRDefault="00E739E6" w:rsidP="00E739E6">
      <w:pPr>
        <w:ind w:left="720"/>
        <w:rPr>
          <w:sz w:val="20"/>
          <w:szCs w:val="20"/>
        </w:rPr>
      </w:pPr>
    </w:p>
    <w:p w14:paraId="5DE58702" w14:textId="2AACDE0E" w:rsidR="00746402" w:rsidRDefault="00746402" w:rsidP="00CF66D5">
      <w:r>
        <w:t>So far, then, exploring the question of whether astrology is a religion</w:t>
      </w:r>
      <w:r w:rsidR="00B04B62">
        <w:t>,</w:t>
      </w:r>
      <w:r>
        <w:t xml:space="preserve"> via definitions</w:t>
      </w:r>
      <w:r w:rsidR="00B04B62">
        <w:t>,</w:t>
      </w:r>
      <w:r>
        <w:t xml:space="preserve"> has only led</w:t>
      </w:r>
      <w:r w:rsidR="00BC1B30">
        <w:t>, rather tortuously,</w:t>
      </w:r>
      <w:r>
        <w:t xml:space="preserve"> to the conclusion that it all depends on the definition.</w:t>
      </w:r>
    </w:p>
    <w:p w14:paraId="6B470FB4" w14:textId="77777777" w:rsidR="00CF66D5" w:rsidRDefault="00CF66D5" w:rsidP="00CF66D5">
      <w:bookmarkStart w:id="7" w:name="_Hlk7281176"/>
    </w:p>
    <w:p w14:paraId="2D510A87" w14:textId="1DE8BEF6" w:rsidR="007631ED" w:rsidRDefault="00CF66D5" w:rsidP="007631ED">
      <w:pPr>
        <w:shd w:val="clear" w:color="auto" w:fill="FFFFFF"/>
        <w:spacing w:after="160" w:line="259" w:lineRule="auto"/>
        <w:rPr>
          <w:rFonts w:eastAsia="Times New Roman" w:cs="Times New Roman"/>
          <w:color w:val="231F20"/>
          <w:lang w:eastAsia="en-CA"/>
        </w:rPr>
      </w:pPr>
      <w:r>
        <w:t>Another</w:t>
      </w:r>
      <w:r w:rsidR="007631ED">
        <w:t xml:space="preserve">, possibly more </w:t>
      </w:r>
      <w:r w:rsidR="00BE1D3B">
        <w:t xml:space="preserve">fruitful, way </w:t>
      </w:r>
      <w:r>
        <w:t xml:space="preserve">of looking at the question is offered by </w:t>
      </w:r>
      <w:r w:rsidR="00BC1B30">
        <w:t xml:space="preserve">S. </w:t>
      </w:r>
      <w:r>
        <w:t>Brent</w:t>
      </w:r>
      <w:r w:rsidR="00BC1B30">
        <w:t xml:space="preserve"> </w:t>
      </w:r>
      <w:r>
        <w:t xml:space="preserve">Plate. </w:t>
      </w:r>
      <w:r w:rsidR="00BC1B30">
        <w:t>In his introduction to</w:t>
      </w:r>
      <w:r>
        <w:t xml:space="preserve"> </w:t>
      </w:r>
      <w:r w:rsidR="00BC1B30" w:rsidRPr="000A6A98">
        <w:rPr>
          <w:i/>
        </w:rPr>
        <w:t>Key Terms in Material Religion</w:t>
      </w:r>
      <w:r w:rsidR="00BC1B30">
        <w:t xml:space="preserve"> </w:t>
      </w:r>
      <w:r>
        <w:t xml:space="preserve">the term material religion </w:t>
      </w:r>
      <w:r w:rsidR="00BE1D3B">
        <w:t xml:space="preserve">is used </w:t>
      </w:r>
      <w:r>
        <w:t>to denote, not a distinct entity</w:t>
      </w:r>
      <w:r w:rsidR="007631ED">
        <w:t xml:space="preserve"> or ‘Thing Itself’</w:t>
      </w:r>
      <w:r>
        <w:t xml:space="preserve"> – ‘</w:t>
      </w:r>
      <w:r w:rsidRPr="00B04B62">
        <w:rPr>
          <w:i/>
        </w:rPr>
        <w:t>a</w:t>
      </w:r>
      <w:r>
        <w:t xml:space="preserve">’ material religion - but a </w:t>
      </w:r>
      <w:r w:rsidRPr="00D418C4">
        <w:rPr>
          <w:i/>
        </w:rPr>
        <w:t>way</w:t>
      </w:r>
      <w:r>
        <w:t xml:space="preserve"> of studying religion</w:t>
      </w:r>
      <w:r w:rsidR="001C6559">
        <w:t xml:space="preserve">, </w:t>
      </w:r>
      <w:r>
        <w:t>a</w:t>
      </w:r>
      <w:r w:rsidR="006B73F9">
        <w:t xml:space="preserve"> specific type of investigation, </w:t>
      </w:r>
      <w:r>
        <w:t xml:space="preserve">framework, </w:t>
      </w:r>
      <w:r w:rsidR="007631ED">
        <w:t xml:space="preserve">or </w:t>
      </w:r>
      <w:r>
        <w:t>focus</w:t>
      </w:r>
      <w:r w:rsidR="006B73F9">
        <w:t>.</w:t>
      </w:r>
      <w:r w:rsidR="007F5E3C">
        <w:rPr>
          <w:rStyle w:val="FootnoteReference"/>
        </w:rPr>
        <w:footnoteReference w:id="17"/>
      </w:r>
      <w:r w:rsidR="006B73F9">
        <w:t xml:space="preserve"> </w:t>
      </w:r>
      <w:r>
        <w:t xml:space="preserve">He portrays </w:t>
      </w:r>
      <w:r w:rsidR="007F5E3C">
        <w:rPr>
          <w:rFonts w:cs="Arial"/>
        </w:rPr>
        <w:t>m</w:t>
      </w:r>
      <w:r>
        <w:rPr>
          <w:rFonts w:cs="Arial"/>
        </w:rPr>
        <w:t>aterial religion</w:t>
      </w:r>
      <w:r w:rsidR="007631ED">
        <w:rPr>
          <w:rFonts w:cs="Arial"/>
        </w:rPr>
        <w:t xml:space="preserve"> studies and practice</w:t>
      </w:r>
      <w:r>
        <w:rPr>
          <w:rFonts w:cs="Arial"/>
        </w:rPr>
        <w:t xml:space="preserve"> as being concerned with objects, bodies, </w:t>
      </w:r>
      <w:r w:rsidR="00B04B62">
        <w:rPr>
          <w:rFonts w:cs="Arial"/>
        </w:rPr>
        <w:t xml:space="preserve">and </w:t>
      </w:r>
      <w:r>
        <w:rPr>
          <w:rFonts w:cs="Arial"/>
        </w:rPr>
        <w:t>the senses</w:t>
      </w:r>
      <w:r w:rsidR="00B04B62">
        <w:rPr>
          <w:rFonts w:cs="Arial"/>
        </w:rPr>
        <w:t xml:space="preserve">; </w:t>
      </w:r>
      <w:r w:rsidR="007631ED">
        <w:rPr>
          <w:rFonts w:cs="Arial"/>
        </w:rPr>
        <w:t xml:space="preserve">the perspective offered by material religion studies </w:t>
      </w:r>
      <w:r w:rsidR="00B04B62">
        <w:rPr>
          <w:rFonts w:cs="Arial"/>
        </w:rPr>
        <w:t>is</w:t>
      </w:r>
      <w:r w:rsidR="007631ED">
        <w:rPr>
          <w:rFonts w:cs="Arial"/>
        </w:rPr>
        <w:t xml:space="preserve"> a way to rethink ‘the relations between the secular and the religious</w:t>
      </w:r>
      <w:r w:rsidR="00B04B62">
        <w:rPr>
          <w:rFonts w:cs="Arial"/>
        </w:rPr>
        <w:t>,</w:t>
      </w:r>
      <w:r w:rsidR="007631ED">
        <w:rPr>
          <w:rFonts w:cs="Arial"/>
        </w:rPr>
        <w:t xml:space="preserve">’ recognizing that </w:t>
      </w:r>
      <w:r w:rsidR="00F934A7">
        <w:rPr>
          <w:rFonts w:cs="Arial"/>
        </w:rPr>
        <w:t xml:space="preserve">boundaries may be fluid </w:t>
      </w:r>
      <w:r w:rsidR="007631ED">
        <w:rPr>
          <w:rFonts w:cs="Arial"/>
        </w:rPr>
        <w:t>and that such things may be ‘more intertwined than we might at first be led to believe.’</w:t>
      </w:r>
      <w:r w:rsidR="007F5E3C">
        <w:rPr>
          <w:rStyle w:val="FootnoteReference"/>
          <w:rFonts w:cs="Arial"/>
        </w:rPr>
        <w:footnoteReference w:id="18"/>
      </w:r>
      <w:r w:rsidR="007631ED" w:rsidRPr="007631ED">
        <w:rPr>
          <w:rFonts w:cs="Arial"/>
        </w:rPr>
        <w:t xml:space="preserve"> </w:t>
      </w:r>
    </w:p>
    <w:p w14:paraId="7BEF1913" w14:textId="7532D12C" w:rsidR="00CF66D5" w:rsidRPr="005C31E2" w:rsidRDefault="00C96B34" w:rsidP="005C31E2">
      <w:pPr>
        <w:shd w:val="clear" w:color="auto" w:fill="FFFFFF"/>
        <w:spacing w:after="160" w:line="259" w:lineRule="auto"/>
        <w:rPr>
          <w:rFonts w:eastAsia="Times New Roman" w:cs="Times New Roman"/>
          <w:color w:val="231F20"/>
          <w:lang w:eastAsia="en-CA"/>
        </w:rPr>
      </w:pPr>
      <w:r>
        <w:rPr>
          <w:rFonts w:eastAsia="Times New Roman" w:cs="Times New Roman"/>
          <w:color w:val="231F20"/>
          <w:lang w:eastAsia="en-CA"/>
        </w:rPr>
        <w:t>To look</w:t>
      </w:r>
      <w:r w:rsidR="007631ED">
        <w:rPr>
          <w:rFonts w:eastAsia="Times New Roman" w:cs="Times New Roman"/>
          <w:color w:val="231F20"/>
          <w:lang w:eastAsia="en-CA"/>
        </w:rPr>
        <w:t xml:space="preserve"> at astrology through the lens of material religion studies, therefore, would be to look at what counts as</w:t>
      </w:r>
      <w:r w:rsidR="005C31E2">
        <w:rPr>
          <w:rFonts w:eastAsia="Times New Roman" w:cs="Times New Roman"/>
          <w:color w:val="231F20"/>
          <w:lang w:eastAsia="en-CA"/>
        </w:rPr>
        <w:t xml:space="preserve"> religious objects</w:t>
      </w:r>
      <w:r w:rsidR="007F5E3C">
        <w:rPr>
          <w:rFonts w:eastAsia="Times New Roman" w:cs="Times New Roman"/>
          <w:color w:val="231F20"/>
          <w:lang w:eastAsia="en-CA"/>
        </w:rPr>
        <w:t xml:space="preserve"> </w:t>
      </w:r>
      <w:r w:rsidR="005C31E2">
        <w:rPr>
          <w:rFonts w:cs="Arial"/>
        </w:rPr>
        <w:t>in astrology,</w:t>
      </w:r>
      <w:r w:rsidR="00CF66D5">
        <w:rPr>
          <w:rFonts w:cs="Arial"/>
        </w:rPr>
        <w:t xml:space="preserve"> </w:t>
      </w:r>
      <w:r w:rsidR="00B4511C">
        <w:rPr>
          <w:rFonts w:cs="Arial"/>
        </w:rPr>
        <w:t xml:space="preserve">how </w:t>
      </w:r>
      <w:r w:rsidR="007F5E3C">
        <w:rPr>
          <w:rFonts w:cs="Arial"/>
        </w:rPr>
        <w:t>these objects</w:t>
      </w:r>
      <w:r w:rsidR="00B4511C">
        <w:rPr>
          <w:rFonts w:cs="Arial"/>
        </w:rPr>
        <w:t xml:space="preserve"> are </w:t>
      </w:r>
      <w:r>
        <w:rPr>
          <w:rFonts w:cs="Arial"/>
        </w:rPr>
        <w:t xml:space="preserve">made, </w:t>
      </w:r>
      <w:r w:rsidR="00B4511C">
        <w:rPr>
          <w:rFonts w:cs="Arial"/>
        </w:rPr>
        <w:t xml:space="preserve">experienced through the senses, </w:t>
      </w:r>
      <w:r>
        <w:rPr>
          <w:rFonts w:cs="Arial"/>
        </w:rPr>
        <w:t>and</w:t>
      </w:r>
      <w:r w:rsidR="00CF66D5">
        <w:rPr>
          <w:rFonts w:cs="Arial"/>
        </w:rPr>
        <w:t xml:space="preserve"> </w:t>
      </w:r>
      <w:r w:rsidR="007F5E3C">
        <w:rPr>
          <w:rFonts w:cs="Arial"/>
        </w:rPr>
        <w:t>interacted with by the astrologer.</w:t>
      </w:r>
      <w:r w:rsidR="00CF66D5" w:rsidRPr="000C6248">
        <w:rPr>
          <w:rStyle w:val="FootnoteReference"/>
          <w:rFonts w:cs="Arial"/>
        </w:rPr>
        <w:footnoteReference w:id="19"/>
      </w:r>
      <w:r w:rsidR="00CF66D5" w:rsidRPr="000C6248">
        <w:rPr>
          <w:rFonts w:cs="Arial"/>
        </w:rPr>
        <w:t xml:space="preserve"> </w:t>
      </w:r>
      <w:bookmarkEnd w:id="7"/>
      <w:r w:rsidR="007F5E3C">
        <w:rPr>
          <w:rFonts w:cs="Arial"/>
        </w:rPr>
        <w:t xml:space="preserve">It could comprise sacred space, rituals, </w:t>
      </w:r>
      <w:r>
        <w:rPr>
          <w:rFonts w:cs="Arial"/>
        </w:rPr>
        <w:t xml:space="preserve">and </w:t>
      </w:r>
      <w:r w:rsidR="007F5E3C">
        <w:rPr>
          <w:rFonts w:cs="Arial"/>
        </w:rPr>
        <w:t xml:space="preserve">pilgrimages. </w:t>
      </w:r>
      <w:r w:rsidR="00F934A7">
        <w:rPr>
          <w:rFonts w:cs="Arial"/>
        </w:rPr>
        <w:t>What, then, are astrology’s practices, and what objects does it use?</w:t>
      </w:r>
    </w:p>
    <w:bookmarkEnd w:id="2"/>
    <w:p w14:paraId="3FAA219D" w14:textId="0B78D5B3" w:rsidR="0040449A" w:rsidRDefault="0040449A" w:rsidP="0040449A">
      <w:pPr>
        <w:pStyle w:val="Heading2"/>
        <w:rPr>
          <w:rFonts w:cs="Arial"/>
        </w:rPr>
      </w:pPr>
      <w:r>
        <w:t xml:space="preserve">The horoscope as a religious object, </w:t>
      </w:r>
      <w:r w:rsidR="00F934A7">
        <w:rPr>
          <w:rFonts w:cs="Arial"/>
        </w:rPr>
        <w:t>‘charged with culturally-specific sacred meanings’</w:t>
      </w:r>
      <w:r w:rsidR="00D57F38" w:rsidRPr="00D57F38">
        <w:rPr>
          <w:rStyle w:val="FootnoteReference"/>
        </w:rPr>
        <w:t xml:space="preserve"> </w:t>
      </w:r>
      <w:r w:rsidR="00D57F38">
        <w:rPr>
          <w:rStyle w:val="FootnoteReference"/>
        </w:rPr>
        <w:footnoteReference w:id="20"/>
      </w:r>
    </w:p>
    <w:p w14:paraId="0F842219" w14:textId="77777777" w:rsidR="00C96B34" w:rsidRDefault="00F934A7" w:rsidP="00F934A7">
      <w:pPr>
        <w:spacing w:after="160" w:line="259" w:lineRule="auto"/>
        <w:rPr>
          <w:rFonts w:cs="Times-Roman"/>
        </w:rPr>
      </w:pPr>
      <w:r w:rsidRPr="000B2B4C">
        <w:rPr>
          <w:rFonts w:cs="Arial"/>
        </w:rPr>
        <w:t>The practise of contemporary western astrology</w:t>
      </w:r>
      <w:r w:rsidR="00C96B34">
        <w:rPr>
          <w:rFonts w:cs="Arial"/>
        </w:rPr>
        <w:t xml:space="preserve">, in general, </w:t>
      </w:r>
      <w:r w:rsidRPr="000B2B4C">
        <w:rPr>
          <w:rFonts w:cs="Arial"/>
        </w:rPr>
        <w:t xml:space="preserve">revolves around the object of the natal chart, as shown by </w:t>
      </w:r>
      <w:proofErr w:type="spellStart"/>
      <w:r w:rsidRPr="000B2B4C">
        <w:rPr>
          <w:rFonts w:cs="Arial"/>
        </w:rPr>
        <w:t>Darrelyn</w:t>
      </w:r>
      <w:proofErr w:type="spellEnd"/>
      <w:r w:rsidRPr="000B2B4C">
        <w:rPr>
          <w:rFonts w:cs="Arial"/>
        </w:rPr>
        <w:t xml:space="preserve"> </w:t>
      </w:r>
      <w:proofErr w:type="spellStart"/>
      <w:r w:rsidRPr="000B2B4C">
        <w:rPr>
          <w:rFonts w:cs="Arial"/>
        </w:rPr>
        <w:t>Gunzburg’s</w:t>
      </w:r>
      <w:proofErr w:type="spellEnd"/>
      <w:r w:rsidRPr="000B2B4C">
        <w:rPr>
          <w:rFonts w:cs="Arial"/>
        </w:rPr>
        <w:t xml:space="preserve"> fieldwork with astrologers.</w:t>
      </w:r>
      <w:r w:rsidR="009236B6">
        <w:rPr>
          <w:rStyle w:val="FootnoteReference"/>
          <w:rFonts w:cs="Arial"/>
        </w:rPr>
        <w:footnoteReference w:id="21"/>
      </w:r>
      <w:r w:rsidRPr="000B2B4C">
        <w:rPr>
          <w:rFonts w:cs="Arial"/>
        </w:rPr>
        <w:t xml:space="preserve"> She found that </w:t>
      </w:r>
      <w:r w:rsidR="00CF66D5" w:rsidRPr="000B2B4C">
        <w:rPr>
          <w:rFonts w:cs="Times-Roman"/>
        </w:rPr>
        <w:t>‘</w:t>
      </w:r>
      <w:r w:rsidR="009236B6">
        <w:rPr>
          <w:rFonts w:cs="Times-Roman"/>
        </w:rPr>
        <w:t>r</w:t>
      </w:r>
      <w:r w:rsidR="00CF66D5" w:rsidRPr="000B2B4C">
        <w:rPr>
          <w:rFonts w:cs="Times-Roman"/>
        </w:rPr>
        <w:t>eading a natal horoscope forms the central core of a contemporary western astrologer’s consultation for a client.’</w:t>
      </w:r>
      <w:r w:rsidR="00CF66D5" w:rsidRPr="000B2B4C">
        <w:rPr>
          <w:rStyle w:val="FootnoteReference"/>
          <w:rFonts w:cs="Times-Roman"/>
        </w:rPr>
        <w:footnoteReference w:id="22"/>
      </w:r>
      <w:r w:rsidR="00CF66D5" w:rsidRPr="000B2B4C">
        <w:rPr>
          <w:rFonts w:cs="Arial"/>
        </w:rPr>
        <w:t xml:space="preserve"> Bernadette Brady</w:t>
      </w:r>
      <w:r w:rsidR="00C96B34">
        <w:rPr>
          <w:rFonts w:cs="Arial"/>
        </w:rPr>
        <w:t>,</w:t>
      </w:r>
      <w:r w:rsidR="00CF66D5" w:rsidRPr="000B2B4C">
        <w:rPr>
          <w:rFonts w:cs="Arial"/>
        </w:rPr>
        <w:t xml:space="preserve"> in her</w:t>
      </w:r>
      <w:r w:rsidR="00D57F38" w:rsidRPr="000B2B4C">
        <w:rPr>
          <w:rFonts w:cs="Arial"/>
        </w:rPr>
        <w:t xml:space="preserve"> own</w:t>
      </w:r>
      <w:r w:rsidR="00CF66D5" w:rsidRPr="000B2B4C">
        <w:rPr>
          <w:rFonts w:cs="Arial"/>
        </w:rPr>
        <w:t xml:space="preserve"> fieldwork</w:t>
      </w:r>
      <w:r w:rsidR="00C96B34">
        <w:rPr>
          <w:rFonts w:cs="Arial"/>
        </w:rPr>
        <w:t>,</w:t>
      </w:r>
      <w:r w:rsidR="00CF66D5" w:rsidRPr="000B2B4C">
        <w:rPr>
          <w:rFonts w:cs="Arial"/>
        </w:rPr>
        <w:t xml:space="preserve"> </w:t>
      </w:r>
      <w:r w:rsidR="00C96B34">
        <w:rPr>
          <w:rFonts w:cs="Arial"/>
        </w:rPr>
        <w:t>similarly</w:t>
      </w:r>
      <w:r w:rsidRPr="000B2B4C">
        <w:rPr>
          <w:rFonts w:cs="Arial"/>
        </w:rPr>
        <w:t xml:space="preserve"> </w:t>
      </w:r>
      <w:r w:rsidR="00CF66D5" w:rsidRPr="000B2B4C">
        <w:rPr>
          <w:rFonts w:cs="Arial"/>
        </w:rPr>
        <w:t xml:space="preserve">found that all the </w:t>
      </w:r>
      <w:r w:rsidR="009236B6">
        <w:rPr>
          <w:rFonts w:cs="Arial"/>
        </w:rPr>
        <w:t xml:space="preserve">1300 </w:t>
      </w:r>
      <w:r w:rsidR="00CF66D5" w:rsidRPr="000B2B4C">
        <w:rPr>
          <w:rFonts w:cs="Arial"/>
        </w:rPr>
        <w:t xml:space="preserve">astrologers </w:t>
      </w:r>
      <w:r w:rsidR="009236B6">
        <w:rPr>
          <w:rFonts w:cs="Arial"/>
        </w:rPr>
        <w:t xml:space="preserve">she </w:t>
      </w:r>
      <w:r w:rsidRPr="000B2B4C">
        <w:rPr>
          <w:rFonts w:cs="Arial"/>
        </w:rPr>
        <w:t xml:space="preserve">surveyed </w:t>
      </w:r>
      <w:r w:rsidR="00CF66D5" w:rsidRPr="000B2B4C">
        <w:rPr>
          <w:rFonts w:cs="Arial"/>
        </w:rPr>
        <w:t>‘constructed and worked with maps</w:t>
      </w:r>
      <w:r w:rsidR="009236B6">
        <w:rPr>
          <w:rFonts w:cs="Arial"/>
        </w:rPr>
        <w:t>’</w:t>
      </w:r>
      <w:r w:rsidR="00CF66D5" w:rsidRPr="000B2B4C">
        <w:rPr>
          <w:rFonts w:cs="Arial"/>
        </w:rPr>
        <w:t xml:space="preserve"> (</w:t>
      </w:r>
      <w:r w:rsidR="00C96B34">
        <w:rPr>
          <w:rFonts w:cs="Arial"/>
        </w:rPr>
        <w:t xml:space="preserve">that is, </w:t>
      </w:r>
      <w:r w:rsidR="00CF66D5" w:rsidRPr="000B2B4C">
        <w:rPr>
          <w:rFonts w:cs="Arial"/>
        </w:rPr>
        <w:t>horoscopes)</w:t>
      </w:r>
      <w:r w:rsidR="00CF66D5" w:rsidRPr="000B2B4C">
        <w:rPr>
          <w:rFonts w:cs="Times-Roman"/>
        </w:rPr>
        <w:t>.</w:t>
      </w:r>
      <w:r w:rsidR="009236B6">
        <w:rPr>
          <w:rStyle w:val="FootnoteReference"/>
          <w:rFonts w:cs="Times-Roman"/>
        </w:rPr>
        <w:footnoteReference w:id="23"/>
      </w:r>
      <w:r w:rsidR="00CF66D5" w:rsidRPr="000B2B4C">
        <w:rPr>
          <w:rFonts w:cs="Times-Roman"/>
        </w:rPr>
        <w:t xml:space="preserve"> </w:t>
      </w:r>
    </w:p>
    <w:p w14:paraId="563468C5" w14:textId="77777777" w:rsidR="00C96B34" w:rsidRDefault="00F934A7" w:rsidP="00F934A7">
      <w:pPr>
        <w:spacing w:after="160" w:line="259" w:lineRule="auto"/>
        <w:rPr>
          <w:rFonts w:cs="Times-Roman"/>
        </w:rPr>
      </w:pPr>
      <w:r w:rsidRPr="000B2B4C">
        <w:rPr>
          <w:rFonts w:cs="Times-Roman"/>
        </w:rPr>
        <w:t>Brady</w:t>
      </w:r>
      <w:r w:rsidR="00CF66D5" w:rsidRPr="000B2B4C">
        <w:rPr>
          <w:rFonts w:cs="Times-Roman"/>
        </w:rPr>
        <w:t xml:space="preserve"> goes on to say that </w:t>
      </w:r>
    </w:p>
    <w:p w14:paraId="4501B5F0" w14:textId="6E693C1F" w:rsidR="00CF66D5" w:rsidRPr="00C96B34" w:rsidRDefault="00C96B34" w:rsidP="00C96B34">
      <w:pPr>
        <w:spacing w:after="160" w:line="259" w:lineRule="auto"/>
        <w:ind w:left="720"/>
        <w:rPr>
          <w:rFonts w:cs="Arial"/>
          <w:sz w:val="20"/>
          <w:szCs w:val="20"/>
        </w:rPr>
      </w:pPr>
      <w:r w:rsidRPr="00C96B34">
        <w:rPr>
          <w:rFonts w:cs="Times-Roman"/>
          <w:sz w:val="20"/>
          <w:szCs w:val="20"/>
        </w:rPr>
        <w:lastRenderedPageBreak/>
        <w:t>i</w:t>
      </w:r>
      <w:r w:rsidR="00CF66D5" w:rsidRPr="00C96B34">
        <w:rPr>
          <w:rFonts w:cs="Times-Roman"/>
          <w:sz w:val="20"/>
          <w:szCs w:val="20"/>
        </w:rPr>
        <w:t xml:space="preserve">t became apparent that … the map seemed to provide the base on which all other astrological philosophy and techniques stood … The diagrammatical horoscope itself appeared to be the </w:t>
      </w:r>
      <w:r w:rsidR="00CF66D5" w:rsidRPr="00C96B34">
        <w:rPr>
          <w:rFonts w:cs="Times-Roman"/>
          <w:i/>
          <w:sz w:val="20"/>
          <w:szCs w:val="20"/>
        </w:rPr>
        <w:t xml:space="preserve">prima </w:t>
      </w:r>
      <w:proofErr w:type="spellStart"/>
      <w:r w:rsidR="00CF66D5" w:rsidRPr="00C96B34">
        <w:rPr>
          <w:rFonts w:cs="Times-Roman"/>
          <w:i/>
          <w:sz w:val="20"/>
          <w:szCs w:val="20"/>
        </w:rPr>
        <w:t>materia</w:t>
      </w:r>
      <w:proofErr w:type="spellEnd"/>
      <w:r w:rsidR="00CF66D5" w:rsidRPr="00C96B34">
        <w:rPr>
          <w:rFonts w:cs="Times-Roman"/>
          <w:sz w:val="20"/>
          <w:szCs w:val="20"/>
        </w:rPr>
        <w:t xml:space="preserve"> of the astrologer’s world.</w:t>
      </w:r>
      <w:r w:rsidR="0056113D" w:rsidRPr="00C96B34">
        <w:rPr>
          <w:rStyle w:val="FootnoteReference"/>
          <w:rFonts w:cs="Times-Roman"/>
          <w:sz w:val="20"/>
          <w:szCs w:val="20"/>
        </w:rPr>
        <w:footnoteReference w:id="24"/>
      </w:r>
      <w:r w:rsidR="00F934A7" w:rsidRPr="00C96B34">
        <w:rPr>
          <w:rFonts w:cs="Times-Roman"/>
          <w:sz w:val="20"/>
          <w:szCs w:val="20"/>
        </w:rPr>
        <w:t xml:space="preserve"> </w:t>
      </w:r>
    </w:p>
    <w:p w14:paraId="6C5BCD9A" w14:textId="5495E186" w:rsidR="00C96B34" w:rsidRDefault="00C96B34" w:rsidP="00CF66D5">
      <w:pPr>
        <w:pStyle w:val="Default"/>
        <w:rPr>
          <w:rFonts w:asciiTheme="minorHAnsi" w:hAnsiTheme="minorHAnsi"/>
          <w:sz w:val="22"/>
          <w:szCs w:val="22"/>
        </w:rPr>
      </w:pPr>
      <w:r>
        <w:rPr>
          <w:rFonts w:asciiTheme="minorHAnsi" w:hAnsiTheme="minorHAnsi"/>
          <w:sz w:val="22"/>
          <w:szCs w:val="22"/>
        </w:rPr>
        <w:t>One of</w:t>
      </w:r>
      <w:r w:rsidR="00E0147E" w:rsidRPr="00C96B34">
        <w:rPr>
          <w:rFonts w:asciiTheme="minorHAnsi" w:hAnsiTheme="minorHAnsi"/>
          <w:sz w:val="22"/>
          <w:szCs w:val="22"/>
        </w:rPr>
        <w:t xml:space="preserve"> the</w:t>
      </w:r>
      <w:r w:rsidR="00B278BD" w:rsidRPr="00C96B34">
        <w:rPr>
          <w:rFonts w:asciiTheme="minorHAnsi" w:hAnsiTheme="minorHAnsi"/>
          <w:sz w:val="22"/>
          <w:szCs w:val="22"/>
        </w:rPr>
        <w:t xml:space="preserve"> </w:t>
      </w:r>
      <w:r w:rsidR="00E0147E" w:rsidRPr="00C96B34">
        <w:rPr>
          <w:rFonts w:asciiTheme="minorHAnsi" w:hAnsiTheme="minorHAnsi"/>
          <w:sz w:val="22"/>
          <w:szCs w:val="22"/>
        </w:rPr>
        <w:t>ancient form</w:t>
      </w:r>
      <w:r>
        <w:rPr>
          <w:rFonts w:asciiTheme="minorHAnsi" w:hAnsiTheme="minorHAnsi"/>
          <w:sz w:val="22"/>
          <w:szCs w:val="22"/>
        </w:rPr>
        <w:t>s</w:t>
      </w:r>
      <w:r w:rsidR="00E0147E" w:rsidRPr="00C96B34">
        <w:rPr>
          <w:rFonts w:asciiTheme="minorHAnsi" w:hAnsiTheme="minorHAnsi"/>
          <w:sz w:val="22"/>
          <w:szCs w:val="22"/>
        </w:rPr>
        <w:t xml:space="preserve"> of </w:t>
      </w:r>
      <w:r>
        <w:rPr>
          <w:rFonts w:asciiTheme="minorHAnsi" w:hAnsiTheme="minorHAnsi"/>
          <w:sz w:val="22"/>
          <w:szCs w:val="22"/>
        </w:rPr>
        <w:t xml:space="preserve">the horoscope was the </w:t>
      </w:r>
      <w:r w:rsidR="00CF66D5" w:rsidRPr="00C96B34">
        <w:rPr>
          <w:rFonts w:asciiTheme="minorHAnsi" w:hAnsiTheme="minorHAnsi"/>
          <w:sz w:val="22"/>
          <w:szCs w:val="22"/>
        </w:rPr>
        <w:t>astrologer’s board</w:t>
      </w:r>
      <w:r w:rsidR="00B4511C" w:rsidRPr="00C96B34">
        <w:rPr>
          <w:rFonts w:asciiTheme="minorHAnsi" w:hAnsiTheme="minorHAnsi"/>
          <w:sz w:val="22"/>
          <w:szCs w:val="22"/>
        </w:rPr>
        <w:t xml:space="preserve">. These were </w:t>
      </w:r>
      <w:r w:rsidR="00CF66D5" w:rsidRPr="00C96B34">
        <w:rPr>
          <w:rFonts w:asciiTheme="minorHAnsi" w:hAnsiTheme="minorHAnsi"/>
          <w:sz w:val="22"/>
          <w:szCs w:val="22"/>
        </w:rPr>
        <w:t xml:space="preserve">boards </w:t>
      </w:r>
      <w:r w:rsidR="00E0147E" w:rsidRPr="00C96B34">
        <w:rPr>
          <w:rFonts w:asciiTheme="minorHAnsi" w:hAnsiTheme="minorHAnsi"/>
          <w:sz w:val="22"/>
          <w:szCs w:val="22"/>
        </w:rPr>
        <w:t xml:space="preserve">in Antiquity, </w:t>
      </w:r>
      <w:r w:rsidR="00CF66D5" w:rsidRPr="00C96B34">
        <w:rPr>
          <w:rFonts w:asciiTheme="minorHAnsi" w:hAnsiTheme="minorHAnsi"/>
          <w:sz w:val="22"/>
          <w:szCs w:val="22"/>
        </w:rPr>
        <w:t>made of lasting and expensive materials</w:t>
      </w:r>
      <w:r w:rsidR="00E0147E" w:rsidRPr="00C96B34">
        <w:rPr>
          <w:rFonts w:asciiTheme="minorHAnsi" w:hAnsiTheme="minorHAnsi"/>
          <w:sz w:val="22"/>
          <w:szCs w:val="22"/>
        </w:rPr>
        <w:t xml:space="preserve"> – ivory, stone, and perhaps glass</w:t>
      </w:r>
      <w:r w:rsidR="00D57F38" w:rsidRPr="00C96B34">
        <w:rPr>
          <w:rFonts w:asciiTheme="minorHAnsi" w:hAnsiTheme="minorHAnsi"/>
          <w:sz w:val="22"/>
          <w:szCs w:val="22"/>
        </w:rPr>
        <w:t>,</w:t>
      </w:r>
      <w:r w:rsidR="00CF66D5" w:rsidRPr="00C96B34">
        <w:rPr>
          <w:rFonts w:asciiTheme="minorHAnsi" w:hAnsiTheme="minorHAnsi"/>
          <w:sz w:val="22"/>
          <w:szCs w:val="22"/>
        </w:rPr>
        <w:t xml:space="preserve"> </w:t>
      </w:r>
      <w:r w:rsidR="00D57F38" w:rsidRPr="00C96B34">
        <w:rPr>
          <w:rFonts w:asciiTheme="minorHAnsi" w:hAnsiTheme="minorHAnsi"/>
          <w:sz w:val="22"/>
          <w:szCs w:val="22"/>
        </w:rPr>
        <w:t>t</w:t>
      </w:r>
      <w:r w:rsidR="00E0147E" w:rsidRPr="00C96B34">
        <w:rPr>
          <w:rFonts w:asciiTheme="minorHAnsi" w:hAnsiTheme="minorHAnsi"/>
          <w:sz w:val="22"/>
          <w:szCs w:val="22"/>
        </w:rPr>
        <w:t>he</w:t>
      </w:r>
      <w:r w:rsidR="00B4511C" w:rsidRPr="00C96B34">
        <w:rPr>
          <w:rFonts w:asciiTheme="minorHAnsi" w:hAnsiTheme="minorHAnsi"/>
          <w:sz w:val="22"/>
          <w:szCs w:val="22"/>
        </w:rPr>
        <w:t xml:space="preserve"> </w:t>
      </w:r>
      <w:r w:rsidR="00E0147E" w:rsidRPr="00C96B34">
        <w:rPr>
          <w:rFonts w:asciiTheme="minorHAnsi" w:hAnsiTheme="minorHAnsi"/>
          <w:sz w:val="22"/>
          <w:szCs w:val="22"/>
        </w:rPr>
        <w:t xml:space="preserve">destroyed </w:t>
      </w:r>
      <w:r w:rsidR="00B4511C" w:rsidRPr="00C96B34">
        <w:rPr>
          <w:rFonts w:asciiTheme="minorHAnsi" w:hAnsiTheme="minorHAnsi"/>
          <w:sz w:val="22"/>
          <w:szCs w:val="22"/>
        </w:rPr>
        <w:t>remains</w:t>
      </w:r>
      <w:r w:rsidR="00E0147E" w:rsidRPr="00C96B34">
        <w:rPr>
          <w:rFonts w:asciiTheme="minorHAnsi" w:hAnsiTheme="minorHAnsi"/>
          <w:sz w:val="22"/>
          <w:szCs w:val="22"/>
        </w:rPr>
        <w:t xml:space="preserve"> of which</w:t>
      </w:r>
      <w:r w:rsidR="00B4511C" w:rsidRPr="00C96B34">
        <w:rPr>
          <w:rFonts w:asciiTheme="minorHAnsi" w:hAnsiTheme="minorHAnsi"/>
          <w:sz w:val="22"/>
          <w:szCs w:val="22"/>
        </w:rPr>
        <w:t xml:space="preserve"> have been found in various sites</w:t>
      </w:r>
      <w:r w:rsidR="00E0147E" w:rsidRPr="00C96B34">
        <w:rPr>
          <w:rFonts w:asciiTheme="minorHAnsi" w:hAnsiTheme="minorHAnsi"/>
          <w:sz w:val="22"/>
          <w:szCs w:val="22"/>
        </w:rPr>
        <w:t xml:space="preserve"> (one such board, at Grand in the village of Lorraine, was destroyed in </w:t>
      </w:r>
      <w:r w:rsidR="00D57F38" w:rsidRPr="00C96B34">
        <w:rPr>
          <w:rFonts w:asciiTheme="minorHAnsi" w:hAnsiTheme="minorHAnsi"/>
          <w:sz w:val="22"/>
          <w:szCs w:val="22"/>
        </w:rPr>
        <w:t>AD</w:t>
      </w:r>
      <w:r w:rsidR="00E0147E" w:rsidRPr="00C96B34">
        <w:rPr>
          <w:rFonts w:asciiTheme="minorHAnsi" w:hAnsiTheme="minorHAnsi"/>
          <w:sz w:val="22"/>
          <w:szCs w:val="22"/>
        </w:rPr>
        <w:t xml:space="preserve"> 170) </w:t>
      </w:r>
      <w:r w:rsidR="00B4511C" w:rsidRPr="00C96B34">
        <w:rPr>
          <w:rFonts w:asciiTheme="minorHAnsi" w:hAnsiTheme="minorHAnsi"/>
          <w:sz w:val="22"/>
          <w:szCs w:val="22"/>
        </w:rPr>
        <w:t>mostly near temples.</w:t>
      </w:r>
      <w:r w:rsidR="00CF66D5" w:rsidRPr="00C96B34">
        <w:rPr>
          <w:rStyle w:val="FootnoteReference"/>
          <w:rFonts w:asciiTheme="minorHAnsi" w:hAnsiTheme="minorHAnsi"/>
          <w:sz w:val="22"/>
          <w:szCs w:val="22"/>
        </w:rPr>
        <w:footnoteReference w:id="25"/>
      </w:r>
      <w:r w:rsidR="00CF66D5" w:rsidRPr="00C96B34">
        <w:rPr>
          <w:rFonts w:asciiTheme="minorHAnsi" w:hAnsiTheme="minorHAnsi"/>
          <w:sz w:val="22"/>
          <w:szCs w:val="22"/>
        </w:rPr>
        <w:t xml:space="preserve">  A description of one such board in the Alexander romance describes it as being ‘made from ivory, ebony, gold and silver and … engraved with three zones.’</w:t>
      </w:r>
      <w:r w:rsidR="0056113D" w:rsidRPr="00C96B34">
        <w:rPr>
          <w:rStyle w:val="FootnoteReference"/>
          <w:rFonts w:asciiTheme="minorHAnsi" w:hAnsiTheme="minorHAnsi"/>
          <w:sz w:val="22"/>
          <w:szCs w:val="22"/>
        </w:rPr>
        <w:footnoteReference w:id="26"/>
      </w:r>
      <w:r w:rsidR="00CF66D5" w:rsidRPr="00C96B34">
        <w:rPr>
          <w:rFonts w:asciiTheme="minorHAnsi" w:hAnsiTheme="minorHAnsi"/>
          <w:sz w:val="22"/>
          <w:szCs w:val="22"/>
        </w:rPr>
        <w:t xml:space="preserve"> Onto this board the astrologer ‘poured out the seven stars and the horoscope made of eight artfully worked stones, and put together the miniature heaven.’</w:t>
      </w:r>
      <w:r w:rsidR="00A02DF5" w:rsidRPr="00C96B34">
        <w:rPr>
          <w:rStyle w:val="FootnoteReference"/>
          <w:rFonts w:asciiTheme="minorHAnsi" w:hAnsiTheme="minorHAnsi"/>
          <w:sz w:val="22"/>
          <w:szCs w:val="22"/>
        </w:rPr>
        <w:footnoteReference w:id="27"/>
      </w:r>
      <w:r w:rsidR="00CF66D5" w:rsidRPr="00C96B34">
        <w:rPr>
          <w:rFonts w:asciiTheme="minorHAnsi" w:hAnsiTheme="minorHAnsi"/>
          <w:sz w:val="22"/>
          <w:szCs w:val="22"/>
        </w:rPr>
        <w:t xml:space="preserve"> The passage goes on to describe which stones were used to represent which planets</w:t>
      </w:r>
      <w:r w:rsidR="00D57F38" w:rsidRPr="00C96B34">
        <w:rPr>
          <w:rFonts w:asciiTheme="minorHAnsi" w:hAnsiTheme="minorHAnsi"/>
          <w:sz w:val="22"/>
          <w:szCs w:val="22"/>
        </w:rPr>
        <w:t xml:space="preserve"> – Lapis Lazuli, for example, for Venus</w:t>
      </w:r>
      <w:r w:rsidR="00CF66D5" w:rsidRPr="00C96B34">
        <w:rPr>
          <w:rFonts w:asciiTheme="minorHAnsi" w:hAnsiTheme="minorHAnsi"/>
          <w:sz w:val="22"/>
          <w:szCs w:val="22"/>
        </w:rPr>
        <w:t xml:space="preserve">. </w:t>
      </w:r>
      <w:r w:rsidR="00D57F38" w:rsidRPr="00C96B34">
        <w:rPr>
          <w:rFonts w:asciiTheme="minorHAnsi" w:hAnsiTheme="minorHAnsi"/>
          <w:sz w:val="22"/>
          <w:szCs w:val="22"/>
        </w:rPr>
        <w:t xml:space="preserve">These planetary gemstones are also spoken of by </w:t>
      </w:r>
      <w:r w:rsidR="00CF66D5" w:rsidRPr="00C96B34">
        <w:rPr>
          <w:rFonts w:asciiTheme="minorHAnsi" w:hAnsiTheme="minorHAnsi"/>
          <w:sz w:val="22"/>
          <w:szCs w:val="22"/>
        </w:rPr>
        <w:t>Liz Greene,</w:t>
      </w:r>
      <w:r w:rsidR="00D57F38" w:rsidRPr="00C96B34">
        <w:rPr>
          <w:rFonts w:asciiTheme="minorHAnsi" w:hAnsiTheme="minorHAnsi"/>
          <w:sz w:val="22"/>
          <w:szCs w:val="22"/>
        </w:rPr>
        <w:t xml:space="preserve"> who emphasizes the importance of colour and material </w:t>
      </w:r>
      <w:r w:rsidR="00A02DF5" w:rsidRPr="00C96B34">
        <w:rPr>
          <w:rFonts w:asciiTheme="minorHAnsi" w:hAnsiTheme="minorHAnsi"/>
          <w:sz w:val="22"/>
          <w:szCs w:val="22"/>
        </w:rPr>
        <w:t>in associating</w:t>
      </w:r>
      <w:r w:rsidR="00D57F38" w:rsidRPr="00C96B34">
        <w:rPr>
          <w:rFonts w:asciiTheme="minorHAnsi" w:hAnsiTheme="minorHAnsi"/>
          <w:sz w:val="22"/>
          <w:szCs w:val="22"/>
        </w:rPr>
        <w:t xml:space="preserve"> the stone with the god.</w:t>
      </w:r>
      <w:r w:rsidR="00A02DF5" w:rsidRPr="00C96B34">
        <w:rPr>
          <w:rStyle w:val="FootnoteReference"/>
          <w:rFonts w:asciiTheme="minorHAnsi" w:hAnsiTheme="minorHAnsi"/>
          <w:sz w:val="22"/>
          <w:szCs w:val="22"/>
        </w:rPr>
        <w:footnoteReference w:id="28"/>
      </w:r>
      <w:r w:rsidR="00D57F38" w:rsidRPr="00C96B34">
        <w:rPr>
          <w:rFonts w:asciiTheme="minorHAnsi" w:hAnsiTheme="minorHAnsi"/>
          <w:sz w:val="22"/>
          <w:szCs w:val="22"/>
        </w:rPr>
        <w:t xml:space="preserve"> She </w:t>
      </w:r>
      <w:r w:rsidR="002C3595" w:rsidRPr="00C96B34">
        <w:rPr>
          <w:rFonts w:asciiTheme="minorHAnsi" w:hAnsiTheme="minorHAnsi"/>
          <w:sz w:val="22"/>
          <w:szCs w:val="22"/>
        </w:rPr>
        <w:t>suggests such stones were</w:t>
      </w:r>
      <w:r w:rsidR="00CF66D5" w:rsidRPr="00C96B34">
        <w:rPr>
          <w:rFonts w:asciiTheme="minorHAnsi" w:hAnsiTheme="minorHAnsi"/>
          <w:sz w:val="22"/>
          <w:szCs w:val="22"/>
        </w:rPr>
        <w:t xml:space="preserve"> </w:t>
      </w:r>
      <w:r w:rsidR="00D57F38" w:rsidRPr="00C96B34">
        <w:rPr>
          <w:rFonts w:asciiTheme="minorHAnsi" w:hAnsiTheme="minorHAnsi"/>
          <w:sz w:val="22"/>
          <w:szCs w:val="22"/>
        </w:rPr>
        <w:t>understood</w:t>
      </w:r>
      <w:r w:rsidR="00CF66D5" w:rsidRPr="00C96B34">
        <w:rPr>
          <w:rFonts w:asciiTheme="minorHAnsi" w:hAnsiTheme="minorHAnsi"/>
          <w:sz w:val="22"/>
          <w:szCs w:val="22"/>
        </w:rPr>
        <w:t xml:space="preserve"> </w:t>
      </w:r>
      <w:r w:rsidR="002C3595" w:rsidRPr="00C96B34">
        <w:rPr>
          <w:rFonts w:asciiTheme="minorHAnsi" w:hAnsiTheme="minorHAnsi"/>
          <w:sz w:val="22"/>
          <w:szCs w:val="22"/>
        </w:rPr>
        <w:t xml:space="preserve">as </w:t>
      </w:r>
      <w:r w:rsidR="00CF66D5" w:rsidRPr="00C96B34">
        <w:rPr>
          <w:rFonts w:asciiTheme="minorHAnsi" w:hAnsiTheme="minorHAnsi"/>
          <w:sz w:val="22"/>
          <w:szCs w:val="22"/>
        </w:rPr>
        <w:t xml:space="preserve">‘potent </w:t>
      </w:r>
      <w:proofErr w:type="spellStart"/>
      <w:r w:rsidR="00CF66D5" w:rsidRPr="00C96B34">
        <w:rPr>
          <w:rFonts w:asciiTheme="minorHAnsi" w:hAnsiTheme="minorHAnsi"/>
          <w:sz w:val="22"/>
          <w:szCs w:val="22"/>
        </w:rPr>
        <w:t>intermediar</w:t>
      </w:r>
      <w:proofErr w:type="spellEnd"/>
      <w:r w:rsidR="00CF66D5" w:rsidRPr="00C96B34">
        <w:rPr>
          <w:rFonts w:asciiTheme="minorHAnsi" w:hAnsiTheme="minorHAnsi"/>
          <w:sz w:val="22"/>
          <w:szCs w:val="22"/>
        </w:rPr>
        <w:t>[</w:t>
      </w:r>
      <w:proofErr w:type="spellStart"/>
      <w:r w:rsidR="00CF66D5" w:rsidRPr="00C96B34">
        <w:rPr>
          <w:rFonts w:asciiTheme="minorHAnsi" w:hAnsiTheme="minorHAnsi"/>
          <w:sz w:val="22"/>
          <w:szCs w:val="22"/>
        </w:rPr>
        <w:t>ies</w:t>
      </w:r>
      <w:proofErr w:type="spellEnd"/>
      <w:r w:rsidR="00CF66D5" w:rsidRPr="00C96B34">
        <w:rPr>
          <w:rFonts w:asciiTheme="minorHAnsi" w:hAnsiTheme="minorHAnsi"/>
          <w:sz w:val="22"/>
          <w:szCs w:val="22"/>
        </w:rPr>
        <w:t>] spanning the abyss between revealed and concealed worlds</w:t>
      </w:r>
      <w:r w:rsidR="00E0147E" w:rsidRPr="00C96B34">
        <w:rPr>
          <w:rFonts w:asciiTheme="minorHAnsi" w:hAnsiTheme="minorHAnsi"/>
          <w:sz w:val="22"/>
          <w:szCs w:val="22"/>
        </w:rPr>
        <w:t>,</w:t>
      </w:r>
      <w:r w:rsidR="00CF66D5" w:rsidRPr="00C96B34">
        <w:rPr>
          <w:rFonts w:asciiTheme="minorHAnsi" w:hAnsiTheme="minorHAnsi"/>
          <w:sz w:val="22"/>
          <w:szCs w:val="22"/>
        </w:rPr>
        <w:t>’</w:t>
      </w:r>
      <w:r w:rsidR="006B41C1" w:rsidRPr="00C96B34">
        <w:rPr>
          <w:rFonts w:asciiTheme="minorHAnsi" w:hAnsiTheme="minorHAnsi"/>
          <w:sz w:val="22"/>
          <w:szCs w:val="22"/>
        </w:rPr>
        <w:t xml:space="preserve"> </w:t>
      </w:r>
      <w:r w:rsidR="00E0147E" w:rsidRPr="00C96B34">
        <w:rPr>
          <w:rFonts w:asciiTheme="minorHAnsi" w:hAnsiTheme="minorHAnsi"/>
          <w:sz w:val="22"/>
          <w:szCs w:val="22"/>
        </w:rPr>
        <w:t>u</w:t>
      </w:r>
      <w:r w:rsidR="00CF66D5" w:rsidRPr="00C96B34">
        <w:rPr>
          <w:rFonts w:asciiTheme="minorHAnsi" w:hAnsiTheme="minorHAnsi"/>
          <w:sz w:val="22"/>
          <w:szCs w:val="22"/>
        </w:rPr>
        <w:t xml:space="preserve">sed in </w:t>
      </w:r>
    </w:p>
    <w:p w14:paraId="0F075507" w14:textId="2755A2E5" w:rsidR="00C96B34" w:rsidRDefault="00C96B34" w:rsidP="00CF66D5">
      <w:pPr>
        <w:pStyle w:val="Default"/>
        <w:rPr>
          <w:rFonts w:asciiTheme="minorHAnsi" w:hAnsiTheme="minorHAnsi"/>
          <w:sz w:val="22"/>
          <w:szCs w:val="22"/>
        </w:rPr>
      </w:pPr>
      <w:r>
        <w:rPr>
          <w:rFonts w:asciiTheme="minorHAnsi" w:hAnsiTheme="minorHAnsi"/>
          <w:sz w:val="22"/>
          <w:szCs w:val="22"/>
        </w:rPr>
        <w:tab/>
      </w:r>
    </w:p>
    <w:p w14:paraId="3068C238" w14:textId="1B56EB42" w:rsidR="00E0147E" w:rsidRPr="00C96B34" w:rsidRDefault="00CF66D5" w:rsidP="00C96B34">
      <w:pPr>
        <w:pStyle w:val="Default"/>
        <w:ind w:left="720"/>
        <w:rPr>
          <w:rFonts w:asciiTheme="minorHAnsi" w:hAnsiTheme="minorHAnsi"/>
          <w:sz w:val="20"/>
          <w:szCs w:val="20"/>
        </w:rPr>
      </w:pPr>
      <w:r w:rsidRPr="00C96B34">
        <w:rPr>
          <w:rFonts w:asciiTheme="minorHAnsi" w:hAnsiTheme="minorHAnsi"/>
          <w:sz w:val="20"/>
          <w:szCs w:val="20"/>
        </w:rPr>
        <w:t>theurgic efforts to transform the soul through a direct experience of divinity</w:t>
      </w:r>
      <w:r w:rsidR="00C96B34" w:rsidRPr="00C96B34">
        <w:rPr>
          <w:rFonts w:asciiTheme="minorHAnsi" w:hAnsiTheme="minorHAnsi"/>
          <w:sz w:val="20"/>
          <w:szCs w:val="20"/>
        </w:rPr>
        <w:t xml:space="preserve"> </w:t>
      </w:r>
      <w:r w:rsidRPr="00C96B34">
        <w:rPr>
          <w:rFonts w:asciiTheme="minorHAnsi" w:hAnsiTheme="minorHAnsi"/>
          <w:sz w:val="20"/>
          <w:szCs w:val="20"/>
        </w:rPr>
        <w:t>... the stones were dynamic participants in the ritual, ensuring that the god in the stone would join in.</w:t>
      </w:r>
      <w:r w:rsidR="006B41C1" w:rsidRPr="00C96B34">
        <w:rPr>
          <w:rStyle w:val="FootnoteReference"/>
          <w:rFonts w:asciiTheme="minorHAnsi" w:hAnsiTheme="minorHAnsi"/>
          <w:sz w:val="20"/>
          <w:szCs w:val="20"/>
        </w:rPr>
        <w:footnoteReference w:id="29"/>
      </w:r>
      <w:r w:rsidRPr="00C96B34">
        <w:rPr>
          <w:rFonts w:asciiTheme="minorHAnsi" w:hAnsiTheme="minorHAnsi"/>
          <w:sz w:val="20"/>
          <w:szCs w:val="20"/>
        </w:rPr>
        <w:t xml:space="preserve"> </w:t>
      </w:r>
    </w:p>
    <w:p w14:paraId="2F827FDF" w14:textId="77777777" w:rsidR="00E0147E" w:rsidRDefault="00E0147E" w:rsidP="00CF66D5">
      <w:pPr>
        <w:pStyle w:val="Default"/>
      </w:pPr>
    </w:p>
    <w:p w14:paraId="6DAD9326" w14:textId="0F176CE2" w:rsidR="00CF66D5" w:rsidRPr="00C96B34" w:rsidRDefault="00CF66D5" w:rsidP="00CF66D5">
      <w:pPr>
        <w:pStyle w:val="Default"/>
        <w:rPr>
          <w:rFonts w:asciiTheme="minorHAnsi" w:hAnsiTheme="minorHAnsi" w:cs="Times-Roman"/>
          <w:sz w:val="22"/>
          <w:szCs w:val="22"/>
        </w:rPr>
      </w:pPr>
      <w:r w:rsidRPr="00C96B34">
        <w:rPr>
          <w:rFonts w:asciiTheme="minorHAnsi" w:hAnsiTheme="minorHAnsi"/>
          <w:sz w:val="22"/>
          <w:szCs w:val="22"/>
        </w:rPr>
        <w:t>Th</w:t>
      </w:r>
      <w:r w:rsidR="00E0147E" w:rsidRPr="00C96B34">
        <w:rPr>
          <w:rFonts w:asciiTheme="minorHAnsi" w:hAnsiTheme="minorHAnsi"/>
          <w:sz w:val="22"/>
          <w:szCs w:val="22"/>
        </w:rPr>
        <w:t>e above descriptions</w:t>
      </w:r>
      <w:r w:rsidRPr="00C96B34">
        <w:rPr>
          <w:rFonts w:asciiTheme="minorHAnsi" w:hAnsiTheme="minorHAnsi"/>
          <w:sz w:val="22"/>
          <w:szCs w:val="22"/>
        </w:rPr>
        <w:t xml:space="preserve"> give the impression of </w:t>
      </w:r>
      <w:r w:rsidR="00E0147E" w:rsidRPr="00C96B34">
        <w:rPr>
          <w:rFonts w:asciiTheme="minorHAnsi" w:hAnsiTheme="minorHAnsi"/>
          <w:sz w:val="22"/>
          <w:szCs w:val="22"/>
        </w:rPr>
        <w:t>the</w:t>
      </w:r>
      <w:r w:rsidR="000C784D">
        <w:rPr>
          <w:rFonts w:asciiTheme="minorHAnsi" w:hAnsiTheme="minorHAnsi"/>
          <w:sz w:val="22"/>
          <w:szCs w:val="22"/>
        </w:rPr>
        <w:t xml:space="preserve"> rich</w:t>
      </w:r>
      <w:r w:rsidR="00E0147E" w:rsidRPr="00C96B34">
        <w:rPr>
          <w:rFonts w:asciiTheme="minorHAnsi" w:hAnsiTheme="minorHAnsi"/>
          <w:sz w:val="22"/>
          <w:szCs w:val="22"/>
        </w:rPr>
        <w:t xml:space="preserve"> ‘sensorium’ </w:t>
      </w:r>
      <w:r w:rsidR="00B278BD" w:rsidRPr="00C96B34">
        <w:rPr>
          <w:rFonts w:asciiTheme="minorHAnsi" w:hAnsiTheme="minorHAnsi"/>
          <w:sz w:val="22"/>
          <w:szCs w:val="22"/>
        </w:rPr>
        <w:t>involved in consulting the astrologer’s board</w:t>
      </w:r>
      <w:r w:rsidR="00C96B34" w:rsidRPr="00C96B34">
        <w:rPr>
          <w:rFonts w:asciiTheme="minorHAnsi" w:hAnsiTheme="minorHAnsi"/>
          <w:sz w:val="22"/>
          <w:szCs w:val="22"/>
        </w:rPr>
        <w:t xml:space="preserve"> - </w:t>
      </w:r>
      <w:r w:rsidR="00E0147E" w:rsidRPr="00C96B34">
        <w:rPr>
          <w:rFonts w:asciiTheme="minorHAnsi" w:hAnsiTheme="minorHAnsi"/>
          <w:sz w:val="22"/>
          <w:szCs w:val="22"/>
        </w:rPr>
        <w:t>colour</w:t>
      </w:r>
      <w:r w:rsidR="002C3595" w:rsidRPr="00C96B34">
        <w:rPr>
          <w:rFonts w:asciiTheme="minorHAnsi" w:hAnsiTheme="minorHAnsi"/>
          <w:sz w:val="22"/>
          <w:szCs w:val="22"/>
        </w:rPr>
        <w:t>,</w:t>
      </w:r>
      <w:r w:rsidR="00E0147E" w:rsidRPr="00C96B34">
        <w:rPr>
          <w:rFonts w:asciiTheme="minorHAnsi" w:hAnsiTheme="minorHAnsi"/>
          <w:sz w:val="22"/>
          <w:szCs w:val="22"/>
        </w:rPr>
        <w:t xml:space="preserve"> ritual</w:t>
      </w:r>
      <w:r w:rsidRPr="00C96B34">
        <w:rPr>
          <w:rFonts w:asciiTheme="minorHAnsi" w:hAnsiTheme="minorHAnsi"/>
          <w:sz w:val="22"/>
          <w:szCs w:val="22"/>
        </w:rPr>
        <w:t xml:space="preserve">, </w:t>
      </w:r>
      <w:r w:rsidR="00D57F38" w:rsidRPr="00C96B34">
        <w:rPr>
          <w:rFonts w:asciiTheme="minorHAnsi" w:hAnsiTheme="minorHAnsi"/>
          <w:sz w:val="22"/>
          <w:szCs w:val="22"/>
        </w:rPr>
        <w:t>sight</w:t>
      </w:r>
      <w:r w:rsidR="002C3595" w:rsidRPr="00C96B34">
        <w:rPr>
          <w:rFonts w:asciiTheme="minorHAnsi" w:hAnsiTheme="minorHAnsi"/>
          <w:sz w:val="22"/>
          <w:szCs w:val="22"/>
        </w:rPr>
        <w:t>,</w:t>
      </w:r>
      <w:r w:rsidR="00D57F38" w:rsidRPr="00C96B34">
        <w:rPr>
          <w:rFonts w:asciiTheme="minorHAnsi" w:hAnsiTheme="minorHAnsi"/>
          <w:sz w:val="22"/>
          <w:szCs w:val="22"/>
        </w:rPr>
        <w:t xml:space="preserve"> possibly touch</w:t>
      </w:r>
      <w:r w:rsidR="00C96B34" w:rsidRPr="00C96B34">
        <w:rPr>
          <w:rFonts w:asciiTheme="minorHAnsi" w:hAnsiTheme="minorHAnsi"/>
          <w:sz w:val="22"/>
          <w:szCs w:val="22"/>
        </w:rPr>
        <w:t xml:space="preserve"> – with </w:t>
      </w:r>
      <w:r w:rsidRPr="00C96B34">
        <w:rPr>
          <w:rFonts w:asciiTheme="minorHAnsi" w:hAnsiTheme="minorHAnsi"/>
          <w:sz w:val="22"/>
          <w:szCs w:val="22"/>
        </w:rPr>
        <w:t xml:space="preserve">the board of the horoscope becoming a sacred </w:t>
      </w:r>
      <w:proofErr w:type="gramStart"/>
      <w:r w:rsidRPr="00C96B34">
        <w:rPr>
          <w:rFonts w:asciiTheme="minorHAnsi" w:hAnsiTheme="minorHAnsi"/>
          <w:sz w:val="22"/>
          <w:szCs w:val="22"/>
        </w:rPr>
        <w:t>universe in its own right</w:t>
      </w:r>
      <w:r w:rsidR="00ED17D8" w:rsidRPr="00C96B34">
        <w:rPr>
          <w:rFonts w:asciiTheme="minorHAnsi" w:hAnsiTheme="minorHAnsi"/>
          <w:sz w:val="22"/>
          <w:szCs w:val="22"/>
        </w:rPr>
        <w:t>, one</w:t>
      </w:r>
      <w:proofErr w:type="gramEnd"/>
      <w:r w:rsidR="00ED17D8" w:rsidRPr="00C96B34">
        <w:rPr>
          <w:rFonts w:asciiTheme="minorHAnsi" w:hAnsiTheme="minorHAnsi"/>
          <w:sz w:val="22"/>
          <w:szCs w:val="22"/>
        </w:rPr>
        <w:t xml:space="preserve"> that contained and called down the gods</w:t>
      </w:r>
      <w:r w:rsidRPr="00C96B34">
        <w:rPr>
          <w:rFonts w:asciiTheme="minorHAnsi" w:hAnsiTheme="minorHAnsi"/>
          <w:sz w:val="22"/>
          <w:szCs w:val="22"/>
        </w:rPr>
        <w:t xml:space="preserve">. </w:t>
      </w:r>
      <w:r w:rsidR="002C3595" w:rsidRPr="00C96B34">
        <w:rPr>
          <w:rFonts w:asciiTheme="minorHAnsi" w:hAnsiTheme="minorHAnsi"/>
          <w:sz w:val="22"/>
          <w:szCs w:val="22"/>
        </w:rPr>
        <w:t>It is easy</w:t>
      </w:r>
      <w:r w:rsidR="00B278BD" w:rsidRPr="00C96B34">
        <w:rPr>
          <w:rFonts w:asciiTheme="minorHAnsi" w:hAnsiTheme="minorHAnsi"/>
          <w:sz w:val="22"/>
          <w:szCs w:val="22"/>
        </w:rPr>
        <w:t>, here,</w:t>
      </w:r>
      <w:r w:rsidR="002C3595" w:rsidRPr="00C96B34">
        <w:rPr>
          <w:rFonts w:asciiTheme="minorHAnsi" w:hAnsiTheme="minorHAnsi"/>
          <w:sz w:val="22"/>
          <w:szCs w:val="22"/>
        </w:rPr>
        <w:t xml:space="preserve"> to identify the astrologer’s board as a religious object, an object that is </w:t>
      </w:r>
      <w:r w:rsidR="002C3595" w:rsidRPr="00C96B34">
        <w:rPr>
          <w:rFonts w:asciiTheme="minorHAnsi" w:hAnsiTheme="minorHAnsi" w:cs="Arial"/>
          <w:sz w:val="22"/>
          <w:szCs w:val="22"/>
        </w:rPr>
        <w:t>‘charged with culturally-specific sacred meanings</w:t>
      </w:r>
      <w:r w:rsidR="001C6559">
        <w:rPr>
          <w:rFonts w:asciiTheme="minorHAnsi" w:hAnsiTheme="minorHAnsi" w:cs="Arial"/>
          <w:sz w:val="22"/>
          <w:szCs w:val="22"/>
        </w:rPr>
        <w:t>,</w:t>
      </w:r>
      <w:r w:rsidR="002C3595" w:rsidRPr="00C96B34">
        <w:rPr>
          <w:rFonts w:asciiTheme="minorHAnsi" w:hAnsiTheme="minorHAnsi" w:cs="Arial"/>
          <w:sz w:val="22"/>
          <w:szCs w:val="22"/>
        </w:rPr>
        <w:t>’</w:t>
      </w:r>
      <w:r w:rsidR="001C6559">
        <w:rPr>
          <w:rFonts w:asciiTheme="minorHAnsi" w:hAnsiTheme="minorHAnsi" w:cs="Arial"/>
          <w:sz w:val="22"/>
          <w:szCs w:val="22"/>
        </w:rPr>
        <w:t xml:space="preserve"> and the consultation itself as material religion.</w:t>
      </w:r>
      <w:r w:rsidR="006B41C1" w:rsidRPr="00C96B34">
        <w:rPr>
          <w:rStyle w:val="FootnoteReference"/>
          <w:rFonts w:asciiTheme="minorHAnsi" w:hAnsiTheme="minorHAnsi" w:cs="Arial"/>
          <w:sz w:val="22"/>
          <w:szCs w:val="22"/>
        </w:rPr>
        <w:footnoteReference w:id="30"/>
      </w:r>
      <w:r w:rsidR="002C3595" w:rsidRPr="00C96B34">
        <w:rPr>
          <w:rStyle w:val="FootnoteReference"/>
          <w:rFonts w:asciiTheme="minorHAnsi" w:hAnsiTheme="minorHAnsi"/>
          <w:sz w:val="22"/>
          <w:szCs w:val="22"/>
        </w:rPr>
        <w:t xml:space="preserve"> </w:t>
      </w:r>
      <w:r w:rsidRPr="00C96B34">
        <w:rPr>
          <w:rFonts w:asciiTheme="minorHAnsi" w:hAnsiTheme="minorHAnsi"/>
          <w:sz w:val="22"/>
          <w:szCs w:val="22"/>
        </w:rPr>
        <w:t xml:space="preserve">But what about a modern horoscope, </w:t>
      </w:r>
      <w:r w:rsidR="002C3595" w:rsidRPr="00C96B34">
        <w:rPr>
          <w:rFonts w:asciiTheme="minorHAnsi" w:hAnsiTheme="minorHAnsi" w:cs="Times-Roman"/>
          <w:sz w:val="22"/>
          <w:szCs w:val="22"/>
        </w:rPr>
        <w:t>drawn</w:t>
      </w:r>
      <w:r w:rsidRPr="00C96B34">
        <w:rPr>
          <w:rFonts w:asciiTheme="minorHAnsi" w:hAnsiTheme="minorHAnsi" w:cs="Times-Roman"/>
          <w:sz w:val="22"/>
          <w:szCs w:val="22"/>
        </w:rPr>
        <w:t xml:space="preserve"> on </w:t>
      </w:r>
      <w:r w:rsidR="002C3595" w:rsidRPr="00C96B34">
        <w:rPr>
          <w:rFonts w:asciiTheme="minorHAnsi" w:hAnsiTheme="minorHAnsi" w:cs="Times-Roman"/>
          <w:sz w:val="22"/>
          <w:szCs w:val="22"/>
        </w:rPr>
        <w:t xml:space="preserve">a sheet of </w:t>
      </w:r>
      <w:r w:rsidRPr="00C96B34">
        <w:rPr>
          <w:rFonts w:asciiTheme="minorHAnsi" w:hAnsiTheme="minorHAnsi" w:cs="Times-Roman"/>
          <w:sz w:val="22"/>
          <w:szCs w:val="22"/>
        </w:rPr>
        <w:t>paper, printed,</w:t>
      </w:r>
      <w:r w:rsidR="002C3595" w:rsidRPr="00C96B34">
        <w:rPr>
          <w:rFonts w:asciiTheme="minorHAnsi" w:hAnsiTheme="minorHAnsi" w:cs="Times-Roman"/>
          <w:sz w:val="22"/>
          <w:szCs w:val="22"/>
        </w:rPr>
        <w:t xml:space="preserve"> or not, from</w:t>
      </w:r>
      <w:r w:rsidRPr="00C96B34">
        <w:rPr>
          <w:rFonts w:asciiTheme="minorHAnsi" w:hAnsiTheme="minorHAnsi" w:cs="Times-Roman"/>
          <w:sz w:val="22"/>
          <w:szCs w:val="22"/>
        </w:rPr>
        <w:t xml:space="preserve"> a computer screen, or </w:t>
      </w:r>
      <w:r w:rsidR="002C3595" w:rsidRPr="00C96B34">
        <w:rPr>
          <w:rFonts w:asciiTheme="minorHAnsi" w:hAnsiTheme="minorHAnsi" w:cs="Times-Roman"/>
          <w:sz w:val="22"/>
          <w:szCs w:val="22"/>
        </w:rPr>
        <w:t xml:space="preserve">simply </w:t>
      </w:r>
      <w:r w:rsidR="001C6559">
        <w:rPr>
          <w:rFonts w:asciiTheme="minorHAnsi" w:hAnsiTheme="minorHAnsi" w:cs="Times-Roman"/>
          <w:sz w:val="22"/>
          <w:szCs w:val="22"/>
        </w:rPr>
        <w:t xml:space="preserve">held in the mind </w:t>
      </w:r>
      <w:r w:rsidRPr="00C96B34">
        <w:rPr>
          <w:rFonts w:asciiTheme="minorHAnsi" w:hAnsiTheme="minorHAnsi" w:cs="Times-Roman"/>
          <w:sz w:val="22"/>
          <w:szCs w:val="22"/>
        </w:rPr>
        <w:t xml:space="preserve">as an internal image? </w:t>
      </w:r>
    </w:p>
    <w:p w14:paraId="36F30647" w14:textId="77777777" w:rsidR="00CF66D5" w:rsidRDefault="00CF66D5" w:rsidP="00CF66D5">
      <w:pPr>
        <w:pStyle w:val="Default"/>
        <w:rPr>
          <w:rFonts w:cs="Times-Roman"/>
        </w:rPr>
      </w:pPr>
    </w:p>
    <w:p w14:paraId="75E720A5" w14:textId="77777777" w:rsidR="00CF66D5" w:rsidRDefault="00CF66D5" w:rsidP="00CF66D5">
      <w:pPr>
        <w:pStyle w:val="Default"/>
        <w:rPr>
          <w:rFonts w:cs="Times-Roman"/>
        </w:rPr>
      </w:pPr>
      <w:r>
        <w:rPr>
          <w:rFonts w:cs="Times-Roman"/>
          <w:noProof/>
        </w:rPr>
        <w:lastRenderedPageBreak/>
        <w:drawing>
          <wp:inline distT="0" distB="0" distL="0" distR="0" wp14:anchorId="2265FB05" wp14:editId="46838961">
            <wp:extent cx="2305634" cy="2417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jpg"/>
                    <pic:cNvPicPr/>
                  </pic:nvPicPr>
                  <pic:blipFill>
                    <a:blip r:embed="rId9">
                      <a:extLst>
                        <a:ext uri="{28A0092B-C50C-407E-A947-70E740481C1C}">
                          <a14:useLocalDpi xmlns:a14="http://schemas.microsoft.com/office/drawing/2010/main" val="0"/>
                        </a:ext>
                      </a:extLst>
                    </a:blip>
                    <a:stretch>
                      <a:fillRect/>
                    </a:stretch>
                  </pic:blipFill>
                  <pic:spPr>
                    <a:xfrm>
                      <a:off x="0" y="0"/>
                      <a:ext cx="2332479" cy="2445592"/>
                    </a:xfrm>
                    <a:prstGeom prst="rect">
                      <a:avLst/>
                    </a:prstGeom>
                  </pic:spPr>
                </pic:pic>
              </a:graphicData>
            </a:graphic>
          </wp:inline>
        </w:drawing>
      </w:r>
    </w:p>
    <w:p w14:paraId="3EDC5FD7" w14:textId="1AD1DE03" w:rsidR="00CF66D5" w:rsidRPr="00295EF8" w:rsidRDefault="00176067" w:rsidP="00CF66D5">
      <w:pPr>
        <w:pStyle w:val="Default"/>
        <w:rPr>
          <w:rFonts w:cs="Times-Roman"/>
          <w:sz w:val="20"/>
          <w:szCs w:val="20"/>
        </w:rPr>
      </w:pPr>
      <w:r w:rsidRPr="00FC73B3">
        <w:rPr>
          <w:rFonts w:cs="Times-Roman"/>
          <w:sz w:val="20"/>
          <w:szCs w:val="20"/>
        </w:rPr>
        <w:t xml:space="preserve">Figure 1. </w:t>
      </w:r>
      <w:r w:rsidR="00FC73B3">
        <w:rPr>
          <w:rFonts w:cs="Times-Roman"/>
          <w:sz w:val="20"/>
          <w:szCs w:val="20"/>
        </w:rPr>
        <w:t>H</w:t>
      </w:r>
      <w:r w:rsidRPr="00FC73B3">
        <w:rPr>
          <w:rFonts w:cs="Times-Roman"/>
          <w:sz w:val="20"/>
          <w:szCs w:val="20"/>
        </w:rPr>
        <w:t>oroscope produced by</w:t>
      </w:r>
      <w:r w:rsidR="00FC73B3" w:rsidRPr="00FC73B3">
        <w:rPr>
          <w:rFonts w:cs="Times-Roman"/>
          <w:sz w:val="20"/>
          <w:szCs w:val="20"/>
        </w:rPr>
        <w:t xml:space="preserve"> Solar Fire Astrology Software, image by author, 2018</w:t>
      </w:r>
      <w:r w:rsidRPr="00FC73B3">
        <w:rPr>
          <w:rFonts w:cs="Times-Roman"/>
          <w:sz w:val="20"/>
          <w:szCs w:val="20"/>
        </w:rPr>
        <w:t>.</w:t>
      </w:r>
    </w:p>
    <w:p w14:paraId="70B09610" w14:textId="77777777" w:rsidR="00176067" w:rsidRDefault="00176067" w:rsidP="00CF66D5">
      <w:pPr>
        <w:pStyle w:val="Default"/>
        <w:rPr>
          <w:rFonts w:cs="Times-Roman"/>
        </w:rPr>
      </w:pPr>
    </w:p>
    <w:p w14:paraId="080495B8" w14:textId="18AB67E3" w:rsidR="000C784D" w:rsidRDefault="00CF66D5" w:rsidP="00CF66D5">
      <w:r>
        <w:t xml:space="preserve">Figure 1 shows a modern horoscope, produced by computer software. It </w:t>
      </w:r>
      <w:r w:rsidR="002C3595">
        <w:t xml:space="preserve">is made up of </w:t>
      </w:r>
      <w:r>
        <w:t>spheres</w:t>
      </w:r>
      <w:r w:rsidR="002C3595">
        <w:t xml:space="preserve">, like the astrologer’s board, </w:t>
      </w:r>
      <w:r>
        <w:t xml:space="preserve">but in place of the precious gems are planetary glyphs, that nonetheless retain – in this software at least – </w:t>
      </w:r>
      <w:r w:rsidR="002C3595">
        <w:t>an</w:t>
      </w:r>
      <w:r>
        <w:t xml:space="preserve"> association of </w:t>
      </w:r>
      <w:r w:rsidR="002C3595">
        <w:t xml:space="preserve">colour with the </w:t>
      </w:r>
      <w:r>
        <w:t xml:space="preserve">planets (Venus for example is blue, like the lapis lazuli described </w:t>
      </w:r>
      <w:r w:rsidR="002C3595">
        <w:t>above, used with</w:t>
      </w:r>
      <w:r>
        <w:t xml:space="preserve"> the astrologer’s board). Greene</w:t>
      </w:r>
      <w:r w:rsidR="002C3595">
        <w:t xml:space="preserve"> </w:t>
      </w:r>
      <w:r w:rsidR="000062E3">
        <w:t>notes the ancient roots</w:t>
      </w:r>
      <w:r w:rsidR="001C6559">
        <w:t xml:space="preserve"> of the glyphs,</w:t>
      </w:r>
      <w:r w:rsidR="000062E3">
        <w:t xml:space="preserve"> </w:t>
      </w:r>
      <w:r w:rsidR="000C784D">
        <w:t>and suggests that</w:t>
      </w:r>
      <w:r w:rsidR="001C6559">
        <w:t>, rather than a simple shorthand,</w:t>
      </w:r>
      <w:r w:rsidR="000C784D">
        <w:t xml:space="preserve"> </w:t>
      </w:r>
      <w:r w:rsidR="000062E3">
        <w:t xml:space="preserve">the </w:t>
      </w:r>
      <w:r w:rsidR="000C784D">
        <w:t xml:space="preserve">glyphs </w:t>
      </w:r>
      <w:r w:rsidR="002C3595">
        <w:t>may be</w:t>
      </w:r>
      <w:r>
        <w:t xml:space="preserve"> like </w:t>
      </w:r>
    </w:p>
    <w:p w14:paraId="6101AD7E" w14:textId="77777777" w:rsidR="000C784D" w:rsidRPr="000C784D" w:rsidRDefault="000C784D" w:rsidP="00CF66D5">
      <w:pPr>
        <w:rPr>
          <w:sz w:val="20"/>
          <w:szCs w:val="20"/>
        </w:rPr>
      </w:pPr>
    </w:p>
    <w:p w14:paraId="4E4AC8D8" w14:textId="3ABB31DA" w:rsidR="000C784D" w:rsidRPr="000C784D" w:rsidRDefault="00CF66D5" w:rsidP="00CF66D5">
      <w:pPr>
        <w:rPr>
          <w:sz w:val="20"/>
          <w:szCs w:val="20"/>
        </w:rPr>
      </w:pPr>
      <w:r w:rsidRPr="000C784D">
        <w:rPr>
          <w:sz w:val="20"/>
          <w:szCs w:val="20"/>
        </w:rPr>
        <w:t xml:space="preserve">the Greek perception of Egyptian </w:t>
      </w:r>
      <w:r w:rsidR="000062E3" w:rsidRPr="000C784D">
        <w:rPr>
          <w:sz w:val="20"/>
          <w:szCs w:val="20"/>
        </w:rPr>
        <w:t>hieroglyphic</w:t>
      </w:r>
      <w:r w:rsidRPr="000C784D">
        <w:rPr>
          <w:sz w:val="20"/>
          <w:szCs w:val="20"/>
        </w:rPr>
        <w:t xml:space="preserve">s – a word which literally means ‘divine inscription’ – and the understanding of these characters as a mode of </w:t>
      </w:r>
      <w:proofErr w:type="gramStart"/>
      <w:r w:rsidRPr="000C784D">
        <w:rPr>
          <w:sz w:val="20"/>
          <w:szCs w:val="20"/>
        </w:rPr>
        <w:t>symbolically representing</w:t>
      </w:r>
      <w:proofErr w:type="gramEnd"/>
      <w:r w:rsidRPr="000C784D">
        <w:rPr>
          <w:sz w:val="20"/>
          <w:szCs w:val="20"/>
        </w:rPr>
        <w:t xml:space="preserve"> aspects of the divine.</w:t>
      </w:r>
      <w:r w:rsidRPr="000C784D">
        <w:rPr>
          <w:rStyle w:val="FootnoteReference"/>
          <w:sz w:val="20"/>
          <w:szCs w:val="20"/>
        </w:rPr>
        <w:footnoteReference w:id="31"/>
      </w:r>
      <w:r w:rsidRPr="000C784D">
        <w:rPr>
          <w:sz w:val="20"/>
          <w:szCs w:val="20"/>
        </w:rPr>
        <w:t xml:space="preserve"> </w:t>
      </w:r>
    </w:p>
    <w:p w14:paraId="19710EA3" w14:textId="77777777" w:rsidR="000C784D" w:rsidRDefault="000C784D" w:rsidP="00CF66D5"/>
    <w:p w14:paraId="157CAE54" w14:textId="54E9A76F" w:rsidR="00CF66D5" w:rsidRDefault="001C6559" w:rsidP="00CF66D5">
      <w:r>
        <w:t>If this is so, the</w:t>
      </w:r>
      <w:r w:rsidR="00B278BD">
        <w:t xml:space="preserve"> planetary glyphs may represent and even embody the divine in the same way as the planetary gems</w:t>
      </w:r>
      <w:r w:rsidR="000C784D">
        <w:t xml:space="preserve"> that decked the astrologer’s board</w:t>
      </w:r>
      <w:r w:rsidR="00B278BD">
        <w:t>.</w:t>
      </w:r>
      <w:r w:rsidR="00CF66D5">
        <w:t xml:space="preserve"> </w:t>
      </w:r>
    </w:p>
    <w:p w14:paraId="272470C6" w14:textId="3C071686" w:rsidR="0040449A" w:rsidRDefault="0040449A" w:rsidP="00CF66D5"/>
    <w:p w14:paraId="76F7EE2A" w14:textId="1287FC76" w:rsidR="0040449A" w:rsidRDefault="0040449A" w:rsidP="0040449A">
      <w:pPr>
        <w:pStyle w:val="Heading2"/>
      </w:pPr>
      <w:r>
        <w:t xml:space="preserve">The horoscope as sacred </w:t>
      </w:r>
      <w:r w:rsidR="00181D14">
        <w:t>map and sacred space</w:t>
      </w:r>
      <w:r>
        <w:t xml:space="preserve"> </w:t>
      </w:r>
    </w:p>
    <w:p w14:paraId="28551FA0" w14:textId="40B49AE8" w:rsidR="00CF66D5" w:rsidRDefault="00B242F6" w:rsidP="00CF66D5">
      <w:r>
        <w:t>Some</w:t>
      </w:r>
      <w:r w:rsidR="0040449A">
        <w:t xml:space="preserve"> astrologers describe </w:t>
      </w:r>
      <w:r w:rsidR="00181D14">
        <w:t xml:space="preserve">the horoscope </w:t>
      </w:r>
      <w:r w:rsidR="0040449A">
        <w:t>as a realistic map of the sky</w:t>
      </w:r>
      <w:r w:rsidR="00666608">
        <w:t xml:space="preserve"> - </w:t>
      </w:r>
      <w:r w:rsidR="0040449A">
        <w:t>calling it, for example, ‘a map of</w:t>
      </w:r>
      <w:r w:rsidR="00666608">
        <w:t xml:space="preserve"> …</w:t>
      </w:r>
      <w:r w:rsidR="0040449A">
        <w:t xml:space="preserve"> the exact moment of your birth,’ or ‘a snapshot of the heavens the moment you were born</w:t>
      </w:r>
      <w:r>
        <w:t>.</w:t>
      </w:r>
      <w:r w:rsidR="0040449A">
        <w:t>’</w:t>
      </w:r>
      <w:r w:rsidR="00666608">
        <w:t xml:space="preserve"> </w:t>
      </w:r>
      <w:r>
        <w:t xml:space="preserve">Brady </w:t>
      </w:r>
      <w:r w:rsidR="0040449A">
        <w:t xml:space="preserve">covers the technical reasons why this is </w:t>
      </w:r>
      <w:r w:rsidR="00181D14">
        <w:t xml:space="preserve">not </w:t>
      </w:r>
      <w:r>
        <w:t>an accurate understanding of what is represented in the horoscope, and</w:t>
      </w:r>
      <w:r w:rsidRPr="00B242F6">
        <w:t xml:space="preserve"> </w:t>
      </w:r>
      <w:r w:rsidR="00181D14">
        <w:t>suggests that the</w:t>
      </w:r>
      <w:r w:rsidR="00CF66D5">
        <w:t xml:space="preserve"> natal chart</w:t>
      </w:r>
      <w:r w:rsidR="00CD0D9A">
        <w:t xml:space="preserve"> </w:t>
      </w:r>
      <w:r w:rsidR="000C784D">
        <w:t>was never meant to be a map, in the sense of modern cartography, but</w:t>
      </w:r>
      <w:r w:rsidR="00CF66D5">
        <w:t xml:space="preserve"> </w:t>
      </w:r>
      <w:r w:rsidR="00CD0D9A">
        <w:t xml:space="preserve">is like </w:t>
      </w:r>
      <w:r w:rsidR="00181D14">
        <w:t>medieval maps</w:t>
      </w:r>
      <w:r w:rsidR="00CD0D9A">
        <w:t>,</w:t>
      </w:r>
      <w:r w:rsidR="00181D14">
        <w:t xml:space="preserve"> </w:t>
      </w:r>
      <w:r>
        <w:t xml:space="preserve">which were </w:t>
      </w:r>
      <w:bookmarkStart w:id="10" w:name="_GoBack"/>
      <w:bookmarkEnd w:id="10"/>
      <w:r w:rsidR="00CD0D9A">
        <w:t>‘</w:t>
      </w:r>
      <w:r w:rsidR="00181D14">
        <w:t>as much concerned with philosophy and theology’</w:t>
      </w:r>
      <w:r w:rsidR="00CD0D9A">
        <w:t xml:space="preserve"> as with any literal geography</w:t>
      </w:r>
      <w:r w:rsidR="00181D14">
        <w:t>.</w:t>
      </w:r>
      <w:r w:rsidR="00666608">
        <w:rPr>
          <w:rStyle w:val="FootnoteReference"/>
        </w:rPr>
        <w:footnoteReference w:id="32"/>
      </w:r>
      <w:r w:rsidR="00181D14">
        <w:t xml:space="preserve"> </w:t>
      </w:r>
      <w:r w:rsidR="00CF66D5">
        <w:t xml:space="preserve">Brady thus defines the horoscope  </w:t>
      </w:r>
    </w:p>
    <w:p w14:paraId="146C39A9" w14:textId="77777777" w:rsidR="00CF66D5" w:rsidRDefault="00CF66D5" w:rsidP="00CF66D5"/>
    <w:p w14:paraId="1D103256" w14:textId="73E2B9F6" w:rsidR="0027007E" w:rsidRDefault="00CF66D5" w:rsidP="00181D14">
      <w:pPr>
        <w:ind w:left="720"/>
        <w:rPr>
          <w:sz w:val="20"/>
          <w:szCs w:val="20"/>
        </w:rPr>
      </w:pPr>
      <w:r w:rsidRPr="00003031">
        <w:rPr>
          <w:sz w:val="20"/>
          <w:szCs w:val="20"/>
        </w:rPr>
        <w:t xml:space="preserve">as a symbolic or sacred map suggestive of what Mircea Eliade defined as an </w:t>
      </w:r>
      <w:r w:rsidRPr="00003031">
        <w:rPr>
          <w:i/>
          <w:sz w:val="20"/>
          <w:szCs w:val="20"/>
        </w:rPr>
        <w:t xml:space="preserve">imago </w:t>
      </w:r>
      <w:proofErr w:type="gramStart"/>
      <w:r w:rsidRPr="00003031">
        <w:rPr>
          <w:i/>
          <w:sz w:val="20"/>
          <w:szCs w:val="20"/>
        </w:rPr>
        <w:t>mundi</w:t>
      </w:r>
      <w:proofErr w:type="gramEnd"/>
      <w:r w:rsidRPr="00003031">
        <w:rPr>
          <w:sz w:val="20"/>
          <w:szCs w:val="20"/>
        </w:rPr>
        <w:t xml:space="preserve">. </w:t>
      </w:r>
      <w:proofErr w:type="gramStart"/>
      <w:r w:rsidRPr="00003031">
        <w:rPr>
          <w:sz w:val="20"/>
          <w:szCs w:val="20"/>
        </w:rPr>
        <w:t>That is to say a</w:t>
      </w:r>
      <w:proofErr w:type="gramEnd"/>
      <w:r w:rsidRPr="00003031">
        <w:rPr>
          <w:sz w:val="20"/>
          <w:szCs w:val="20"/>
        </w:rPr>
        <w:t xml:space="preserve"> map of sacred space</w:t>
      </w:r>
      <w:r w:rsidR="00C67911">
        <w:rPr>
          <w:sz w:val="20"/>
          <w:szCs w:val="20"/>
        </w:rPr>
        <w:t>.</w:t>
      </w:r>
      <w:r w:rsidRPr="00003031">
        <w:rPr>
          <w:rStyle w:val="FootnoteReference"/>
          <w:sz w:val="20"/>
          <w:szCs w:val="20"/>
        </w:rPr>
        <w:footnoteReference w:id="33"/>
      </w:r>
    </w:p>
    <w:p w14:paraId="53A29CBA" w14:textId="77777777" w:rsidR="0027007E" w:rsidRDefault="0027007E" w:rsidP="00181D14">
      <w:pPr>
        <w:ind w:left="720"/>
        <w:rPr>
          <w:sz w:val="20"/>
          <w:szCs w:val="20"/>
        </w:rPr>
      </w:pPr>
    </w:p>
    <w:p w14:paraId="51415D65" w14:textId="5B985ECB" w:rsidR="00C67911" w:rsidRDefault="0027007E" w:rsidP="0027007E">
      <w:pPr>
        <w:rPr>
          <w:sz w:val="20"/>
          <w:szCs w:val="20"/>
        </w:rPr>
      </w:pPr>
      <w:r>
        <w:rPr>
          <w:sz w:val="20"/>
          <w:szCs w:val="20"/>
        </w:rPr>
        <w:t>Brady continues</w:t>
      </w:r>
      <w:r w:rsidR="00C67911">
        <w:rPr>
          <w:sz w:val="20"/>
          <w:szCs w:val="20"/>
        </w:rPr>
        <w:t xml:space="preserve">, writing that </w:t>
      </w:r>
    </w:p>
    <w:p w14:paraId="100A3D6A" w14:textId="77777777" w:rsidR="00C67911" w:rsidRDefault="00C67911" w:rsidP="0027007E">
      <w:pPr>
        <w:rPr>
          <w:sz w:val="20"/>
          <w:szCs w:val="20"/>
        </w:rPr>
      </w:pPr>
    </w:p>
    <w:p w14:paraId="10B14985" w14:textId="53A8DBEF" w:rsidR="00CF66D5" w:rsidRPr="00181D14" w:rsidRDefault="00CF66D5" w:rsidP="00C67911">
      <w:pPr>
        <w:ind w:left="720"/>
        <w:rPr>
          <w:sz w:val="20"/>
          <w:szCs w:val="20"/>
        </w:rPr>
      </w:pPr>
      <w:r>
        <w:rPr>
          <w:sz w:val="20"/>
          <w:szCs w:val="20"/>
        </w:rPr>
        <w:lastRenderedPageBreak/>
        <w:t>…</w:t>
      </w:r>
      <w:r w:rsidRPr="00AE3351">
        <w:rPr>
          <w:sz w:val="20"/>
          <w:szCs w:val="20"/>
        </w:rPr>
        <w:t xml:space="preserve"> such maps</w:t>
      </w:r>
      <w:r>
        <w:rPr>
          <w:sz w:val="20"/>
          <w:szCs w:val="20"/>
        </w:rPr>
        <w:t>…</w:t>
      </w:r>
      <w:r w:rsidRPr="00AE3351">
        <w:rPr>
          <w:sz w:val="20"/>
          <w:szCs w:val="20"/>
        </w:rPr>
        <w:t xml:space="preserve"> placed the sacred or known world in the centre and enabled the individual to communicate with the transcendental world by a ritual iteration of the moment of birth or origin of the world. This constant activity of returning to the moment of origin placed the map, in Eliade’s opinion, in circular time, which he defined as sacred time</w:t>
      </w:r>
      <w:r w:rsidR="00E702AB">
        <w:rPr>
          <w:sz w:val="20"/>
          <w:szCs w:val="20"/>
        </w:rPr>
        <w:t xml:space="preserve"> </w:t>
      </w:r>
      <w:r w:rsidRPr="00AE3351">
        <w:rPr>
          <w:sz w:val="20"/>
          <w:szCs w:val="20"/>
        </w:rPr>
        <w:t>…’</w:t>
      </w:r>
      <w:r w:rsidR="001D21F3">
        <w:rPr>
          <w:rStyle w:val="FootnoteReference"/>
          <w:sz w:val="20"/>
          <w:szCs w:val="20"/>
        </w:rPr>
        <w:footnoteReference w:id="34"/>
      </w:r>
      <w:r w:rsidRPr="00AE3351">
        <w:rPr>
          <w:sz w:val="20"/>
          <w:szCs w:val="20"/>
        </w:rPr>
        <w:t xml:space="preserve"> </w:t>
      </w:r>
    </w:p>
    <w:p w14:paraId="6DD77893" w14:textId="77777777" w:rsidR="00181D14" w:rsidRPr="00AE3351" w:rsidRDefault="00181D14" w:rsidP="00CF66D5">
      <w:pPr>
        <w:ind w:left="720"/>
        <w:rPr>
          <w:sz w:val="20"/>
          <w:szCs w:val="20"/>
        </w:rPr>
      </w:pPr>
    </w:p>
    <w:p w14:paraId="7C5E3480" w14:textId="5374D492" w:rsidR="00CF66D5" w:rsidRDefault="00CD0D9A" w:rsidP="00CF66D5">
      <w:r>
        <w:t xml:space="preserve">In </w:t>
      </w:r>
      <w:r w:rsidR="000C784D">
        <w:t>Brady’s thinking and interpretation of Eliade, quoted above,</w:t>
      </w:r>
      <w:r>
        <w:t xml:space="preserve"> </w:t>
      </w:r>
      <w:r w:rsidR="000C784D">
        <w:t xml:space="preserve">contains </w:t>
      </w:r>
      <w:r>
        <w:t xml:space="preserve">not just the idea of the horoscope as a sacred map, </w:t>
      </w:r>
      <w:r w:rsidR="000C784D">
        <w:t xml:space="preserve">but also </w:t>
      </w:r>
      <w:r w:rsidR="00C67911">
        <w:t>as defining sacred time, and</w:t>
      </w:r>
      <w:r>
        <w:t xml:space="preserve"> a sacred </w:t>
      </w:r>
      <w:r w:rsidRPr="00CD0D9A">
        <w:rPr>
          <w:i/>
        </w:rPr>
        <w:t>place</w:t>
      </w:r>
      <w:r>
        <w:t xml:space="preserve"> - a place of communication, and a place of ritual. </w:t>
      </w:r>
    </w:p>
    <w:p w14:paraId="489F379E" w14:textId="387C46F3" w:rsidR="00B641C5" w:rsidRDefault="00B641C5" w:rsidP="00B641C5">
      <w:pPr>
        <w:pStyle w:val="Heading3"/>
      </w:pPr>
    </w:p>
    <w:p w14:paraId="2EFA4B7A" w14:textId="77777777" w:rsidR="00082873" w:rsidRDefault="00A25D45" w:rsidP="00CF66D5">
      <w:r>
        <w:t>As mentioned earlier</w:t>
      </w:r>
      <w:r w:rsidR="00405E9C">
        <w:t>,</w:t>
      </w:r>
      <w:r>
        <w:t xml:space="preserve"> when looking at the astrologer’s board and glyphs, the horoscope can also be used as a place to call in ‘the gods’</w:t>
      </w:r>
      <w:r w:rsidR="000C784D">
        <w:t>,</w:t>
      </w:r>
      <w:r>
        <w:t xml:space="preserve"> however the individual astrologer conceives of them. </w:t>
      </w:r>
      <w:r w:rsidR="00405E9C">
        <w:t>Greene</w:t>
      </w:r>
      <w:r w:rsidR="000C784D">
        <w:t xml:space="preserve"> </w:t>
      </w:r>
      <w:r w:rsidR="00405E9C">
        <w:t xml:space="preserve"> suggests that astrologers who still draw the birth chart by hand</w:t>
      </w:r>
      <w:r w:rsidR="000C784D">
        <w:t xml:space="preserve"> -</w:t>
      </w:r>
      <w:r w:rsidR="00405E9C">
        <w:t xml:space="preserve"> </w:t>
      </w:r>
      <w:r w:rsidR="000C784D">
        <w:t>‘</w:t>
      </w:r>
      <w:r w:rsidR="00405E9C">
        <w:t>because ‘something’ happens when these figures are inscribed by the astrologer’</w:t>
      </w:r>
      <w:r w:rsidR="000C784D">
        <w:t xml:space="preserve"> -</w:t>
      </w:r>
      <w:r w:rsidR="00405E9C">
        <w:t xml:space="preserve"> may be ‘albeit unconsciously … invoking the heavenly powers’ that are embodied in the glyphs.</w:t>
      </w:r>
      <w:r w:rsidR="00C67911">
        <w:rPr>
          <w:rStyle w:val="FootnoteReference"/>
        </w:rPr>
        <w:footnoteReference w:id="35"/>
      </w:r>
      <w:r w:rsidR="00405E9C">
        <w:t xml:space="preserve"> </w:t>
      </w:r>
      <w:proofErr w:type="spellStart"/>
      <w:r>
        <w:t>Darrelyn</w:t>
      </w:r>
      <w:proofErr w:type="spellEnd"/>
      <w:r>
        <w:t xml:space="preserve"> </w:t>
      </w:r>
      <w:proofErr w:type="spellStart"/>
      <w:r>
        <w:t>Gunzburg</w:t>
      </w:r>
      <w:proofErr w:type="spellEnd"/>
      <w:r>
        <w:t xml:space="preserve"> </w:t>
      </w:r>
      <w:r w:rsidR="004C7309">
        <w:t xml:space="preserve">notes </w:t>
      </w:r>
      <w:r>
        <w:t>that ‘</w:t>
      </w:r>
      <w:r w:rsidR="000C784D">
        <w:t>s</w:t>
      </w:r>
      <w:r>
        <w:t>ome authors of astrological texts suggest that the activity of reading a natal horoscope for a client evokes mystery of the divine</w:t>
      </w:r>
      <w:r w:rsidR="00082873">
        <w:t>,</w:t>
      </w:r>
      <w:r>
        <w:t>’</w:t>
      </w:r>
      <w:r w:rsidR="00082873" w:rsidRPr="00082873">
        <w:t xml:space="preserve"> </w:t>
      </w:r>
      <w:r w:rsidR="00082873">
        <w:t>concluding that the ritual of making the horoscope, and the space the horoscope provides, allow for the imagination to come forward into the astrological reading.</w:t>
      </w:r>
      <w:r>
        <w:rPr>
          <w:rStyle w:val="FootnoteReference"/>
        </w:rPr>
        <w:footnoteReference w:id="36"/>
      </w:r>
      <w:r>
        <w:t xml:space="preserve"> </w:t>
      </w:r>
      <w:r w:rsidR="00405E9C">
        <w:t xml:space="preserve">James </w:t>
      </w:r>
      <w:r w:rsidR="00CF66D5">
        <w:t>Hillman, in a lecture on astrology, called the mathematical aspect of astrology ‘mumbo jumbo’ which was nonetheless necessary for the theurgic ritual</w:t>
      </w:r>
      <w:r w:rsidR="00405E9C">
        <w:t xml:space="preserve"> that he considered astrology</w:t>
      </w:r>
      <w:r w:rsidR="00082873">
        <w:t xml:space="preserve"> to be</w:t>
      </w:r>
      <w:r w:rsidR="00CF66D5">
        <w:t>.</w:t>
      </w:r>
      <w:r w:rsidR="00C67911">
        <w:rPr>
          <w:rStyle w:val="FootnoteReference"/>
        </w:rPr>
        <w:footnoteReference w:id="37"/>
      </w:r>
      <w:r w:rsidR="00CF66D5">
        <w:t xml:space="preserve"> Whatever </w:t>
      </w:r>
      <w:r w:rsidR="00082873">
        <w:t xml:space="preserve">it is that </w:t>
      </w:r>
      <w:r w:rsidR="00CF66D5">
        <w:t xml:space="preserve">speaks through the chart – whether it is the divine, the </w:t>
      </w:r>
      <w:r w:rsidR="00923DC8">
        <w:t>poetic s</w:t>
      </w:r>
      <w:r w:rsidR="00CF66D5">
        <w:t xml:space="preserve">oul, or the </w:t>
      </w:r>
      <w:r w:rsidR="00082873">
        <w:t xml:space="preserve">inspired </w:t>
      </w:r>
      <w:r w:rsidR="00CF66D5">
        <w:t>imagination</w:t>
      </w:r>
      <w:r w:rsidR="00405E9C">
        <w:t xml:space="preserve"> -</w:t>
      </w:r>
      <w:r w:rsidR="00CF66D5">
        <w:t xml:space="preserve"> the </w:t>
      </w:r>
      <w:r w:rsidR="00405E9C">
        <w:t xml:space="preserve">construction of the </w:t>
      </w:r>
      <w:r w:rsidR="00CF66D5">
        <w:t xml:space="preserve">natal chart </w:t>
      </w:r>
      <w:r w:rsidR="00405E9C">
        <w:t xml:space="preserve">is seen a vital ritual, that provides a space, a time, </w:t>
      </w:r>
      <w:r w:rsidR="00082873">
        <w:t xml:space="preserve">and </w:t>
      </w:r>
      <w:r w:rsidR="00405E9C">
        <w:t xml:space="preserve">a window through which the </w:t>
      </w:r>
      <w:r w:rsidR="00082873">
        <w:t xml:space="preserve">‘unseen’ </w:t>
      </w:r>
      <w:r w:rsidR="00405E9C">
        <w:t>other can enter. As Hillman suggested, ‘</w:t>
      </w:r>
      <w:r w:rsidR="00CF66D5">
        <w:t>we can let the chart work like a mantra which affords revelations that gaze into the</w:t>
      </w:r>
      <w:r w:rsidR="00405E9C">
        <w:t xml:space="preserve"> </w:t>
      </w:r>
      <w:r w:rsidR="00CF66D5">
        <w:t>beyond, a map of the unseen</w:t>
      </w:r>
      <w:r w:rsidR="004A6B78">
        <w:t>.</w:t>
      </w:r>
      <w:r w:rsidR="00405E9C">
        <w:t>’</w:t>
      </w:r>
      <w:r w:rsidR="00C83711">
        <w:t xml:space="preserve"> </w:t>
      </w:r>
      <w:r w:rsidR="00923DC8">
        <w:rPr>
          <w:rStyle w:val="FootnoteReference"/>
        </w:rPr>
        <w:footnoteReference w:id="38"/>
      </w:r>
    </w:p>
    <w:p w14:paraId="353294FD" w14:textId="77777777" w:rsidR="00082873" w:rsidRDefault="00082873" w:rsidP="00CF66D5"/>
    <w:p w14:paraId="7CEE05D7" w14:textId="7883F742" w:rsidR="00CF66D5" w:rsidRDefault="00C83711" w:rsidP="00CF66D5">
      <w:r>
        <w:t xml:space="preserve">As an object, therefore, the horoscope </w:t>
      </w:r>
      <w:r w:rsidR="00082873">
        <w:t xml:space="preserve">can be seen </w:t>
      </w:r>
      <w:r>
        <w:t>a religious object, one that is interacted with through the body, vision</w:t>
      </w:r>
      <w:r w:rsidR="00082873">
        <w:t>,</w:t>
      </w:r>
      <w:r>
        <w:t xml:space="preserve"> and imagination of the astrologer to make astrology happen, sometimes providing a place of ritual, sometimes opening a space for the divine – however it is named – to enter, and sometimes providing a sacred space that the astrologer can imaginatively enter, a place, even, of pilgrimage.</w:t>
      </w:r>
    </w:p>
    <w:p w14:paraId="4596F5E8" w14:textId="77777777" w:rsidR="00CF66D5" w:rsidRDefault="00CF66D5" w:rsidP="00CF66D5"/>
    <w:p w14:paraId="41A9BDED" w14:textId="27E8079D" w:rsidR="00E54C4D" w:rsidRPr="00E54C4D" w:rsidRDefault="0040449A" w:rsidP="00E54C4D">
      <w:pPr>
        <w:pStyle w:val="Heading2"/>
      </w:pPr>
      <w:r>
        <w:t>Can the use of the natal chart not be material religion</w:t>
      </w:r>
      <w:r w:rsidR="00C67911">
        <w:t>?</w:t>
      </w:r>
    </w:p>
    <w:p w14:paraId="7502AE02" w14:textId="77777777" w:rsidR="00082873" w:rsidRDefault="00CF66D5" w:rsidP="00CF66D5">
      <w:r w:rsidRPr="00444389">
        <w:t>In the above paragraphs</w:t>
      </w:r>
      <w:r>
        <w:t xml:space="preserve"> the natal chart/horoscope has been explored as a sacred object which astrologers engage with – </w:t>
      </w:r>
      <w:r w:rsidR="00082873">
        <w:t>sometimes</w:t>
      </w:r>
      <w:r>
        <w:t xml:space="preserve"> in an explicitly ‘religious’ or ‘spiritual’ way</w:t>
      </w:r>
      <w:r w:rsidR="00082873">
        <w:t xml:space="preserve"> -</w:t>
      </w:r>
      <w:r>
        <w:t xml:space="preserve"> as an example of material religio</w:t>
      </w:r>
      <w:r w:rsidR="00082873">
        <w:t>n</w:t>
      </w:r>
      <w:r>
        <w:t>. This raises the opposite question</w:t>
      </w:r>
      <w:r w:rsidR="00082873">
        <w:t xml:space="preserve"> </w:t>
      </w:r>
      <w:r>
        <w:t>to the essay question</w:t>
      </w:r>
      <w:r w:rsidR="00082873">
        <w:t>:</w:t>
      </w:r>
      <w:r>
        <w:t xml:space="preserve"> can astrology ever not be material religion? </w:t>
      </w:r>
      <w:r>
        <w:rPr>
          <w:rStyle w:val="Heading2Char"/>
        </w:rPr>
        <w:t xml:space="preserve"> </w:t>
      </w:r>
      <w:r>
        <w:t xml:space="preserve">If the horoscope is, as Brady has argued, a sacred map, is there a way of engaging with it as an object that </w:t>
      </w:r>
      <w:r w:rsidR="00C83711">
        <w:t xml:space="preserve">does </w:t>
      </w:r>
      <w:r w:rsidR="00082873">
        <w:t xml:space="preserve">not </w:t>
      </w:r>
      <w:r w:rsidR="00C83711">
        <w:t>constitute</w:t>
      </w:r>
      <w:r>
        <w:t xml:space="preserve"> material religion? </w:t>
      </w:r>
    </w:p>
    <w:p w14:paraId="10993BC5" w14:textId="77777777" w:rsidR="00082873" w:rsidRDefault="00082873" w:rsidP="00CF66D5"/>
    <w:p w14:paraId="52631705" w14:textId="02DA6D21" w:rsidR="00CF66D5" w:rsidRDefault="00CF66D5" w:rsidP="00CF66D5">
      <w:r>
        <w:t>Steve</w:t>
      </w:r>
      <w:r w:rsidR="007F0734">
        <w:t>n</w:t>
      </w:r>
      <w:r>
        <w:t xml:space="preserve"> Forrest, an astrologer </w:t>
      </w:r>
      <w:r w:rsidR="007F0734">
        <w:t xml:space="preserve">quoted at the beginning of this essay, </w:t>
      </w:r>
      <w:r>
        <w:t xml:space="preserve">who does see his practise as religious, </w:t>
      </w:r>
      <w:r w:rsidR="00C83711">
        <w:t xml:space="preserve">nonetheless </w:t>
      </w:r>
      <w:r>
        <w:t xml:space="preserve">believes that astrology, and hence the encounter of astrologer and horoscope, can be entirely non-religious. He </w:t>
      </w:r>
      <w:r w:rsidR="007F0734">
        <w:t>offers the example of</w:t>
      </w:r>
      <w:r>
        <w:t xml:space="preserve"> a hypothetical financial astrologer, one ‘who practices in an existentialist, value-neutral framework and universe’ </w:t>
      </w:r>
      <w:r w:rsidR="007F0734">
        <w:t>that</w:t>
      </w:r>
      <w:r>
        <w:t xml:space="preserve"> uses the horoscope simply to </w:t>
      </w:r>
      <w:r>
        <w:lastRenderedPageBreak/>
        <w:t>try to pinpoint the best time or place to make more money.</w:t>
      </w:r>
      <w:r w:rsidR="004A6B78">
        <w:rPr>
          <w:rStyle w:val="FootnoteReference"/>
        </w:rPr>
        <w:footnoteReference w:id="39"/>
      </w:r>
      <w:r w:rsidR="007F0734">
        <w:t xml:space="preserve"> In Forrest’s opinion, this is astrology that is not religious.</w:t>
      </w:r>
      <w:r>
        <w:t xml:space="preserve"> Mohan offers a similar conclusion, in his considering of the Catholic Mass and what he terms the ‘Imaginary’. </w:t>
      </w:r>
      <w:r w:rsidR="004A6B78">
        <w:t>Sh</w:t>
      </w:r>
      <w:r>
        <w:t xml:space="preserve">e states that </w:t>
      </w:r>
    </w:p>
    <w:p w14:paraId="1B8B4A06" w14:textId="77777777" w:rsidR="00CF66D5" w:rsidRDefault="00CF66D5" w:rsidP="00CF66D5"/>
    <w:p w14:paraId="3E76F5DB" w14:textId="4DCD58E8" w:rsidR="00CF66D5" w:rsidRDefault="00CF66D5" w:rsidP="00CF66D5">
      <w:pPr>
        <w:ind w:left="720"/>
        <w:rPr>
          <w:sz w:val="20"/>
          <w:szCs w:val="20"/>
        </w:rPr>
      </w:pPr>
      <w:r w:rsidRPr="0072750E">
        <w:rPr>
          <w:sz w:val="20"/>
          <w:szCs w:val="20"/>
        </w:rPr>
        <w:t>Nothing is considered real by the subject unless it is shaped as such by the ‘Imaginary’, that is, by institutionalized images. The Imaginary of the Catholic devotee turns bread and wine into the real body and blood of Christ. The unbeliever, who has a different Imaginary, will not see or feel anyt</w:t>
      </w:r>
      <w:r>
        <w:rPr>
          <w:sz w:val="20"/>
          <w:szCs w:val="20"/>
        </w:rPr>
        <w:t>h</w:t>
      </w:r>
      <w:r w:rsidRPr="0072750E">
        <w:rPr>
          <w:sz w:val="20"/>
          <w:szCs w:val="20"/>
        </w:rPr>
        <w:t>ing divine in the Eucharist. He or she will perceive no more than real bread and wine. It cannot be said that the Catholic has an Imaginary and that the unbeliever has none. Both construct images to give shape to their experience and are equally shaped by them. But they are different ones.</w:t>
      </w:r>
      <w:r w:rsidR="004A6B78">
        <w:rPr>
          <w:rStyle w:val="FootnoteReference"/>
          <w:sz w:val="20"/>
          <w:szCs w:val="20"/>
        </w:rPr>
        <w:footnoteReference w:id="40"/>
      </w:r>
      <w:r w:rsidRPr="0072750E">
        <w:rPr>
          <w:sz w:val="20"/>
          <w:szCs w:val="20"/>
        </w:rPr>
        <w:t xml:space="preserve"> </w:t>
      </w:r>
    </w:p>
    <w:p w14:paraId="21DF75C8" w14:textId="77777777" w:rsidR="00CF66D5" w:rsidRDefault="00CF66D5" w:rsidP="00CF66D5">
      <w:pPr>
        <w:ind w:left="720"/>
        <w:rPr>
          <w:sz w:val="20"/>
          <w:szCs w:val="20"/>
        </w:rPr>
      </w:pPr>
    </w:p>
    <w:p w14:paraId="74C2A0A2" w14:textId="6196B18F" w:rsidR="00CF66D5" w:rsidRPr="00CF66D5" w:rsidRDefault="00CF66D5" w:rsidP="00CF66D5">
      <w:r w:rsidRPr="00CF66D5">
        <w:t xml:space="preserve">For Mohan then, there would be nothing inherently sacred in the natal chart unless it is </w:t>
      </w:r>
      <w:r w:rsidR="007F0734">
        <w:t xml:space="preserve">so </w:t>
      </w:r>
      <w:r w:rsidRPr="00CF66D5">
        <w:t>shaped by the ‘Imaginary’ of the astrologer; if it is not sacred to the astrologer, then it is not sacred</w:t>
      </w:r>
      <w:r w:rsidR="00082873">
        <w:t>,</w:t>
      </w:r>
      <w:r w:rsidRPr="00CF66D5">
        <w:t xml:space="preserve"> and nothing of a religious nature is engaged</w:t>
      </w:r>
      <w:r w:rsidR="007F0734">
        <w:t xml:space="preserve"> when such an astrologer interacts with it</w:t>
      </w:r>
      <w:r w:rsidRPr="00CF66D5">
        <w:t xml:space="preserve">. </w:t>
      </w:r>
    </w:p>
    <w:p w14:paraId="6D92816F" w14:textId="77777777" w:rsidR="00CF66D5" w:rsidRPr="0072750E" w:rsidRDefault="00CF66D5" w:rsidP="00CF66D5">
      <w:pPr>
        <w:rPr>
          <w:sz w:val="20"/>
          <w:szCs w:val="20"/>
        </w:rPr>
      </w:pPr>
    </w:p>
    <w:p w14:paraId="57E00DE0" w14:textId="49812CAE" w:rsidR="007F0734" w:rsidRDefault="00CF66D5" w:rsidP="00CF66D5">
      <w:r>
        <w:t xml:space="preserve">Webb Keane offers a slightly different viewpoint. He concludes that </w:t>
      </w:r>
    </w:p>
    <w:p w14:paraId="7B9BF509" w14:textId="77777777" w:rsidR="007F0734" w:rsidRDefault="007F0734" w:rsidP="00CF66D5"/>
    <w:p w14:paraId="349410C7" w14:textId="649C7996" w:rsidR="007F0734" w:rsidRPr="007F0734" w:rsidRDefault="00CF66D5" w:rsidP="007F0734">
      <w:pPr>
        <w:ind w:left="720"/>
        <w:rPr>
          <w:sz w:val="20"/>
          <w:szCs w:val="20"/>
        </w:rPr>
      </w:pPr>
      <w:r w:rsidRPr="007F0734">
        <w:rPr>
          <w:sz w:val="20"/>
          <w:szCs w:val="20"/>
        </w:rPr>
        <w:t>the category of religion must be capable of including not just the ardently faithful but the bored schoolboy who has memorized a credo which he recites by rote.</w:t>
      </w:r>
      <w:r w:rsidR="004A6B78">
        <w:rPr>
          <w:rStyle w:val="FootnoteReference"/>
          <w:sz w:val="20"/>
          <w:szCs w:val="20"/>
        </w:rPr>
        <w:footnoteReference w:id="41"/>
      </w:r>
    </w:p>
    <w:p w14:paraId="0C024FBE" w14:textId="77777777" w:rsidR="007F0734" w:rsidRDefault="007F0734" w:rsidP="00CF66D5"/>
    <w:p w14:paraId="69994B07" w14:textId="38218835" w:rsidR="00CF66D5" w:rsidRDefault="007F0734" w:rsidP="00CF66D5">
      <w:r>
        <w:t>In other words,</w:t>
      </w:r>
      <w:r w:rsidR="00082873">
        <w:t xml:space="preserve"> for Keane,</w:t>
      </w:r>
      <w:r>
        <w:t xml:space="preserve"> if astrology is religious, then it </w:t>
      </w:r>
      <w:r w:rsidR="00082873">
        <w:t>so,</w:t>
      </w:r>
      <w:r>
        <w:t xml:space="preserve"> no matter the individual beliefs of the astrologer. </w:t>
      </w:r>
      <w:r w:rsidR="00CF66D5">
        <w:t xml:space="preserve">Bonnie Wheeler proposes something similar in her study of pilgrimage, challenging the </w:t>
      </w:r>
      <w:r w:rsidR="00082873">
        <w:t>characterisation</w:t>
      </w:r>
      <w:r w:rsidR="00CF66D5">
        <w:t xml:space="preserve"> of pilgrimage as believers coming together with a common purpose; she speaks instead of </w:t>
      </w:r>
      <w:r>
        <w:t>‘</w:t>
      </w:r>
      <w:r w:rsidR="00CF66D5">
        <w:t>confluence</w:t>
      </w:r>
      <w:r>
        <w:t>’</w:t>
      </w:r>
      <w:r w:rsidR="00CF66D5">
        <w:t xml:space="preserve"> a term that embraces the fact that ‘human desires are never uncomplicated, never entirely direct.’ She describes people engaging in material religion for a multiplicity of motives</w:t>
      </w:r>
      <w:r w:rsidR="007C2651">
        <w:t>:</w:t>
      </w:r>
      <w:r w:rsidR="00CF66D5">
        <w:t xml:space="preserve"> ‘guilt, gratefulness … to beg for help … health … to avoid debts … to make money.’</w:t>
      </w:r>
      <w:r w:rsidR="00CF66D5">
        <w:rPr>
          <w:rStyle w:val="FootnoteReference"/>
        </w:rPr>
        <w:footnoteReference w:id="42"/>
      </w:r>
      <w:r w:rsidR="00CF66D5">
        <w:t xml:space="preserve"> Seen in this light, the hypothetical astrologer, despite his ‘existential, value-neutral’ cosmology, and purely mundane, materialistic intentions, could nonetheless still be seen as engaging in material religious practices in his financial forecasting.</w:t>
      </w:r>
      <w:r w:rsidR="00AC09EA">
        <w:t xml:space="preserve"> </w:t>
      </w:r>
    </w:p>
    <w:p w14:paraId="38E04634" w14:textId="77777777" w:rsidR="00CF66D5" w:rsidRDefault="00CF66D5" w:rsidP="00CF66D5"/>
    <w:p w14:paraId="0EF1F9A2" w14:textId="39CE36B0" w:rsidR="00CF66D5" w:rsidRDefault="00CF66D5" w:rsidP="00CF66D5">
      <w:pPr>
        <w:pStyle w:val="Heading2"/>
      </w:pPr>
      <w:r>
        <w:t>Conclusion</w:t>
      </w:r>
    </w:p>
    <w:p w14:paraId="3714CAE4" w14:textId="77777777" w:rsidR="00E54C4D" w:rsidRPr="00E54C4D" w:rsidRDefault="00E54C4D" w:rsidP="00E54C4D"/>
    <w:p w14:paraId="1947C987" w14:textId="730C5F12" w:rsidR="006E5EC4" w:rsidRDefault="006E5EC4" w:rsidP="006E5EC4">
      <w:bookmarkStart w:id="13" w:name="_Hlk7429041"/>
      <w:r>
        <w:t xml:space="preserve">The question of </w:t>
      </w:r>
      <w:proofErr w:type="gramStart"/>
      <w:r>
        <w:t>whether or not</w:t>
      </w:r>
      <w:proofErr w:type="gramEnd"/>
      <w:r>
        <w:t xml:space="preserve"> astrology is a material religion is a difficult one to answer, as the very structure of the question posits astrology, material religion</w:t>
      </w:r>
      <w:r>
        <w:t>,</w:t>
      </w:r>
      <w:r>
        <w:t xml:space="preserve"> and religion as definable, distinct categories. The positioning of material religion this way is </w:t>
      </w:r>
      <w:r w:rsidR="007C2651">
        <w:t xml:space="preserve">doubly </w:t>
      </w:r>
      <w:r>
        <w:t>problematic</w:t>
      </w:r>
      <w:r w:rsidR="007C2651">
        <w:t>;</w:t>
      </w:r>
      <w:r>
        <w:t xml:space="preserve"> </w:t>
      </w:r>
      <w:r w:rsidR="007C2651">
        <w:t>scholars</w:t>
      </w:r>
      <w:r>
        <w:t xml:space="preserve"> quoted earlier </w:t>
      </w:r>
      <w:r w:rsidR="007C2651">
        <w:t xml:space="preserve">describe </w:t>
      </w:r>
      <w:r>
        <w:t xml:space="preserve">material religion not as a </w:t>
      </w:r>
      <w:r w:rsidRPr="007C2651">
        <w:t>type</w:t>
      </w:r>
      <w:r>
        <w:t xml:space="preserve"> of religion, but </w:t>
      </w:r>
      <w:r w:rsidR="007C2651">
        <w:t xml:space="preserve">either </w:t>
      </w:r>
      <w:r>
        <w:t xml:space="preserve">as a </w:t>
      </w:r>
      <w:r w:rsidRPr="007C2651">
        <w:t>way</w:t>
      </w:r>
      <w:r>
        <w:t xml:space="preserve"> of studying religion,</w:t>
      </w:r>
      <w:r w:rsidR="007C2651">
        <w:t xml:space="preserve"> as</w:t>
      </w:r>
      <w:r>
        <w:t xml:space="preserve"> a </w:t>
      </w:r>
      <w:proofErr w:type="gramStart"/>
      <w:r>
        <w:t>particular focus</w:t>
      </w:r>
      <w:proofErr w:type="gramEnd"/>
      <w:r>
        <w:t xml:space="preserve">, or as a way of </w:t>
      </w:r>
      <w:r w:rsidRPr="007F0734">
        <w:rPr>
          <w:i/>
        </w:rPr>
        <w:t>practising</w:t>
      </w:r>
      <w:r>
        <w:t xml:space="preserve"> religion that involves objects, the body, and the senses. Having reached the conclusion that, with broad</w:t>
      </w:r>
      <w:r w:rsidR="007C2651">
        <w:t xml:space="preserve"> enough</w:t>
      </w:r>
      <w:r>
        <w:t xml:space="preserve"> definition</w:t>
      </w:r>
      <w:r w:rsidR="007C2651">
        <w:t>s,</w:t>
      </w:r>
      <w:r>
        <w:t xml:space="preserve"> astrology could </w:t>
      </w:r>
      <w:proofErr w:type="gramStart"/>
      <w:r>
        <w:t>be seen as</w:t>
      </w:r>
      <w:proofErr w:type="gramEnd"/>
      <w:r>
        <w:t xml:space="preserve"> a religion, this essay went on to look through the lens of material religion at the natal horoscope: what it is, ways in which it can be considered sacred, and the ways in which astrologers engage with it. Although it is not possible to draw global conclusions, it was clear that the horoscope can be </w:t>
      </w:r>
      <w:r w:rsidR="007C2651">
        <w:t>experienced</w:t>
      </w:r>
      <w:r>
        <w:t xml:space="preserve"> as a sacred object, engaged with through sight – and sometimes touch – a sight that can be inner as well as outer. It is an object that is </w:t>
      </w:r>
      <w:r>
        <w:lastRenderedPageBreak/>
        <w:t>meditated upon, gazed into, perhaps journeyed into in the imagination</w:t>
      </w:r>
      <w:r w:rsidR="007C2651">
        <w:t>,</w:t>
      </w:r>
      <w:r>
        <w:t xml:space="preserve"> and even seen </w:t>
      </w:r>
      <w:r w:rsidRPr="00124785">
        <w:rPr>
          <w:i/>
        </w:rPr>
        <w:t>through</w:t>
      </w:r>
      <w:r>
        <w:t xml:space="preserve">. </w:t>
      </w:r>
      <w:r w:rsidR="007C2651">
        <w:t xml:space="preserve">It is a place to call down the gods, or the imagination, and is at the heart of the ritual of the astrological session. </w:t>
      </w:r>
      <w:r>
        <w:t xml:space="preserve">If astrology is a religion, then it is through this interaction with the natal chart that that religion is made. </w:t>
      </w:r>
    </w:p>
    <w:p w14:paraId="3B431211" w14:textId="77777777" w:rsidR="006E5EC4" w:rsidRDefault="006E5EC4" w:rsidP="00963095"/>
    <w:p w14:paraId="32637F23" w14:textId="3F3A20BC" w:rsidR="00E54C4D" w:rsidRDefault="00E54C4D">
      <w:r>
        <w:br w:type="page"/>
      </w:r>
    </w:p>
    <w:p w14:paraId="3406A59D" w14:textId="77777777" w:rsidR="006E5EC4" w:rsidRDefault="006E5EC4" w:rsidP="00963095"/>
    <w:p w14:paraId="623B5564" w14:textId="77777777" w:rsidR="006E5EC4" w:rsidRDefault="006E5EC4" w:rsidP="00963095"/>
    <w:bookmarkEnd w:id="13"/>
    <w:p w14:paraId="5BB01B24" w14:textId="77777777" w:rsidR="00CF66D5" w:rsidRDefault="00CF66D5" w:rsidP="00CF66D5"/>
    <w:p w14:paraId="0E0E0F58" w14:textId="77777777" w:rsidR="00CF66D5" w:rsidRDefault="00CF66D5" w:rsidP="00086463">
      <w:pPr>
        <w:pStyle w:val="Heading2"/>
      </w:pPr>
      <w:r>
        <w:t>BIBLIOGRAPHY</w:t>
      </w:r>
    </w:p>
    <w:p w14:paraId="2F2978B5" w14:textId="77777777" w:rsidR="00086463" w:rsidRDefault="00086463" w:rsidP="00CF66D5"/>
    <w:bookmarkEnd w:id="3"/>
    <w:p w14:paraId="6FCCDD57" w14:textId="0EE73E29" w:rsidR="00104873" w:rsidRPr="00150EA9" w:rsidRDefault="00104873" w:rsidP="00104873">
      <w:pPr>
        <w:pStyle w:val="FootnoteText"/>
        <w:rPr>
          <w:sz w:val="22"/>
          <w:szCs w:val="22"/>
        </w:rPr>
      </w:pPr>
      <w:r w:rsidRPr="00150EA9">
        <w:rPr>
          <w:sz w:val="22"/>
          <w:szCs w:val="22"/>
        </w:rPr>
        <w:t xml:space="preserve">Brady, Bernadette, ‘The Horoscope as an ‘Imago Mundi’: Rethinking the Nature of the Astrologer’s Map’, in </w:t>
      </w:r>
      <w:proofErr w:type="spellStart"/>
      <w:r w:rsidRPr="00150EA9">
        <w:rPr>
          <w:i/>
          <w:sz w:val="22"/>
          <w:szCs w:val="22"/>
        </w:rPr>
        <w:t>Astrologies</w:t>
      </w:r>
      <w:proofErr w:type="spellEnd"/>
      <w:r w:rsidRPr="00150EA9">
        <w:rPr>
          <w:i/>
          <w:sz w:val="22"/>
          <w:szCs w:val="22"/>
        </w:rPr>
        <w:t>, Plurality and Diversity</w:t>
      </w:r>
      <w:r w:rsidRPr="00150EA9">
        <w:rPr>
          <w:sz w:val="22"/>
          <w:szCs w:val="22"/>
        </w:rPr>
        <w:t xml:space="preserve">, ed. </w:t>
      </w:r>
      <w:r w:rsidR="00976683">
        <w:rPr>
          <w:sz w:val="22"/>
          <w:szCs w:val="22"/>
        </w:rPr>
        <w:t>b</w:t>
      </w:r>
      <w:r w:rsidRPr="00150EA9">
        <w:rPr>
          <w:sz w:val="22"/>
          <w:szCs w:val="22"/>
        </w:rPr>
        <w:t>y Nick Campion and Liz Greene, (University of Wales Trinity Saint David, Lampeter: Sophia Centre Press 2011)</w:t>
      </w:r>
    </w:p>
    <w:p w14:paraId="21544373" w14:textId="77777777" w:rsidR="00104873" w:rsidRPr="00150EA9" w:rsidRDefault="00104873" w:rsidP="00104873">
      <w:pPr>
        <w:pStyle w:val="FootnoteText"/>
        <w:rPr>
          <w:sz w:val="22"/>
          <w:szCs w:val="22"/>
        </w:rPr>
      </w:pPr>
    </w:p>
    <w:p w14:paraId="38AC5B89" w14:textId="6D8C9AD5" w:rsidR="00104873" w:rsidRPr="00150EA9" w:rsidRDefault="00104873" w:rsidP="00104873">
      <w:pPr>
        <w:autoSpaceDE w:val="0"/>
        <w:autoSpaceDN w:val="0"/>
        <w:adjustRightInd w:val="0"/>
        <w:rPr>
          <w:rFonts w:cs="Times-Bold"/>
          <w:bCs/>
        </w:rPr>
      </w:pPr>
      <w:r w:rsidRPr="00150EA9">
        <w:t>Campion, N., ‘</w:t>
      </w:r>
      <w:r w:rsidRPr="00150EA9">
        <w:rPr>
          <w:rFonts w:cs="Times-Bold"/>
          <w:bCs/>
        </w:rPr>
        <w:t>Prophecy, Cosmology and the New Age Movement: The Extent and Nature of Contemporary Belief in Astrology’ (unpublished doctoral thesis, Bath Spa University, 2004)</w:t>
      </w:r>
    </w:p>
    <w:p w14:paraId="4740588E" w14:textId="77777777" w:rsidR="00104873" w:rsidRPr="00150EA9" w:rsidRDefault="00104873" w:rsidP="00104873">
      <w:pPr>
        <w:autoSpaceDE w:val="0"/>
        <w:autoSpaceDN w:val="0"/>
        <w:adjustRightInd w:val="0"/>
        <w:rPr>
          <w:rFonts w:cs="Times-Bold"/>
          <w:bCs/>
        </w:rPr>
      </w:pPr>
    </w:p>
    <w:p w14:paraId="0A922BDC" w14:textId="47E95773" w:rsidR="00104873" w:rsidRDefault="00104873" w:rsidP="00104873">
      <w:pPr>
        <w:pStyle w:val="FootnoteText"/>
        <w:rPr>
          <w:sz w:val="22"/>
          <w:szCs w:val="22"/>
        </w:rPr>
      </w:pPr>
      <w:r w:rsidRPr="00150EA9">
        <w:rPr>
          <w:sz w:val="22"/>
          <w:szCs w:val="22"/>
        </w:rPr>
        <w:t xml:space="preserve">Coleman, Simon, ‘Material Religion: A Fruitful Tautology’, </w:t>
      </w:r>
      <w:r w:rsidRPr="00150EA9">
        <w:rPr>
          <w:i/>
          <w:sz w:val="22"/>
          <w:szCs w:val="22"/>
        </w:rPr>
        <w:t>Material Religion</w:t>
      </w:r>
      <w:r w:rsidRPr="00150EA9">
        <w:rPr>
          <w:sz w:val="22"/>
          <w:szCs w:val="22"/>
        </w:rPr>
        <w:t>, volume 5, issue 3 (2009), 359-360</w:t>
      </w:r>
    </w:p>
    <w:p w14:paraId="5C0BB345" w14:textId="77777777" w:rsidR="00976683" w:rsidRPr="00150EA9" w:rsidRDefault="00976683" w:rsidP="00104873">
      <w:pPr>
        <w:pStyle w:val="FootnoteText"/>
        <w:rPr>
          <w:sz w:val="22"/>
          <w:szCs w:val="22"/>
        </w:rPr>
      </w:pPr>
    </w:p>
    <w:p w14:paraId="24A95C75" w14:textId="5DCCBA81" w:rsidR="00104873" w:rsidRPr="00150EA9" w:rsidRDefault="00104873" w:rsidP="00104873">
      <w:pPr>
        <w:pStyle w:val="FootnoteText"/>
        <w:rPr>
          <w:sz w:val="22"/>
          <w:szCs w:val="22"/>
        </w:rPr>
      </w:pPr>
      <w:r w:rsidRPr="00150EA9">
        <w:rPr>
          <w:sz w:val="22"/>
          <w:szCs w:val="22"/>
        </w:rPr>
        <w:t xml:space="preserve">Curry, Patrick, ‘Astrology’, in Boyd, Kelly (ed.) </w:t>
      </w:r>
      <w:r w:rsidRPr="00150EA9">
        <w:rPr>
          <w:i/>
          <w:sz w:val="22"/>
          <w:szCs w:val="22"/>
        </w:rPr>
        <w:t>The Encyclopaedia of Historians and Historical Writing</w:t>
      </w:r>
      <w:r w:rsidRPr="00150EA9">
        <w:rPr>
          <w:sz w:val="22"/>
          <w:szCs w:val="22"/>
        </w:rPr>
        <w:t>, Vol. 1 (London: Fitzroy Dearborn 1999)</w:t>
      </w:r>
    </w:p>
    <w:p w14:paraId="104CBD90" w14:textId="77777777" w:rsidR="00104873" w:rsidRPr="00150EA9" w:rsidRDefault="00104873" w:rsidP="00104873">
      <w:pPr>
        <w:pStyle w:val="FootnoteText"/>
        <w:rPr>
          <w:sz w:val="22"/>
          <w:szCs w:val="22"/>
        </w:rPr>
      </w:pPr>
    </w:p>
    <w:p w14:paraId="6B10F49B" w14:textId="77777777" w:rsidR="00104873" w:rsidRPr="00150EA9" w:rsidRDefault="00104873" w:rsidP="00104873">
      <w:pPr>
        <w:autoSpaceDE w:val="0"/>
        <w:autoSpaceDN w:val="0"/>
        <w:adjustRightInd w:val="0"/>
        <w:rPr>
          <w:rFonts w:cs="Times New Roman"/>
          <w:bCs/>
        </w:rPr>
      </w:pPr>
      <w:r w:rsidRPr="00150EA9">
        <w:t xml:space="preserve">Durkheim, Emile, </w:t>
      </w:r>
      <w:r w:rsidRPr="00150EA9">
        <w:rPr>
          <w:rFonts w:cs="Times New Roman"/>
          <w:bCs/>
          <w:i/>
          <w:iCs/>
        </w:rPr>
        <w:t xml:space="preserve">The Elementary Forms of Religious Life, </w:t>
      </w:r>
      <w:r w:rsidRPr="00150EA9">
        <w:rPr>
          <w:rFonts w:cs="Times New Roman"/>
          <w:bCs/>
        </w:rPr>
        <w:t>trans. Karen E. Fields, (New</w:t>
      </w:r>
    </w:p>
    <w:p w14:paraId="0484E077" w14:textId="77777777" w:rsidR="00104873" w:rsidRPr="00150EA9" w:rsidRDefault="00104873" w:rsidP="00104873">
      <w:pPr>
        <w:pStyle w:val="FootnoteText"/>
        <w:rPr>
          <w:rFonts w:cs="Times New Roman"/>
          <w:bCs/>
          <w:sz w:val="22"/>
          <w:szCs w:val="22"/>
        </w:rPr>
      </w:pPr>
      <w:r w:rsidRPr="00150EA9">
        <w:rPr>
          <w:rFonts w:cs="Times New Roman"/>
          <w:bCs/>
          <w:sz w:val="22"/>
          <w:szCs w:val="22"/>
        </w:rPr>
        <w:t xml:space="preserve">York: The Free Press 1995 [1912]) </w:t>
      </w:r>
    </w:p>
    <w:p w14:paraId="78A3D5F9" w14:textId="77777777" w:rsidR="00104873" w:rsidRPr="00150EA9" w:rsidRDefault="00104873" w:rsidP="00104873">
      <w:pPr>
        <w:pStyle w:val="FootnoteText"/>
        <w:rPr>
          <w:rFonts w:cs="Times New Roman"/>
          <w:bCs/>
          <w:sz w:val="22"/>
          <w:szCs w:val="22"/>
        </w:rPr>
      </w:pPr>
    </w:p>
    <w:p w14:paraId="405499C2" w14:textId="1C672009" w:rsidR="00104873" w:rsidRDefault="00104873" w:rsidP="00104873">
      <w:pPr>
        <w:pStyle w:val="FootnoteText"/>
        <w:rPr>
          <w:sz w:val="22"/>
          <w:szCs w:val="22"/>
        </w:rPr>
      </w:pPr>
      <w:r w:rsidRPr="00150EA9">
        <w:rPr>
          <w:sz w:val="22"/>
          <w:szCs w:val="22"/>
        </w:rPr>
        <w:t xml:space="preserve">Eliade, Mircea, </w:t>
      </w:r>
      <w:r w:rsidRPr="00150EA9">
        <w:rPr>
          <w:i/>
          <w:sz w:val="22"/>
          <w:szCs w:val="22"/>
        </w:rPr>
        <w:t>A History of Religious Ideas, Vol. 1, From the Stone Age to the Eleusinian Mysteries</w:t>
      </w:r>
      <w:r w:rsidRPr="00150EA9">
        <w:rPr>
          <w:sz w:val="22"/>
          <w:szCs w:val="22"/>
        </w:rPr>
        <w:t xml:space="preserve">, trans. by Willard R. Trask, (Chicago: University of Chicago Press, 1978) </w:t>
      </w:r>
    </w:p>
    <w:p w14:paraId="3B44BD9B" w14:textId="77777777" w:rsidR="00976683" w:rsidRPr="00150EA9" w:rsidRDefault="00976683" w:rsidP="00104873">
      <w:pPr>
        <w:pStyle w:val="FootnoteText"/>
        <w:rPr>
          <w:sz w:val="22"/>
          <w:szCs w:val="22"/>
        </w:rPr>
      </w:pPr>
    </w:p>
    <w:p w14:paraId="2EC6D1B0" w14:textId="77777777" w:rsidR="00976683" w:rsidRPr="00150EA9" w:rsidRDefault="00976683" w:rsidP="00976683">
      <w:r w:rsidRPr="00150EA9">
        <w:t xml:space="preserve">Eliade, Mircea, </w:t>
      </w:r>
      <w:r w:rsidRPr="00150EA9">
        <w:rPr>
          <w:i/>
        </w:rPr>
        <w:t>The Sacred and the Profane: The Nature of Religion</w:t>
      </w:r>
      <w:r w:rsidRPr="00150EA9">
        <w:t xml:space="preserve">, trans and ed. Willard R. Trask (1957; </w:t>
      </w:r>
      <w:proofErr w:type="spellStart"/>
      <w:r w:rsidRPr="00150EA9">
        <w:t>repr</w:t>
      </w:r>
      <w:proofErr w:type="spellEnd"/>
      <w:r w:rsidRPr="00150EA9">
        <w:t>. London: Harcourt, Inc., 1987</w:t>
      </w:r>
    </w:p>
    <w:p w14:paraId="089B7B53" w14:textId="77777777" w:rsidR="00104873" w:rsidRPr="00150EA9" w:rsidRDefault="00104873" w:rsidP="00104873">
      <w:pPr>
        <w:pStyle w:val="FootnoteText"/>
        <w:rPr>
          <w:sz w:val="22"/>
          <w:szCs w:val="22"/>
        </w:rPr>
      </w:pPr>
    </w:p>
    <w:p w14:paraId="4FD6DC71" w14:textId="5220787F" w:rsidR="00104873" w:rsidRPr="00150EA9" w:rsidRDefault="00104873" w:rsidP="00104873">
      <w:pPr>
        <w:pStyle w:val="FootnoteText"/>
        <w:rPr>
          <w:sz w:val="22"/>
          <w:szCs w:val="22"/>
        </w:rPr>
      </w:pPr>
      <w:r w:rsidRPr="00150EA9">
        <w:rPr>
          <w:sz w:val="22"/>
          <w:szCs w:val="22"/>
        </w:rPr>
        <w:t xml:space="preserve">Evans, James, ‘The Astrologer’s Apparatus: a picture of professional practice in Greco-Roman Egypt’, </w:t>
      </w:r>
      <w:r w:rsidRPr="00150EA9">
        <w:rPr>
          <w:i/>
          <w:sz w:val="22"/>
          <w:szCs w:val="22"/>
        </w:rPr>
        <w:t>Journal for the History of Astronomy</w:t>
      </w:r>
      <w:r w:rsidRPr="00150EA9">
        <w:rPr>
          <w:sz w:val="22"/>
          <w:szCs w:val="22"/>
        </w:rPr>
        <w:t xml:space="preserve">, Vol. 35, Part 1, No. 118, (2004), 1-44 </w:t>
      </w:r>
    </w:p>
    <w:p w14:paraId="1BAD433E" w14:textId="77777777" w:rsidR="00976683" w:rsidRDefault="00976683" w:rsidP="00104873">
      <w:pPr>
        <w:pStyle w:val="FootnoteText"/>
        <w:rPr>
          <w:sz w:val="22"/>
          <w:szCs w:val="22"/>
        </w:rPr>
      </w:pPr>
    </w:p>
    <w:p w14:paraId="22653904" w14:textId="6A50AC8E" w:rsidR="00104873" w:rsidRPr="00150EA9" w:rsidRDefault="00104873" w:rsidP="00104873">
      <w:pPr>
        <w:pStyle w:val="FootnoteText"/>
        <w:rPr>
          <w:sz w:val="22"/>
          <w:szCs w:val="22"/>
        </w:rPr>
      </w:pPr>
      <w:r w:rsidRPr="00150EA9">
        <w:rPr>
          <w:sz w:val="22"/>
          <w:szCs w:val="22"/>
        </w:rPr>
        <w:t xml:space="preserve">Geertz, Hildred, ‘An Anthropology of Religion and Magic, 1’, </w:t>
      </w:r>
      <w:r w:rsidRPr="00150EA9">
        <w:rPr>
          <w:i/>
          <w:sz w:val="22"/>
          <w:szCs w:val="22"/>
        </w:rPr>
        <w:t>Journal of Interdisciplinary History,</w:t>
      </w:r>
      <w:r w:rsidRPr="00150EA9">
        <w:rPr>
          <w:sz w:val="22"/>
          <w:szCs w:val="22"/>
        </w:rPr>
        <w:t xml:space="preserve"> </w:t>
      </w:r>
      <w:proofErr w:type="gramStart"/>
      <w:r w:rsidRPr="00150EA9">
        <w:rPr>
          <w:sz w:val="22"/>
          <w:szCs w:val="22"/>
        </w:rPr>
        <w:t>VI:I</w:t>
      </w:r>
      <w:proofErr w:type="gramEnd"/>
      <w:r w:rsidRPr="00150EA9">
        <w:rPr>
          <w:sz w:val="22"/>
          <w:szCs w:val="22"/>
        </w:rPr>
        <w:t xml:space="preserve"> (Summer 1975), 71-89</w:t>
      </w:r>
    </w:p>
    <w:p w14:paraId="2049077A" w14:textId="77777777" w:rsidR="00104873" w:rsidRPr="00150EA9" w:rsidRDefault="00104873" w:rsidP="00104873">
      <w:pPr>
        <w:pStyle w:val="FootnoteText"/>
        <w:rPr>
          <w:sz w:val="22"/>
          <w:szCs w:val="22"/>
        </w:rPr>
      </w:pPr>
    </w:p>
    <w:p w14:paraId="2CB08F90" w14:textId="3A4F7FFF" w:rsidR="00104873" w:rsidRPr="00150EA9" w:rsidRDefault="00104873" w:rsidP="00104873">
      <w:pPr>
        <w:autoSpaceDE w:val="0"/>
        <w:autoSpaceDN w:val="0"/>
        <w:adjustRightInd w:val="0"/>
        <w:rPr>
          <w:rFonts w:cs="Palatino-Italic"/>
          <w:iCs/>
        </w:rPr>
      </w:pPr>
      <w:r w:rsidRPr="00150EA9">
        <w:t>Greene, Liz, ‘</w:t>
      </w:r>
      <w:r w:rsidRPr="00150EA9">
        <w:rPr>
          <w:rFonts w:cs="Palatino-Italic"/>
          <w:iCs/>
        </w:rPr>
        <w:t>Signs, Signatures, and Symbols: The Languages of Heaven’</w:t>
      </w:r>
      <w:r w:rsidRPr="00150EA9">
        <w:rPr>
          <w:rFonts w:cs="Palatino-Italic"/>
          <w:i/>
          <w:iCs/>
        </w:rPr>
        <w:t xml:space="preserve">, </w:t>
      </w:r>
      <w:r w:rsidRPr="00150EA9">
        <w:rPr>
          <w:rFonts w:cs="Palatino-Italic"/>
          <w:iCs/>
        </w:rPr>
        <w:t>in</w:t>
      </w:r>
      <w:r w:rsidRPr="00150EA9">
        <w:rPr>
          <w:rFonts w:cs="Palatino-Italic"/>
          <w:i/>
          <w:iCs/>
        </w:rPr>
        <w:t xml:space="preserve"> Astrology as Art: Representation and Practice, </w:t>
      </w:r>
      <w:r w:rsidRPr="00150EA9">
        <w:rPr>
          <w:rFonts w:cs="Palatino-Italic"/>
          <w:iCs/>
        </w:rPr>
        <w:t xml:space="preserve">ed. By Nicholas Campion and Jennifer Zahrt </w:t>
      </w:r>
      <w:r w:rsidRPr="00150EA9">
        <w:t xml:space="preserve">(Lampeter: Sophia Centre Press, 2018) </w:t>
      </w:r>
    </w:p>
    <w:p w14:paraId="0C8062A7" w14:textId="77777777" w:rsidR="00104873" w:rsidRPr="00150EA9" w:rsidRDefault="00104873" w:rsidP="00104873"/>
    <w:p w14:paraId="34556441" w14:textId="01074D54" w:rsidR="00104873" w:rsidRPr="00150EA9" w:rsidRDefault="00104873" w:rsidP="00104873">
      <w:r w:rsidRPr="00150EA9">
        <w:t xml:space="preserve">Greene, Liz, ‘The God in the Stone: Gemstone Talismans in Western Magical Traditions’, </w:t>
      </w:r>
      <w:r w:rsidRPr="00150EA9">
        <w:rPr>
          <w:i/>
        </w:rPr>
        <w:t>Celestial Magic</w:t>
      </w:r>
      <w:r w:rsidRPr="00150EA9">
        <w:t xml:space="preserve">, special issue of </w:t>
      </w:r>
      <w:r w:rsidRPr="00150EA9">
        <w:rPr>
          <w:i/>
        </w:rPr>
        <w:t>Culture and Cosmos</w:t>
      </w:r>
      <w:r w:rsidRPr="00150EA9">
        <w:t>, Vol. 19 no 1 and 2, Spring/Summer and Autumn Winter (2015) 47-85</w:t>
      </w:r>
    </w:p>
    <w:p w14:paraId="4AF3E54F" w14:textId="77777777" w:rsidR="00104873" w:rsidRPr="00150EA9" w:rsidRDefault="00104873" w:rsidP="00104873"/>
    <w:p w14:paraId="09B0DD6C" w14:textId="71DEDAB5" w:rsidR="00104873" w:rsidRPr="00150EA9" w:rsidRDefault="00104873" w:rsidP="00104873">
      <w:pPr>
        <w:pStyle w:val="FootnoteText"/>
        <w:rPr>
          <w:sz w:val="22"/>
          <w:szCs w:val="22"/>
        </w:rPr>
      </w:pPr>
      <w:proofErr w:type="spellStart"/>
      <w:r w:rsidRPr="00150EA9">
        <w:rPr>
          <w:sz w:val="22"/>
          <w:szCs w:val="22"/>
        </w:rPr>
        <w:t>Gunzburg</w:t>
      </w:r>
      <w:proofErr w:type="spellEnd"/>
      <w:r w:rsidRPr="00150EA9">
        <w:rPr>
          <w:sz w:val="22"/>
          <w:szCs w:val="22"/>
        </w:rPr>
        <w:t xml:space="preserve">, </w:t>
      </w:r>
      <w:proofErr w:type="spellStart"/>
      <w:r w:rsidRPr="00150EA9">
        <w:rPr>
          <w:sz w:val="22"/>
          <w:szCs w:val="22"/>
        </w:rPr>
        <w:t>Darrelyn</w:t>
      </w:r>
      <w:proofErr w:type="spellEnd"/>
      <w:r w:rsidRPr="00150EA9">
        <w:rPr>
          <w:sz w:val="22"/>
          <w:szCs w:val="22"/>
        </w:rPr>
        <w:t xml:space="preserve">, ‘How do astrologers read charts?’, in </w:t>
      </w:r>
      <w:proofErr w:type="spellStart"/>
      <w:r w:rsidRPr="00150EA9">
        <w:rPr>
          <w:rFonts w:cs="Arial"/>
          <w:i/>
          <w:sz w:val="22"/>
          <w:szCs w:val="22"/>
        </w:rPr>
        <w:t>Astrologies</w:t>
      </w:r>
      <w:proofErr w:type="spellEnd"/>
      <w:r w:rsidRPr="00150EA9">
        <w:rPr>
          <w:rFonts w:cs="Arial"/>
          <w:i/>
          <w:sz w:val="22"/>
          <w:szCs w:val="22"/>
        </w:rPr>
        <w:t>: Plurality and Diversity</w:t>
      </w:r>
      <w:r w:rsidRPr="00150EA9">
        <w:rPr>
          <w:rFonts w:cs="Arial"/>
          <w:sz w:val="22"/>
          <w:szCs w:val="22"/>
        </w:rPr>
        <w:t>, ed. by Nicholas Campion and Liz Greene, (Ceredigion: Sophia Centre Press, University of Wales, Trinity Saint David, 2011)</w:t>
      </w:r>
    </w:p>
    <w:p w14:paraId="612B23EA" w14:textId="77777777" w:rsidR="00104873" w:rsidRPr="00150EA9" w:rsidRDefault="00104873" w:rsidP="00104873"/>
    <w:p w14:paraId="4F0DC43D" w14:textId="77777777" w:rsidR="00104873" w:rsidRPr="00150EA9" w:rsidRDefault="00104873" w:rsidP="00104873">
      <w:pPr>
        <w:autoSpaceDE w:val="0"/>
        <w:autoSpaceDN w:val="0"/>
        <w:adjustRightInd w:val="0"/>
        <w:rPr>
          <w:rFonts w:cs="Times New Roman"/>
        </w:rPr>
      </w:pPr>
      <w:proofErr w:type="spellStart"/>
      <w:r w:rsidRPr="00150EA9">
        <w:rPr>
          <w:rFonts w:cs="Times New Roman"/>
        </w:rPr>
        <w:t>Herbrechtsmeier</w:t>
      </w:r>
      <w:proofErr w:type="spellEnd"/>
      <w:r w:rsidRPr="00150EA9">
        <w:rPr>
          <w:rFonts w:cs="Times New Roman"/>
        </w:rPr>
        <w:t>, William, 'Buddhism and the Definition of Religion: One More Time',</w:t>
      </w:r>
    </w:p>
    <w:p w14:paraId="5E2E3824" w14:textId="485D31E2" w:rsidR="00104873" w:rsidRPr="00150EA9" w:rsidRDefault="00104873" w:rsidP="00104873">
      <w:pPr>
        <w:pStyle w:val="FootnoteText"/>
        <w:rPr>
          <w:rFonts w:cs="Times New Roman"/>
          <w:sz w:val="22"/>
          <w:szCs w:val="22"/>
        </w:rPr>
      </w:pPr>
      <w:r w:rsidRPr="00150EA9">
        <w:rPr>
          <w:rFonts w:cs="Times New Roman"/>
          <w:i/>
          <w:iCs/>
          <w:sz w:val="22"/>
          <w:szCs w:val="22"/>
        </w:rPr>
        <w:t>Journal for the Scientific Study of Religion</w:t>
      </w:r>
      <w:r w:rsidRPr="00150EA9">
        <w:rPr>
          <w:rFonts w:cs="Times New Roman"/>
          <w:sz w:val="22"/>
          <w:szCs w:val="22"/>
        </w:rPr>
        <w:t>, Vol. 32 no 1</w:t>
      </w:r>
      <w:r w:rsidR="00976683">
        <w:rPr>
          <w:rFonts w:cs="Times New Roman"/>
          <w:sz w:val="22"/>
          <w:szCs w:val="22"/>
        </w:rPr>
        <w:t xml:space="preserve"> (</w:t>
      </w:r>
      <w:r w:rsidR="00976683" w:rsidRPr="00150EA9">
        <w:rPr>
          <w:rFonts w:cs="Times New Roman"/>
          <w:sz w:val="22"/>
          <w:szCs w:val="22"/>
        </w:rPr>
        <w:t>1993</w:t>
      </w:r>
      <w:r w:rsidR="00976683">
        <w:rPr>
          <w:rFonts w:cs="Times New Roman"/>
          <w:sz w:val="22"/>
          <w:szCs w:val="22"/>
        </w:rPr>
        <w:t>)</w:t>
      </w:r>
    </w:p>
    <w:p w14:paraId="2E2CB112" w14:textId="77777777" w:rsidR="00104873" w:rsidRPr="00150EA9" w:rsidRDefault="00104873" w:rsidP="00104873">
      <w:pPr>
        <w:pStyle w:val="FootnoteText"/>
        <w:rPr>
          <w:rFonts w:cs="Times New Roman"/>
          <w:sz w:val="22"/>
          <w:szCs w:val="22"/>
        </w:rPr>
      </w:pPr>
    </w:p>
    <w:p w14:paraId="0391B9EA" w14:textId="57A379A8" w:rsidR="00104873" w:rsidRDefault="00104873" w:rsidP="00104873">
      <w:pPr>
        <w:pStyle w:val="FootnoteText"/>
        <w:rPr>
          <w:sz w:val="22"/>
          <w:szCs w:val="22"/>
        </w:rPr>
      </w:pPr>
      <w:r w:rsidRPr="00150EA9">
        <w:rPr>
          <w:sz w:val="22"/>
          <w:szCs w:val="22"/>
        </w:rPr>
        <w:t>Hillman, James, ‘Heaven Retains within Its Spheres Half of All Bodies and Maladies’ (Paracelsus): Astrology as Cosmology (paper presented in 1997; re-presented at Bristol: Astro Logos conference, Bristol, UK, 2005)</w:t>
      </w:r>
    </w:p>
    <w:p w14:paraId="357EF3C7" w14:textId="625AF9A6" w:rsidR="00976683" w:rsidRDefault="00976683" w:rsidP="00104873">
      <w:pPr>
        <w:pStyle w:val="FootnoteText"/>
        <w:rPr>
          <w:sz w:val="22"/>
          <w:szCs w:val="22"/>
        </w:rPr>
      </w:pPr>
    </w:p>
    <w:p w14:paraId="572845C5" w14:textId="6BDBCCE7" w:rsidR="00976683" w:rsidRPr="00150EA9" w:rsidRDefault="00976683" w:rsidP="00104873">
      <w:pPr>
        <w:pStyle w:val="FootnoteText"/>
        <w:rPr>
          <w:sz w:val="22"/>
          <w:szCs w:val="22"/>
        </w:rPr>
      </w:pPr>
      <w:r w:rsidRPr="00150EA9">
        <w:rPr>
          <w:i/>
          <w:sz w:val="22"/>
          <w:szCs w:val="22"/>
        </w:rPr>
        <w:t xml:space="preserve">Historia </w:t>
      </w:r>
      <w:proofErr w:type="spellStart"/>
      <w:r w:rsidRPr="00150EA9">
        <w:rPr>
          <w:i/>
          <w:sz w:val="22"/>
          <w:szCs w:val="22"/>
        </w:rPr>
        <w:t>Alexandri</w:t>
      </w:r>
      <w:proofErr w:type="spellEnd"/>
      <w:r w:rsidRPr="00150EA9">
        <w:rPr>
          <w:i/>
          <w:sz w:val="22"/>
          <w:szCs w:val="22"/>
        </w:rPr>
        <w:t xml:space="preserve"> </w:t>
      </w:r>
      <w:proofErr w:type="spellStart"/>
      <w:r w:rsidRPr="00150EA9">
        <w:rPr>
          <w:i/>
          <w:sz w:val="22"/>
          <w:szCs w:val="22"/>
        </w:rPr>
        <w:t>Magni</w:t>
      </w:r>
      <w:proofErr w:type="spellEnd"/>
      <w:r w:rsidRPr="00150EA9">
        <w:rPr>
          <w:sz w:val="22"/>
          <w:szCs w:val="22"/>
        </w:rPr>
        <w:t>, ed. by W. Kroll, (Berlin: 1926)</w:t>
      </w:r>
    </w:p>
    <w:p w14:paraId="0895E63B" w14:textId="77777777" w:rsidR="00104873" w:rsidRPr="00150EA9" w:rsidRDefault="00104873" w:rsidP="00104873">
      <w:pPr>
        <w:pStyle w:val="FootnoteText"/>
        <w:rPr>
          <w:rFonts w:cs="Times New Roman"/>
          <w:sz w:val="22"/>
          <w:szCs w:val="22"/>
        </w:rPr>
      </w:pPr>
    </w:p>
    <w:p w14:paraId="79AE1CF4" w14:textId="77777777" w:rsidR="00104873" w:rsidRPr="00150EA9" w:rsidRDefault="00104873" w:rsidP="00104873">
      <w:pPr>
        <w:pStyle w:val="FootnoteText"/>
        <w:rPr>
          <w:sz w:val="22"/>
          <w:szCs w:val="22"/>
        </w:rPr>
      </w:pPr>
      <w:r w:rsidRPr="00150EA9">
        <w:rPr>
          <w:sz w:val="22"/>
          <w:szCs w:val="22"/>
        </w:rPr>
        <w:t xml:space="preserve">Hone, Margaret E., </w:t>
      </w:r>
      <w:r w:rsidRPr="00150EA9">
        <w:rPr>
          <w:i/>
          <w:sz w:val="22"/>
          <w:szCs w:val="22"/>
        </w:rPr>
        <w:t>The Modern Text-Book of Astrology</w:t>
      </w:r>
      <w:r w:rsidRPr="00150EA9">
        <w:rPr>
          <w:sz w:val="22"/>
          <w:szCs w:val="22"/>
        </w:rPr>
        <w:t xml:space="preserve"> (London: L.N. Fowler &amp; Co. Ltd [1951] 1973)</w:t>
      </w:r>
    </w:p>
    <w:p w14:paraId="2799AD56" w14:textId="77777777" w:rsidR="00104873" w:rsidRPr="00150EA9" w:rsidRDefault="00104873" w:rsidP="00104873">
      <w:pPr>
        <w:pStyle w:val="FootnoteText"/>
        <w:rPr>
          <w:rFonts w:cs="Times New Roman"/>
          <w:sz w:val="22"/>
          <w:szCs w:val="22"/>
        </w:rPr>
      </w:pPr>
    </w:p>
    <w:p w14:paraId="4D9B76E9" w14:textId="16EE2BC3" w:rsidR="00104873" w:rsidRPr="00150EA9" w:rsidRDefault="00104873" w:rsidP="00104873">
      <w:pPr>
        <w:pStyle w:val="FootnoteText"/>
        <w:rPr>
          <w:sz w:val="22"/>
          <w:szCs w:val="22"/>
        </w:rPr>
      </w:pPr>
      <w:r w:rsidRPr="00150EA9">
        <w:rPr>
          <w:sz w:val="22"/>
          <w:szCs w:val="22"/>
        </w:rPr>
        <w:t xml:space="preserve">Keane, Webb, ‘The evidence of the senses and the materiality of religion’, </w:t>
      </w:r>
      <w:r w:rsidRPr="00150EA9">
        <w:rPr>
          <w:i/>
          <w:sz w:val="22"/>
          <w:szCs w:val="22"/>
        </w:rPr>
        <w:t>Journal of the Royal Anthropological Institute</w:t>
      </w:r>
      <w:r w:rsidRPr="00150EA9">
        <w:rPr>
          <w:sz w:val="22"/>
          <w:szCs w:val="22"/>
        </w:rPr>
        <w:t xml:space="preserve"> (N.S.), (2008) S110-S127 </w:t>
      </w:r>
    </w:p>
    <w:p w14:paraId="602DAB19" w14:textId="77777777" w:rsidR="00104873" w:rsidRPr="00150EA9" w:rsidRDefault="00104873" w:rsidP="00104873">
      <w:pPr>
        <w:pStyle w:val="FootnoteText"/>
        <w:rPr>
          <w:sz w:val="22"/>
          <w:szCs w:val="22"/>
        </w:rPr>
      </w:pPr>
    </w:p>
    <w:p w14:paraId="5309D1D8" w14:textId="4A118E50" w:rsidR="00104873" w:rsidRPr="00150EA9" w:rsidRDefault="00104873" w:rsidP="00104873">
      <w:r w:rsidRPr="00150EA9">
        <w:t xml:space="preserve">Meyer, Birgit et al, ‘The origin and mission of Material Religion’, </w:t>
      </w:r>
      <w:r w:rsidRPr="00150EA9">
        <w:rPr>
          <w:i/>
        </w:rPr>
        <w:t>Religion</w:t>
      </w:r>
      <w:r w:rsidRPr="00150EA9">
        <w:t>, 40 (2010) 207-211</w:t>
      </w:r>
    </w:p>
    <w:p w14:paraId="3AC43DA9" w14:textId="77777777" w:rsidR="00104873" w:rsidRPr="00150EA9" w:rsidRDefault="00104873" w:rsidP="00104873">
      <w:pPr>
        <w:pStyle w:val="FootnoteText"/>
        <w:rPr>
          <w:sz w:val="22"/>
          <w:szCs w:val="22"/>
        </w:rPr>
      </w:pPr>
    </w:p>
    <w:p w14:paraId="157E4F58" w14:textId="5D4CA247" w:rsidR="00104873" w:rsidRPr="00150EA9" w:rsidRDefault="00104873" w:rsidP="00104873">
      <w:r w:rsidRPr="00150EA9">
        <w:t xml:space="preserve">Mohan, Urmila and Jean-Pierre </w:t>
      </w:r>
      <w:proofErr w:type="spellStart"/>
      <w:r w:rsidRPr="00150EA9">
        <w:t>Warnier</w:t>
      </w:r>
      <w:proofErr w:type="spellEnd"/>
      <w:r w:rsidRPr="00150EA9">
        <w:t xml:space="preserve">, ‘Marching the devotional subject: The bodily-and-material cultures of religion’ </w:t>
      </w:r>
      <w:r w:rsidRPr="00150EA9">
        <w:rPr>
          <w:i/>
        </w:rPr>
        <w:t>Journal of Material Culture</w:t>
      </w:r>
      <w:r w:rsidRPr="00150EA9">
        <w:t xml:space="preserve">, Vol. 22 (4) </w:t>
      </w:r>
      <w:r w:rsidR="00976683">
        <w:t xml:space="preserve">(2017) </w:t>
      </w:r>
      <w:r w:rsidRPr="00150EA9">
        <w:t>369-384.</w:t>
      </w:r>
    </w:p>
    <w:p w14:paraId="29B6995E" w14:textId="77777777" w:rsidR="00104873" w:rsidRPr="00150EA9" w:rsidRDefault="00104873" w:rsidP="00104873"/>
    <w:p w14:paraId="5D26800A" w14:textId="77777777" w:rsidR="00104873" w:rsidRPr="00150EA9" w:rsidRDefault="00104873" w:rsidP="00104873">
      <w:pPr>
        <w:pStyle w:val="FootnoteText"/>
        <w:rPr>
          <w:sz w:val="22"/>
          <w:szCs w:val="22"/>
        </w:rPr>
      </w:pPr>
      <w:r w:rsidRPr="00150EA9">
        <w:rPr>
          <w:sz w:val="22"/>
          <w:szCs w:val="22"/>
        </w:rPr>
        <w:t xml:space="preserve">Plate, S. Brent, introduction to </w:t>
      </w:r>
      <w:r w:rsidRPr="00150EA9">
        <w:rPr>
          <w:i/>
          <w:sz w:val="22"/>
          <w:szCs w:val="22"/>
        </w:rPr>
        <w:t>Key Terms in Material Religion</w:t>
      </w:r>
      <w:r w:rsidRPr="00150EA9">
        <w:rPr>
          <w:sz w:val="22"/>
          <w:szCs w:val="22"/>
        </w:rPr>
        <w:t>, ed. By S. Brent Plate, (London: Bloomsbury Academic, 2015), pp. 1-8.</w:t>
      </w:r>
    </w:p>
    <w:p w14:paraId="290AF81F" w14:textId="77777777" w:rsidR="00104873" w:rsidRPr="00150EA9" w:rsidRDefault="00104873" w:rsidP="00104873">
      <w:pPr>
        <w:pStyle w:val="FootnoteText"/>
        <w:rPr>
          <w:sz w:val="22"/>
          <w:szCs w:val="22"/>
        </w:rPr>
      </w:pPr>
    </w:p>
    <w:p w14:paraId="24DD73BD" w14:textId="5FFA663E" w:rsidR="00104873" w:rsidRPr="00150EA9" w:rsidRDefault="00104873" w:rsidP="00104873">
      <w:r w:rsidRPr="00150EA9">
        <w:t xml:space="preserve">Wheeler, Bonnie, ‘Models of Pilgrimage: From </w:t>
      </w:r>
      <w:proofErr w:type="spellStart"/>
      <w:r w:rsidRPr="00150EA9">
        <w:t>Communitas</w:t>
      </w:r>
      <w:proofErr w:type="spellEnd"/>
      <w:r w:rsidRPr="00150EA9">
        <w:t xml:space="preserve"> to Confluence’, </w:t>
      </w:r>
      <w:r w:rsidRPr="00150EA9">
        <w:rPr>
          <w:i/>
        </w:rPr>
        <w:t>Journal of Ritual Studies</w:t>
      </w:r>
      <w:r w:rsidRPr="00150EA9">
        <w:t xml:space="preserve"> 13(2) 1999, 26-37 </w:t>
      </w:r>
    </w:p>
    <w:p w14:paraId="5EADCF28" w14:textId="77777777" w:rsidR="00104873" w:rsidRPr="00150EA9" w:rsidRDefault="00104873" w:rsidP="00104873">
      <w:pPr>
        <w:pStyle w:val="FootnoteText"/>
        <w:rPr>
          <w:sz w:val="22"/>
          <w:szCs w:val="22"/>
        </w:rPr>
      </w:pPr>
    </w:p>
    <w:p w14:paraId="4CF125E5" w14:textId="77777777" w:rsidR="00104873" w:rsidRPr="00150EA9" w:rsidRDefault="00104873" w:rsidP="00104873">
      <w:pPr>
        <w:autoSpaceDE w:val="0"/>
        <w:autoSpaceDN w:val="0"/>
        <w:adjustRightInd w:val="0"/>
        <w:rPr>
          <w:rFonts w:cs="Times New Roman"/>
          <w:i/>
          <w:iCs/>
        </w:rPr>
      </w:pPr>
      <w:proofErr w:type="spellStart"/>
      <w:r w:rsidRPr="00150EA9">
        <w:rPr>
          <w:rFonts w:cs="Times New Roman"/>
        </w:rPr>
        <w:t>Yinger</w:t>
      </w:r>
      <w:proofErr w:type="spellEnd"/>
      <w:r w:rsidRPr="00150EA9">
        <w:rPr>
          <w:rFonts w:cs="Times New Roman"/>
        </w:rPr>
        <w:t>,</w:t>
      </w:r>
      <w:r w:rsidRPr="00150EA9">
        <w:t xml:space="preserve"> Milton J.</w:t>
      </w:r>
      <w:r w:rsidRPr="00150EA9">
        <w:rPr>
          <w:rFonts w:cs="Times New Roman"/>
        </w:rPr>
        <w:t xml:space="preserve">, 'A Structural Examination of Religion', </w:t>
      </w:r>
      <w:r w:rsidRPr="00150EA9">
        <w:rPr>
          <w:rFonts w:cs="Times New Roman"/>
          <w:i/>
          <w:iCs/>
        </w:rPr>
        <w:t>Journal for the Scientific Study of</w:t>
      </w:r>
    </w:p>
    <w:p w14:paraId="5A479F67" w14:textId="77777777" w:rsidR="00104873" w:rsidRPr="00150EA9" w:rsidRDefault="00104873" w:rsidP="00104873">
      <w:pPr>
        <w:pStyle w:val="FootnoteText"/>
        <w:rPr>
          <w:rFonts w:cs="Times New Roman"/>
          <w:sz w:val="22"/>
          <w:szCs w:val="22"/>
        </w:rPr>
      </w:pPr>
      <w:r w:rsidRPr="00150EA9">
        <w:rPr>
          <w:rFonts w:cs="Times New Roman"/>
          <w:i/>
          <w:iCs/>
          <w:sz w:val="22"/>
          <w:szCs w:val="22"/>
        </w:rPr>
        <w:t>Religion</w:t>
      </w:r>
      <w:r w:rsidRPr="00150EA9">
        <w:rPr>
          <w:rFonts w:cs="Times New Roman"/>
          <w:sz w:val="22"/>
          <w:szCs w:val="22"/>
        </w:rPr>
        <w:t xml:space="preserve">, Vol. 8 (Spring 1969) 88-99 </w:t>
      </w:r>
    </w:p>
    <w:p w14:paraId="7B17EEDF" w14:textId="77777777" w:rsidR="00E363D9" w:rsidRPr="00F16203" w:rsidRDefault="00E363D9" w:rsidP="00104873">
      <w:pPr>
        <w:rPr>
          <w:rFonts w:eastAsia="Times New Roman" w:cstheme="minorHAnsi"/>
          <w:bCs/>
          <w:lang w:eastAsia="en-CA"/>
        </w:rPr>
      </w:pPr>
    </w:p>
    <w:sectPr w:rsidR="00E363D9" w:rsidRPr="00F16203">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D6CC6" w14:textId="77777777" w:rsidR="004B03E3" w:rsidRDefault="004B03E3" w:rsidP="0058405F">
      <w:r>
        <w:separator/>
      </w:r>
    </w:p>
  </w:endnote>
  <w:endnote w:type="continuationSeparator" w:id="0">
    <w:p w14:paraId="5BEAF4D0" w14:textId="77777777" w:rsidR="004B03E3" w:rsidRDefault="004B03E3" w:rsidP="0058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d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Palatino-Italic">
    <w:altName w:val="Palatino Linotype"/>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48A81" w14:textId="77777777" w:rsidR="004B03E3" w:rsidRDefault="004B03E3" w:rsidP="0058405F">
      <w:r>
        <w:separator/>
      </w:r>
    </w:p>
  </w:footnote>
  <w:footnote w:type="continuationSeparator" w:id="0">
    <w:p w14:paraId="08FBC989" w14:textId="77777777" w:rsidR="004B03E3" w:rsidRDefault="004B03E3" w:rsidP="0058405F">
      <w:r>
        <w:continuationSeparator/>
      </w:r>
    </w:p>
  </w:footnote>
  <w:footnote w:id="1">
    <w:p w14:paraId="70C9EDC5" w14:textId="05F19467" w:rsidR="00AE264A" w:rsidRDefault="00AE264A">
      <w:pPr>
        <w:pStyle w:val="FootnoteText"/>
      </w:pPr>
      <w:r>
        <w:rPr>
          <w:rStyle w:val="FootnoteReference"/>
        </w:rPr>
        <w:footnoteRef/>
      </w:r>
      <w:r>
        <w:t xml:space="preserve"> </w:t>
      </w:r>
      <w:bookmarkStart w:id="4" w:name="_Hlk7444998"/>
      <w:r>
        <w:t xml:space="preserve">Simon Coleman, ‘Material Religion: A Fruitful Tautology’, </w:t>
      </w:r>
      <w:r w:rsidRPr="00FE180D">
        <w:rPr>
          <w:i/>
        </w:rPr>
        <w:t>Material Religion</w:t>
      </w:r>
      <w:r>
        <w:t>, volume 5, issue 3 (2009), 359-360.</w:t>
      </w:r>
    </w:p>
  </w:footnote>
  <w:footnote w:id="2">
    <w:p w14:paraId="02030B2D" w14:textId="021AC328" w:rsidR="00AE264A" w:rsidRPr="00DF0999" w:rsidRDefault="00AE264A" w:rsidP="00CF66D5">
      <w:pPr>
        <w:rPr>
          <w:rFonts w:cs="Arial"/>
          <w:color w:val="666666"/>
          <w:sz w:val="20"/>
          <w:szCs w:val="20"/>
        </w:rPr>
      </w:pPr>
      <w:r w:rsidRPr="00FC73B3">
        <w:rPr>
          <w:rStyle w:val="FootnoteReference"/>
        </w:rPr>
        <w:footnoteRef/>
      </w:r>
      <w:r w:rsidRPr="00FC73B3">
        <w:t xml:space="preserve"> </w:t>
      </w:r>
      <w:r w:rsidRPr="00FC73B3">
        <w:rPr>
          <w:sz w:val="20"/>
          <w:szCs w:val="20"/>
        </w:rPr>
        <w:t xml:space="preserve">‘Journal description’, </w:t>
      </w:r>
      <w:r w:rsidRPr="00FC73B3">
        <w:rPr>
          <w:rFonts w:cs="Arial"/>
          <w:bCs/>
          <w:i/>
          <w:color w:val="111111"/>
          <w:sz w:val="20"/>
          <w:szCs w:val="20"/>
        </w:rPr>
        <w:t>Material Religion: The Journal of Objects Art and Belief</w:t>
      </w:r>
      <w:r w:rsidR="00E54C4D">
        <w:rPr>
          <w:rFonts w:cs="Arial"/>
          <w:bCs/>
          <w:color w:val="111111"/>
          <w:sz w:val="20"/>
          <w:szCs w:val="20"/>
        </w:rPr>
        <w:t xml:space="preserve">, </w:t>
      </w:r>
      <w:r w:rsidRPr="00FC73B3">
        <w:rPr>
          <w:rFonts w:cs="Arial"/>
          <w:color w:val="111111"/>
          <w:sz w:val="20"/>
          <w:szCs w:val="20"/>
        </w:rPr>
        <w:t>Bloomsbury Publishing</w:t>
      </w:r>
      <w:r w:rsidR="00FC73B3" w:rsidRPr="00FC73B3">
        <w:rPr>
          <w:rFonts w:cs="Arial"/>
          <w:color w:val="111111"/>
          <w:sz w:val="20"/>
          <w:szCs w:val="20"/>
        </w:rPr>
        <w:t>.</w:t>
      </w:r>
    </w:p>
  </w:footnote>
  <w:footnote w:id="3">
    <w:p w14:paraId="48C70079" w14:textId="5B680EE3" w:rsidR="00AE264A" w:rsidRDefault="00AE264A" w:rsidP="00155992">
      <w:pPr>
        <w:pStyle w:val="FootnoteText"/>
      </w:pPr>
      <w:r>
        <w:rPr>
          <w:rStyle w:val="FootnoteReference"/>
        </w:rPr>
        <w:footnoteRef/>
      </w:r>
      <w:r>
        <w:t xml:space="preserve"> Hildred Geertz, ‘An Anthropology of Religion and Magic, 1’, </w:t>
      </w:r>
      <w:r w:rsidRPr="00155992">
        <w:rPr>
          <w:i/>
        </w:rPr>
        <w:t>Journal of Interdisciplinary History</w:t>
      </w:r>
      <w:r>
        <w:rPr>
          <w:i/>
        </w:rPr>
        <w:t>,</w:t>
      </w:r>
      <w:r>
        <w:t xml:space="preserve"> </w:t>
      </w:r>
      <w:proofErr w:type="gramStart"/>
      <w:r>
        <w:t>VI:I</w:t>
      </w:r>
      <w:proofErr w:type="gramEnd"/>
      <w:r>
        <w:t xml:space="preserve"> (Summer 1975), 71-89.</w:t>
      </w:r>
    </w:p>
  </w:footnote>
  <w:footnote w:id="4">
    <w:p w14:paraId="5DD1F558" w14:textId="3438C065" w:rsidR="00BE1D3B" w:rsidRDefault="00BE1D3B">
      <w:pPr>
        <w:pStyle w:val="FootnoteText"/>
      </w:pPr>
      <w:r>
        <w:rPr>
          <w:rStyle w:val="FootnoteReference"/>
        </w:rPr>
        <w:footnoteRef/>
      </w:r>
      <w:r>
        <w:t xml:space="preserve"> </w:t>
      </w:r>
      <w:r>
        <w:t>Coleman, ‘Material’, 360</w:t>
      </w:r>
      <w:r>
        <w:t>.</w:t>
      </w:r>
    </w:p>
  </w:footnote>
  <w:footnote w:id="5">
    <w:p w14:paraId="76D1B1A1" w14:textId="005BDD1B" w:rsidR="00AE264A" w:rsidRDefault="00AE264A">
      <w:pPr>
        <w:pStyle w:val="FootnoteText"/>
      </w:pPr>
      <w:r>
        <w:rPr>
          <w:rStyle w:val="FootnoteReference"/>
        </w:rPr>
        <w:footnoteRef/>
      </w:r>
      <w:r>
        <w:t xml:space="preserve"> Birgit Meyer et al, ‘The origin and mission of Material Religion’, </w:t>
      </w:r>
      <w:r w:rsidRPr="00D169C2">
        <w:rPr>
          <w:i/>
        </w:rPr>
        <w:t>Religion</w:t>
      </w:r>
      <w:r>
        <w:t>, 40 (2010) 207-211.</w:t>
      </w:r>
    </w:p>
  </w:footnote>
  <w:footnote w:id="6">
    <w:p w14:paraId="5E230DB4" w14:textId="65EF6CD3" w:rsidR="00AE264A" w:rsidRPr="006A03CA" w:rsidRDefault="00AE264A" w:rsidP="00CF66D5">
      <w:pPr>
        <w:pStyle w:val="FootnoteText"/>
      </w:pPr>
      <w:bookmarkStart w:id="5" w:name="_Hlk7445013"/>
      <w:r w:rsidRPr="006A03CA">
        <w:rPr>
          <w:rStyle w:val="FootnoteReference"/>
        </w:rPr>
        <w:footnoteRef/>
      </w:r>
      <w:r w:rsidRPr="006A03CA">
        <w:t xml:space="preserve"> Tal </w:t>
      </w:r>
      <w:proofErr w:type="spellStart"/>
      <w:r w:rsidRPr="006A03CA">
        <w:t>Asad</w:t>
      </w:r>
      <w:proofErr w:type="spellEnd"/>
      <w:r w:rsidRPr="006A03CA">
        <w:t xml:space="preserve"> (1993) in Webb Keane, ‘The evidence of the senses and the materiality of religion’, </w:t>
      </w:r>
      <w:r w:rsidRPr="006A03CA">
        <w:rPr>
          <w:i/>
        </w:rPr>
        <w:t>Journal of the Royal Anthropological Institute</w:t>
      </w:r>
      <w:r w:rsidRPr="006A03CA">
        <w:t xml:space="preserve"> (N.S.), (2008) S110-S127 (S115).</w:t>
      </w:r>
    </w:p>
  </w:footnote>
  <w:footnote w:id="7">
    <w:p w14:paraId="01D190CE" w14:textId="3BF8F381" w:rsidR="00AE264A" w:rsidRPr="006A03CA" w:rsidRDefault="00AE264A" w:rsidP="00CF66D5">
      <w:pPr>
        <w:autoSpaceDE w:val="0"/>
        <w:autoSpaceDN w:val="0"/>
        <w:adjustRightInd w:val="0"/>
        <w:rPr>
          <w:rFonts w:cs="Times New Roman"/>
          <w:sz w:val="20"/>
          <w:szCs w:val="20"/>
        </w:rPr>
      </w:pPr>
      <w:r w:rsidRPr="006A03CA">
        <w:rPr>
          <w:rStyle w:val="FootnoteReference"/>
          <w:sz w:val="20"/>
          <w:szCs w:val="20"/>
        </w:rPr>
        <w:footnoteRef/>
      </w:r>
      <w:r w:rsidRPr="006A03CA">
        <w:rPr>
          <w:sz w:val="20"/>
          <w:szCs w:val="20"/>
        </w:rPr>
        <w:t xml:space="preserve"> </w:t>
      </w:r>
      <w:r w:rsidR="00E54C4D">
        <w:rPr>
          <w:sz w:val="20"/>
          <w:szCs w:val="20"/>
        </w:rPr>
        <w:t xml:space="preserve">William </w:t>
      </w:r>
      <w:proofErr w:type="spellStart"/>
      <w:r w:rsidRPr="006A03CA">
        <w:rPr>
          <w:rFonts w:cs="Times New Roman"/>
          <w:sz w:val="20"/>
          <w:szCs w:val="20"/>
        </w:rPr>
        <w:t>Herbrechtsmeier</w:t>
      </w:r>
      <w:proofErr w:type="spellEnd"/>
      <w:r w:rsidRPr="006A03CA">
        <w:rPr>
          <w:rFonts w:cs="Times New Roman"/>
          <w:sz w:val="20"/>
          <w:szCs w:val="20"/>
        </w:rPr>
        <w:t>, 'Buddhism and the Definition of Religion: One More Time',</w:t>
      </w:r>
    </w:p>
    <w:p w14:paraId="5FACDD37" w14:textId="77777777" w:rsidR="00AE264A" w:rsidRPr="006A03CA" w:rsidRDefault="00AE264A" w:rsidP="00CF66D5">
      <w:pPr>
        <w:pStyle w:val="FootnoteText"/>
      </w:pPr>
      <w:r w:rsidRPr="006A03CA">
        <w:rPr>
          <w:rFonts w:cs="Times New Roman"/>
          <w:i/>
          <w:iCs/>
        </w:rPr>
        <w:t>Journal for the Scientific Study of Religion</w:t>
      </w:r>
      <w:r w:rsidRPr="006A03CA">
        <w:rPr>
          <w:rFonts w:cs="Times New Roman"/>
        </w:rPr>
        <w:t>, 1993, Vol. 32 no 1, p. 1.</w:t>
      </w:r>
    </w:p>
  </w:footnote>
  <w:footnote w:id="8">
    <w:p w14:paraId="7339391D" w14:textId="4FBC2122" w:rsidR="00AE264A" w:rsidRPr="006A03CA" w:rsidRDefault="00AE264A" w:rsidP="00054ECE">
      <w:pPr>
        <w:autoSpaceDE w:val="0"/>
        <w:autoSpaceDN w:val="0"/>
        <w:adjustRightInd w:val="0"/>
        <w:rPr>
          <w:rFonts w:cs="Times New Roman"/>
          <w:bCs/>
          <w:sz w:val="20"/>
          <w:szCs w:val="20"/>
        </w:rPr>
      </w:pPr>
      <w:r w:rsidRPr="006A03CA">
        <w:rPr>
          <w:rStyle w:val="FootnoteReference"/>
          <w:sz w:val="20"/>
          <w:szCs w:val="20"/>
        </w:rPr>
        <w:footnoteRef/>
      </w:r>
      <w:r w:rsidR="00104873">
        <w:rPr>
          <w:sz w:val="20"/>
          <w:szCs w:val="20"/>
        </w:rPr>
        <w:t xml:space="preserve"> </w:t>
      </w:r>
      <w:r w:rsidRPr="006A03CA">
        <w:rPr>
          <w:sz w:val="20"/>
          <w:szCs w:val="20"/>
        </w:rPr>
        <w:t xml:space="preserve">Emile Durkheim, </w:t>
      </w:r>
      <w:r w:rsidRPr="006A03CA">
        <w:rPr>
          <w:rFonts w:cs="Times New Roman"/>
          <w:bCs/>
          <w:i/>
          <w:iCs/>
          <w:sz w:val="20"/>
          <w:szCs w:val="20"/>
        </w:rPr>
        <w:t xml:space="preserve">The Elementary Forms of Religious Life, </w:t>
      </w:r>
      <w:r w:rsidRPr="006A03CA">
        <w:rPr>
          <w:rFonts w:cs="Times New Roman"/>
          <w:bCs/>
          <w:sz w:val="20"/>
          <w:szCs w:val="20"/>
        </w:rPr>
        <w:t>trans. Karen E. Fields, (New</w:t>
      </w:r>
    </w:p>
    <w:p w14:paraId="094C1D33" w14:textId="76E276CC" w:rsidR="00AE264A" w:rsidRPr="006A03CA" w:rsidRDefault="00AE264A" w:rsidP="00054ECE">
      <w:pPr>
        <w:pStyle w:val="FootnoteText"/>
      </w:pPr>
      <w:r w:rsidRPr="006A03CA">
        <w:rPr>
          <w:rFonts w:cs="Times New Roman"/>
          <w:bCs/>
        </w:rPr>
        <w:t xml:space="preserve">York: The Free Press 1995 [1912]) p. 41; </w:t>
      </w:r>
      <w:r w:rsidRPr="006A03CA">
        <w:t xml:space="preserve">Mircea Eliade, </w:t>
      </w:r>
      <w:r w:rsidRPr="006A03CA">
        <w:rPr>
          <w:i/>
        </w:rPr>
        <w:t>A History of Religious Ideas, Vol. 1, From the Stone Age to the Eleusinian Mysteries</w:t>
      </w:r>
      <w:r w:rsidRPr="006A03CA">
        <w:t>, trans. by Willard R. Trask, (Chicago: University of Chicago Press, 1978), p. 5.</w:t>
      </w:r>
    </w:p>
  </w:footnote>
  <w:footnote w:id="9">
    <w:p w14:paraId="3CBF931E" w14:textId="7FC1F9BB" w:rsidR="00AE264A" w:rsidRPr="006A03CA" w:rsidRDefault="00AE264A" w:rsidP="00054ECE">
      <w:pPr>
        <w:autoSpaceDE w:val="0"/>
        <w:autoSpaceDN w:val="0"/>
        <w:adjustRightInd w:val="0"/>
        <w:rPr>
          <w:rFonts w:cs="Times New Roman"/>
          <w:i/>
          <w:iCs/>
          <w:sz w:val="20"/>
          <w:szCs w:val="20"/>
        </w:rPr>
      </w:pPr>
      <w:r w:rsidRPr="006A03CA">
        <w:rPr>
          <w:rStyle w:val="FootnoteReference"/>
          <w:sz w:val="20"/>
          <w:szCs w:val="20"/>
        </w:rPr>
        <w:footnoteRef/>
      </w:r>
      <w:r w:rsidRPr="006A03CA">
        <w:rPr>
          <w:sz w:val="20"/>
          <w:szCs w:val="20"/>
        </w:rPr>
        <w:t xml:space="preserve"> Milton J. </w:t>
      </w:r>
      <w:proofErr w:type="spellStart"/>
      <w:r w:rsidRPr="006A03CA">
        <w:rPr>
          <w:rFonts w:cs="Times New Roman"/>
          <w:sz w:val="20"/>
          <w:szCs w:val="20"/>
        </w:rPr>
        <w:t>Yinger</w:t>
      </w:r>
      <w:proofErr w:type="spellEnd"/>
      <w:r w:rsidRPr="006A03CA">
        <w:rPr>
          <w:rFonts w:cs="Times New Roman"/>
          <w:sz w:val="20"/>
          <w:szCs w:val="20"/>
        </w:rPr>
        <w:t xml:space="preserve">, 'A Structural Examination of Religion', </w:t>
      </w:r>
      <w:r w:rsidRPr="006A03CA">
        <w:rPr>
          <w:rFonts w:cs="Times New Roman"/>
          <w:i/>
          <w:iCs/>
          <w:sz w:val="20"/>
          <w:szCs w:val="20"/>
        </w:rPr>
        <w:t>Journal for the Scientific Study of</w:t>
      </w:r>
    </w:p>
    <w:p w14:paraId="37B311EE" w14:textId="5DE2F0BB" w:rsidR="00AE264A" w:rsidRPr="006A03CA" w:rsidRDefault="00AE264A" w:rsidP="00054ECE">
      <w:pPr>
        <w:pStyle w:val="FootnoteText"/>
      </w:pPr>
      <w:r w:rsidRPr="006A03CA">
        <w:rPr>
          <w:rFonts w:cs="Times New Roman"/>
          <w:i/>
          <w:iCs/>
        </w:rPr>
        <w:t>Religion</w:t>
      </w:r>
      <w:r w:rsidRPr="006A03CA">
        <w:rPr>
          <w:rFonts w:cs="Times New Roman"/>
        </w:rPr>
        <w:t>, Vol. 8 (Spring 1969) 88-99 (89).</w:t>
      </w:r>
    </w:p>
  </w:footnote>
  <w:footnote w:id="10">
    <w:p w14:paraId="5520410E" w14:textId="5CBD85B9" w:rsidR="00AE264A" w:rsidRPr="006A03CA" w:rsidRDefault="00AE264A" w:rsidP="00FD50C1">
      <w:pPr>
        <w:pStyle w:val="FootnoteText"/>
      </w:pPr>
      <w:r w:rsidRPr="006A03CA">
        <w:rPr>
          <w:rStyle w:val="FootnoteReference"/>
        </w:rPr>
        <w:footnoteRef/>
      </w:r>
      <w:r w:rsidRPr="006A03CA">
        <w:t xml:space="preserve"> De Vries and Weber (2001) in Meyer, ‘The origin and mission’, 210.</w:t>
      </w:r>
    </w:p>
  </w:footnote>
  <w:footnote w:id="11">
    <w:p w14:paraId="05AF7189" w14:textId="004DCBEC" w:rsidR="00AE264A" w:rsidRPr="006A03CA" w:rsidRDefault="00AE264A" w:rsidP="00CF66D5">
      <w:pPr>
        <w:pStyle w:val="FootnoteText"/>
      </w:pPr>
      <w:r w:rsidRPr="006A03CA">
        <w:rPr>
          <w:rStyle w:val="FootnoteReference"/>
        </w:rPr>
        <w:footnoteRef/>
      </w:r>
      <w:r w:rsidRPr="006A03CA">
        <w:t xml:space="preserve"> </w:t>
      </w:r>
      <w:r>
        <w:t xml:space="preserve">Margaret E. Hone, </w:t>
      </w:r>
      <w:r w:rsidRPr="00AC3723">
        <w:rPr>
          <w:i/>
        </w:rPr>
        <w:t>The Modern Text-Book of Astrology</w:t>
      </w:r>
      <w:r>
        <w:t xml:space="preserve"> (London: L.N. Fowler &amp; Co. Ltd [1951] 1973), p. 16, in </w:t>
      </w:r>
      <w:r w:rsidRPr="006A03CA">
        <w:t xml:space="preserve">Bernadette Brady, </w:t>
      </w:r>
      <w:r>
        <w:t xml:space="preserve">‘The Horoscope as an ‘Imago Mundi’: Rethinking the Nature of the Astrologer’s Map’, in </w:t>
      </w:r>
      <w:proofErr w:type="spellStart"/>
      <w:r w:rsidRPr="00AC3723">
        <w:rPr>
          <w:i/>
        </w:rPr>
        <w:t>Astrologies</w:t>
      </w:r>
      <w:proofErr w:type="spellEnd"/>
      <w:r w:rsidRPr="00AC3723">
        <w:rPr>
          <w:i/>
        </w:rPr>
        <w:t>, Plurality and Diversity</w:t>
      </w:r>
      <w:r>
        <w:t>, ed. By Nick Campion and Liz Greene, (University of Wales Trinity Saint David, Lampeter: Sophia Centre Press 2011), pp. 47-62.</w:t>
      </w:r>
    </w:p>
  </w:footnote>
  <w:footnote w:id="12">
    <w:p w14:paraId="64FC67AE" w14:textId="445B76BC" w:rsidR="00AE264A" w:rsidRPr="006A03CA" w:rsidRDefault="00AE264A">
      <w:pPr>
        <w:pStyle w:val="FootnoteText"/>
      </w:pPr>
      <w:r w:rsidRPr="006A03CA">
        <w:rPr>
          <w:rStyle w:val="FootnoteReference"/>
        </w:rPr>
        <w:footnoteRef/>
      </w:r>
      <w:r w:rsidRPr="006A03CA">
        <w:t xml:space="preserve"> </w:t>
      </w:r>
      <w:r>
        <w:t xml:space="preserve">Patrick </w:t>
      </w:r>
      <w:r w:rsidRPr="006A03CA">
        <w:t xml:space="preserve">Curry, ‘Astrology’, in Boyd, Kelly (ed.) </w:t>
      </w:r>
      <w:r w:rsidRPr="00AC3723">
        <w:rPr>
          <w:i/>
        </w:rPr>
        <w:t>The Encyclopaedia of Historians and Historical Writing</w:t>
      </w:r>
      <w:r w:rsidRPr="006A03CA">
        <w:t xml:space="preserve">, Vol. 1 </w:t>
      </w:r>
      <w:r>
        <w:t>(</w:t>
      </w:r>
      <w:r w:rsidRPr="006A03CA">
        <w:t>London: Fitzroy Dearborn 1999</w:t>
      </w:r>
      <w:r>
        <w:t>)</w:t>
      </w:r>
      <w:r w:rsidRPr="006A03CA">
        <w:t>, pp 55-57 (p. 55)</w:t>
      </w:r>
      <w:r>
        <w:t>.</w:t>
      </w:r>
    </w:p>
  </w:footnote>
  <w:footnote w:id="13">
    <w:p w14:paraId="00D78C00" w14:textId="27D405AA" w:rsidR="00AE264A" w:rsidRPr="00E54C4D" w:rsidRDefault="00AE264A" w:rsidP="00E54C4D">
      <w:pPr>
        <w:autoSpaceDE w:val="0"/>
        <w:autoSpaceDN w:val="0"/>
        <w:adjustRightInd w:val="0"/>
        <w:rPr>
          <w:rFonts w:cs="Times-Bold"/>
          <w:bCs/>
          <w:sz w:val="20"/>
          <w:szCs w:val="20"/>
        </w:rPr>
      </w:pPr>
      <w:r w:rsidRPr="006A03CA">
        <w:rPr>
          <w:rStyle w:val="FootnoteReference"/>
          <w:sz w:val="20"/>
          <w:szCs w:val="20"/>
        </w:rPr>
        <w:footnoteRef/>
      </w:r>
      <w:r w:rsidRPr="006A03CA">
        <w:rPr>
          <w:sz w:val="20"/>
          <w:szCs w:val="20"/>
        </w:rPr>
        <w:t xml:space="preserve"> </w:t>
      </w:r>
      <w:r>
        <w:rPr>
          <w:sz w:val="20"/>
          <w:szCs w:val="20"/>
        </w:rPr>
        <w:t>N. Campion, ‘</w:t>
      </w:r>
      <w:r w:rsidRPr="006A03CA">
        <w:rPr>
          <w:rFonts w:cs="Times-Bold"/>
          <w:bCs/>
          <w:sz w:val="20"/>
          <w:szCs w:val="20"/>
        </w:rPr>
        <w:t>Prophecy, Cosmology and the New Age Movement</w:t>
      </w:r>
      <w:r>
        <w:rPr>
          <w:rFonts w:cs="Times-Bold"/>
          <w:bCs/>
          <w:sz w:val="20"/>
          <w:szCs w:val="20"/>
        </w:rPr>
        <w:t xml:space="preserve">: </w:t>
      </w:r>
      <w:r w:rsidRPr="006A03CA">
        <w:rPr>
          <w:rFonts w:cs="Times-Bold"/>
          <w:bCs/>
          <w:sz w:val="20"/>
          <w:szCs w:val="20"/>
        </w:rPr>
        <w:t>The Extent and Nature of Contemporary Belief in Astrology</w:t>
      </w:r>
      <w:r>
        <w:rPr>
          <w:rFonts w:cs="Times-Bold"/>
          <w:bCs/>
          <w:sz w:val="20"/>
          <w:szCs w:val="20"/>
        </w:rPr>
        <w:t>’ (unpublished doctoral thesis, Bath Spa University, 2004), p. 263.</w:t>
      </w:r>
    </w:p>
  </w:footnote>
  <w:footnote w:id="14">
    <w:p w14:paraId="2FAD4369" w14:textId="5BBFD0F8" w:rsidR="00AE264A" w:rsidRPr="00086463" w:rsidRDefault="00AE264A">
      <w:pPr>
        <w:pStyle w:val="FootnoteText"/>
      </w:pPr>
      <w:r w:rsidRPr="00086463">
        <w:rPr>
          <w:rStyle w:val="FootnoteReference"/>
        </w:rPr>
        <w:footnoteRef/>
      </w:r>
      <w:r w:rsidRPr="00086463">
        <w:t xml:space="preserve"> Campion, ‘Prophecy’, p. 264.</w:t>
      </w:r>
    </w:p>
  </w:footnote>
  <w:footnote w:id="15">
    <w:p w14:paraId="132DCE9A" w14:textId="14CC5B63" w:rsidR="00AE264A" w:rsidRPr="00086463" w:rsidRDefault="00AE264A" w:rsidP="00E739E6">
      <w:pPr>
        <w:pStyle w:val="FootnoteText"/>
      </w:pPr>
      <w:bookmarkStart w:id="6" w:name="_Hlk7445030"/>
      <w:r w:rsidRPr="00086463">
        <w:rPr>
          <w:rStyle w:val="FootnoteReference"/>
        </w:rPr>
        <w:footnoteRef/>
      </w:r>
      <w:r w:rsidRPr="00086463">
        <w:t xml:space="preserve"> Steven Forrest, ‘Is Astrology a Material Religion?’, posted 13 August, 2018 &lt;</w:t>
      </w:r>
      <w:hyperlink r:id="rId1" w:history="1">
        <w:r w:rsidRPr="00086463">
          <w:rPr>
            <w:rStyle w:val="Hyperlink"/>
          </w:rPr>
          <w:t>https://www.forrestastrology.com/blogs/videos/is-astrology-a-religion</w:t>
        </w:r>
      </w:hyperlink>
      <w:r w:rsidRPr="00086463">
        <w:t>&gt; [accessed April 29, 2019].</w:t>
      </w:r>
    </w:p>
  </w:footnote>
  <w:footnote w:id="16">
    <w:p w14:paraId="307951AC" w14:textId="468CDE04" w:rsidR="00AE264A" w:rsidRPr="00086463" w:rsidRDefault="00AE264A" w:rsidP="00CF66D5">
      <w:pPr>
        <w:pStyle w:val="FootnoteText"/>
      </w:pPr>
      <w:r w:rsidRPr="00086463">
        <w:rPr>
          <w:rStyle w:val="FootnoteReference"/>
        </w:rPr>
        <w:footnoteRef/>
      </w:r>
      <w:r w:rsidRPr="00086463">
        <w:t xml:space="preserve"> Forrest, ‘Is Astrology a Material Religion?’.</w:t>
      </w:r>
    </w:p>
  </w:footnote>
  <w:footnote w:id="17">
    <w:p w14:paraId="3381A0F3" w14:textId="648C5A2E" w:rsidR="00AE264A" w:rsidRPr="00086463" w:rsidRDefault="00AE264A">
      <w:pPr>
        <w:pStyle w:val="FootnoteText"/>
      </w:pPr>
      <w:r w:rsidRPr="00086463">
        <w:rPr>
          <w:rStyle w:val="FootnoteReference"/>
        </w:rPr>
        <w:footnoteRef/>
      </w:r>
      <w:r w:rsidRPr="00086463">
        <w:t xml:space="preserve"> S. Brent Plate, introduction to </w:t>
      </w:r>
      <w:r w:rsidRPr="00086463">
        <w:rPr>
          <w:i/>
        </w:rPr>
        <w:t>Key Terms in Material Religion</w:t>
      </w:r>
      <w:r w:rsidRPr="00086463">
        <w:t>, ed. By S. Brent Plate, (London: Bloomsbury Academic, 2015), pp. 1-8.</w:t>
      </w:r>
    </w:p>
  </w:footnote>
  <w:footnote w:id="18">
    <w:p w14:paraId="19EF294F" w14:textId="12EB2399" w:rsidR="00AE264A" w:rsidRPr="00086463" w:rsidRDefault="00AE264A">
      <w:pPr>
        <w:pStyle w:val="FootnoteText"/>
      </w:pPr>
      <w:r w:rsidRPr="00086463">
        <w:rPr>
          <w:rStyle w:val="FootnoteReference"/>
        </w:rPr>
        <w:footnoteRef/>
      </w:r>
      <w:r w:rsidRPr="00086463">
        <w:t xml:space="preserve"> Plate, </w:t>
      </w:r>
      <w:r w:rsidRPr="00086463">
        <w:rPr>
          <w:i/>
        </w:rPr>
        <w:t>Key Terms</w:t>
      </w:r>
      <w:r w:rsidRPr="00086463">
        <w:t>, p. 7.</w:t>
      </w:r>
    </w:p>
  </w:footnote>
  <w:footnote w:id="19">
    <w:p w14:paraId="12A1FD3E" w14:textId="725BA533" w:rsidR="00AE264A" w:rsidRPr="00086463" w:rsidRDefault="00AE264A" w:rsidP="00CF66D5">
      <w:pPr>
        <w:pStyle w:val="FootnoteText"/>
      </w:pPr>
      <w:r w:rsidRPr="00086463">
        <w:rPr>
          <w:rStyle w:val="FootnoteReference"/>
        </w:rPr>
        <w:footnoteRef/>
      </w:r>
      <w:r w:rsidRPr="00086463">
        <w:t xml:space="preserve"> Plate, </w:t>
      </w:r>
      <w:r w:rsidRPr="00086463">
        <w:rPr>
          <w:i/>
        </w:rPr>
        <w:t>Key Terms</w:t>
      </w:r>
      <w:r w:rsidRPr="00086463">
        <w:t xml:space="preserve">, p. 2-8. </w:t>
      </w:r>
    </w:p>
  </w:footnote>
  <w:footnote w:id="20">
    <w:p w14:paraId="0CA9C797" w14:textId="2A9BE5DE" w:rsidR="00AE264A" w:rsidRPr="00086463" w:rsidRDefault="00AE264A" w:rsidP="00D57F38">
      <w:pPr>
        <w:pStyle w:val="FootnoteText"/>
      </w:pPr>
      <w:r w:rsidRPr="00E54C4D">
        <w:rPr>
          <w:rStyle w:val="FootnoteReference"/>
        </w:rPr>
        <w:footnoteRef/>
      </w:r>
      <w:r w:rsidRPr="00E54C4D">
        <w:t xml:space="preserve"> </w:t>
      </w:r>
      <w:r w:rsidR="00E54C4D" w:rsidRPr="00E54C4D">
        <w:t>‘</w:t>
      </w:r>
      <w:r w:rsidR="00E54C4D" w:rsidRPr="00FC73B3">
        <w:t xml:space="preserve">Journal description’, </w:t>
      </w:r>
      <w:r w:rsidR="00E54C4D" w:rsidRPr="00FC73B3">
        <w:rPr>
          <w:rFonts w:cs="Arial"/>
          <w:bCs/>
          <w:i/>
          <w:color w:val="111111"/>
        </w:rPr>
        <w:t>Material Religion</w:t>
      </w:r>
      <w:r w:rsidR="00E54C4D">
        <w:rPr>
          <w:rFonts w:cs="Arial"/>
          <w:bCs/>
          <w:i/>
          <w:color w:val="111111"/>
        </w:rPr>
        <w:t>.</w:t>
      </w:r>
    </w:p>
  </w:footnote>
  <w:footnote w:id="21">
    <w:p w14:paraId="72BD57F4" w14:textId="1FD261DA" w:rsidR="00AE264A" w:rsidRPr="00086463" w:rsidRDefault="00AE264A">
      <w:pPr>
        <w:pStyle w:val="FootnoteText"/>
      </w:pPr>
      <w:r w:rsidRPr="00086463">
        <w:rPr>
          <w:rStyle w:val="FootnoteReference"/>
        </w:rPr>
        <w:footnoteRef/>
      </w:r>
      <w:r w:rsidRPr="00086463">
        <w:t xml:space="preserve"> </w:t>
      </w:r>
      <w:proofErr w:type="spellStart"/>
      <w:r w:rsidRPr="00086463">
        <w:t>Darrelyn</w:t>
      </w:r>
      <w:proofErr w:type="spellEnd"/>
      <w:r w:rsidRPr="00086463">
        <w:t xml:space="preserve"> </w:t>
      </w:r>
      <w:proofErr w:type="spellStart"/>
      <w:r w:rsidRPr="00086463">
        <w:t>Gunzburg</w:t>
      </w:r>
      <w:proofErr w:type="spellEnd"/>
      <w:r w:rsidRPr="00086463">
        <w:t xml:space="preserve">, ‘How do astrologers read charts?’, in </w:t>
      </w:r>
      <w:proofErr w:type="spellStart"/>
      <w:r w:rsidRPr="00086463">
        <w:rPr>
          <w:rFonts w:cs="Arial"/>
          <w:i/>
        </w:rPr>
        <w:t>Astrologies</w:t>
      </w:r>
      <w:proofErr w:type="spellEnd"/>
      <w:r w:rsidRPr="00086463">
        <w:rPr>
          <w:rFonts w:cs="Arial"/>
          <w:i/>
        </w:rPr>
        <w:t>: Plurality and Diversity</w:t>
      </w:r>
      <w:r w:rsidRPr="00086463">
        <w:rPr>
          <w:rFonts w:cs="Arial"/>
        </w:rPr>
        <w:t>, ed. by Nicholas Campion and Liz Greene, (Ceredigion: Sophia Centre Press, University of Wales, Trinity Saint David, 2011), 183-201.</w:t>
      </w:r>
    </w:p>
  </w:footnote>
  <w:footnote w:id="22">
    <w:p w14:paraId="6B7CF529" w14:textId="29904C78" w:rsidR="00AE264A" w:rsidRDefault="00AE264A" w:rsidP="00CF66D5">
      <w:pPr>
        <w:pStyle w:val="FootnoteText"/>
      </w:pPr>
      <w:r w:rsidRPr="00086463">
        <w:rPr>
          <w:rStyle w:val="FootnoteReference"/>
        </w:rPr>
        <w:footnoteRef/>
      </w:r>
      <w:r w:rsidRPr="00086463">
        <w:t xml:space="preserve"> </w:t>
      </w:r>
      <w:proofErr w:type="spellStart"/>
      <w:r w:rsidRPr="00086463">
        <w:t>Darrelyn</w:t>
      </w:r>
      <w:proofErr w:type="spellEnd"/>
      <w:r w:rsidRPr="00086463">
        <w:t xml:space="preserve"> </w:t>
      </w:r>
      <w:proofErr w:type="spellStart"/>
      <w:r w:rsidRPr="00086463">
        <w:t>Gunzburg</w:t>
      </w:r>
      <w:proofErr w:type="spellEnd"/>
      <w:r w:rsidRPr="00086463">
        <w:t xml:space="preserve">, </w:t>
      </w:r>
      <w:proofErr w:type="gramStart"/>
      <w:r w:rsidRPr="00086463">
        <w:t>How</w:t>
      </w:r>
      <w:proofErr w:type="gramEnd"/>
      <w:r w:rsidRPr="00086463">
        <w:t xml:space="preserve"> do astrologers read charts?’, 183.</w:t>
      </w:r>
    </w:p>
  </w:footnote>
  <w:footnote w:id="23">
    <w:p w14:paraId="50E16442" w14:textId="0119B05D" w:rsidR="00AE264A" w:rsidRPr="00086463" w:rsidRDefault="00AE264A" w:rsidP="0056113D">
      <w:pPr>
        <w:rPr>
          <w:sz w:val="20"/>
          <w:szCs w:val="20"/>
        </w:rPr>
      </w:pPr>
      <w:r w:rsidRPr="00086463">
        <w:rPr>
          <w:rStyle w:val="FootnoteReference"/>
          <w:sz w:val="20"/>
          <w:szCs w:val="20"/>
        </w:rPr>
        <w:footnoteRef/>
      </w:r>
      <w:r w:rsidRPr="00086463">
        <w:rPr>
          <w:sz w:val="20"/>
          <w:szCs w:val="20"/>
        </w:rPr>
        <w:t xml:space="preserve"> Bernadette Brady, ‘The Horoscope as an ‘Imago Mundi’: Rethinking the Nature of the Astrologer’s Map’, Nick Campion &amp; Liz Greene (eds.) </w:t>
      </w:r>
      <w:proofErr w:type="spellStart"/>
      <w:r w:rsidRPr="00086463">
        <w:rPr>
          <w:i/>
          <w:sz w:val="20"/>
          <w:szCs w:val="20"/>
        </w:rPr>
        <w:t>Astrologies</w:t>
      </w:r>
      <w:proofErr w:type="spellEnd"/>
      <w:r w:rsidRPr="00086463">
        <w:rPr>
          <w:i/>
          <w:sz w:val="20"/>
          <w:szCs w:val="20"/>
        </w:rPr>
        <w:t>, Plurality and Diversity</w:t>
      </w:r>
      <w:r w:rsidRPr="00086463">
        <w:rPr>
          <w:sz w:val="20"/>
          <w:szCs w:val="20"/>
        </w:rPr>
        <w:t>, University of Wales Trinity Saint David (Lampeter: Sophia Centre Press, 2011) pp. 47-62 (49).</w:t>
      </w:r>
    </w:p>
  </w:footnote>
  <w:footnote w:id="24">
    <w:p w14:paraId="58006E0C" w14:textId="38ED785E" w:rsidR="00AE264A" w:rsidRPr="00086463" w:rsidRDefault="00AE264A">
      <w:pPr>
        <w:pStyle w:val="FootnoteText"/>
      </w:pPr>
      <w:bookmarkStart w:id="8" w:name="_Hlk7445042"/>
      <w:r w:rsidRPr="00086463">
        <w:rPr>
          <w:rStyle w:val="FootnoteReference"/>
        </w:rPr>
        <w:footnoteRef/>
      </w:r>
      <w:r w:rsidRPr="00086463">
        <w:t xml:space="preserve"> Brady, ‘Imago Mundi’, 49-50.</w:t>
      </w:r>
    </w:p>
  </w:footnote>
  <w:footnote w:id="25">
    <w:p w14:paraId="33D6043B" w14:textId="22E0511F" w:rsidR="00AE264A" w:rsidRPr="00086463" w:rsidRDefault="00AE264A" w:rsidP="00CF66D5">
      <w:pPr>
        <w:pStyle w:val="FootnoteText"/>
      </w:pPr>
      <w:r w:rsidRPr="00086463">
        <w:rPr>
          <w:rStyle w:val="FootnoteReference"/>
        </w:rPr>
        <w:footnoteRef/>
      </w:r>
      <w:r w:rsidRPr="00086463">
        <w:t xml:space="preserve"> James Evans, ‘The Astrologer’s Apparatus: a picture of professional practice in Greco-Roman Egypt’, </w:t>
      </w:r>
      <w:r w:rsidRPr="00086463">
        <w:rPr>
          <w:i/>
        </w:rPr>
        <w:t>Journal for the History of Astronomy</w:t>
      </w:r>
      <w:r w:rsidRPr="00086463">
        <w:t xml:space="preserve">, Vol. 35, Part 1, No. 118, (2004), 1-44. </w:t>
      </w:r>
    </w:p>
  </w:footnote>
  <w:footnote w:id="26">
    <w:p w14:paraId="7394B13F" w14:textId="07D1780C" w:rsidR="00AE264A" w:rsidRPr="00086463" w:rsidRDefault="00AE264A">
      <w:pPr>
        <w:pStyle w:val="FootnoteText"/>
      </w:pPr>
      <w:r w:rsidRPr="00086463">
        <w:rPr>
          <w:rStyle w:val="FootnoteReference"/>
        </w:rPr>
        <w:footnoteRef/>
      </w:r>
      <w:r w:rsidRPr="00086463">
        <w:t xml:space="preserve"> </w:t>
      </w:r>
      <w:r w:rsidRPr="00086463">
        <w:rPr>
          <w:i/>
        </w:rPr>
        <w:t xml:space="preserve">Historia </w:t>
      </w:r>
      <w:proofErr w:type="spellStart"/>
      <w:r w:rsidRPr="00086463">
        <w:rPr>
          <w:i/>
        </w:rPr>
        <w:t>Alexandri</w:t>
      </w:r>
      <w:proofErr w:type="spellEnd"/>
      <w:r w:rsidRPr="00086463">
        <w:rPr>
          <w:i/>
        </w:rPr>
        <w:t xml:space="preserve"> </w:t>
      </w:r>
      <w:proofErr w:type="spellStart"/>
      <w:r w:rsidRPr="00086463">
        <w:rPr>
          <w:i/>
        </w:rPr>
        <w:t>Magni</w:t>
      </w:r>
      <w:proofErr w:type="spellEnd"/>
      <w:r w:rsidRPr="00086463">
        <w:t>, ed. by W. Kroll, (Berlin: 1926) trans. by James Evans, in Evans, ‘The Astrologer’s Apparatus’, 4-5.</w:t>
      </w:r>
    </w:p>
  </w:footnote>
  <w:footnote w:id="27">
    <w:p w14:paraId="6945C84C" w14:textId="2C3E1FFC" w:rsidR="00AE264A" w:rsidRPr="00086463" w:rsidRDefault="00AE264A">
      <w:pPr>
        <w:pStyle w:val="FootnoteText"/>
      </w:pPr>
      <w:r w:rsidRPr="00086463">
        <w:rPr>
          <w:rStyle w:val="FootnoteReference"/>
        </w:rPr>
        <w:footnoteRef/>
      </w:r>
      <w:r w:rsidRPr="00086463">
        <w:t xml:space="preserve"> Evans, ‘The Astrologer’s Apparatus’, 4.</w:t>
      </w:r>
    </w:p>
  </w:footnote>
  <w:footnote w:id="28">
    <w:p w14:paraId="671CE2A7" w14:textId="51DF9424" w:rsidR="00AE264A" w:rsidRPr="00086463" w:rsidRDefault="00AE264A" w:rsidP="006B41C1">
      <w:pPr>
        <w:rPr>
          <w:sz w:val="20"/>
          <w:szCs w:val="20"/>
        </w:rPr>
      </w:pPr>
      <w:r w:rsidRPr="00086463">
        <w:rPr>
          <w:rStyle w:val="FootnoteReference"/>
          <w:sz w:val="20"/>
          <w:szCs w:val="20"/>
        </w:rPr>
        <w:footnoteRef/>
      </w:r>
      <w:r w:rsidRPr="00086463">
        <w:rPr>
          <w:sz w:val="20"/>
          <w:szCs w:val="20"/>
        </w:rPr>
        <w:t xml:space="preserve"> Liz Greene, ‘The God in the Stone: Gemstone Talismans in Western Magical Traditions’, </w:t>
      </w:r>
      <w:r w:rsidRPr="00086463">
        <w:rPr>
          <w:i/>
          <w:sz w:val="20"/>
          <w:szCs w:val="20"/>
        </w:rPr>
        <w:t>Celestial Magic</w:t>
      </w:r>
      <w:r w:rsidRPr="00086463">
        <w:rPr>
          <w:sz w:val="20"/>
          <w:szCs w:val="20"/>
        </w:rPr>
        <w:t xml:space="preserve">, special issue of </w:t>
      </w:r>
      <w:r w:rsidRPr="00086463">
        <w:rPr>
          <w:i/>
          <w:sz w:val="20"/>
          <w:szCs w:val="20"/>
        </w:rPr>
        <w:t>Culture and Cosmos</w:t>
      </w:r>
      <w:r w:rsidRPr="00086463">
        <w:rPr>
          <w:sz w:val="20"/>
          <w:szCs w:val="20"/>
        </w:rPr>
        <w:t>, Vol. 19 no 1 and 2, Spring/Summer and Autumn Winter (2015) 47-85.</w:t>
      </w:r>
    </w:p>
  </w:footnote>
  <w:footnote w:id="29">
    <w:p w14:paraId="6A77C72E" w14:textId="2CC53F7D" w:rsidR="00AE264A" w:rsidRDefault="00AE264A">
      <w:pPr>
        <w:pStyle w:val="FootnoteText"/>
      </w:pPr>
      <w:r w:rsidRPr="00086463">
        <w:rPr>
          <w:rStyle w:val="FootnoteReference"/>
        </w:rPr>
        <w:footnoteRef/>
      </w:r>
      <w:r w:rsidRPr="00086463">
        <w:t xml:space="preserve"> Greene, ‘God in the Stone’, 30, 28.</w:t>
      </w:r>
    </w:p>
  </w:footnote>
  <w:footnote w:id="30">
    <w:p w14:paraId="2FB49C72" w14:textId="3A109E76" w:rsidR="00AE264A" w:rsidRDefault="00AE264A">
      <w:pPr>
        <w:pStyle w:val="FootnoteText"/>
      </w:pPr>
      <w:r w:rsidRPr="00E54C4D">
        <w:rPr>
          <w:rStyle w:val="FootnoteReference"/>
        </w:rPr>
        <w:footnoteRef/>
      </w:r>
      <w:r>
        <w:t xml:space="preserve"> </w:t>
      </w:r>
      <w:r w:rsidR="00E54C4D" w:rsidRPr="00FC73B3">
        <w:t xml:space="preserve">‘Journal description’, </w:t>
      </w:r>
      <w:r w:rsidR="00E54C4D" w:rsidRPr="00FC73B3">
        <w:rPr>
          <w:rFonts w:cs="Arial"/>
          <w:bCs/>
          <w:i/>
          <w:color w:val="111111"/>
        </w:rPr>
        <w:t>Material Religion</w:t>
      </w:r>
      <w:r w:rsidR="00E54C4D">
        <w:rPr>
          <w:rFonts w:cs="Arial"/>
          <w:bCs/>
          <w:i/>
          <w:color w:val="111111"/>
        </w:rPr>
        <w:t>.</w:t>
      </w:r>
    </w:p>
  </w:footnote>
  <w:footnote w:id="31">
    <w:p w14:paraId="126D8587" w14:textId="508C1D6B" w:rsidR="00AE264A" w:rsidRPr="00086463" w:rsidRDefault="00AE264A" w:rsidP="00BC3CD6">
      <w:pPr>
        <w:autoSpaceDE w:val="0"/>
        <w:autoSpaceDN w:val="0"/>
        <w:adjustRightInd w:val="0"/>
        <w:rPr>
          <w:rFonts w:cs="Palatino-Italic"/>
          <w:iCs/>
          <w:sz w:val="20"/>
          <w:szCs w:val="20"/>
        </w:rPr>
      </w:pPr>
      <w:bookmarkStart w:id="9" w:name="_Hlk7445053"/>
      <w:r w:rsidRPr="00086463">
        <w:rPr>
          <w:rStyle w:val="FootnoteReference"/>
          <w:sz w:val="20"/>
          <w:szCs w:val="20"/>
        </w:rPr>
        <w:footnoteRef/>
      </w:r>
      <w:r w:rsidRPr="00086463">
        <w:rPr>
          <w:sz w:val="20"/>
          <w:szCs w:val="20"/>
        </w:rPr>
        <w:t xml:space="preserve"> Liz Greene, ‘</w:t>
      </w:r>
      <w:r w:rsidRPr="00086463">
        <w:rPr>
          <w:rFonts w:cs="Palatino-Italic"/>
          <w:i/>
          <w:iCs/>
          <w:sz w:val="20"/>
          <w:szCs w:val="20"/>
        </w:rPr>
        <w:t xml:space="preserve">Signs, Signatures, and Symbols: The Languages of Heaven’, </w:t>
      </w:r>
      <w:r w:rsidRPr="00086463">
        <w:rPr>
          <w:rFonts w:cs="Palatino-Italic"/>
          <w:iCs/>
          <w:sz w:val="20"/>
          <w:szCs w:val="20"/>
        </w:rPr>
        <w:t>in</w:t>
      </w:r>
      <w:r w:rsidRPr="00086463">
        <w:rPr>
          <w:rFonts w:cs="Palatino-Italic"/>
          <w:i/>
          <w:iCs/>
          <w:sz w:val="20"/>
          <w:szCs w:val="20"/>
        </w:rPr>
        <w:t xml:space="preserve"> Astrology as Art: Representation and Practice, </w:t>
      </w:r>
      <w:r w:rsidRPr="00086463">
        <w:rPr>
          <w:rFonts w:cs="Palatino-Italic"/>
          <w:iCs/>
          <w:sz w:val="20"/>
          <w:szCs w:val="20"/>
        </w:rPr>
        <w:t xml:space="preserve">ed. By Nicholas Campion and Jennifer Zahrt, </w:t>
      </w:r>
      <w:r w:rsidRPr="00086463">
        <w:rPr>
          <w:sz w:val="20"/>
          <w:szCs w:val="20"/>
        </w:rPr>
        <w:t>(Lampeter: Sophia Centre Press, 2018) 1-30 (</w:t>
      </w:r>
      <w:r w:rsidRPr="00086463">
        <w:rPr>
          <w:rFonts w:cs="Palatino-Italic"/>
          <w:iCs/>
          <w:sz w:val="20"/>
          <w:szCs w:val="20"/>
        </w:rPr>
        <w:t>11).</w:t>
      </w:r>
    </w:p>
  </w:footnote>
  <w:footnote w:id="32">
    <w:p w14:paraId="0BB1B500" w14:textId="27D90E4B" w:rsidR="00AE264A" w:rsidRPr="00086463" w:rsidRDefault="00AE264A">
      <w:pPr>
        <w:pStyle w:val="FootnoteText"/>
      </w:pPr>
      <w:r w:rsidRPr="00086463">
        <w:rPr>
          <w:rStyle w:val="FootnoteReference"/>
        </w:rPr>
        <w:footnoteRef/>
      </w:r>
      <w:r w:rsidRPr="00086463">
        <w:t xml:space="preserve"> Brady, ‘Imago Mundi’, 54.</w:t>
      </w:r>
    </w:p>
  </w:footnote>
  <w:footnote w:id="33">
    <w:p w14:paraId="4498C274" w14:textId="0A300E10" w:rsidR="00AE264A" w:rsidRDefault="00AE264A" w:rsidP="00E702AB">
      <w:r w:rsidRPr="00086463">
        <w:rPr>
          <w:rStyle w:val="FootnoteReference"/>
          <w:sz w:val="20"/>
          <w:szCs w:val="20"/>
        </w:rPr>
        <w:footnoteRef/>
      </w:r>
      <w:r w:rsidRPr="00086463">
        <w:rPr>
          <w:sz w:val="20"/>
          <w:szCs w:val="20"/>
        </w:rPr>
        <w:t xml:space="preserve"> Mircea Eliade, </w:t>
      </w:r>
      <w:r w:rsidRPr="00086463">
        <w:rPr>
          <w:i/>
          <w:sz w:val="20"/>
          <w:szCs w:val="20"/>
        </w:rPr>
        <w:t>The Sacred and the Profane: The Nature of Religion</w:t>
      </w:r>
      <w:r w:rsidRPr="00086463">
        <w:rPr>
          <w:sz w:val="20"/>
          <w:szCs w:val="20"/>
        </w:rPr>
        <w:t xml:space="preserve">, trans and ed. Willard R. Trask (1957; </w:t>
      </w:r>
      <w:proofErr w:type="spellStart"/>
      <w:r w:rsidRPr="00086463">
        <w:rPr>
          <w:sz w:val="20"/>
          <w:szCs w:val="20"/>
        </w:rPr>
        <w:t>repr</w:t>
      </w:r>
      <w:proofErr w:type="spellEnd"/>
      <w:r w:rsidRPr="00086463">
        <w:rPr>
          <w:sz w:val="20"/>
          <w:szCs w:val="20"/>
        </w:rPr>
        <w:t>. London: Harcourt, Inc., 1987, pp. 42, 70, in Brady, ‘Imago Mundi’, 47.</w:t>
      </w:r>
    </w:p>
  </w:footnote>
  <w:footnote w:id="34">
    <w:p w14:paraId="70C9259A" w14:textId="5ADEF0D6" w:rsidR="00AE264A" w:rsidRDefault="00AE264A">
      <w:pPr>
        <w:pStyle w:val="FootnoteText"/>
      </w:pPr>
      <w:bookmarkStart w:id="11" w:name="_Hlk7445159"/>
      <w:r>
        <w:rPr>
          <w:rStyle w:val="FootnoteReference"/>
        </w:rPr>
        <w:footnoteRef/>
      </w:r>
      <w:r>
        <w:t xml:space="preserve"> Brady, ‘Imago Mundi’, 55.</w:t>
      </w:r>
    </w:p>
  </w:footnote>
  <w:footnote w:id="35">
    <w:p w14:paraId="3027FF4E" w14:textId="65009BE5" w:rsidR="00AE264A" w:rsidRDefault="00AE264A">
      <w:pPr>
        <w:pStyle w:val="FootnoteText"/>
      </w:pPr>
      <w:r>
        <w:rPr>
          <w:rStyle w:val="FootnoteReference"/>
        </w:rPr>
        <w:footnoteRef/>
      </w:r>
      <w:r>
        <w:t xml:space="preserve"> Greene, ‘The God in the Stone’, 11.</w:t>
      </w:r>
    </w:p>
  </w:footnote>
  <w:footnote w:id="36">
    <w:p w14:paraId="16483452" w14:textId="5A5CA046" w:rsidR="00AE264A" w:rsidRDefault="00AE264A" w:rsidP="00A25D45">
      <w:pPr>
        <w:pStyle w:val="FootnoteText"/>
      </w:pPr>
      <w:r>
        <w:rPr>
          <w:rStyle w:val="FootnoteReference"/>
        </w:rPr>
        <w:footnoteRef/>
      </w:r>
      <w:r>
        <w:t xml:space="preserve"> </w:t>
      </w:r>
      <w:proofErr w:type="spellStart"/>
      <w:r w:rsidRPr="00E54C4D">
        <w:t>Darrelyn</w:t>
      </w:r>
      <w:proofErr w:type="spellEnd"/>
      <w:r w:rsidRPr="00E54C4D">
        <w:t xml:space="preserve">, </w:t>
      </w:r>
      <w:proofErr w:type="spellStart"/>
      <w:r w:rsidRPr="00E54C4D">
        <w:t>Gunzburg</w:t>
      </w:r>
      <w:proofErr w:type="spellEnd"/>
      <w:r w:rsidRPr="00E54C4D">
        <w:t>, ‘How do Astrologers Read Charts?’ 183-20</w:t>
      </w:r>
      <w:r w:rsidR="00E54C4D">
        <w:t>2 (183).</w:t>
      </w:r>
    </w:p>
  </w:footnote>
  <w:footnote w:id="37">
    <w:p w14:paraId="62640097" w14:textId="67E46FB0" w:rsidR="00AE264A" w:rsidRDefault="00AE264A">
      <w:pPr>
        <w:pStyle w:val="FootnoteText"/>
      </w:pPr>
      <w:r>
        <w:rPr>
          <w:rStyle w:val="FootnoteReference"/>
        </w:rPr>
        <w:footnoteRef/>
      </w:r>
      <w:r>
        <w:t xml:space="preserve"> James Hillman, ‘Heaven Retains within Its Spheres Half of All Bodies and Maladies’ (Paracels</w:t>
      </w:r>
      <w:r w:rsidR="00923DC8">
        <w:t>us): Astrology as Cosmology (paper presented in 1997; re-presented at Bristol: Astro Logos conference, Bristol, UK, 2005).</w:t>
      </w:r>
    </w:p>
  </w:footnote>
  <w:footnote w:id="38">
    <w:p w14:paraId="2B6A24D1" w14:textId="3D9A7FDA" w:rsidR="00923DC8" w:rsidRDefault="00923DC8">
      <w:pPr>
        <w:pStyle w:val="FootnoteText"/>
      </w:pPr>
      <w:r>
        <w:rPr>
          <w:rStyle w:val="FootnoteReference"/>
        </w:rPr>
        <w:footnoteRef/>
      </w:r>
      <w:r>
        <w:t xml:space="preserve"> Hillman, ‘Heaven Retains’.</w:t>
      </w:r>
    </w:p>
  </w:footnote>
  <w:footnote w:id="39">
    <w:p w14:paraId="645BA334" w14:textId="1AA40C47" w:rsidR="004A6B78" w:rsidRDefault="004A6B78">
      <w:pPr>
        <w:pStyle w:val="FootnoteText"/>
      </w:pPr>
      <w:bookmarkStart w:id="12" w:name="_Hlk7445173"/>
      <w:r>
        <w:rPr>
          <w:rStyle w:val="FootnoteReference"/>
        </w:rPr>
        <w:footnoteRef/>
      </w:r>
      <w:r>
        <w:t xml:space="preserve"> </w:t>
      </w:r>
      <w:r>
        <w:t>Forrest, ‘Is Astrology a Material Religion?’</w:t>
      </w:r>
      <w:r>
        <w:t>.</w:t>
      </w:r>
    </w:p>
  </w:footnote>
  <w:footnote w:id="40">
    <w:p w14:paraId="4E025322" w14:textId="7252440D" w:rsidR="004A6B78" w:rsidRPr="00086463" w:rsidRDefault="004A6B78" w:rsidP="004A6B78">
      <w:pPr>
        <w:rPr>
          <w:sz w:val="20"/>
          <w:szCs w:val="20"/>
        </w:rPr>
      </w:pPr>
      <w:r w:rsidRPr="00086463">
        <w:rPr>
          <w:rStyle w:val="FootnoteReference"/>
          <w:sz w:val="20"/>
          <w:szCs w:val="20"/>
        </w:rPr>
        <w:footnoteRef/>
      </w:r>
      <w:r w:rsidRPr="00086463">
        <w:rPr>
          <w:sz w:val="20"/>
          <w:szCs w:val="20"/>
        </w:rPr>
        <w:t xml:space="preserve"> </w:t>
      </w:r>
      <w:r w:rsidRPr="00086463">
        <w:rPr>
          <w:sz w:val="20"/>
          <w:szCs w:val="20"/>
        </w:rPr>
        <w:t xml:space="preserve">Urmila Mohan and Jean-Pierre </w:t>
      </w:r>
      <w:proofErr w:type="spellStart"/>
      <w:r w:rsidRPr="00086463">
        <w:rPr>
          <w:sz w:val="20"/>
          <w:szCs w:val="20"/>
        </w:rPr>
        <w:t>Warnier</w:t>
      </w:r>
      <w:proofErr w:type="spellEnd"/>
      <w:r w:rsidRPr="00086463">
        <w:rPr>
          <w:sz w:val="20"/>
          <w:szCs w:val="20"/>
        </w:rPr>
        <w:t xml:space="preserve">, ‘Marching the devotional subject: The bodily-and-material cultures of religion’ </w:t>
      </w:r>
      <w:r w:rsidRPr="00086463">
        <w:rPr>
          <w:i/>
          <w:sz w:val="20"/>
          <w:szCs w:val="20"/>
        </w:rPr>
        <w:t>Journal of Material Culture</w:t>
      </w:r>
      <w:r w:rsidRPr="00086463">
        <w:rPr>
          <w:sz w:val="20"/>
          <w:szCs w:val="20"/>
        </w:rPr>
        <w:t xml:space="preserve"> 2017, Vol. 22 (4) 369-384.</w:t>
      </w:r>
    </w:p>
  </w:footnote>
  <w:footnote w:id="41">
    <w:p w14:paraId="61F16A26" w14:textId="503D03EC" w:rsidR="004A6B78" w:rsidRPr="00086463" w:rsidRDefault="004A6B78" w:rsidP="004A6B78">
      <w:pPr>
        <w:rPr>
          <w:sz w:val="20"/>
          <w:szCs w:val="20"/>
        </w:rPr>
      </w:pPr>
      <w:r w:rsidRPr="00086463">
        <w:rPr>
          <w:rStyle w:val="FootnoteReference"/>
          <w:sz w:val="20"/>
          <w:szCs w:val="20"/>
        </w:rPr>
        <w:footnoteRef/>
      </w:r>
      <w:r w:rsidRPr="00086463">
        <w:rPr>
          <w:sz w:val="20"/>
          <w:szCs w:val="20"/>
        </w:rPr>
        <w:t xml:space="preserve"> </w:t>
      </w:r>
      <w:r w:rsidRPr="00086463">
        <w:rPr>
          <w:sz w:val="20"/>
          <w:szCs w:val="20"/>
        </w:rPr>
        <w:t>Keane, ‘The evidence of the senses</w:t>
      </w:r>
      <w:r w:rsidRPr="00086463">
        <w:rPr>
          <w:sz w:val="20"/>
          <w:szCs w:val="20"/>
        </w:rPr>
        <w:t xml:space="preserve">’, </w:t>
      </w:r>
      <w:r w:rsidR="006E5EC4" w:rsidRPr="00086463">
        <w:rPr>
          <w:sz w:val="20"/>
          <w:szCs w:val="20"/>
        </w:rPr>
        <w:t>S116.</w:t>
      </w:r>
    </w:p>
  </w:footnote>
  <w:footnote w:id="42">
    <w:p w14:paraId="1EE235B5" w14:textId="1DF10424" w:rsidR="00AE264A" w:rsidRDefault="00AE264A" w:rsidP="00CF66D5">
      <w:pPr>
        <w:pStyle w:val="FootnoteText"/>
      </w:pPr>
      <w:r w:rsidRPr="00086463">
        <w:rPr>
          <w:rStyle w:val="FootnoteReference"/>
        </w:rPr>
        <w:footnoteRef/>
      </w:r>
      <w:r w:rsidRPr="00086463">
        <w:t xml:space="preserve"> Bonnie Wheeler, ‘Models of Pilgrimage: From </w:t>
      </w:r>
      <w:proofErr w:type="spellStart"/>
      <w:r w:rsidRPr="00086463">
        <w:t>Communitas</w:t>
      </w:r>
      <w:proofErr w:type="spellEnd"/>
      <w:r w:rsidRPr="00086463">
        <w:t xml:space="preserve"> to Confluence’</w:t>
      </w:r>
      <w:r w:rsidR="006E5EC4" w:rsidRPr="00086463">
        <w:t>,</w:t>
      </w:r>
      <w:r w:rsidRPr="00086463">
        <w:t xml:space="preserve"> </w:t>
      </w:r>
      <w:r w:rsidRPr="00086463">
        <w:rPr>
          <w:i/>
        </w:rPr>
        <w:t>Journal of Ritual Studies</w:t>
      </w:r>
      <w:r w:rsidRPr="00086463">
        <w:t xml:space="preserve"> 13(2) 1999, 26-37 (35)</w:t>
      </w:r>
      <w:r w:rsidR="006E5EC4" w:rsidRPr="0008646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Content>
      <w:p w14:paraId="3CD3E543" w14:textId="77777777" w:rsidR="00AE264A" w:rsidRDefault="00AE264A">
        <w:pPr>
          <w:pStyle w:val="Header"/>
          <w:rPr>
            <w:rFonts w:ascii="Arial" w:hAnsi="Arial" w:cs="Arial"/>
          </w:rPr>
        </w:pPr>
        <w:r>
          <w:t xml:space="preserve">Anne Louise Day-Jones, </w:t>
        </w:r>
        <w:r w:rsidRPr="00126E09">
          <w:rPr>
            <w:rFonts w:ascii="Arial" w:hAnsi="Arial" w:cs="Arial"/>
          </w:rPr>
          <w:t>1704596</w:t>
        </w:r>
        <w:r>
          <w:rPr>
            <w:rFonts w:ascii="Arial" w:hAnsi="Arial" w:cs="Arial"/>
          </w:rPr>
          <w:t xml:space="preserve">, </w:t>
        </w:r>
      </w:p>
      <w:p w14:paraId="6CA37447" w14:textId="3FF1DDB9" w:rsidR="00AE264A" w:rsidRDefault="00AE264A">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14:paraId="77CECF31" w14:textId="77777777" w:rsidR="00AE264A" w:rsidRDefault="00AE2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A7"/>
    <w:multiLevelType w:val="multilevel"/>
    <w:tmpl w:val="7352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B33E9"/>
    <w:multiLevelType w:val="hybridMultilevel"/>
    <w:tmpl w:val="D8B06C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9711FE"/>
    <w:multiLevelType w:val="multilevel"/>
    <w:tmpl w:val="D93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C5627"/>
    <w:multiLevelType w:val="multilevel"/>
    <w:tmpl w:val="D07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80B22"/>
    <w:multiLevelType w:val="multilevel"/>
    <w:tmpl w:val="89B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05B92"/>
    <w:multiLevelType w:val="multilevel"/>
    <w:tmpl w:val="991A01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368BE"/>
    <w:multiLevelType w:val="multilevel"/>
    <w:tmpl w:val="FE30F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A6811"/>
    <w:multiLevelType w:val="multilevel"/>
    <w:tmpl w:val="43F0C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96B82"/>
    <w:multiLevelType w:val="multilevel"/>
    <w:tmpl w:val="68C6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E2A3A"/>
    <w:multiLevelType w:val="multilevel"/>
    <w:tmpl w:val="5192B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31BFE"/>
    <w:multiLevelType w:val="multilevel"/>
    <w:tmpl w:val="0D04AB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2F433F"/>
    <w:multiLevelType w:val="multilevel"/>
    <w:tmpl w:val="277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95130"/>
    <w:multiLevelType w:val="multilevel"/>
    <w:tmpl w:val="C156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9451AF"/>
    <w:multiLevelType w:val="multilevel"/>
    <w:tmpl w:val="EFC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60475D"/>
    <w:multiLevelType w:val="multilevel"/>
    <w:tmpl w:val="D6D66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886C1D"/>
    <w:multiLevelType w:val="multilevel"/>
    <w:tmpl w:val="E62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EC5AF9"/>
    <w:multiLevelType w:val="multilevel"/>
    <w:tmpl w:val="7F16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477C51"/>
    <w:multiLevelType w:val="multilevel"/>
    <w:tmpl w:val="14E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AF7A53"/>
    <w:multiLevelType w:val="multilevel"/>
    <w:tmpl w:val="085889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5264AF"/>
    <w:multiLevelType w:val="multilevel"/>
    <w:tmpl w:val="C62E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F8472A"/>
    <w:multiLevelType w:val="multilevel"/>
    <w:tmpl w:val="BDB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9224F"/>
    <w:multiLevelType w:val="multilevel"/>
    <w:tmpl w:val="C88E6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974C0A"/>
    <w:multiLevelType w:val="multilevel"/>
    <w:tmpl w:val="B2C4AC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0F04CA"/>
    <w:multiLevelType w:val="multilevel"/>
    <w:tmpl w:val="DA1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392390"/>
    <w:multiLevelType w:val="multilevel"/>
    <w:tmpl w:val="127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168D9"/>
    <w:multiLevelType w:val="multilevel"/>
    <w:tmpl w:val="251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53396D"/>
    <w:multiLevelType w:val="multilevel"/>
    <w:tmpl w:val="B8B0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294F24"/>
    <w:multiLevelType w:val="multilevel"/>
    <w:tmpl w:val="C0E80C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3E3E80"/>
    <w:multiLevelType w:val="multilevel"/>
    <w:tmpl w:val="FBB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0703CF"/>
    <w:multiLevelType w:val="multilevel"/>
    <w:tmpl w:val="AC8E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CD60D1"/>
    <w:multiLevelType w:val="multilevel"/>
    <w:tmpl w:val="1D42F7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2E3679"/>
    <w:multiLevelType w:val="multilevel"/>
    <w:tmpl w:val="21A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87C4D"/>
    <w:multiLevelType w:val="multilevel"/>
    <w:tmpl w:val="B29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E4493E"/>
    <w:multiLevelType w:val="multilevel"/>
    <w:tmpl w:val="163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E76603"/>
    <w:multiLevelType w:val="multilevel"/>
    <w:tmpl w:val="85A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706033"/>
    <w:multiLevelType w:val="multilevel"/>
    <w:tmpl w:val="A9FA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5C56F4"/>
    <w:multiLevelType w:val="multilevel"/>
    <w:tmpl w:val="4A46E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
  </w:num>
  <w:num w:numId="3">
    <w:abstractNumId w:val="31"/>
  </w:num>
  <w:num w:numId="4">
    <w:abstractNumId w:val="37"/>
  </w:num>
  <w:num w:numId="5">
    <w:abstractNumId w:val="33"/>
  </w:num>
  <w:num w:numId="6">
    <w:abstractNumId w:val="9"/>
    <w:lvlOverride w:ilvl="0">
      <w:lvl w:ilvl="0">
        <w:numFmt w:val="decimal"/>
        <w:lvlText w:val="%1."/>
        <w:lvlJc w:val="left"/>
      </w:lvl>
    </w:lvlOverride>
  </w:num>
  <w:num w:numId="7">
    <w:abstractNumId w:val="34"/>
  </w:num>
  <w:num w:numId="8">
    <w:abstractNumId w:val="0"/>
    <w:lvlOverride w:ilvl="0">
      <w:lvl w:ilvl="0">
        <w:numFmt w:val="decimal"/>
        <w:lvlText w:val="%1."/>
        <w:lvlJc w:val="left"/>
      </w:lvl>
    </w:lvlOverride>
  </w:num>
  <w:num w:numId="9">
    <w:abstractNumId w:val="21"/>
  </w:num>
  <w:num w:numId="10">
    <w:abstractNumId w:val="23"/>
    <w:lvlOverride w:ilvl="0">
      <w:lvl w:ilvl="0">
        <w:numFmt w:val="decimal"/>
        <w:lvlText w:val="%1."/>
        <w:lvlJc w:val="left"/>
      </w:lvl>
    </w:lvlOverride>
  </w:num>
  <w:num w:numId="11">
    <w:abstractNumId w:val="22"/>
  </w:num>
  <w:num w:numId="12">
    <w:abstractNumId w:val="4"/>
  </w:num>
  <w:num w:numId="13">
    <w:abstractNumId w:val="18"/>
    <w:lvlOverride w:ilvl="0">
      <w:lvl w:ilvl="0">
        <w:numFmt w:val="decimal"/>
        <w:lvlText w:val="%1."/>
        <w:lvlJc w:val="left"/>
      </w:lvl>
    </w:lvlOverride>
  </w:num>
  <w:num w:numId="14">
    <w:abstractNumId w:val="29"/>
    <w:lvlOverride w:ilvl="0">
      <w:lvl w:ilvl="0">
        <w:numFmt w:val="decimal"/>
        <w:lvlText w:val="%1."/>
        <w:lvlJc w:val="left"/>
      </w:lvl>
    </w:lvlOverride>
  </w:num>
  <w:num w:numId="15">
    <w:abstractNumId w:val="13"/>
  </w:num>
  <w:num w:numId="16">
    <w:abstractNumId w:val="38"/>
    <w:lvlOverride w:ilvl="0">
      <w:lvl w:ilvl="0">
        <w:numFmt w:val="decimal"/>
        <w:lvlText w:val="%1."/>
        <w:lvlJc w:val="left"/>
      </w:lvl>
    </w:lvlOverride>
  </w:num>
  <w:num w:numId="17">
    <w:abstractNumId w:val="3"/>
  </w:num>
  <w:num w:numId="18">
    <w:abstractNumId w:val="19"/>
  </w:num>
  <w:num w:numId="19">
    <w:abstractNumId w:val="16"/>
    <w:lvlOverride w:ilvl="0">
      <w:lvl w:ilvl="0">
        <w:numFmt w:val="decimal"/>
        <w:lvlText w:val="%1."/>
        <w:lvlJc w:val="left"/>
      </w:lvl>
    </w:lvlOverride>
  </w:num>
  <w:num w:numId="20">
    <w:abstractNumId w:val="26"/>
  </w:num>
  <w:num w:numId="21">
    <w:abstractNumId w:val="24"/>
    <w:lvlOverride w:ilvl="0">
      <w:lvl w:ilvl="0">
        <w:numFmt w:val="decimal"/>
        <w:lvlText w:val="%1."/>
        <w:lvlJc w:val="left"/>
      </w:lvl>
    </w:lvlOverride>
  </w:num>
  <w:num w:numId="22">
    <w:abstractNumId w:val="12"/>
  </w:num>
  <w:num w:numId="23">
    <w:abstractNumId w:val="5"/>
    <w:lvlOverride w:ilvl="0">
      <w:lvl w:ilvl="0">
        <w:numFmt w:val="decimal"/>
        <w:lvlText w:val="%1."/>
        <w:lvlJc w:val="left"/>
      </w:lvl>
    </w:lvlOverride>
  </w:num>
  <w:num w:numId="24">
    <w:abstractNumId w:val="25"/>
  </w:num>
  <w:num w:numId="25">
    <w:abstractNumId w:val="14"/>
  </w:num>
  <w:num w:numId="26">
    <w:abstractNumId w:val="6"/>
    <w:lvlOverride w:ilvl="0">
      <w:lvl w:ilvl="0">
        <w:numFmt w:val="decimal"/>
        <w:lvlText w:val="%1."/>
        <w:lvlJc w:val="left"/>
      </w:lvl>
    </w:lvlOverride>
  </w:num>
  <w:num w:numId="27">
    <w:abstractNumId w:val="28"/>
  </w:num>
  <w:num w:numId="28">
    <w:abstractNumId w:val="7"/>
    <w:lvlOverride w:ilvl="0">
      <w:lvl w:ilvl="0">
        <w:numFmt w:val="decimal"/>
        <w:lvlText w:val="%1."/>
        <w:lvlJc w:val="left"/>
      </w:lvl>
    </w:lvlOverride>
  </w:num>
  <w:num w:numId="29">
    <w:abstractNumId w:val="8"/>
  </w:num>
  <w:num w:numId="30">
    <w:abstractNumId w:val="11"/>
    <w:lvlOverride w:ilvl="0">
      <w:lvl w:ilvl="0">
        <w:numFmt w:val="decimal"/>
        <w:lvlText w:val="%1."/>
        <w:lvlJc w:val="left"/>
      </w:lvl>
    </w:lvlOverride>
  </w:num>
  <w:num w:numId="31">
    <w:abstractNumId w:val="35"/>
  </w:num>
  <w:num w:numId="32">
    <w:abstractNumId w:val="20"/>
    <w:lvlOverride w:ilvl="0">
      <w:lvl w:ilvl="0">
        <w:numFmt w:val="decimal"/>
        <w:lvlText w:val="%1."/>
        <w:lvlJc w:val="left"/>
      </w:lvl>
    </w:lvlOverride>
  </w:num>
  <w:num w:numId="33">
    <w:abstractNumId w:val="30"/>
  </w:num>
  <w:num w:numId="34">
    <w:abstractNumId w:val="32"/>
    <w:lvlOverride w:ilvl="0">
      <w:lvl w:ilvl="0">
        <w:numFmt w:val="decimal"/>
        <w:lvlText w:val="%1."/>
        <w:lvlJc w:val="left"/>
      </w:lvl>
    </w:lvlOverride>
  </w:num>
  <w:num w:numId="35">
    <w:abstractNumId w:val="27"/>
  </w:num>
  <w:num w:numId="36">
    <w:abstractNumId w:val="36"/>
  </w:num>
  <w:num w:numId="37">
    <w:abstractNumId w:val="15"/>
  </w:num>
  <w:num w:numId="38">
    <w:abstractNumId w:val="10"/>
  </w:num>
  <w:num w:numId="39">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11"/>
    <w:rsid w:val="0000283C"/>
    <w:rsid w:val="000062E3"/>
    <w:rsid w:val="0001114C"/>
    <w:rsid w:val="000127E9"/>
    <w:rsid w:val="00014B43"/>
    <w:rsid w:val="00016788"/>
    <w:rsid w:val="00017D64"/>
    <w:rsid w:val="000215E9"/>
    <w:rsid w:val="0002447E"/>
    <w:rsid w:val="00026A3A"/>
    <w:rsid w:val="00035E66"/>
    <w:rsid w:val="00036190"/>
    <w:rsid w:val="00054ECE"/>
    <w:rsid w:val="00063739"/>
    <w:rsid w:val="00064DCB"/>
    <w:rsid w:val="00065254"/>
    <w:rsid w:val="00071B09"/>
    <w:rsid w:val="00080278"/>
    <w:rsid w:val="00082873"/>
    <w:rsid w:val="000828CD"/>
    <w:rsid w:val="00084E7C"/>
    <w:rsid w:val="00086463"/>
    <w:rsid w:val="00097033"/>
    <w:rsid w:val="000A09A3"/>
    <w:rsid w:val="000A42B4"/>
    <w:rsid w:val="000B2B4C"/>
    <w:rsid w:val="000B3822"/>
    <w:rsid w:val="000B4E7E"/>
    <w:rsid w:val="000C0EDE"/>
    <w:rsid w:val="000C0F0A"/>
    <w:rsid w:val="000C25B7"/>
    <w:rsid w:val="000C6838"/>
    <w:rsid w:val="000C784D"/>
    <w:rsid w:val="000D351F"/>
    <w:rsid w:val="000D59B4"/>
    <w:rsid w:val="000E0B44"/>
    <w:rsid w:val="000E1172"/>
    <w:rsid w:val="000E1320"/>
    <w:rsid w:val="000E769D"/>
    <w:rsid w:val="000F32C1"/>
    <w:rsid w:val="000F3B2E"/>
    <w:rsid w:val="000F733A"/>
    <w:rsid w:val="00104873"/>
    <w:rsid w:val="00104945"/>
    <w:rsid w:val="00105A9B"/>
    <w:rsid w:val="00106053"/>
    <w:rsid w:val="00111C40"/>
    <w:rsid w:val="00112976"/>
    <w:rsid w:val="00114E45"/>
    <w:rsid w:val="00130EEF"/>
    <w:rsid w:val="00130EF4"/>
    <w:rsid w:val="00136AC1"/>
    <w:rsid w:val="00144B55"/>
    <w:rsid w:val="00146CC4"/>
    <w:rsid w:val="0014740D"/>
    <w:rsid w:val="00155992"/>
    <w:rsid w:val="00155B6D"/>
    <w:rsid w:val="00155B75"/>
    <w:rsid w:val="00156EDA"/>
    <w:rsid w:val="00163510"/>
    <w:rsid w:val="00166359"/>
    <w:rsid w:val="00170D86"/>
    <w:rsid w:val="00176067"/>
    <w:rsid w:val="001774C6"/>
    <w:rsid w:val="00180488"/>
    <w:rsid w:val="001805A8"/>
    <w:rsid w:val="001812B6"/>
    <w:rsid w:val="00181D14"/>
    <w:rsid w:val="001853BD"/>
    <w:rsid w:val="00186D2D"/>
    <w:rsid w:val="00186FD8"/>
    <w:rsid w:val="00192141"/>
    <w:rsid w:val="001921D9"/>
    <w:rsid w:val="001A2416"/>
    <w:rsid w:val="001A61DD"/>
    <w:rsid w:val="001A6B2B"/>
    <w:rsid w:val="001B0DA8"/>
    <w:rsid w:val="001B47D8"/>
    <w:rsid w:val="001C347B"/>
    <w:rsid w:val="001C4494"/>
    <w:rsid w:val="001C5AC4"/>
    <w:rsid w:val="001C6559"/>
    <w:rsid w:val="001D21F3"/>
    <w:rsid w:val="001D2B8B"/>
    <w:rsid w:val="001E6725"/>
    <w:rsid w:val="001F1421"/>
    <w:rsid w:val="001F251F"/>
    <w:rsid w:val="001F3004"/>
    <w:rsid w:val="001F303A"/>
    <w:rsid w:val="001F3857"/>
    <w:rsid w:val="001F61F0"/>
    <w:rsid w:val="00200A66"/>
    <w:rsid w:val="00201D89"/>
    <w:rsid w:val="0020618E"/>
    <w:rsid w:val="00221042"/>
    <w:rsid w:val="002214E9"/>
    <w:rsid w:val="00224268"/>
    <w:rsid w:val="0023084A"/>
    <w:rsid w:val="00232548"/>
    <w:rsid w:val="00232E5B"/>
    <w:rsid w:val="00233250"/>
    <w:rsid w:val="00237E9B"/>
    <w:rsid w:val="00240490"/>
    <w:rsid w:val="00245BA9"/>
    <w:rsid w:val="00262377"/>
    <w:rsid w:val="00266053"/>
    <w:rsid w:val="0027007E"/>
    <w:rsid w:val="00270661"/>
    <w:rsid w:val="00271D2C"/>
    <w:rsid w:val="0027304C"/>
    <w:rsid w:val="00274260"/>
    <w:rsid w:val="00277B1B"/>
    <w:rsid w:val="00280F6C"/>
    <w:rsid w:val="00285239"/>
    <w:rsid w:val="00293389"/>
    <w:rsid w:val="00293431"/>
    <w:rsid w:val="00294A2B"/>
    <w:rsid w:val="00295EF8"/>
    <w:rsid w:val="002B1491"/>
    <w:rsid w:val="002B4BB6"/>
    <w:rsid w:val="002B5411"/>
    <w:rsid w:val="002B735B"/>
    <w:rsid w:val="002B7DF4"/>
    <w:rsid w:val="002C0A35"/>
    <w:rsid w:val="002C16B2"/>
    <w:rsid w:val="002C28DC"/>
    <w:rsid w:val="002C3595"/>
    <w:rsid w:val="002C3C55"/>
    <w:rsid w:val="002C41D1"/>
    <w:rsid w:val="002C787D"/>
    <w:rsid w:val="002D3B88"/>
    <w:rsid w:val="002D613B"/>
    <w:rsid w:val="002E1F8F"/>
    <w:rsid w:val="002F5591"/>
    <w:rsid w:val="00304175"/>
    <w:rsid w:val="00304397"/>
    <w:rsid w:val="00313D37"/>
    <w:rsid w:val="00317C71"/>
    <w:rsid w:val="00321494"/>
    <w:rsid w:val="003219A3"/>
    <w:rsid w:val="00324066"/>
    <w:rsid w:val="00325B85"/>
    <w:rsid w:val="003315CA"/>
    <w:rsid w:val="003358FB"/>
    <w:rsid w:val="00335B70"/>
    <w:rsid w:val="003413BD"/>
    <w:rsid w:val="0034473D"/>
    <w:rsid w:val="00346D72"/>
    <w:rsid w:val="00351C7B"/>
    <w:rsid w:val="00365B48"/>
    <w:rsid w:val="00370C26"/>
    <w:rsid w:val="00372365"/>
    <w:rsid w:val="00373B6E"/>
    <w:rsid w:val="0039137B"/>
    <w:rsid w:val="00393BDF"/>
    <w:rsid w:val="00395FA6"/>
    <w:rsid w:val="003A0F71"/>
    <w:rsid w:val="003A6740"/>
    <w:rsid w:val="003B0025"/>
    <w:rsid w:val="003B66A8"/>
    <w:rsid w:val="003D5624"/>
    <w:rsid w:val="003E4A54"/>
    <w:rsid w:val="003E5026"/>
    <w:rsid w:val="003E5E4E"/>
    <w:rsid w:val="003F1E61"/>
    <w:rsid w:val="0040126C"/>
    <w:rsid w:val="0040449A"/>
    <w:rsid w:val="00405E9C"/>
    <w:rsid w:val="00410BAE"/>
    <w:rsid w:val="004118F9"/>
    <w:rsid w:val="00411BC9"/>
    <w:rsid w:val="00415F82"/>
    <w:rsid w:val="004235D6"/>
    <w:rsid w:val="00431A96"/>
    <w:rsid w:val="004476F4"/>
    <w:rsid w:val="004558D4"/>
    <w:rsid w:val="00456B61"/>
    <w:rsid w:val="00462D5D"/>
    <w:rsid w:val="0047322E"/>
    <w:rsid w:val="004867E1"/>
    <w:rsid w:val="004A0738"/>
    <w:rsid w:val="004A6B78"/>
    <w:rsid w:val="004B03E3"/>
    <w:rsid w:val="004B2190"/>
    <w:rsid w:val="004B46B3"/>
    <w:rsid w:val="004C5535"/>
    <w:rsid w:val="004C5F6C"/>
    <w:rsid w:val="004C6947"/>
    <w:rsid w:val="004C6C40"/>
    <w:rsid w:val="004C7309"/>
    <w:rsid w:val="004D178E"/>
    <w:rsid w:val="004D2A6D"/>
    <w:rsid w:val="004D3C25"/>
    <w:rsid w:val="004D4572"/>
    <w:rsid w:val="004D6BF5"/>
    <w:rsid w:val="004D73FB"/>
    <w:rsid w:val="004E533B"/>
    <w:rsid w:val="004E541A"/>
    <w:rsid w:val="004E7303"/>
    <w:rsid w:val="004F4DD1"/>
    <w:rsid w:val="00503E0F"/>
    <w:rsid w:val="00506253"/>
    <w:rsid w:val="005119C7"/>
    <w:rsid w:val="00511B8F"/>
    <w:rsid w:val="005125E5"/>
    <w:rsid w:val="00513A82"/>
    <w:rsid w:val="00514DF5"/>
    <w:rsid w:val="00517EFB"/>
    <w:rsid w:val="0052115E"/>
    <w:rsid w:val="00521CF1"/>
    <w:rsid w:val="00521E83"/>
    <w:rsid w:val="00535EEF"/>
    <w:rsid w:val="00545DD8"/>
    <w:rsid w:val="00553D71"/>
    <w:rsid w:val="0056113D"/>
    <w:rsid w:val="005625BB"/>
    <w:rsid w:val="005702D0"/>
    <w:rsid w:val="00570ADE"/>
    <w:rsid w:val="005745C0"/>
    <w:rsid w:val="0057544B"/>
    <w:rsid w:val="00576F4B"/>
    <w:rsid w:val="005828AA"/>
    <w:rsid w:val="005830A8"/>
    <w:rsid w:val="0058405F"/>
    <w:rsid w:val="005968B9"/>
    <w:rsid w:val="005A3DA7"/>
    <w:rsid w:val="005A5B96"/>
    <w:rsid w:val="005B4997"/>
    <w:rsid w:val="005C31E2"/>
    <w:rsid w:val="005D4A08"/>
    <w:rsid w:val="005E6C05"/>
    <w:rsid w:val="005F3F04"/>
    <w:rsid w:val="00601D12"/>
    <w:rsid w:val="006036EF"/>
    <w:rsid w:val="00604A7B"/>
    <w:rsid w:val="00610FB7"/>
    <w:rsid w:val="00613B9C"/>
    <w:rsid w:val="006155D2"/>
    <w:rsid w:val="006241A3"/>
    <w:rsid w:val="00632ED8"/>
    <w:rsid w:val="00642759"/>
    <w:rsid w:val="0065047B"/>
    <w:rsid w:val="00661115"/>
    <w:rsid w:val="00662BFB"/>
    <w:rsid w:val="00662F59"/>
    <w:rsid w:val="006657A3"/>
    <w:rsid w:val="00666608"/>
    <w:rsid w:val="00667371"/>
    <w:rsid w:val="006721EC"/>
    <w:rsid w:val="006754E4"/>
    <w:rsid w:val="0067724A"/>
    <w:rsid w:val="006829E8"/>
    <w:rsid w:val="00685E23"/>
    <w:rsid w:val="006924CB"/>
    <w:rsid w:val="00694664"/>
    <w:rsid w:val="00695360"/>
    <w:rsid w:val="00696A10"/>
    <w:rsid w:val="006A03CA"/>
    <w:rsid w:val="006B09EB"/>
    <w:rsid w:val="006B1D10"/>
    <w:rsid w:val="006B2240"/>
    <w:rsid w:val="006B41C1"/>
    <w:rsid w:val="006B73F9"/>
    <w:rsid w:val="006C3EF6"/>
    <w:rsid w:val="006D355B"/>
    <w:rsid w:val="006D3F06"/>
    <w:rsid w:val="006E170A"/>
    <w:rsid w:val="006E1BF7"/>
    <w:rsid w:val="006E4A06"/>
    <w:rsid w:val="006E556A"/>
    <w:rsid w:val="006E585D"/>
    <w:rsid w:val="006E5CE0"/>
    <w:rsid w:val="006E5EC4"/>
    <w:rsid w:val="006E6E9E"/>
    <w:rsid w:val="006F1E23"/>
    <w:rsid w:val="006F2D34"/>
    <w:rsid w:val="006F2DED"/>
    <w:rsid w:val="006F58DF"/>
    <w:rsid w:val="006F61C2"/>
    <w:rsid w:val="007026F6"/>
    <w:rsid w:val="0070417B"/>
    <w:rsid w:val="00713D7D"/>
    <w:rsid w:val="007148A1"/>
    <w:rsid w:val="007150E4"/>
    <w:rsid w:val="007206B4"/>
    <w:rsid w:val="00721696"/>
    <w:rsid w:val="00723F85"/>
    <w:rsid w:val="00724477"/>
    <w:rsid w:val="0074505C"/>
    <w:rsid w:val="00745CF8"/>
    <w:rsid w:val="00746081"/>
    <w:rsid w:val="007460C7"/>
    <w:rsid w:val="00746402"/>
    <w:rsid w:val="00751C10"/>
    <w:rsid w:val="0076083F"/>
    <w:rsid w:val="00760F9C"/>
    <w:rsid w:val="00761742"/>
    <w:rsid w:val="00761F66"/>
    <w:rsid w:val="007631ED"/>
    <w:rsid w:val="0077032B"/>
    <w:rsid w:val="00770A00"/>
    <w:rsid w:val="00771C37"/>
    <w:rsid w:val="0077331C"/>
    <w:rsid w:val="00777BB4"/>
    <w:rsid w:val="00781216"/>
    <w:rsid w:val="007824DA"/>
    <w:rsid w:val="0078486D"/>
    <w:rsid w:val="00791E61"/>
    <w:rsid w:val="007A7F30"/>
    <w:rsid w:val="007B2B4F"/>
    <w:rsid w:val="007B7646"/>
    <w:rsid w:val="007B7A74"/>
    <w:rsid w:val="007C0C45"/>
    <w:rsid w:val="007C1306"/>
    <w:rsid w:val="007C2651"/>
    <w:rsid w:val="007C54B3"/>
    <w:rsid w:val="007D0211"/>
    <w:rsid w:val="007D07A9"/>
    <w:rsid w:val="007E080E"/>
    <w:rsid w:val="007E50AE"/>
    <w:rsid w:val="007E51A2"/>
    <w:rsid w:val="007F0734"/>
    <w:rsid w:val="007F5AFB"/>
    <w:rsid w:val="007F5E3C"/>
    <w:rsid w:val="00801753"/>
    <w:rsid w:val="0080394C"/>
    <w:rsid w:val="00805029"/>
    <w:rsid w:val="00806A4D"/>
    <w:rsid w:val="00807BCC"/>
    <w:rsid w:val="00807DE0"/>
    <w:rsid w:val="0081255C"/>
    <w:rsid w:val="0081481D"/>
    <w:rsid w:val="00820AF9"/>
    <w:rsid w:val="0082280F"/>
    <w:rsid w:val="0082759B"/>
    <w:rsid w:val="00830C45"/>
    <w:rsid w:val="008312AB"/>
    <w:rsid w:val="00832B3D"/>
    <w:rsid w:val="0083455F"/>
    <w:rsid w:val="00834E46"/>
    <w:rsid w:val="00841248"/>
    <w:rsid w:val="00841582"/>
    <w:rsid w:val="00855867"/>
    <w:rsid w:val="00856FF9"/>
    <w:rsid w:val="0085753B"/>
    <w:rsid w:val="00860A8E"/>
    <w:rsid w:val="00860DA2"/>
    <w:rsid w:val="00861ACD"/>
    <w:rsid w:val="00863173"/>
    <w:rsid w:val="008641CD"/>
    <w:rsid w:val="00865056"/>
    <w:rsid w:val="008656C0"/>
    <w:rsid w:val="008731AB"/>
    <w:rsid w:val="00877526"/>
    <w:rsid w:val="0088112B"/>
    <w:rsid w:val="00892AF1"/>
    <w:rsid w:val="008A1824"/>
    <w:rsid w:val="008A2291"/>
    <w:rsid w:val="008A70E8"/>
    <w:rsid w:val="008B6715"/>
    <w:rsid w:val="008C2C5E"/>
    <w:rsid w:val="008C6A1B"/>
    <w:rsid w:val="008D06BE"/>
    <w:rsid w:val="008D4715"/>
    <w:rsid w:val="008D4EFB"/>
    <w:rsid w:val="008D5223"/>
    <w:rsid w:val="008E3334"/>
    <w:rsid w:val="008E6BDF"/>
    <w:rsid w:val="008F0255"/>
    <w:rsid w:val="008F3EDC"/>
    <w:rsid w:val="0090143A"/>
    <w:rsid w:val="00903E32"/>
    <w:rsid w:val="00903E7B"/>
    <w:rsid w:val="0090636E"/>
    <w:rsid w:val="00906861"/>
    <w:rsid w:val="00910B18"/>
    <w:rsid w:val="00913513"/>
    <w:rsid w:val="00916E4A"/>
    <w:rsid w:val="00917048"/>
    <w:rsid w:val="009236B6"/>
    <w:rsid w:val="00923A36"/>
    <w:rsid w:val="00923DC8"/>
    <w:rsid w:val="00927D18"/>
    <w:rsid w:val="00930BB6"/>
    <w:rsid w:val="00931E13"/>
    <w:rsid w:val="00945234"/>
    <w:rsid w:val="00953B4E"/>
    <w:rsid w:val="00960953"/>
    <w:rsid w:val="00960CC2"/>
    <w:rsid w:val="00963095"/>
    <w:rsid w:val="0096461D"/>
    <w:rsid w:val="0096725B"/>
    <w:rsid w:val="009702A6"/>
    <w:rsid w:val="00972349"/>
    <w:rsid w:val="009764EF"/>
    <w:rsid w:val="00976683"/>
    <w:rsid w:val="00976B9F"/>
    <w:rsid w:val="00977C6B"/>
    <w:rsid w:val="0098195D"/>
    <w:rsid w:val="00995093"/>
    <w:rsid w:val="009A130F"/>
    <w:rsid w:val="009A4386"/>
    <w:rsid w:val="009A57CF"/>
    <w:rsid w:val="009A7CAE"/>
    <w:rsid w:val="009A7DDC"/>
    <w:rsid w:val="009B3073"/>
    <w:rsid w:val="009B565B"/>
    <w:rsid w:val="009B7F26"/>
    <w:rsid w:val="009C2797"/>
    <w:rsid w:val="009C4DE9"/>
    <w:rsid w:val="009D3A01"/>
    <w:rsid w:val="009D3F65"/>
    <w:rsid w:val="009E58F6"/>
    <w:rsid w:val="009E7528"/>
    <w:rsid w:val="009F1FCD"/>
    <w:rsid w:val="009F53AB"/>
    <w:rsid w:val="009F5B11"/>
    <w:rsid w:val="00A01386"/>
    <w:rsid w:val="00A02543"/>
    <w:rsid w:val="00A02DF5"/>
    <w:rsid w:val="00A03FBB"/>
    <w:rsid w:val="00A04158"/>
    <w:rsid w:val="00A06843"/>
    <w:rsid w:val="00A142C2"/>
    <w:rsid w:val="00A1632E"/>
    <w:rsid w:val="00A16C2D"/>
    <w:rsid w:val="00A1753D"/>
    <w:rsid w:val="00A24840"/>
    <w:rsid w:val="00A25D45"/>
    <w:rsid w:val="00A3556A"/>
    <w:rsid w:val="00A37159"/>
    <w:rsid w:val="00A406FF"/>
    <w:rsid w:val="00A416EA"/>
    <w:rsid w:val="00A419B3"/>
    <w:rsid w:val="00A4452F"/>
    <w:rsid w:val="00A45EC5"/>
    <w:rsid w:val="00A57A4E"/>
    <w:rsid w:val="00A71089"/>
    <w:rsid w:val="00A740DF"/>
    <w:rsid w:val="00A8435A"/>
    <w:rsid w:val="00A85594"/>
    <w:rsid w:val="00A90EB8"/>
    <w:rsid w:val="00A9138D"/>
    <w:rsid w:val="00A91EF6"/>
    <w:rsid w:val="00A929BD"/>
    <w:rsid w:val="00A95098"/>
    <w:rsid w:val="00AA6179"/>
    <w:rsid w:val="00AB1D9D"/>
    <w:rsid w:val="00AB26F9"/>
    <w:rsid w:val="00AC02DC"/>
    <w:rsid w:val="00AC09EA"/>
    <w:rsid w:val="00AC0FD3"/>
    <w:rsid w:val="00AC19E6"/>
    <w:rsid w:val="00AC3723"/>
    <w:rsid w:val="00AC5924"/>
    <w:rsid w:val="00AC6A12"/>
    <w:rsid w:val="00AD4DD1"/>
    <w:rsid w:val="00AE037C"/>
    <w:rsid w:val="00AE0BC7"/>
    <w:rsid w:val="00AE0EF2"/>
    <w:rsid w:val="00AE1BD6"/>
    <w:rsid w:val="00AE264A"/>
    <w:rsid w:val="00AE28DF"/>
    <w:rsid w:val="00AE558C"/>
    <w:rsid w:val="00AF5308"/>
    <w:rsid w:val="00B034DD"/>
    <w:rsid w:val="00B04B62"/>
    <w:rsid w:val="00B1510C"/>
    <w:rsid w:val="00B15248"/>
    <w:rsid w:val="00B20BC6"/>
    <w:rsid w:val="00B21138"/>
    <w:rsid w:val="00B23F96"/>
    <w:rsid w:val="00B242F6"/>
    <w:rsid w:val="00B278BD"/>
    <w:rsid w:val="00B34D46"/>
    <w:rsid w:val="00B37AE7"/>
    <w:rsid w:val="00B43B05"/>
    <w:rsid w:val="00B4480A"/>
    <w:rsid w:val="00B4511C"/>
    <w:rsid w:val="00B46850"/>
    <w:rsid w:val="00B51006"/>
    <w:rsid w:val="00B51394"/>
    <w:rsid w:val="00B51D1C"/>
    <w:rsid w:val="00B52CD8"/>
    <w:rsid w:val="00B56CF2"/>
    <w:rsid w:val="00B56EDC"/>
    <w:rsid w:val="00B60BBC"/>
    <w:rsid w:val="00B641C5"/>
    <w:rsid w:val="00B65EF0"/>
    <w:rsid w:val="00B73791"/>
    <w:rsid w:val="00B73901"/>
    <w:rsid w:val="00B7659C"/>
    <w:rsid w:val="00B80FB7"/>
    <w:rsid w:val="00B81D50"/>
    <w:rsid w:val="00B865DE"/>
    <w:rsid w:val="00B87202"/>
    <w:rsid w:val="00B95130"/>
    <w:rsid w:val="00B953B2"/>
    <w:rsid w:val="00B95BAA"/>
    <w:rsid w:val="00BA2AC7"/>
    <w:rsid w:val="00BB3CB2"/>
    <w:rsid w:val="00BC18D6"/>
    <w:rsid w:val="00BC1B30"/>
    <w:rsid w:val="00BC3CD6"/>
    <w:rsid w:val="00BD3967"/>
    <w:rsid w:val="00BD607A"/>
    <w:rsid w:val="00BE1D3B"/>
    <w:rsid w:val="00BE4104"/>
    <w:rsid w:val="00BE5AEA"/>
    <w:rsid w:val="00BE787F"/>
    <w:rsid w:val="00BF374E"/>
    <w:rsid w:val="00BF49F5"/>
    <w:rsid w:val="00BF5ACC"/>
    <w:rsid w:val="00C0354D"/>
    <w:rsid w:val="00C10AE8"/>
    <w:rsid w:val="00C116CB"/>
    <w:rsid w:val="00C14ACA"/>
    <w:rsid w:val="00C212F7"/>
    <w:rsid w:val="00C24AB4"/>
    <w:rsid w:val="00C27ACD"/>
    <w:rsid w:val="00C30C55"/>
    <w:rsid w:val="00C31E43"/>
    <w:rsid w:val="00C3469B"/>
    <w:rsid w:val="00C35D02"/>
    <w:rsid w:val="00C415D8"/>
    <w:rsid w:val="00C42DBD"/>
    <w:rsid w:val="00C532A1"/>
    <w:rsid w:val="00C5462B"/>
    <w:rsid w:val="00C561A7"/>
    <w:rsid w:val="00C57D9D"/>
    <w:rsid w:val="00C63BDD"/>
    <w:rsid w:val="00C66FD8"/>
    <w:rsid w:val="00C674A3"/>
    <w:rsid w:val="00C67911"/>
    <w:rsid w:val="00C67D58"/>
    <w:rsid w:val="00C727F6"/>
    <w:rsid w:val="00C83711"/>
    <w:rsid w:val="00C85DE3"/>
    <w:rsid w:val="00C96990"/>
    <w:rsid w:val="00C96B34"/>
    <w:rsid w:val="00C974B5"/>
    <w:rsid w:val="00CA114E"/>
    <w:rsid w:val="00CA20CF"/>
    <w:rsid w:val="00CB41A5"/>
    <w:rsid w:val="00CB4C14"/>
    <w:rsid w:val="00CD0D9A"/>
    <w:rsid w:val="00CD3223"/>
    <w:rsid w:val="00CD3E19"/>
    <w:rsid w:val="00CE11FE"/>
    <w:rsid w:val="00CE31D4"/>
    <w:rsid w:val="00CE6707"/>
    <w:rsid w:val="00CF1DFE"/>
    <w:rsid w:val="00CF66D5"/>
    <w:rsid w:val="00D00DDB"/>
    <w:rsid w:val="00D00E15"/>
    <w:rsid w:val="00D01B9F"/>
    <w:rsid w:val="00D0209A"/>
    <w:rsid w:val="00D12B0F"/>
    <w:rsid w:val="00D14177"/>
    <w:rsid w:val="00D169C2"/>
    <w:rsid w:val="00D23F9D"/>
    <w:rsid w:val="00D26602"/>
    <w:rsid w:val="00D346B3"/>
    <w:rsid w:val="00D364FC"/>
    <w:rsid w:val="00D40E2E"/>
    <w:rsid w:val="00D45E70"/>
    <w:rsid w:val="00D57F38"/>
    <w:rsid w:val="00D61159"/>
    <w:rsid w:val="00D703B3"/>
    <w:rsid w:val="00D72FD6"/>
    <w:rsid w:val="00D73F86"/>
    <w:rsid w:val="00D7436C"/>
    <w:rsid w:val="00D752BC"/>
    <w:rsid w:val="00D77F2A"/>
    <w:rsid w:val="00D80702"/>
    <w:rsid w:val="00D80992"/>
    <w:rsid w:val="00D81A11"/>
    <w:rsid w:val="00D82662"/>
    <w:rsid w:val="00D928F1"/>
    <w:rsid w:val="00DA0D86"/>
    <w:rsid w:val="00DA77F0"/>
    <w:rsid w:val="00DB248F"/>
    <w:rsid w:val="00DB3DD6"/>
    <w:rsid w:val="00DB51B7"/>
    <w:rsid w:val="00DB6859"/>
    <w:rsid w:val="00DC14F8"/>
    <w:rsid w:val="00DC1F7E"/>
    <w:rsid w:val="00DD0672"/>
    <w:rsid w:val="00DD2009"/>
    <w:rsid w:val="00DF5526"/>
    <w:rsid w:val="00DF6CF1"/>
    <w:rsid w:val="00DF7592"/>
    <w:rsid w:val="00E0147E"/>
    <w:rsid w:val="00E04DD5"/>
    <w:rsid w:val="00E05BA6"/>
    <w:rsid w:val="00E05EEA"/>
    <w:rsid w:val="00E061E9"/>
    <w:rsid w:val="00E17108"/>
    <w:rsid w:val="00E22971"/>
    <w:rsid w:val="00E22D74"/>
    <w:rsid w:val="00E24A1E"/>
    <w:rsid w:val="00E34AB6"/>
    <w:rsid w:val="00E363D9"/>
    <w:rsid w:val="00E47E55"/>
    <w:rsid w:val="00E50755"/>
    <w:rsid w:val="00E54C4D"/>
    <w:rsid w:val="00E619A1"/>
    <w:rsid w:val="00E63106"/>
    <w:rsid w:val="00E6320F"/>
    <w:rsid w:val="00E67444"/>
    <w:rsid w:val="00E702AB"/>
    <w:rsid w:val="00E70913"/>
    <w:rsid w:val="00E739E6"/>
    <w:rsid w:val="00E745BB"/>
    <w:rsid w:val="00E83B08"/>
    <w:rsid w:val="00E84FF5"/>
    <w:rsid w:val="00E85269"/>
    <w:rsid w:val="00E90367"/>
    <w:rsid w:val="00E90495"/>
    <w:rsid w:val="00E9075A"/>
    <w:rsid w:val="00E92AD3"/>
    <w:rsid w:val="00E93C0F"/>
    <w:rsid w:val="00E95B6C"/>
    <w:rsid w:val="00EA3FAC"/>
    <w:rsid w:val="00EA61E8"/>
    <w:rsid w:val="00EB0CBD"/>
    <w:rsid w:val="00EB4110"/>
    <w:rsid w:val="00EB712A"/>
    <w:rsid w:val="00EB76E4"/>
    <w:rsid w:val="00ED17D8"/>
    <w:rsid w:val="00ED408B"/>
    <w:rsid w:val="00EE04BA"/>
    <w:rsid w:val="00EE79AC"/>
    <w:rsid w:val="00F00788"/>
    <w:rsid w:val="00F0342F"/>
    <w:rsid w:val="00F11056"/>
    <w:rsid w:val="00F16203"/>
    <w:rsid w:val="00F24345"/>
    <w:rsid w:val="00F249F7"/>
    <w:rsid w:val="00F331B1"/>
    <w:rsid w:val="00F35512"/>
    <w:rsid w:val="00F415AD"/>
    <w:rsid w:val="00F42F13"/>
    <w:rsid w:val="00F44FEE"/>
    <w:rsid w:val="00F47268"/>
    <w:rsid w:val="00F55748"/>
    <w:rsid w:val="00F6743B"/>
    <w:rsid w:val="00F77A4A"/>
    <w:rsid w:val="00F8164D"/>
    <w:rsid w:val="00F81E6F"/>
    <w:rsid w:val="00F84BCC"/>
    <w:rsid w:val="00F92617"/>
    <w:rsid w:val="00F934A7"/>
    <w:rsid w:val="00F94B7C"/>
    <w:rsid w:val="00F94BF4"/>
    <w:rsid w:val="00FA2975"/>
    <w:rsid w:val="00FA5AB8"/>
    <w:rsid w:val="00FA6917"/>
    <w:rsid w:val="00FA7945"/>
    <w:rsid w:val="00FB3840"/>
    <w:rsid w:val="00FB3A8B"/>
    <w:rsid w:val="00FB5531"/>
    <w:rsid w:val="00FB6F37"/>
    <w:rsid w:val="00FC6C44"/>
    <w:rsid w:val="00FC73B3"/>
    <w:rsid w:val="00FD20E1"/>
    <w:rsid w:val="00FD50C1"/>
    <w:rsid w:val="00FD58F5"/>
    <w:rsid w:val="00FE180D"/>
    <w:rsid w:val="00FF2ECB"/>
    <w:rsid w:val="00FF62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A42D0"/>
  <w15:chartTrackingRefBased/>
  <w15:docId w15:val="{9FF683D0-2B3E-497E-B8A8-5D2E696F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F5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2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3A674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4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5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3A67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743B"/>
    <w:rPr>
      <w:rFonts w:asciiTheme="majorHAnsi" w:eastAsiaTheme="majorEastAsia" w:hAnsiTheme="majorHAnsi" w:cstheme="majorBidi"/>
      <w:color w:val="2F5496" w:themeColor="accent1" w:themeShade="BF"/>
    </w:rPr>
  </w:style>
  <w:style w:type="character" w:customStyle="1" w:styleId="foreign">
    <w:name w:val="foreign"/>
    <w:basedOn w:val="DefaultParagraphFont"/>
    <w:rsid w:val="00373B6E"/>
  </w:style>
  <w:style w:type="paragraph" w:styleId="ListParagraph">
    <w:name w:val="List Paragraph"/>
    <w:basedOn w:val="Normal"/>
    <w:uiPriority w:val="34"/>
    <w:qFormat/>
    <w:rsid w:val="00373B6E"/>
    <w:pPr>
      <w:ind w:left="720"/>
      <w:contextualSpacing/>
    </w:pPr>
  </w:style>
  <w:style w:type="paragraph" w:styleId="BalloonText">
    <w:name w:val="Balloon Text"/>
    <w:basedOn w:val="Normal"/>
    <w:link w:val="BalloonTextChar"/>
    <w:uiPriority w:val="99"/>
    <w:semiHidden/>
    <w:unhideWhenUsed/>
    <w:rsid w:val="00DF55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26"/>
    <w:rPr>
      <w:rFonts w:ascii="Segoe UI" w:hAnsi="Segoe UI" w:cs="Segoe UI"/>
      <w:sz w:val="18"/>
      <w:szCs w:val="18"/>
    </w:rPr>
  </w:style>
  <w:style w:type="character" w:styleId="Hyperlink">
    <w:name w:val="Hyperlink"/>
    <w:basedOn w:val="DefaultParagraphFont"/>
    <w:uiPriority w:val="99"/>
    <w:unhideWhenUsed/>
    <w:rsid w:val="0074505C"/>
    <w:rPr>
      <w:color w:val="0000FF"/>
      <w:u w:val="single"/>
    </w:rPr>
  </w:style>
  <w:style w:type="character" w:styleId="UnresolvedMention">
    <w:name w:val="Unresolved Mention"/>
    <w:basedOn w:val="DefaultParagraphFont"/>
    <w:uiPriority w:val="99"/>
    <w:semiHidden/>
    <w:unhideWhenUsed/>
    <w:rsid w:val="006C3EF6"/>
    <w:rPr>
      <w:color w:val="808080"/>
      <w:shd w:val="clear" w:color="auto" w:fill="E6E6E6"/>
    </w:rPr>
  </w:style>
  <w:style w:type="paragraph" w:styleId="NormalWeb">
    <w:name w:val="Normal (Web)"/>
    <w:basedOn w:val="Normal"/>
    <w:uiPriority w:val="99"/>
    <w:unhideWhenUsed/>
    <w:rsid w:val="00E63106"/>
    <w:pPr>
      <w:spacing w:before="100" w:beforeAutospacing="1" w:after="100" w:afterAutospacing="1"/>
    </w:pPr>
    <w:rPr>
      <w:rFonts w:ascii="Times New Roman" w:eastAsia="Times New Roman" w:hAnsi="Times New Roman" w:cs="Times New Roman"/>
      <w:sz w:val="24"/>
      <w:szCs w:val="24"/>
      <w:lang w:eastAsia="en-CA"/>
    </w:rPr>
  </w:style>
  <w:style w:type="paragraph" w:customStyle="1" w:styleId="Default">
    <w:name w:val="Default"/>
    <w:rsid w:val="00841248"/>
    <w:pPr>
      <w:autoSpaceDE w:val="0"/>
      <w:autoSpaceDN w:val="0"/>
      <w:adjustRightInd w:val="0"/>
    </w:pPr>
    <w:rPr>
      <w:rFonts w:ascii="Code" w:hAnsi="Code" w:cs="Code"/>
      <w:color w:val="000000"/>
      <w:sz w:val="24"/>
      <w:szCs w:val="24"/>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58405F"/>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58405F"/>
    <w:rPr>
      <w:sz w:val="20"/>
      <w:szCs w:val="20"/>
    </w:rPr>
  </w:style>
  <w:style w:type="character" w:styleId="FootnoteReference">
    <w:name w:val="footnote reference"/>
    <w:basedOn w:val="DefaultParagraphFont"/>
    <w:uiPriority w:val="99"/>
    <w:unhideWhenUsed/>
    <w:rsid w:val="0058405F"/>
    <w:rPr>
      <w:vertAlign w:val="superscript"/>
    </w:rPr>
  </w:style>
  <w:style w:type="paragraph" w:styleId="EndnoteText">
    <w:name w:val="endnote text"/>
    <w:basedOn w:val="Normal"/>
    <w:link w:val="EndnoteTextChar"/>
    <w:uiPriority w:val="99"/>
    <w:semiHidden/>
    <w:unhideWhenUsed/>
    <w:rsid w:val="00807BCC"/>
    <w:rPr>
      <w:sz w:val="20"/>
      <w:szCs w:val="20"/>
    </w:rPr>
  </w:style>
  <w:style w:type="character" w:customStyle="1" w:styleId="EndnoteTextChar">
    <w:name w:val="Endnote Text Char"/>
    <w:basedOn w:val="DefaultParagraphFont"/>
    <w:link w:val="EndnoteText"/>
    <w:uiPriority w:val="99"/>
    <w:semiHidden/>
    <w:rsid w:val="00807BCC"/>
    <w:rPr>
      <w:sz w:val="20"/>
      <w:szCs w:val="20"/>
    </w:rPr>
  </w:style>
  <w:style w:type="character" w:styleId="EndnoteReference">
    <w:name w:val="endnote reference"/>
    <w:basedOn w:val="DefaultParagraphFont"/>
    <w:uiPriority w:val="99"/>
    <w:semiHidden/>
    <w:unhideWhenUsed/>
    <w:rsid w:val="00807BCC"/>
    <w:rPr>
      <w:vertAlign w:val="superscript"/>
    </w:rPr>
  </w:style>
  <w:style w:type="paragraph" w:styleId="Title">
    <w:name w:val="Title"/>
    <w:basedOn w:val="Normal"/>
    <w:next w:val="Normal"/>
    <w:link w:val="TitleChar"/>
    <w:uiPriority w:val="10"/>
    <w:qFormat/>
    <w:rsid w:val="00AD4D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DD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8A1824"/>
    <w:rPr>
      <w:color w:val="954F72" w:themeColor="followedHyperlink"/>
      <w:u w:val="single"/>
    </w:rPr>
  </w:style>
  <w:style w:type="character" w:styleId="Strong">
    <w:name w:val="Strong"/>
    <w:basedOn w:val="DefaultParagraphFont"/>
    <w:uiPriority w:val="22"/>
    <w:qFormat/>
    <w:rsid w:val="00BE787F"/>
    <w:rPr>
      <w:b/>
      <w:bCs/>
    </w:rPr>
  </w:style>
  <w:style w:type="paragraph" w:styleId="Header">
    <w:name w:val="header"/>
    <w:basedOn w:val="Normal"/>
    <w:link w:val="HeaderChar"/>
    <w:uiPriority w:val="99"/>
    <w:unhideWhenUsed/>
    <w:rsid w:val="00BE787F"/>
    <w:pPr>
      <w:tabs>
        <w:tab w:val="center" w:pos="4680"/>
        <w:tab w:val="right" w:pos="9360"/>
      </w:tabs>
    </w:pPr>
  </w:style>
  <w:style w:type="character" w:customStyle="1" w:styleId="HeaderChar">
    <w:name w:val="Header Char"/>
    <w:basedOn w:val="DefaultParagraphFont"/>
    <w:link w:val="Header"/>
    <w:uiPriority w:val="99"/>
    <w:rsid w:val="00BE787F"/>
  </w:style>
  <w:style w:type="paragraph" w:styleId="Footer">
    <w:name w:val="footer"/>
    <w:basedOn w:val="Normal"/>
    <w:link w:val="FooterChar"/>
    <w:uiPriority w:val="99"/>
    <w:unhideWhenUsed/>
    <w:rsid w:val="00BE787F"/>
    <w:pPr>
      <w:tabs>
        <w:tab w:val="center" w:pos="4680"/>
        <w:tab w:val="right" w:pos="9360"/>
      </w:tabs>
    </w:pPr>
  </w:style>
  <w:style w:type="character" w:customStyle="1" w:styleId="FooterChar">
    <w:name w:val="Footer Char"/>
    <w:basedOn w:val="DefaultParagraphFont"/>
    <w:link w:val="Footer"/>
    <w:uiPriority w:val="99"/>
    <w:rsid w:val="00BE787F"/>
  </w:style>
  <w:style w:type="character" w:customStyle="1" w:styleId="vcard">
    <w:name w:val="vcard"/>
    <w:basedOn w:val="DefaultParagraphFont"/>
    <w:rsid w:val="00E05EEA"/>
  </w:style>
  <w:style w:type="character" w:customStyle="1" w:styleId="Date1">
    <w:name w:val="Date1"/>
    <w:basedOn w:val="DefaultParagraphFont"/>
    <w:rsid w:val="00E05EEA"/>
  </w:style>
  <w:style w:type="character" w:customStyle="1" w:styleId="fwb">
    <w:name w:val="fwb"/>
    <w:basedOn w:val="DefaultParagraphFont"/>
    <w:rsid w:val="00F6743B"/>
  </w:style>
  <w:style w:type="character" w:customStyle="1" w:styleId="fsm">
    <w:name w:val="fsm"/>
    <w:basedOn w:val="DefaultParagraphFont"/>
    <w:rsid w:val="00F6743B"/>
  </w:style>
  <w:style w:type="character" w:customStyle="1" w:styleId="timestampcontent">
    <w:name w:val="timestampcontent"/>
    <w:basedOn w:val="DefaultParagraphFont"/>
    <w:rsid w:val="00F6743B"/>
  </w:style>
  <w:style w:type="paragraph" w:customStyle="1" w:styleId="storydate">
    <w:name w:val="storydate"/>
    <w:basedOn w:val="Normal"/>
    <w:rsid w:val="00D26602"/>
    <w:pPr>
      <w:spacing w:before="100" w:beforeAutospacing="1" w:after="100" w:afterAutospacing="1"/>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0209A"/>
    <w:rPr>
      <w:i/>
      <w:iCs/>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semiHidden/>
    <w:locked/>
    <w:rsid w:val="003A6740"/>
  </w:style>
  <w:style w:type="paragraph" w:styleId="BodyText2">
    <w:name w:val="Body Text 2"/>
    <w:basedOn w:val="Normal"/>
    <w:link w:val="BodyText2Char"/>
    <w:uiPriority w:val="99"/>
    <w:rsid w:val="00232548"/>
    <w:pPr>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2548"/>
    <w:rPr>
      <w:rFonts w:ascii="Times New Roman" w:eastAsia="Times New Roman" w:hAnsi="Times New Roman" w:cs="Times New Roman"/>
      <w:b/>
      <w:bCs/>
      <w:lang w:val="en-GB"/>
    </w:rPr>
  </w:style>
  <w:style w:type="paragraph" w:customStyle="1" w:styleId="deannah1">
    <w:name w:val="deannah1"/>
    <w:basedOn w:val="Normal"/>
    <w:uiPriority w:val="99"/>
    <w:rsid w:val="00232548"/>
    <w:pPr>
      <w:keepNext/>
      <w:spacing w:after="240"/>
    </w:pPr>
    <w:rPr>
      <w:rFonts w:ascii="Times New Roman" w:eastAsia="Times New Roman" w:hAnsi="Times New Roman" w:cs="Times New Roman"/>
      <w:b/>
      <w:bCs/>
      <w:sz w:val="24"/>
      <w:szCs w:val="24"/>
      <w:lang w:val="en-GB"/>
    </w:rPr>
  </w:style>
  <w:style w:type="table" w:styleId="TableGrid">
    <w:name w:val="Table Grid"/>
    <w:basedOn w:val="TableNormal"/>
    <w:uiPriority w:val="59"/>
    <w:rsid w:val="0023254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32548"/>
    <w:rPr>
      <w:color w:val="535353"/>
      <w:u w:val="single"/>
      <w:effect w:val="none"/>
    </w:rPr>
  </w:style>
  <w:style w:type="paragraph" w:customStyle="1" w:styleId="NormalWeb1">
    <w:name w:val="Normal (Web)1"/>
    <w:basedOn w:val="Normal"/>
    <w:uiPriority w:val="99"/>
    <w:rsid w:val="00232548"/>
    <w:pPr>
      <w:spacing w:before="100" w:beforeAutospacing="1" w:after="300"/>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2548"/>
  </w:style>
  <w:style w:type="character" w:customStyle="1" w:styleId="CommentTextChar">
    <w:name w:val="Comment Text Char"/>
    <w:basedOn w:val="DefaultParagraphFont"/>
    <w:link w:val="CommentText"/>
    <w:uiPriority w:val="99"/>
    <w:semiHidden/>
    <w:rsid w:val="0023254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32548"/>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23254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32548"/>
    <w:rPr>
      <w:b/>
      <w:bCs/>
    </w:rPr>
  </w:style>
  <w:style w:type="character" w:styleId="IntenseEmphasis">
    <w:name w:val="Intense Emphasis"/>
    <w:basedOn w:val="DefaultParagraphFont"/>
    <w:uiPriority w:val="21"/>
    <w:qFormat/>
    <w:rsid w:val="002C28DC"/>
    <w:rPr>
      <w:i/>
      <w:iCs/>
      <w:color w:val="4472C4" w:themeColor="accent1"/>
    </w:rPr>
  </w:style>
  <w:style w:type="paragraph" w:styleId="Subtitle">
    <w:name w:val="Subtitle"/>
    <w:basedOn w:val="Normal"/>
    <w:next w:val="Normal"/>
    <w:link w:val="SubtitleChar"/>
    <w:uiPriority w:val="11"/>
    <w:qFormat/>
    <w:rsid w:val="009A57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57CF"/>
    <w:rPr>
      <w:rFonts w:eastAsiaTheme="minorEastAsia"/>
      <w:color w:val="5A5A5A" w:themeColor="text1" w:themeTint="A5"/>
      <w:spacing w:val="15"/>
    </w:rPr>
  </w:style>
  <w:style w:type="character" w:customStyle="1" w:styleId="gb-title-box-title">
    <w:name w:val="gb-title-box-title"/>
    <w:basedOn w:val="DefaultParagraphFont"/>
    <w:rsid w:val="006036EF"/>
  </w:style>
  <w:style w:type="character" w:customStyle="1" w:styleId="gb-title-box-dash">
    <w:name w:val="gb-title-box-dash"/>
    <w:basedOn w:val="DefaultParagraphFont"/>
    <w:rsid w:val="006036EF"/>
  </w:style>
  <w:style w:type="character" w:customStyle="1" w:styleId="addmd">
    <w:name w:val="addmd"/>
    <w:basedOn w:val="DefaultParagraphFont"/>
    <w:rsid w:val="006036EF"/>
  </w:style>
  <w:style w:type="paragraph" w:customStyle="1" w:styleId="Standard">
    <w:name w:val="Standard"/>
    <w:rsid w:val="00777BB4"/>
    <w:pPr>
      <w:suppressAutoHyphens/>
      <w:autoSpaceDN w:val="0"/>
      <w:textAlignment w:val="baseline"/>
    </w:pPr>
    <w:rPr>
      <w:rFonts w:ascii="Calibri" w:eastAsia="SimSun" w:hAnsi="Calibri" w:cs="Calibri"/>
      <w:color w:val="000000"/>
      <w:kern w:val="3"/>
      <w:sz w:val="24"/>
      <w:szCs w:val="24"/>
    </w:rPr>
  </w:style>
  <w:style w:type="paragraph" w:customStyle="1" w:styleId="citation">
    <w:name w:val="citation"/>
    <w:basedOn w:val="Standard"/>
    <w:rsid w:val="00777BB4"/>
  </w:style>
  <w:style w:type="paragraph" w:customStyle="1" w:styleId="Footnote">
    <w:name w:val="Footnote"/>
    <w:basedOn w:val="Standard"/>
    <w:rsid w:val="00777BB4"/>
    <w:pPr>
      <w:suppressLineNumbers/>
      <w:ind w:left="283" w:hanging="283"/>
    </w:pPr>
    <w:rPr>
      <w:sz w:val="20"/>
      <w:szCs w:val="20"/>
    </w:rPr>
  </w:style>
  <w:style w:type="character" w:styleId="HTMLCite">
    <w:name w:val="HTML Cite"/>
    <w:basedOn w:val="DefaultParagraphFont"/>
    <w:rsid w:val="0077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2668">
      <w:bodyDiv w:val="1"/>
      <w:marLeft w:val="0"/>
      <w:marRight w:val="0"/>
      <w:marTop w:val="0"/>
      <w:marBottom w:val="0"/>
      <w:divBdr>
        <w:top w:val="none" w:sz="0" w:space="0" w:color="auto"/>
        <w:left w:val="none" w:sz="0" w:space="0" w:color="auto"/>
        <w:bottom w:val="none" w:sz="0" w:space="0" w:color="auto"/>
        <w:right w:val="none" w:sz="0" w:space="0" w:color="auto"/>
      </w:divBdr>
    </w:div>
    <w:div w:id="147522264">
      <w:bodyDiv w:val="1"/>
      <w:marLeft w:val="0"/>
      <w:marRight w:val="0"/>
      <w:marTop w:val="0"/>
      <w:marBottom w:val="0"/>
      <w:divBdr>
        <w:top w:val="none" w:sz="0" w:space="0" w:color="auto"/>
        <w:left w:val="none" w:sz="0" w:space="0" w:color="auto"/>
        <w:bottom w:val="none" w:sz="0" w:space="0" w:color="auto"/>
        <w:right w:val="none" w:sz="0" w:space="0" w:color="auto"/>
      </w:divBdr>
    </w:div>
    <w:div w:id="306738760">
      <w:bodyDiv w:val="1"/>
      <w:marLeft w:val="0"/>
      <w:marRight w:val="0"/>
      <w:marTop w:val="0"/>
      <w:marBottom w:val="0"/>
      <w:divBdr>
        <w:top w:val="none" w:sz="0" w:space="0" w:color="auto"/>
        <w:left w:val="none" w:sz="0" w:space="0" w:color="auto"/>
        <w:bottom w:val="none" w:sz="0" w:space="0" w:color="auto"/>
        <w:right w:val="none" w:sz="0" w:space="0" w:color="auto"/>
      </w:divBdr>
    </w:div>
    <w:div w:id="410200135">
      <w:bodyDiv w:val="1"/>
      <w:marLeft w:val="0"/>
      <w:marRight w:val="0"/>
      <w:marTop w:val="0"/>
      <w:marBottom w:val="0"/>
      <w:divBdr>
        <w:top w:val="none" w:sz="0" w:space="0" w:color="auto"/>
        <w:left w:val="none" w:sz="0" w:space="0" w:color="auto"/>
        <w:bottom w:val="none" w:sz="0" w:space="0" w:color="auto"/>
        <w:right w:val="none" w:sz="0" w:space="0" w:color="auto"/>
      </w:divBdr>
    </w:div>
    <w:div w:id="1335650987">
      <w:bodyDiv w:val="1"/>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487137803">
              <w:marLeft w:val="0"/>
              <w:marRight w:val="0"/>
              <w:marTop w:val="0"/>
              <w:marBottom w:val="0"/>
              <w:divBdr>
                <w:top w:val="none" w:sz="0" w:space="0" w:color="auto"/>
                <w:left w:val="none" w:sz="0" w:space="0" w:color="auto"/>
                <w:bottom w:val="none" w:sz="0" w:space="0" w:color="auto"/>
                <w:right w:val="none" w:sz="0" w:space="0" w:color="auto"/>
              </w:divBdr>
              <w:divsChild>
                <w:div w:id="210270437">
                  <w:marLeft w:val="0"/>
                  <w:marRight w:val="0"/>
                  <w:marTop w:val="0"/>
                  <w:marBottom w:val="0"/>
                  <w:divBdr>
                    <w:top w:val="none" w:sz="0" w:space="0" w:color="auto"/>
                    <w:left w:val="none" w:sz="0" w:space="0" w:color="auto"/>
                    <w:bottom w:val="none" w:sz="0" w:space="0" w:color="auto"/>
                    <w:right w:val="none" w:sz="0" w:space="0" w:color="auto"/>
                  </w:divBdr>
                  <w:divsChild>
                    <w:div w:id="462160730">
                      <w:marLeft w:val="0"/>
                      <w:marRight w:val="0"/>
                      <w:marTop w:val="0"/>
                      <w:marBottom w:val="0"/>
                      <w:divBdr>
                        <w:top w:val="none" w:sz="0" w:space="0" w:color="auto"/>
                        <w:left w:val="none" w:sz="0" w:space="0" w:color="auto"/>
                        <w:bottom w:val="none" w:sz="0" w:space="0" w:color="auto"/>
                        <w:right w:val="none" w:sz="0" w:space="0" w:color="auto"/>
                      </w:divBdr>
                      <w:divsChild>
                        <w:div w:id="581255854">
                          <w:marLeft w:val="0"/>
                          <w:marRight w:val="0"/>
                          <w:marTop w:val="0"/>
                          <w:marBottom w:val="0"/>
                          <w:divBdr>
                            <w:top w:val="none" w:sz="0" w:space="0" w:color="auto"/>
                            <w:left w:val="none" w:sz="0" w:space="0" w:color="auto"/>
                            <w:bottom w:val="none" w:sz="0" w:space="0" w:color="auto"/>
                            <w:right w:val="none" w:sz="0" w:space="0" w:color="auto"/>
                          </w:divBdr>
                          <w:divsChild>
                            <w:div w:id="1855071512">
                              <w:marLeft w:val="0"/>
                              <w:marRight w:val="0"/>
                              <w:marTop w:val="0"/>
                              <w:marBottom w:val="0"/>
                              <w:divBdr>
                                <w:top w:val="none" w:sz="0" w:space="0" w:color="auto"/>
                                <w:left w:val="none" w:sz="0" w:space="0" w:color="auto"/>
                                <w:bottom w:val="none" w:sz="0" w:space="0" w:color="auto"/>
                                <w:right w:val="none" w:sz="0" w:space="0" w:color="auto"/>
                              </w:divBdr>
                              <w:divsChild>
                                <w:div w:id="1820417640">
                                  <w:marLeft w:val="0"/>
                                  <w:marRight w:val="0"/>
                                  <w:marTop w:val="0"/>
                                  <w:marBottom w:val="0"/>
                                  <w:divBdr>
                                    <w:top w:val="none" w:sz="0" w:space="0" w:color="auto"/>
                                    <w:left w:val="none" w:sz="0" w:space="0" w:color="auto"/>
                                    <w:bottom w:val="none" w:sz="0" w:space="0" w:color="auto"/>
                                    <w:right w:val="none" w:sz="0" w:space="0" w:color="auto"/>
                                  </w:divBdr>
                                  <w:divsChild>
                                    <w:div w:id="1574657083">
                                      <w:marLeft w:val="0"/>
                                      <w:marRight w:val="0"/>
                                      <w:marTop w:val="0"/>
                                      <w:marBottom w:val="0"/>
                                      <w:divBdr>
                                        <w:top w:val="none" w:sz="0" w:space="0" w:color="auto"/>
                                        <w:left w:val="none" w:sz="0" w:space="0" w:color="auto"/>
                                        <w:bottom w:val="none" w:sz="0" w:space="0" w:color="auto"/>
                                        <w:right w:val="none" w:sz="0" w:space="0" w:color="auto"/>
                                      </w:divBdr>
                                      <w:divsChild>
                                        <w:div w:id="11592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2265791">
      <w:bodyDiv w:val="1"/>
      <w:marLeft w:val="0"/>
      <w:marRight w:val="0"/>
      <w:marTop w:val="0"/>
      <w:marBottom w:val="0"/>
      <w:divBdr>
        <w:top w:val="none" w:sz="0" w:space="0" w:color="auto"/>
        <w:left w:val="none" w:sz="0" w:space="0" w:color="auto"/>
        <w:bottom w:val="none" w:sz="0" w:space="0" w:color="auto"/>
        <w:right w:val="none" w:sz="0" w:space="0" w:color="auto"/>
      </w:divBdr>
      <w:divsChild>
        <w:div w:id="1444611982">
          <w:marLeft w:val="0"/>
          <w:marRight w:val="0"/>
          <w:marTop w:val="0"/>
          <w:marBottom w:val="0"/>
          <w:divBdr>
            <w:top w:val="none" w:sz="0" w:space="0" w:color="auto"/>
            <w:left w:val="none" w:sz="0" w:space="0" w:color="auto"/>
            <w:bottom w:val="none" w:sz="0" w:space="0" w:color="auto"/>
            <w:right w:val="none" w:sz="0" w:space="0" w:color="auto"/>
          </w:divBdr>
        </w:div>
      </w:divsChild>
    </w:div>
    <w:div w:id="19745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www.forrestastrology.com/blogs/videos/is-astrology-a-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CD9B9-A800-4CC6-9945-208CA8101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13</Pages>
  <Words>3430</Words>
  <Characters>19553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Editor</cp:lastModifiedBy>
  <cp:revision>43</cp:revision>
  <cp:lastPrinted>2018-06-04T15:44:00Z</cp:lastPrinted>
  <dcterms:created xsi:type="dcterms:W3CDTF">2019-04-28T22:29:00Z</dcterms:created>
  <dcterms:modified xsi:type="dcterms:W3CDTF">2019-04-29T21:20:00Z</dcterms:modified>
</cp:coreProperties>
</file>