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E0024" w14:textId="2C5CCFD4" w:rsidR="00CC0869" w:rsidRPr="00945108" w:rsidRDefault="00E02FC7" w:rsidP="0037036A">
      <w:pPr>
        <w:pStyle w:val="Heading1"/>
        <w:spacing w:line="360" w:lineRule="auto"/>
        <w:jc w:val="center"/>
        <w:rPr>
          <w:rFonts w:ascii="Arial" w:hAnsi="Arial" w:cs="Arial"/>
          <w:lang w:val="en-GB"/>
        </w:rPr>
      </w:pPr>
      <w:bookmarkStart w:id="0" w:name="_Toc223210154"/>
      <w:bookmarkStart w:id="1" w:name="_Toc227790531"/>
      <w:r w:rsidRPr="00945108">
        <w:rPr>
          <w:lang w:val="en-GB"/>
        </w:rPr>
        <w:drawing>
          <wp:anchor distT="0" distB="0" distL="114300" distR="114300" simplePos="0" relativeHeight="251658240" behindDoc="0" locked="0" layoutInCell="1" allowOverlap="1" wp14:anchorId="5C56A9D1" wp14:editId="25FE8BAB">
            <wp:simplePos x="0" y="0"/>
            <wp:positionH relativeFrom="column">
              <wp:posOffset>-554505</wp:posOffset>
            </wp:positionH>
            <wp:positionV relativeFrom="paragraph">
              <wp:posOffset>356</wp:posOffset>
            </wp:positionV>
            <wp:extent cx="1724093" cy="687600"/>
            <wp:effectExtent l="0" t="0" r="3175" b="0"/>
            <wp:wrapTopAndBottom/>
            <wp:docPr id="113393048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930486" name="Picture 1" descr="A black background with white text&#10;&#10;AI-generated content may be incorrect."/>
                    <pic:cNvPicPr/>
                  </pic:nvPicPr>
                  <pic:blipFill>
                    <a:blip r:embed="rId8"/>
                    <a:stretch>
                      <a:fillRect/>
                    </a:stretch>
                  </pic:blipFill>
                  <pic:spPr>
                    <a:xfrm>
                      <a:off x="0" y="0"/>
                      <a:ext cx="1724093" cy="6876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XSpec="center" w:tblpY="3788"/>
        <w:tblW w:w="102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6"/>
        <w:gridCol w:w="2266"/>
        <w:gridCol w:w="2543"/>
      </w:tblGrid>
      <w:tr w:rsidR="00725323" w14:paraId="722457A7" w14:textId="77777777" w:rsidTr="00725323">
        <w:trPr>
          <w:trHeight w:val="495"/>
        </w:trPr>
        <w:tc>
          <w:tcPr>
            <w:tcW w:w="2096" w:type="dxa"/>
          </w:tcPr>
          <w:p w14:paraId="6663B1B0" w14:textId="77777777" w:rsidR="00725323" w:rsidRPr="00945108" w:rsidRDefault="00725323" w:rsidP="00725323">
            <w:pPr>
              <w:pStyle w:val="TableParagraph"/>
              <w:spacing w:before="123"/>
              <w:ind w:left="110"/>
              <w:rPr>
                <w:rFonts w:ascii="Arial"/>
                <w:b/>
                <w:lang w:val="en-GB"/>
              </w:rPr>
            </w:pPr>
            <w:r w:rsidRPr="00945108">
              <w:rPr>
                <w:rFonts w:ascii="Arial"/>
                <w:b/>
                <w:lang w:val="en-GB"/>
              </w:rPr>
              <w:t xml:space="preserve">Student </w:t>
            </w:r>
            <w:r w:rsidRPr="00945108">
              <w:rPr>
                <w:rFonts w:ascii="Arial"/>
                <w:b/>
                <w:spacing w:val="-4"/>
                <w:lang w:val="en-GB"/>
              </w:rPr>
              <w:t>name:</w:t>
            </w:r>
          </w:p>
        </w:tc>
        <w:tc>
          <w:tcPr>
            <w:tcW w:w="3296" w:type="dxa"/>
          </w:tcPr>
          <w:p w14:paraId="19A49AA3" w14:textId="77777777" w:rsidR="00725323" w:rsidRPr="00945108" w:rsidRDefault="00725323" w:rsidP="00725323">
            <w:pPr>
              <w:pStyle w:val="TableParagraph"/>
              <w:ind w:left="0"/>
              <w:jc w:val="center"/>
              <w:rPr>
                <w:rFonts w:ascii="Times New Roman"/>
                <w:lang w:val="en-GB"/>
              </w:rPr>
            </w:pPr>
            <w:r w:rsidRPr="00945108">
              <w:rPr>
                <w:rFonts w:ascii="Times New Roman"/>
                <w:lang w:val="en-GB"/>
              </w:rPr>
              <w:t>Helen Rezai</w:t>
            </w:r>
          </w:p>
        </w:tc>
        <w:tc>
          <w:tcPr>
            <w:tcW w:w="2266" w:type="dxa"/>
            <w:shd w:val="clear" w:color="auto" w:fill="D9D9D9"/>
          </w:tcPr>
          <w:p w14:paraId="5ACD26B2" w14:textId="77777777" w:rsidR="00725323" w:rsidRPr="00945108" w:rsidRDefault="00725323" w:rsidP="00725323">
            <w:pPr>
              <w:pStyle w:val="TableParagraph"/>
              <w:spacing w:before="123"/>
              <w:ind w:left="105"/>
              <w:rPr>
                <w:rFonts w:ascii="Arial"/>
                <w:b/>
                <w:lang w:val="en-GB"/>
              </w:rPr>
            </w:pPr>
            <w:r w:rsidRPr="00945108">
              <w:rPr>
                <w:rFonts w:ascii="Arial"/>
                <w:b/>
                <w:lang w:val="en-GB"/>
              </w:rPr>
              <w:t>Student ID</w:t>
            </w:r>
            <w:r w:rsidRPr="00945108">
              <w:rPr>
                <w:rFonts w:ascii="Arial"/>
                <w:b/>
                <w:spacing w:val="1"/>
                <w:lang w:val="en-GB"/>
              </w:rPr>
              <w:t xml:space="preserve"> </w:t>
            </w:r>
            <w:r w:rsidRPr="00945108">
              <w:rPr>
                <w:rFonts w:ascii="Arial"/>
                <w:b/>
                <w:spacing w:val="-2"/>
                <w:lang w:val="en-GB"/>
              </w:rPr>
              <w:t>number:</w:t>
            </w:r>
          </w:p>
        </w:tc>
        <w:tc>
          <w:tcPr>
            <w:tcW w:w="2543" w:type="dxa"/>
          </w:tcPr>
          <w:p w14:paraId="0B525F72" w14:textId="77777777" w:rsidR="00725323" w:rsidRPr="00945108" w:rsidRDefault="00725323" w:rsidP="00725323">
            <w:pPr>
              <w:pStyle w:val="TableParagraph"/>
              <w:ind w:left="0"/>
              <w:jc w:val="center"/>
              <w:rPr>
                <w:rFonts w:ascii="Times New Roman"/>
                <w:lang w:val="en-GB"/>
              </w:rPr>
            </w:pPr>
            <w:r w:rsidRPr="00945108">
              <w:rPr>
                <w:rFonts w:ascii="Times New Roman"/>
                <w:lang w:val="en-GB"/>
              </w:rPr>
              <w:t>2317544</w:t>
            </w:r>
          </w:p>
        </w:tc>
      </w:tr>
      <w:tr w:rsidR="00725323" w14:paraId="2EE8E6D6" w14:textId="77777777" w:rsidTr="00725323">
        <w:trPr>
          <w:trHeight w:val="490"/>
        </w:trPr>
        <w:tc>
          <w:tcPr>
            <w:tcW w:w="2096" w:type="dxa"/>
          </w:tcPr>
          <w:p w14:paraId="77438731" w14:textId="77777777" w:rsidR="00725323" w:rsidRPr="00945108" w:rsidRDefault="00725323" w:rsidP="00725323">
            <w:pPr>
              <w:pStyle w:val="TableParagraph"/>
              <w:spacing w:before="124"/>
              <w:ind w:left="110"/>
              <w:rPr>
                <w:rFonts w:ascii="Arial"/>
                <w:b/>
                <w:lang w:val="en-GB"/>
              </w:rPr>
            </w:pPr>
            <w:r w:rsidRPr="00945108">
              <w:rPr>
                <w:rFonts w:ascii="Arial"/>
                <w:b/>
                <w:spacing w:val="-2"/>
                <w:lang w:val="en-GB"/>
              </w:rPr>
              <w:t>Programme:</w:t>
            </w:r>
          </w:p>
        </w:tc>
        <w:tc>
          <w:tcPr>
            <w:tcW w:w="8105" w:type="dxa"/>
            <w:gridSpan w:val="3"/>
          </w:tcPr>
          <w:p w14:paraId="74A667CC" w14:textId="77777777" w:rsidR="00725323" w:rsidRPr="00945108" w:rsidRDefault="00725323" w:rsidP="00725323">
            <w:pPr>
              <w:pStyle w:val="TableParagraph"/>
              <w:spacing w:before="124"/>
              <w:ind w:left="110"/>
              <w:rPr>
                <w:rFonts w:ascii="Arial"/>
                <w:b/>
                <w:lang w:val="en-GB"/>
              </w:rPr>
            </w:pPr>
            <w:r w:rsidRPr="00945108">
              <w:rPr>
                <w:rFonts w:ascii="Arial"/>
                <w:b/>
                <w:lang w:val="en-GB"/>
              </w:rPr>
              <w:t>BA</w:t>
            </w:r>
            <w:r w:rsidRPr="00945108">
              <w:rPr>
                <w:rFonts w:ascii="Arial"/>
                <w:b/>
                <w:spacing w:val="-6"/>
                <w:lang w:val="en-GB"/>
              </w:rPr>
              <w:t xml:space="preserve"> </w:t>
            </w:r>
            <w:r w:rsidRPr="00945108">
              <w:rPr>
                <w:rFonts w:ascii="Arial"/>
                <w:b/>
                <w:lang w:val="en-GB"/>
              </w:rPr>
              <w:t>(</w:t>
            </w:r>
            <w:proofErr w:type="spellStart"/>
            <w:r w:rsidRPr="00945108">
              <w:rPr>
                <w:rFonts w:ascii="Arial"/>
                <w:b/>
                <w:lang w:val="en-GB"/>
              </w:rPr>
              <w:t>Hons</w:t>
            </w:r>
            <w:proofErr w:type="spellEnd"/>
            <w:r w:rsidRPr="00945108">
              <w:rPr>
                <w:rFonts w:ascii="Arial"/>
                <w:b/>
                <w:lang w:val="en-GB"/>
              </w:rPr>
              <w:t>)</w:t>
            </w:r>
            <w:r w:rsidRPr="00945108">
              <w:rPr>
                <w:rFonts w:ascii="Arial"/>
                <w:b/>
                <w:spacing w:val="-3"/>
                <w:lang w:val="en-GB"/>
              </w:rPr>
              <w:t xml:space="preserve"> </w:t>
            </w:r>
            <w:r w:rsidRPr="00945108">
              <w:rPr>
                <w:rFonts w:ascii="Arial"/>
                <w:b/>
                <w:lang w:val="en-GB"/>
              </w:rPr>
              <w:t>Leadership</w:t>
            </w:r>
            <w:r w:rsidRPr="00945108">
              <w:rPr>
                <w:rFonts w:ascii="Arial"/>
                <w:b/>
                <w:spacing w:val="-4"/>
                <w:lang w:val="en-GB"/>
              </w:rPr>
              <w:t xml:space="preserve"> </w:t>
            </w:r>
            <w:r w:rsidRPr="00945108">
              <w:rPr>
                <w:rFonts w:ascii="Arial"/>
                <w:b/>
                <w:lang w:val="en-GB"/>
              </w:rPr>
              <w:t>and</w:t>
            </w:r>
            <w:r w:rsidRPr="00945108">
              <w:rPr>
                <w:rFonts w:ascii="Arial"/>
                <w:b/>
                <w:spacing w:val="-3"/>
                <w:lang w:val="en-GB"/>
              </w:rPr>
              <w:t xml:space="preserve"> </w:t>
            </w:r>
            <w:r w:rsidRPr="00945108">
              <w:rPr>
                <w:rFonts w:ascii="Arial"/>
                <w:b/>
                <w:lang w:val="en-GB"/>
              </w:rPr>
              <w:t>Management</w:t>
            </w:r>
            <w:r w:rsidRPr="00945108">
              <w:rPr>
                <w:rFonts w:ascii="Arial"/>
                <w:b/>
                <w:spacing w:val="-2"/>
                <w:lang w:val="en-GB"/>
              </w:rPr>
              <w:t xml:space="preserve"> </w:t>
            </w:r>
            <w:r w:rsidRPr="00945108">
              <w:rPr>
                <w:rFonts w:ascii="Arial"/>
                <w:b/>
                <w:lang w:val="en-GB"/>
              </w:rPr>
              <w:t>Skills</w:t>
            </w:r>
            <w:r w:rsidRPr="00945108">
              <w:rPr>
                <w:rFonts w:ascii="Arial"/>
                <w:b/>
                <w:spacing w:val="-1"/>
                <w:lang w:val="en-GB"/>
              </w:rPr>
              <w:t xml:space="preserve"> </w:t>
            </w:r>
            <w:r w:rsidRPr="00945108">
              <w:rPr>
                <w:rFonts w:ascii="Arial"/>
                <w:b/>
                <w:lang w:val="en-GB"/>
              </w:rPr>
              <w:t>for</w:t>
            </w:r>
            <w:r w:rsidRPr="00945108">
              <w:rPr>
                <w:rFonts w:ascii="Arial"/>
                <w:b/>
                <w:spacing w:val="-5"/>
                <w:lang w:val="en-GB"/>
              </w:rPr>
              <w:t xml:space="preserve"> </w:t>
            </w:r>
            <w:r w:rsidRPr="00945108">
              <w:rPr>
                <w:rFonts w:ascii="Arial"/>
                <w:b/>
                <w:lang w:val="en-GB"/>
              </w:rPr>
              <w:t>the</w:t>
            </w:r>
            <w:r w:rsidRPr="00945108">
              <w:rPr>
                <w:rFonts w:ascii="Arial"/>
                <w:b/>
                <w:spacing w:val="-1"/>
                <w:lang w:val="en-GB"/>
              </w:rPr>
              <w:t xml:space="preserve"> </w:t>
            </w:r>
            <w:r w:rsidRPr="00945108">
              <w:rPr>
                <w:rFonts w:ascii="Arial"/>
                <w:b/>
                <w:spacing w:val="-2"/>
                <w:lang w:val="en-GB"/>
              </w:rPr>
              <w:t>Workplace</w:t>
            </w:r>
          </w:p>
        </w:tc>
      </w:tr>
      <w:tr w:rsidR="00725323" w14:paraId="60691B39" w14:textId="77777777" w:rsidTr="00725323">
        <w:trPr>
          <w:trHeight w:val="745"/>
        </w:trPr>
        <w:tc>
          <w:tcPr>
            <w:tcW w:w="2096" w:type="dxa"/>
          </w:tcPr>
          <w:p w14:paraId="37EC5E9C" w14:textId="77777777" w:rsidR="00725323" w:rsidRPr="00945108" w:rsidRDefault="00725323" w:rsidP="00725323">
            <w:pPr>
              <w:pStyle w:val="TableParagraph"/>
              <w:spacing w:before="123"/>
              <w:ind w:left="110"/>
              <w:rPr>
                <w:rFonts w:ascii="Arial"/>
                <w:b/>
                <w:lang w:val="en-GB"/>
              </w:rPr>
            </w:pPr>
            <w:r w:rsidRPr="00945108">
              <w:rPr>
                <w:rFonts w:ascii="Arial"/>
                <w:b/>
                <w:spacing w:val="-2"/>
                <w:lang w:val="en-GB"/>
              </w:rPr>
              <w:t>Module:</w:t>
            </w:r>
          </w:p>
        </w:tc>
        <w:tc>
          <w:tcPr>
            <w:tcW w:w="8105" w:type="dxa"/>
            <w:gridSpan w:val="3"/>
          </w:tcPr>
          <w:p w14:paraId="01F6495D" w14:textId="77777777" w:rsidR="00725323" w:rsidRPr="00945108" w:rsidRDefault="00725323" w:rsidP="00725323">
            <w:pPr>
              <w:pStyle w:val="TableParagraph"/>
              <w:spacing w:before="123" w:line="242" w:lineRule="auto"/>
              <w:ind w:left="110" w:right="3626"/>
              <w:rPr>
                <w:rFonts w:ascii="Arial"/>
                <w:b/>
                <w:lang w:val="en-GB"/>
              </w:rPr>
            </w:pPr>
            <w:r w:rsidRPr="00945108">
              <w:rPr>
                <w:rFonts w:ascii="Arial"/>
                <w:b/>
                <w:lang w:val="en-GB"/>
              </w:rPr>
              <w:t>Leading</w:t>
            </w:r>
            <w:r w:rsidRPr="00945108">
              <w:rPr>
                <w:rFonts w:ascii="Arial"/>
                <w:b/>
                <w:spacing w:val="-16"/>
                <w:lang w:val="en-GB"/>
              </w:rPr>
              <w:t xml:space="preserve"> </w:t>
            </w:r>
            <w:r w:rsidRPr="00945108">
              <w:rPr>
                <w:rFonts w:ascii="Arial"/>
                <w:b/>
                <w:lang w:val="en-GB"/>
              </w:rPr>
              <w:t>and</w:t>
            </w:r>
            <w:r w:rsidRPr="00945108">
              <w:rPr>
                <w:rFonts w:ascii="Arial"/>
                <w:b/>
                <w:spacing w:val="-11"/>
                <w:lang w:val="en-GB"/>
              </w:rPr>
              <w:t xml:space="preserve"> </w:t>
            </w:r>
            <w:r w:rsidRPr="00945108">
              <w:rPr>
                <w:rFonts w:ascii="Arial"/>
                <w:b/>
                <w:lang w:val="en-GB"/>
              </w:rPr>
              <w:t>Implementing</w:t>
            </w:r>
            <w:r w:rsidRPr="00945108">
              <w:rPr>
                <w:rFonts w:ascii="Arial"/>
                <w:b/>
                <w:spacing w:val="-12"/>
                <w:lang w:val="en-GB"/>
              </w:rPr>
              <w:t xml:space="preserve"> </w:t>
            </w:r>
            <w:r w:rsidRPr="00945108">
              <w:rPr>
                <w:rFonts w:ascii="Arial"/>
                <w:b/>
                <w:lang w:val="en-GB"/>
              </w:rPr>
              <w:t xml:space="preserve">Change </w:t>
            </w:r>
            <w:r w:rsidRPr="00945108">
              <w:rPr>
                <w:rFonts w:ascii="Arial"/>
                <w:b/>
                <w:spacing w:val="-2"/>
                <w:lang w:val="en-GB"/>
              </w:rPr>
              <w:t>(LIC)</w:t>
            </w:r>
          </w:p>
        </w:tc>
      </w:tr>
      <w:tr w:rsidR="00725323" w14:paraId="20651232" w14:textId="77777777" w:rsidTr="00725323">
        <w:trPr>
          <w:trHeight w:val="760"/>
        </w:trPr>
        <w:tc>
          <w:tcPr>
            <w:tcW w:w="2096" w:type="dxa"/>
          </w:tcPr>
          <w:p w14:paraId="3B463A84" w14:textId="77777777" w:rsidR="00725323" w:rsidRPr="00945108" w:rsidRDefault="00725323" w:rsidP="00725323">
            <w:pPr>
              <w:pStyle w:val="TableParagraph"/>
              <w:spacing w:before="123"/>
              <w:ind w:left="110"/>
              <w:rPr>
                <w:rFonts w:ascii="Arial"/>
                <w:b/>
                <w:lang w:val="en-GB"/>
              </w:rPr>
            </w:pPr>
            <w:r w:rsidRPr="00945108">
              <w:rPr>
                <w:rFonts w:ascii="Arial"/>
                <w:b/>
                <w:lang w:val="en-GB"/>
              </w:rPr>
              <w:t>Module</w:t>
            </w:r>
            <w:r w:rsidRPr="00945108">
              <w:rPr>
                <w:rFonts w:ascii="Arial"/>
                <w:b/>
                <w:spacing w:val="-1"/>
                <w:lang w:val="en-GB"/>
              </w:rPr>
              <w:t xml:space="preserve"> </w:t>
            </w:r>
            <w:r w:rsidRPr="00945108">
              <w:rPr>
                <w:rFonts w:ascii="Arial"/>
                <w:b/>
                <w:spacing w:val="-2"/>
                <w:lang w:val="en-GB"/>
              </w:rPr>
              <w:t>code:</w:t>
            </w:r>
          </w:p>
        </w:tc>
        <w:tc>
          <w:tcPr>
            <w:tcW w:w="3296" w:type="dxa"/>
          </w:tcPr>
          <w:p w14:paraId="103FBE83" w14:textId="77777777" w:rsidR="00725323" w:rsidRPr="00945108" w:rsidRDefault="00725323" w:rsidP="00725323">
            <w:pPr>
              <w:pStyle w:val="TableParagraph"/>
              <w:spacing w:before="123"/>
              <w:ind w:left="110"/>
              <w:rPr>
                <w:rFonts w:ascii="Arial"/>
                <w:b/>
                <w:lang w:val="en-GB"/>
              </w:rPr>
            </w:pPr>
            <w:r w:rsidRPr="00945108">
              <w:rPr>
                <w:rFonts w:ascii="Arial"/>
                <w:b/>
                <w:spacing w:val="-2"/>
                <w:lang w:val="en-GB"/>
              </w:rPr>
              <w:t>LCLM6003</w:t>
            </w:r>
          </w:p>
        </w:tc>
        <w:tc>
          <w:tcPr>
            <w:tcW w:w="2266" w:type="dxa"/>
            <w:shd w:val="clear" w:color="auto" w:fill="D9D9D9"/>
          </w:tcPr>
          <w:p w14:paraId="787C51EC" w14:textId="77777777" w:rsidR="00725323" w:rsidRPr="00945108" w:rsidRDefault="00725323" w:rsidP="00725323">
            <w:pPr>
              <w:pStyle w:val="TableParagraph"/>
              <w:tabs>
                <w:tab w:val="left" w:pos="1953"/>
              </w:tabs>
              <w:spacing w:before="3"/>
              <w:ind w:left="105"/>
              <w:rPr>
                <w:rFonts w:ascii="Arial"/>
                <w:b/>
                <w:lang w:val="en-GB"/>
              </w:rPr>
            </w:pPr>
            <w:r w:rsidRPr="00945108">
              <w:rPr>
                <w:rFonts w:ascii="Arial"/>
                <w:b/>
                <w:spacing w:val="-2"/>
                <w:lang w:val="en-GB"/>
              </w:rPr>
              <w:t>Contribution</w:t>
            </w:r>
            <w:r w:rsidRPr="00945108">
              <w:rPr>
                <w:rFonts w:ascii="Arial"/>
                <w:b/>
                <w:lang w:val="en-GB"/>
              </w:rPr>
              <w:tab/>
            </w:r>
            <w:r w:rsidRPr="00945108">
              <w:rPr>
                <w:rFonts w:ascii="Arial"/>
                <w:b/>
                <w:spacing w:val="-5"/>
                <w:lang w:val="en-GB"/>
              </w:rPr>
              <w:t>to</w:t>
            </w:r>
          </w:p>
          <w:p w14:paraId="545FBCA0" w14:textId="77777777" w:rsidR="00725323" w:rsidRPr="00945108" w:rsidRDefault="00725323" w:rsidP="00725323">
            <w:pPr>
              <w:pStyle w:val="TableParagraph"/>
              <w:tabs>
                <w:tab w:val="left" w:pos="1389"/>
              </w:tabs>
              <w:spacing w:line="250" w:lineRule="exact"/>
              <w:ind w:left="105" w:right="97"/>
              <w:rPr>
                <w:rFonts w:ascii="Arial"/>
                <w:b/>
                <w:lang w:val="en-GB"/>
              </w:rPr>
            </w:pPr>
            <w:r w:rsidRPr="00945108">
              <w:rPr>
                <w:rFonts w:ascii="Arial"/>
                <w:b/>
                <w:spacing w:val="-2"/>
                <w:lang w:val="en-GB"/>
              </w:rPr>
              <w:t>Overall</w:t>
            </w:r>
            <w:r w:rsidRPr="00945108">
              <w:rPr>
                <w:rFonts w:ascii="Arial"/>
                <w:b/>
                <w:lang w:val="en-GB"/>
              </w:rPr>
              <w:tab/>
            </w:r>
            <w:r w:rsidRPr="00945108">
              <w:rPr>
                <w:rFonts w:ascii="Arial"/>
                <w:b/>
                <w:spacing w:val="-2"/>
                <w:lang w:val="en-GB"/>
              </w:rPr>
              <w:t xml:space="preserve">Module </w:t>
            </w:r>
            <w:r w:rsidRPr="00945108">
              <w:rPr>
                <w:rFonts w:ascii="Arial"/>
                <w:b/>
                <w:lang w:val="en-GB"/>
              </w:rPr>
              <w:t>Assessment (%):</w:t>
            </w:r>
          </w:p>
        </w:tc>
        <w:tc>
          <w:tcPr>
            <w:tcW w:w="2543" w:type="dxa"/>
          </w:tcPr>
          <w:p w14:paraId="77D4238F" w14:textId="77777777" w:rsidR="00725323" w:rsidRPr="00945108" w:rsidRDefault="00725323" w:rsidP="00725323">
            <w:pPr>
              <w:pStyle w:val="TableParagraph"/>
              <w:spacing w:before="123"/>
              <w:ind w:left="110"/>
              <w:rPr>
                <w:rFonts w:ascii="Arial"/>
                <w:b/>
                <w:lang w:val="en-GB"/>
              </w:rPr>
            </w:pPr>
            <w:r w:rsidRPr="00945108">
              <w:rPr>
                <w:rFonts w:ascii="Arial"/>
                <w:b/>
                <w:spacing w:val="-4"/>
                <w:lang w:val="en-GB"/>
              </w:rPr>
              <w:t>100%</w:t>
            </w:r>
          </w:p>
        </w:tc>
      </w:tr>
      <w:tr w:rsidR="00725323" w14:paraId="2DE72A10" w14:textId="77777777" w:rsidTr="00725323">
        <w:trPr>
          <w:trHeight w:val="865"/>
        </w:trPr>
        <w:tc>
          <w:tcPr>
            <w:tcW w:w="2096" w:type="dxa"/>
          </w:tcPr>
          <w:p w14:paraId="6077DB8F" w14:textId="77777777" w:rsidR="00725323" w:rsidRPr="00945108" w:rsidRDefault="00725323" w:rsidP="00725323">
            <w:pPr>
              <w:pStyle w:val="TableParagraph"/>
              <w:spacing w:before="123"/>
              <w:ind w:left="110"/>
              <w:rPr>
                <w:rFonts w:ascii="Arial"/>
                <w:b/>
                <w:lang w:val="en-GB"/>
              </w:rPr>
            </w:pPr>
            <w:r w:rsidRPr="00945108">
              <w:rPr>
                <w:rFonts w:ascii="Arial"/>
                <w:b/>
                <w:lang w:val="en-GB"/>
              </w:rPr>
              <w:t>Lecturer</w:t>
            </w:r>
            <w:r w:rsidRPr="00945108">
              <w:rPr>
                <w:rFonts w:ascii="Arial"/>
                <w:b/>
                <w:spacing w:val="-2"/>
                <w:lang w:val="en-GB"/>
              </w:rPr>
              <w:t>:</w:t>
            </w:r>
          </w:p>
        </w:tc>
        <w:tc>
          <w:tcPr>
            <w:tcW w:w="8105" w:type="dxa"/>
            <w:gridSpan w:val="3"/>
          </w:tcPr>
          <w:p w14:paraId="712EDD28" w14:textId="77777777" w:rsidR="00725323" w:rsidRPr="00945108" w:rsidRDefault="00725323" w:rsidP="00725323">
            <w:pPr>
              <w:pStyle w:val="TableParagraph"/>
              <w:spacing w:before="6" w:line="370" w:lineRule="atLeast"/>
              <w:ind w:left="110" w:right="777"/>
              <w:rPr>
                <w:rFonts w:ascii="Arial"/>
                <w:b/>
                <w:lang w:val="en-GB"/>
              </w:rPr>
            </w:pPr>
            <w:r w:rsidRPr="00945108">
              <w:rPr>
                <w:rFonts w:ascii="Arial"/>
                <w:b/>
                <w:lang w:val="en-GB"/>
              </w:rPr>
              <w:t xml:space="preserve">Dr </w:t>
            </w:r>
            <w:proofErr w:type="spellStart"/>
            <w:r w:rsidRPr="00945108">
              <w:rPr>
                <w:rFonts w:ascii="Arial" w:hAnsi="Arial" w:cs="Arial"/>
                <w:b/>
                <w:color w:val="242130"/>
                <w:shd w:val="clear" w:color="auto" w:fill="FFFFFF"/>
                <w:lang w:val="en-GB"/>
              </w:rPr>
              <w:t>Mustakkima</w:t>
            </w:r>
            <w:proofErr w:type="spellEnd"/>
            <w:r w:rsidRPr="00945108">
              <w:rPr>
                <w:rFonts w:ascii="Arial" w:hAnsi="Arial" w:cs="Arial"/>
                <w:b/>
                <w:color w:val="242130"/>
                <w:shd w:val="clear" w:color="auto" w:fill="FFFFFF"/>
                <w:lang w:val="en-GB"/>
              </w:rPr>
              <w:t xml:space="preserve"> </w:t>
            </w:r>
            <w:proofErr w:type="spellStart"/>
            <w:r w:rsidRPr="00945108">
              <w:rPr>
                <w:rFonts w:ascii="Arial" w:hAnsi="Arial" w:cs="Arial"/>
                <w:b/>
                <w:color w:val="242130"/>
                <w:shd w:val="clear" w:color="auto" w:fill="FFFFFF"/>
                <w:lang w:val="en-GB"/>
              </w:rPr>
              <w:t>Afrin</w:t>
            </w:r>
            <w:proofErr w:type="spellEnd"/>
          </w:p>
        </w:tc>
      </w:tr>
      <w:tr w:rsidR="00725323" w14:paraId="0AAACF5A" w14:textId="77777777" w:rsidTr="00725323">
        <w:trPr>
          <w:trHeight w:val="870"/>
        </w:trPr>
        <w:tc>
          <w:tcPr>
            <w:tcW w:w="2096" w:type="dxa"/>
          </w:tcPr>
          <w:p w14:paraId="18457C42" w14:textId="77777777" w:rsidR="00725323" w:rsidRPr="00945108" w:rsidRDefault="00725323" w:rsidP="00725323">
            <w:pPr>
              <w:pStyle w:val="TableParagraph"/>
              <w:spacing w:before="123"/>
              <w:ind w:left="110"/>
              <w:rPr>
                <w:rFonts w:ascii="Arial"/>
                <w:b/>
                <w:lang w:val="en-GB"/>
              </w:rPr>
            </w:pPr>
            <w:r w:rsidRPr="00945108">
              <w:rPr>
                <w:rFonts w:ascii="Arial"/>
                <w:b/>
                <w:lang w:val="en-GB"/>
              </w:rPr>
              <w:t>Assignment</w:t>
            </w:r>
            <w:r w:rsidRPr="00945108">
              <w:rPr>
                <w:rFonts w:ascii="Arial"/>
                <w:b/>
                <w:spacing w:val="-6"/>
                <w:lang w:val="en-GB"/>
              </w:rPr>
              <w:t xml:space="preserve"> </w:t>
            </w:r>
            <w:r w:rsidRPr="00945108">
              <w:rPr>
                <w:rFonts w:ascii="Arial"/>
                <w:b/>
                <w:spacing w:val="-2"/>
                <w:lang w:val="en-GB"/>
              </w:rPr>
              <w:t>Title:</w:t>
            </w:r>
          </w:p>
        </w:tc>
        <w:tc>
          <w:tcPr>
            <w:tcW w:w="3296" w:type="dxa"/>
          </w:tcPr>
          <w:p w14:paraId="3CBCBEA7" w14:textId="77777777" w:rsidR="00725323" w:rsidRPr="00945108" w:rsidRDefault="00725323" w:rsidP="00725323">
            <w:pPr>
              <w:pStyle w:val="TableParagraph"/>
              <w:spacing w:before="123"/>
              <w:ind w:left="110"/>
              <w:rPr>
                <w:rFonts w:ascii="Arial"/>
                <w:b/>
                <w:lang w:val="en-GB"/>
              </w:rPr>
            </w:pPr>
            <w:r w:rsidRPr="00945108">
              <w:rPr>
                <w:rFonts w:ascii="Arial"/>
                <w:b/>
                <w:lang w:val="en-GB"/>
              </w:rPr>
              <w:t>A</w:t>
            </w:r>
            <w:r w:rsidRPr="00945108">
              <w:rPr>
                <w:rFonts w:ascii="Arial"/>
                <w:b/>
                <w:spacing w:val="-5"/>
                <w:lang w:val="en-GB"/>
              </w:rPr>
              <w:t xml:space="preserve"> </w:t>
            </w:r>
            <w:r w:rsidRPr="00945108">
              <w:rPr>
                <w:rFonts w:ascii="Arial"/>
                <w:b/>
                <w:lang w:val="en-GB"/>
              </w:rPr>
              <w:t>Strategic</w:t>
            </w:r>
            <w:r w:rsidRPr="00945108">
              <w:rPr>
                <w:rFonts w:ascii="Arial"/>
                <w:b/>
                <w:spacing w:val="-1"/>
                <w:lang w:val="en-GB"/>
              </w:rPr>
              <w:t xml:space="preserve"> </w:t>
            </w:r>
            <w:r w:rsidRPr="00945108">
              <w:rPr>
                <w:rFonts w:ascii="Arial"/>
                <w:b/>
                <w:lang w:val="en-GB"/>
              </w:rPr>
              <w:t>Change</w:t>
            </w:r>
            <w:r w:rsidRPr="00945108">
              <w:rPr>
                <w:rFonts w:ascii="Arial"/>
                <w:b/>
                <w:spacing w:val="-1"/>
                <w:lang w:val="en-GB"/>
              </w:rPr>
              <w:t xml:space="preserve"> </w:t>
            </w:r>
            <w:r w:rsidRPr="00945108">
              <w:rPr>
                <w:rFonts w:ascii="Arial"/>
                <w:b/>
                <w:spacing w:val="-4"/>
                <w:lang w:val="en-GB"/>
              </w:rPr>
              <w:t>Plan</w:t>
            </w:r>
          </w:p>
        </w:tc>
        <w:tc>
          <w:tcPr>
            <w:tcW w:w="2266" w:type="dxa"/>
          </w:tcPr>
          <w:p w14:paraId="2FEADBDE" w14:textId="77777777" w:rsidR="00725323" w:rsidRPr="00945108" w:rsidRDefault="00725323" w:rsidP="00725323">
            <w:pPr>
              <w:pStyle w:val="TableParagraph"/>
              <w:tabs>
                <w:tab w:val="left" w:pos="970"/>
                <w:tab w:val="left" w:pos="1864"/>
              </w:tabs>
              <w:spacing w:before="123" w:line="242" w:lineRule="auto"/>
              <w:ind w:left="105" w:right="95"/>
              <w:rPr>
                <w:rFonts w:ascii="Arial"/>
                <w:b/>
                <w:lang w:val="en-GB"/>
              </w:rPr>
            </w:pPr>
            <w:r w:rsidRPr="00945108">
              <w:rPr>
                <w:rFonts w:ascii="Arial"/>
                <w:b/>
                <w:spacing w:val="-4"/>
                <w:lang w:val="en-GB"/>
              </w:rPr>
              <w:t>Word</w:t>
            </w:r>
            <w:r w:rsidRPr="00945108">
              <w:rPr>
                <w:rFonts w:ascii="Arial"/>
                <w:b/>
                <w:lang w:val="en-GB"/>
              </w:rPr>
              <w:tab/>
            </w:r>
            <w:r w:rsidRPr="00945108">
              <w:rPr>
                <w:rFonts w:ascii="Arial"/>
                <w:b/>
                <w:spacing w:val="-2"/>
                <w:lang w:val="en-GB"/>
              </w:rPr>
              <w:t>count</w:t>
            </w:r>
            <w:r w:rsidRPr="00945108">
              <w:rPr>
                <w:rFonts w:ascii="Arial"/>
                <w:b/>
                <w:lang w:val="en-GB"/>
              </w:rPr>
              <w:tab/>
            </w:r>
            <w:r w:rsidRPr="00945108">
              <w:rPr>
                <w:rFonts w:ascii="Arial"/>
                <w:b/>
                <w:spacing w:val="-4"/>
                <w:lang w:val="en-GB"/>
              </w:rPr>
              <w:t xml:space="preserve">(or </w:t>
            </w:r>
            <w:r w:rsidRPr="00945108">
              <w:rPr>
                <w:rFonts w:ascii="Arial"/>
                <w:b/>
                <w:spacing w:val="-2"/>
                <w:lang w:val="en-GB"/>
              </w:rPr>
              <w:t>equivalent):</w:t>
            </w:r>
          </w:p>
        </w:tc>
        <w:tc>
          <w:tcPr>
            <w:tcW w:w="2543" w:type="dxa"/>
          </w:tcPr>
          <w:p w14:paraId="6001AD43" w14:textId="77777777" w:rsidR="00725323" w:rsidRPr="00945108" w:rsidRDefault="00725323" w:rsidP="00725323">
            <w:pPr>
              <w:pStyle w:val="TableParagraph"/>
              <w:spacing w:before="123"/>
              <w:ind w:left="110"/>
              <w:rPr>
                <w:rFonts w:ascii="Arial" w:hAnsi="Arial"/>
                <w:b/>
                <w:lang w:val="en-GB"/>
              </w:rPr>
            </w:pPr>
            <w:r w:rsidRPr="00945108">
              <w:rPr>
                <w:rFonts w:ascii="Arial" w:hAnsi="Arial"/>
                <w:b/>
                <w:lang w:val="en-GB"/>
              </w:rPr>
              <w:t>4,400</w:t>
            </w:r>
          </w:p>
          <w:p w14:paraId="3B60C678" w14:textId="77777777" w:rsidR="00725323" w:rsidRPr="00945108" w:rsidRDefault="00725323" w:rsidP="00725323">
            <w:pPr>
              <w:pStyle w:val="TableParagraph"/>
              <w:spacing w:before="123"/>
              <w:ind w:left="110"/>
              <w:rPr>
                <w:rFonts w:ascii="Arial"/>
                <w:b/>
                <w:lang w:val="en-GB"/>
              </w:rPr>
            </w:pPr>
            <w:r w:rsidRPr="00945108">
              <w:rPr>
                <w:rFonts w:ascii="Arial"/>
                <w:b/>
                <w:spacing w:val="-2"/>
                <w:lang w:val="en-GB"/>
              </w:rPr>
              <w:t>words</w:t>
            </w:r>
          </w:p>
        </w:tc>
      </w:tr>
      <w:tr w:rsidR="00725323" w14:paraId="20EDF4E5" w14:textId="77777777" w:rsidTr="00725323">
        <w:trPr>
          <w:trHeight w:val="995"/>
        </w:trPr>
        <w:tc>
          <w:tcPr>
            <w:tcW w:w="2096" w:type="dxa"/>
          </w:tcPr>
          <w:p w14:paraId="55E1566F" w14:textId="77777777" w:rsidR="00725323" w:rsidRPr="00945108" w:rsidRDefault="00725323" w:rsidP="00725323">
            <w:pPr>
              <w:pStyle w:val="TableParagraph"/>
              <w:spacing w:before="118" w:line="242" w:lineRule="auto"/>
              <w:ind w:left="110"/>
              <w:rPr>
                <w:rFonts w:ascii="Arial"/>
                <w:b/>
                <w:lang w:val="en-GB"/>
              </w:rPr>
            </w:pPr>
            <w:r w:rsidRPr="00945108">
              <w:rPr>
                <w:rFonts w:ascii="Arial"/>
                <w:b/>
                <w:spacing w:val="-2"/>
                <w:lang w:val="en-GB"/>
              </w:rPr>
              <w:t>Submission deadline:</w:t>
            </w:r>
          </w:p>
        </w:tc>
        <w:tc>
          <w:tcPr>
            <w:tcW w:w="3296" w:type="dxa"/>
          </w:tcPr>
          <w:p w14:paraId="40BDB6A4" w14:textId="77777777" w:rsidR="00725323" w:rsidRPr="00945108" w:rsidRDefault="00725323" w:rsidP="00725323">
            <w:pPr>
              <w:pStyle w:val="TableParagraph"/>
              <w:spacing w:before="123"/>
              <w:ind w:left="110"/>
              <w:rPr>
                <w:rFonts w:ascii="Arial"/>
                <w:b/>
                <w:lang w:val="en-GB"/>
              </w:rPr>
            </w:pPr>
            <w:r w:rsidRPr="00945108">
              <w:rPr>
                <w:rFonts w:ascii="Arial"/>
                <w:b/>
                <w:color w:val="000000" w:themeColor="text1"/>
                <w:lang w:val="en-GB"/>
              </w:rPr>
              <w:t>28/04/</w:t>
            </w:r>
            <w:r w:rsidRPr="00945108">
              <w:rPr>
                <w:rFonts w:ascii="Arial"/>
                <w:b/>
                <w:color w:val="000000" w:themeColor="text1"/>
                <w:spacing w:val="-6"/>
                <w:lang w:val="en-GB"/>
              </w:rPr>
              <w:t xml:space="preserve"> </w:t>
            </w:r>
            <w:r w:rsidRPr="00945108">
              <w:rPr>
                <w:rFonts w:ascii="Arial"/>
                <w:b/>
                <w:color w:val="000000" w:themeColor="text1"/>
                <w:lang w:val="en-GB"/>
              </w:rPr>
              <w:t>2026-</w:t>
            </w:r>
            <w:r w:rsidRPr="00945108">
              <w:rPr>
                <w:rFonts w:ascii="Arial"/>
                <w:b/>
                <w:color w:val="000000" w:themeColor="text1"/>
                <w:spacing w:val="-1"/>
                <w:lang w:val="en-GB"/>
              </w:rPr>
              <w:t xml:space="preserve"> </w:t>
            </w:r>
            <w:r w:rsidRPr="00945108">
              <w:rPr>
                <w:rFonts w:ascii="Arial"/>
                <w:b/>
                <w:color w:val="000000" w:themeColor="text1"/>
                <w:lang w:val="en-GB"/>
              </w:rPr>
              <w:t>14:00</w:t>
            </w:r>
            <w:r w:rsidRPr="00945108">
              <w:rPr>
                <w:rFonts w:ascii="Arial"/>
                <w:b/>
                <w:color w:val="000000" w:themeColor="text1"/>
                <w:spacing w:val="1"/>
                <w:lang w:val="en-GB"/>
              </w:rPr>
              <w:t xml:space="preserve"> </w:t>
            </w:r>
            <w:r w:rsidRPr="00945108">
              <w:rPr>
                <w:rFonts w:ascii="Arial"/>
                <w:b/>
                <w:color w:val="000000" w:themeColor="text1"/>
                <w:spacing w:val="-4"/>
                <w:lang w:val="en-GB"/>
              </w:rPr>
              <w:t>(2PM)</w:t>
            </w:r>
          </w:p>
        </w:tc>
        <w:tc>
          <w:tcPr>
            <w:tcW w:w="2266" w:type="dxa"/>
          </w:tcPr>
          <w:p w14:paraId="49149502" w14:textId="77777777" w:rsidR="00725323" w:rsidRPr="00945108" w:rsidRDefault="00725323" w:rsidP="00725323">
            <w:pPr>
              <w:pStyle w:val="TableParagraph"/>
              <w:spacing w:before="118" w:line="242" w:lineRule="auto"/>
              <w:ind w:left="105" w:right="97"/>
              <w:jc w:val="both"/>
              <w:rPr>
                <w:rFonts w:ascii="Arial"/>
                <w:b/>
                <w:lang w:val="en-GB"/>
              </w:rPr>
            </w:pPr>
            <w:r w:rsidRPr="00945108">
              <w:rPr>
                <w:rFonts w:ascii="Arial"/>
                <w:b/>
                <w:lang w:val="en-GB"/>
              </w:rPr>
              <w:t>Return date of provisional marks &amp;</w:t>
            </w:r>
            <w:r w:rsidRPr="00945108">
              <w:rPr>
                <w:rFonts w:ascii="Arial"/>
                <w:b/>
                <w:spacing w:val="-1"/>
                <w:lang w:val="en-GB"/>
              </w:rPr>
              <w:t xml:space="preserve"> </w:t>
            </w:r>
            <w:r w:rsidRPr="00945108">
              <w:rPr>
                <w:rFonts w:ascii="Arial"/>
                <w:b/>
                <w:lang w:val="en-GB"/>
              </w:rPr>
              <w:t xml:space="preserve">written </w:t>
            </w:r>
            <w:r w:rsidRPr="00945108">
              <w:rPr>
                <w:rFonts w:ascii="Arial"/>
                <w:b/>
                <w:spacing w:val="-2"/>
                <w:lang w:val="en-GB"/>
              </w:rPr>
              <w:t>feedback:</w:t>
            </w:r>
          </w:p>
        </w:tc>
        <w:tc>
          <w:tcPr>
            <w:tcW w:w="2543" w:type="dxa"/>
          </w:tcPr>
          <w:p w14:paraId="35A548FD" w14:textId="77777777" w:rsidR="00725323" w:rsidRPr="00945108" w:rsidRDefault="00725323" w:rsidP="00725323">
            <w:pPr>
              <w:pStyle w:val="TableParagraph"/>
              <w:spacing w:before="123"/>
              <w:ind w:left="110"/>
              <w:rPr>
                <w:rFonts w:ascii="Arial"/>
                <w:b/>
                <w:lang w:val="en-GB"/>
              </w:rPr>
            </w:pPr>
            <w:r w:rsidRPr="00945108">
              <w:rPr>
                <w:rFonts w:ascii="Arial"/>
                <w:b/>
                <w:color w:val="000000" w:themeColor="text1"/>
                <w:spacing w:val="-2"/>
                <w:lang w:val="en-GB"/>
              </w:rPr>
              <w:t>28/05/2026</w:t>
            </w:r>
          </w:p>
        </w:tc>
      </w:tr>
    </w:tbl>
    <w:p w14:paraId="5C9B90BA" w14:textId="77777777" w:rsidR="00172C10" w:rsidRPr="00945108" w:rsidRDefault="00172C10" w:rsidP="00172C10">
      <w:pPr>
        <w:rPr>
          <w:lang w:val="en-GB"/>
        </w:rPr>
      </w:pPr>
    </w:p>
    <w:p w14:paraId="57AA108A" w14:textId="77777777" w:rsidR="00CC0869" w:rsidRPr="00945108" w:rsidRDefault="00CC0869" w:rsidP="0037036A">
      <w:pPr>
        <w:pStyle w:val="Heading1"/>
        <w:spacing w:line="360" w:lineRule="auto"/>
        <w:jc w:val="center"/>
        <w:rPr>
          <w:rFonts w:ascii="Arial" w:hAnsi="Arial" w:cs="Arial"/>
          <w:lang w:val="en-GB"/>
        </w:rPr>
      </w:pPr>
    </w:p>
    <w:p w14:paraId="59FB63A7" w14:textId="77777777" w:rsidR="003F1DD5" w:rsidRPr="00945108" w:rsidRDefault="003F1DD5" w:rsidP="0037036A">
      <w:pPr>
        <w:pStyle w:val="Heading1"/>
        <w:spacing w:line="360" w:lineRule="auto"/>
        <w:jc w:val="center"/>
        <w:rPr>
          <w:rFonts w:ascii="Arial" w:hAnsi="Arial" w:cs="Arial"/>
          <w:lang w:val="en-GB"/>
        </w:rPr>
      </w:pPr>
    </w:p>
    <w:p w14:paraId="3F0483FA" w14:textId="00E13002" w:rsidR="0037036A" w:rsidRPr="00945108" w:rsidRDefault="0037036A" w:rsidP="0037036A">
      <w:pPr>
        <w:pStyle w:val="Heading1"/>
        <w:spacing w:line="360" w:lineRule="auto"/>
        <w:jc w:val="center"/>
        <w:rPr>
          <w:rFonts w:ascii="Arial" w:hAnsi="Arial" w:cs="Arial"/>
          <w:lang w:val="en-GB"/>
        </w:rPr>
      </w:pPr>
      <w:r w:rsidRPr="00945108">
        <w:rPr>
          <w:rFonts w:ascii="Arial" w:hAnsi="Arial" w:cs="Arial"/>
          <w:lang w:val="en-GB"/>
        </w:rPr>
        <w:t xml:space="preserve">Strategic Change Management Report: </w:t>
      </w:r>
      <w:proofErr w:type="spellStart"/>
      <w:r w:rsidRPr="00945108">
        <w:rPr>
          <w:rFonts w:ascii="Arial" w:hAnsi="Arial" w:cs="Arial"/>
          <w:lang w:val="en-GB"/>
        </w:rPr>
        <w:t>Monzo</w:t>
      </w:r>
      <w:proofErr w:type="spellEnd"/>
      <w:r w:rsidRPr="00945108">
        <w:rPr>
          <w:rFonts w:ascii="Arial" w:hAnsi="Arial" w:cs="Arial"/>
          <w:lang w:val="en-GB"/>
        </w:rPr>
        <w:t xml:space="preserve"> Bank Ltd</w:t>
      </w:r>
      <w:bookmarkEnd w:id="0"/>
      <w:bookmarkEnd w:id="1"/>
    </w:p>
    <w:p w14:paraId="0316D2FC" w14:textId="77777777" w:rsidR="006B0355" w:rsidRPr="00945108" w:rsidRDefault="006B0355" w:rsidP="006B0355">
      <w:pPr>
        <w:rPr>
          <w:lang w:val="en-GB"/>
        </w:rPr>
      </w:pPr>
    </w:p>
    <w:p w14:paraId="6B5B735F" w14:textId="7544353B" w:rsidR="006B0355" w:rsidRPr="006B0355" w:rsidRDefault="006B0355" w:rsidP="00225141">
      <w:pPr>
        <w:pStyle w:val="p1"/>
      </w:pPr>
    </w:p>
    <w:p w14:paraId="3DABAB3D" w14:textId="77777777" w:rsidR="0037036A" w:rsidRPr="00945108" w:rsidRDefault="0037036A" w:rsidP="0037036A">
      <w:pPr>
        <w:rPr>
          <w:lang w:val="en-GB"/>
        </w:rPr>
      </w:pPr>
    </w:p>
    <w:p w14:paraId="60521067" w14:textId="77777777" w:rsidR="00EC2B5B" w:rsidRPr="00945108" w:rsidRDefault="00EC2B5B" w:rsidP="0037036A">
      <w:pPr>
        <w:rPr>
          <w:lang w:val="en-GB"/>
        </w:rPr>
      </w:pPr>
    </w:p>
    <w:p w14:paraId="515A1DA4" w14:textId="77777777" w:rsidR="00EC2B5B" w:rsidRPr="00945108" w:rsidRDefault="00EC2B5B" w:rsidP="0037036A">
      <w:pPr>
        <w:rPr>
          <w:lang w:val="en-GB"/>
        </w:rPr>
      </w:pPr>
    </w:p>
    <w:p w14:paraId="13885074" w14:textId="77777777" w:rsidR="00064F69" w:rsidRPr="00945108" w:rsidRDefault="00064F69" w:rsidP="0037036A">
      <w:pPr>
        <w:rPr>
          <w:lang w:val="en-GB"/>
        </w:rPr>
      </w:pPr>
    </w:p>
    <w:p w14:paraId="141D6597" w14:textId="77777777" w:rsidR="0037036A" w:rsidRPr="00945108" w:rsidRDefault="0037036A" w:rsidP="0037036A">
      <w:pPr>
        <w:rPr>
          <w:lang w:val="en-GB"/>
        </w:rPr>
      </w:pPr>
    </w:p>
    <w:p w14:paraId="0E71268A" w14:textId="77777777" w:rsidR="0037036A" w:rsidRPr="00945108" w:rsidRDefault="0037036A" w:rsidP="0037036A">
      <w:pPr>
        <w:rPr>
          <w:lang w:val="en-GB"/>
        </w:rPr>
      </w:pPr>
    </w:p>
    <w:p w14:paraId="06AF62CC" w14:textId="77777777" w:rsidR="007D0BD7" w:rsidRDefault="007D0BD7" w:rsidP="00A837E4">
      <w:pPr>
        <w:autoSpaceDE w:val="0"/>
        <w:autoSpaceDN w:val="0"/>
        <w:adjustRightInd w:val="0"/>
        <w:spacing w:after="40" w:line="240" w:lineRule="auto"/>
        <w:rPr>
          <w:rFonts w:eastAsiaTheme="minorHAnsi" w:cs="Arial"/>
          <w:b/>
          <w:bCs/>
          <w:sz w:val="28"/>
          <w:szCs w:val="28"/>
          <w:lang w:val="en-GB"/>
          <w14:ligatures w14:val="standardContextual"/>
        </w:rPr>
      </w:pPr>
    </w:p>
    <w:sdt>
      <w:sdtPr>
        <w:rPr>
          <w:rFonts w:ascii="Arial" w:eastAsiaTheme="minorEastAsia" w:hAnsi="Arial" w:cstheme="minorBidi"/>
          <w:b w:val="0"/>
          <w:color w:val="auto"/>
          <w:sz w:val="22"/>
          <w:szCs w:val="22"/>
          <w:lang w:val="en-GB"/>
        </w:rPr>
        <w:id w:val="515809414"/>
        <w:docPartObj>
          <w:docPartGallery w:val="Table of Contents"/>
          <w:docPartUnique/>
        </w:docPartObj>
      </w:sdtPr>
      <w:sdtEndPr>
        <w:rPr>
          <w:bCs w:val="0"/>
        </w:rPr>
      </w:sdtEndPr>
      <w:sdtContent>
        <w:p w14:paraId="3D74EF36" w14:textId="75245F0B" w:rsidR="007D0BD7" w:rsidRPr="00945108" w:rsidRDefault="007D0BD7">
          <w:pPr>
            <w:pStyle w:val="TOCHeading"/>
            <w:rPr>
              <w:lang w:val="en-GB"/>
            </w:rPr>
          </w:pPr>
          <w:r w:rsidRPr="00945108">
            <w:rPr>
              <w:lang w:val="en-GB"/>
            </w:rPr>
            <w:t>Table of Contents</w:t>
          </w:r>
        </w:p>
        <w:p w14:paraId="55006FA9" w14:textId="593F5481" w:rsidR="00C701D0" w:rsidRDefault="007D0BD7">
          <w:pPr>
            <w:pStyle w:val="TOC1"/>
            <w:tabs>
              <w:tab w:val="right" w:leader="dot" w:pos="9016"/>
            </w:tabs>
            <w:rPr>
              <w:rFonts w:hint="eastAsia"/>
              <w:b w:val="0"/>
              <w:bCs w:val="0"/>
              <w:i w:val="0"/>
              <w:iCs w:val="0"/>
              <w:noProof/>
              <w:kern w:val="2"/>
              <w:lang w:val="en-GB" w:eastAsia="en-GB"/>
              <w14:ligatures w14:val="standardContextual"/>
            </w:rPr>
          </w:pPr>
          <w:r w:rsidRPr="00945108">
            <w:rPr>
              <w:b w:val="0"/>
              <w:lang w:val="en-GB"/>
            </w:rPr>
            <w:fldChar w:fldCharType="begin"/>
          </w:r>
          <w:r w:rsidRPr="00945108">
            <w:rPr>
              <w:lang w:val="en-GB"/>
            </w:rPr>
            <w:instrText xml:space="preserve"> TOC \o "1-3" \h \z \u </w:instrText>
          </w:r>
          <w:r w:rsidRPr="00945108">
            <w:rPr>
              <w:b w:val="0"/>
              <w:lang w:val="en-GB"/>
            </w:rPr>
            <w:fldChar w:fldCharType="separate"/>
          </w:r>
          <w:hyperlink w:anchor="_Toc227790531" w:history="1">
            <w:r w:rsidR="00C701D0" w:rsidRPr="00945108">
              <w:rPr>
                <w:rStyle w:val="Hyperlink"/>
                <w:rFonts w:ascii="Arial" w:hAnsi="Arial" w:cs="Arial"/>
                <w:lang w:val="en-GB"/>
              </w:rPr>
              <w:t>Strategic Change Management Report: Monzo Bank Ltd</w:t>
            </w:r>
            <w:r w:rsidR="00C701D0" w:rsidRPr="00945108">
              <w:rPr>
                <w:webHidden/>
                <w:lang w:val="en-GB"/>
              </w:rPr>
              <w:tab/>
            </w:r>
            <w:r w:rsidR="00C701D0" w:rsidRPr="00945108">
              <w:rPr>
                <w:webHidden/>
                <w:lang w:val="en-GB"/>
              </w:rPr>
              <w:fldChar w:fldCharType="begin"/>
            </w:r>
            <w:r w:rsidR="00C701D0" w:rsidRPr="00945108">
              <w:rPr>
                <w:webHidden/>
                <w:lang w:val="en-GB"/>
              </w:rPr>
              <w:instrText xml:space="preserve"> PAGEREF _Toc227790531 \h </w:instrText>
            </w:r>
            <w:r w:rsidR="00C701D0" w:rsidRPr="00945108">
              <w:rPr>
                <w:webHidden/>
                <w:lang w:val="en-GB"/>
              </w:rPr>
            </w:r>
            <w:r w:rsidR="00C701D0" w:rsidRPr="00945108">
              <w:rPr>
                <w:webHidden/>
                <w:lang w:val="en-GB"/>
              </w:rPr>
              <w:fldChar w:fldCharType="separate"/>
            </w:r>
            <w:r w:rsidR="00C701D0" w:rsidRPr="00945108">
              <w:rPr>
                <w:webHidden/>
                <w:lang w:val="en-GB"/>
              </w:rPr>
              <w:t>1</w:t>
            </w:r>
            <w:r w:rsidR="00C701D0" w:rsidRPr="00945108">
              <w:rPr>
                <w:webHidden/>
                <w:lang w:val="en-GB"/>
              </w:rPr>
              <w:fldChar w:fldCharType="end"/>
            </w:r>
          </w:hyperlink>
        </w:p>
        <w:p w14:paraId="0CC89930" w14:textId="3B75200E" w:rsidR="00C701D0" w:rsidRDefault="00C701D0">
          <w:pPr>
            <w:pStyle w:val="TOC1"/>
            <w:tabs>
              <w:tab w:val="right" w:leader="dot" w:pos="9016"/>
            </w:tabs>
            <w:rPr>
              <w:rFonts w:hint="eastAsia"/>
              <w:b w:val="0"/>
              <w:bCs w:val="0"/>
              <w:i w:val="0"/>
              <w:iCs w:val="0"/>
              <w:noProof/>
              <w:kern w:val="2"/>
              <w:lang w:val="en-GB" w:eastAsia="en-GB"/>
              <w14:ligatures w14:val="standardContextual"/>
            </w:rPr>
          </w:pPr>
          <w:hyperlink w:anchor="_Toc227790532" w:history="1">
            <w:r w:rsidRPr="00636B44">
              <w:rPr>
                <w:rStyle w:val="Hyperlink"/>
                <w:rFonts w:ascii="Arial" w:eastAsiaTheme="minorHAnsi" w:hAnsi="Arial" w:cs="Arial"/>
                <w:noProof/>
                <w:lang w:val="en-GB"/>
              </w:rPr>
              <w:t>Executive Summary</w:t>
            </w:r>
            <w:r w:rsidRPr="00945108">
              <w:rPr>
                <w:webHidden/>
                <w:lang w:val="en-GB"/>
              </w:rPr>
              <w:tab/>
            </w:r>
            <w:r w:rsidRPr="00945108">
              <w:rPr>
                <w:webHidden/>
                <w:lang w:val="en-GB"/>
              </w:rPr>
              <w:fldChar w:fldCharType="begin"/>
            </w:r>
            <w:r w:rsidRPr="00945108">
              <w:rPr>
                <w:webHidden/>
                <w:lang w:val="en-GB"/>
              </w:rPr>
              <w:instrText xml:space="preserve"> PAGEREF _Toc227790532 \h </w:instrText>
            </w:r>
            <w:r w:rsidRPr="00945108">
              <w:rPr>
                <w:webHidden/>
                <w:lang w:val="en-GB"/>
              </w:rPr>
            </w:r>
            <w:r w:rsidRPr="00945108">
              <w:rPr>
                <w:webHidden/>
                <w:lang w:val="en-GB"/>
              </w:rPr>
              <w:fldChar w:fldCharType="separate"/>
            </w:r>
            <w:r w:rsidRPr="00945108">
              <w:rPr>
                <w:webHidden/>
                <w:lang w:val="en-GB"/>
              </w:rPr>
              <w:t>3</w:t>
            </w:r>
            <w:r w:rsidRPr="00945108">
              <w:rPr>
                <w:webHidden/>
                <w:lang w:val="en-GB"/>
              </w:rPr>
              <w:fldChar w:fldCharType="end"/>
            </w:r>
          </w:hyperlink>
        </w:p>
        <w:p w14:paraId="06A98468" w14:textId="2FD297C1"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33" w:history="1">
            <w:r w:rsidRPr="00945108">
              <w:rPr>
                <w:rStyle w:val="Hyperlink"/>
                <w:rFonts w:ascii="Arial" w:eastAsiaTheme="minorHAnsi" w:hAnsi="Arial" w:cs="Arial"/>
                <w:b/>
                <w:lang w:val="en-GB"/>
              </w:rPr>
              <w:t>Introduction</w:t>
            </w:r>
            <w:r w:rsidRPr="00945108">
              <w:rPr>
                <w:webHidden/>
                <w:lang w:val="en-GB"/>
              </w:rPr>
              <w:tab/>
            </w:r>
            <w:r w:rsidRPr="00945108">
              <w:rPr>
                <w:webHidden/>
                <w:lang w:val="en-GB"/>
              </w:rPr>
              <w:fldChar w:fldCharType="begin"/>
            </w:r>
            <w:r w:rsidRPr="00945108">
              <w:rPr>
                <w:webHidden/>
                <w:lang w:val="en-GB"/>
              </w:rPr>
              <w:instrText xml:space="preserve"> PAGEREF _Toc227790533 \h </w:instrText>
            </w:r>
            <w:r w:rsidRPr="00945108">
              <w:rPr>
                <w:webHidden/>
                <w:lang w:val="en-GB"/>
              </w:rPr>
            </w:r>
            <w:r w:rsidRPr="00945108">
              <w:rPr>
                <w:webHidden/>
                <w:lang w:val="en-GB"/>
              </w:rPr>
              <w:fldChar w:fldCharType="separate"/>
            </w:r>
            <w:r w:rsidRPr="00945108">
              <w:rPr>
                <w:webHidden/>
                <w:lang w:val="en-GB"/>
              </w:rPr>
              <w:t>4</w:t>
            </w:r>
            <w:r w:rsidRPr="00945108">
              <w:rPr>
                <w:webHidden/>
                <w:lang w:val="en-GB"/>
              </w:rPr>
              <w:fldChar w:fldCharType="end"/>
            </w:r>
          </w:hyperlink>
        </w:p>
        <w:p w14:paraId="30494593" w14:textId="5792AECD"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34" w:history="1">
            <w:r w:rsidRPr="00636B44">
              <w:rPr>
                <w:rStyle w:val="Hyperlink"/>
                <w:rFonts w:eastAsiaTheme="minorHAnsi" w:cs="Arial"/>
                <w:b/>
                <w:bCs/>
                <w:noProof/>
                <w:lang w:val="en-GB"/>
              </w:rPr>
              <w:t>2. Organisational Context of Monzo</w:t>
            </w:r>
            <w:r w:rsidRPr="00945108">
              <w:rPr>
                <w:webHidden/>
                <w:lang w:val="en-GB"/>
              </w:rPr>
              <w:tab/>
            </w:r>
            <w:r w:rsidRPr="00945108">
              <w:rPr>
                <w:webHidden/>
                <w:lang w:val="en-GB"/>
              </w:rPr>
              <w:fldChar w:fldCharType="begin"/>
            </w:r>
            <w:r w:rsidRPr="00945108">
              <w:rPr>
                <w:webHidden/>
                <w:lang w:val="en-GB"/>
              </w:rPr>
              <w:instrText xml:space="preserve"> PAGEREF _Toc227790534 \h </w:instrText>
            </w:r>
            <w:r w:rsidRPr="00945108">
              <w:rPr>
                <w:webHidden/>
                <w:lang w:val="en-GB"/>
              </w:rPr>
            </w:r>
            <w:r w:rsidRPr="00945108">
              <w:rPr>
                <w:webHidden/>
                <w:lang w:val="en-GB"/>
              </w:rPr>
              <w:fldChar w:fldCharType="separate"/>
            </w:r>
            <w:r w:rsidRPr="00945108">
              <w:rPr>
                <w:webHidden/>
                <w:lang w:val="en-GB"/>
              </w:rPr>
              <w:t>4</w:t>
            </w:r>
            <w:r w:rsidRPr="00945108">
              <w:rPr>
                <w:webHidden/>
                <w:lang w:val="en-GB"/>
              </w:rPr>
              <w:fldChar w:fldCharType="end"/>
            </w:r>
          </w:hyperlink>
        </w:p>
        <w:p w14:paraId="05FEF04C" w14:textId="4FE33A9D"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35" w:history="1">
            <w:r w:rsidRPr="00636B44">
              <w:rPr>
                <w:rStyle w:val="Hyperlink"/>
                <w:rFonts w:eastAsiaTheme="minorHAnsi" w:cs="Arial"/>
                <w:b/>
                <w:bCs/>
                <w:noProof/>
                <w:lang w:val="en-GB"/>
              </w:rPr>
              <w:t>2.1 Market Positioning and Competitive Strategy</w:t>
            </w:r>
            <w:r w:rsidRPr="00945108">
              <w:rPr>
                <w:webHidden/>
                <w:lang w:val="en-GB"/>
              </w:rPr>
              <w:tab/>
            </w:r>
            <w:r w:rsidRPr="00945108">
              <w:rPr>
                <w:webHidden/>
                <w:lang w:val="en-GB"/>
              </w:rPr>
              <w:fldChar w:fldCharType="begin"/>
            </w:r>
            <w:r w:rsidRPr="00945108">
              <w:rPr>
                <w:webHidden/>
                <w:lang w:val="en-GB"/>
              </w:rPr>
              <w:instrText xml:space="preserve"> PAGEREF _Toc227790535 \h </w:instrText>
            </w:r>
            <w:r w:rsidRPr="00945108">
              <w:rPr>
                <w:webHidden/>
                <w:lang w:val="en-GB"/>
              </w:rPr>
            </w:r>
            <w:r w:rsidRPr="00945108">
              <w:rPr>
                <w:webHidden/>
                <w:lang w:val="en-GB"/>
              </w:rPr>
              <w:fldChar w:fldCharType="separate"/>
            </w:r>
            <w:r w:rsidRPr="00945108">
              <w:rPr>
                <w:webHidden/>
                <w:lang w:val="en-GB"/>
              </w:rPr>
              <w:t>5</w:t>
            </w:r>
            <w:r w:rsidRPr="00945108">
              <w:rPr>
                <w:webHidden/>
                <w:lang w:val="en-GB"/>
              </w:rPr>
              <w:fldChar w:fldCharType="end"/>
            </w:r>
          </w:hyperlink>
        </w:p>
        <w:p w14:paraId="2055498F" w14:textId="20163F15"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36" w:history="1">
            <w:r w:rsidRPr="00636B44">
              <w:rPr>
                <w:rStyle w:val="Hyperlink"/>
                <w:rFonts w:ascii="Arial" w:eastAsiaTheme="minorHAnsi" w:hAnsi="Arial" w:cs="Arial"/>
                <w:b/>
                <w:bCs/>
                <w:noProof/>
                <w:lang w:val="en-GB"/>
              </w:rPr>
              <w:t>3. Drivers of Strategic Change</w:t>
            </w:r>
            <w:r w:rsidRPr="00945108">
              <w:rPr>
                <w:webHidden/>
                <w:lang w:val="en-GB"/>
              </w:rPr>
              <w:tab/>
            </w:r>
            <w:r w:rsidRPr="00945108">
              <w:rPr>
                <w:webHidden/>
                <w:lang w:val="en-GB"/>
              </w:rPr>
              <w:fldChar w:fldCharType="begin"/>
            </w:r>
            <w:r w:rsidRPr="00945108">
              <w:rPr>
                <w:webHidden/>
                <w:lang w:val="en-GB"/>
              </w:rPr>
              <w:instrText xml:space="preserve"> PAGEREF _Toc227790536 \h </w:instrText>
            </w:r>
            <w:r w:rsidRPr="00945108">
              <w:rPr>
                <w:webHidden/>
                <w:lang w:val="en-GB"/>
              </w:rPr>
            </w:r>
            <w:r w:rsidRPr="00945108">
              <w:rPr>
                <w:webHidden/>
                <w:lang w:val="en-GB"/>
              </w:rPr>
              <w:fldChar w:fldCharType="separate"/>
            </w:r>
            <w:r w:rsidRPr="00945108">
              <w:rPr>
                <w:webHidden/>
                <w:lang w:val="en-GB"/>
              </w:rPr>
              <w:t>5</w:t>
            </w:r>
            <w:r w:rsidRPr="00945108">
              <w:rPr>
                <w:webHidden/>
                <w:lang w:val="en-GB"/>
              </w:rPr>
              <w:fldChar w:fldCharType="end"/>
            </w:r>
          </w:hyperlink>
        </w:p>
        <w:p w14:paraId="02F3C466" w14:textId="6B3C4FDF"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37" w:history="1">
            <w:r w:rsidRPr="00636B44">
              <w:rPr>
                <w:rStyle w:val="Hyperlink"/>
                <w:rFonts w:eastAsiaTheme="minorHAnsi" w:cs="Arial"/>
                <w:b/>
                <w:bCs/>
                <w:noProof/>
                <w:lang w:val="en-GB"/>
              </w:rPr>
              <w:t>3.1 Regulatory and Risk Environment</w:t>
            </w:r>
            <w:r w:rsidRPr="00945108">
              <w:rPr>
                <w:webHidden/>
                <w:lang w:val="en-GB"/>
              </w:rPr>
              <w:tab/>
            </w:r>
            <w:r w:rsidRPr="00945108">
              <w:rPr>
                <w:webHidden/>
                <w:lang w:val="en-GB"/>
              </w:rPr>
              <w:fldChar w:fldCharType="begin"/>
            </w:r>
            <w:r w:rsidRPr="00945108">
              <w:rPr>
                <w:webHidden/>
                <w:lang w:val="en-GB"/>
              </w:rPr>
              <w:instrText xml:space="preserve"> PAGEREF _Toc227790537 \h </w:instrText>
            </w:r>
            <w:r w:rsidRPr="00945108">
              <w:rPr>
                <w:webHidden/>
                <w:lang w:val="en-GB"/>
              </w:rPr>
            </w:r>
            <w:r w:rsidRPr="00945108">
              <w:rPr>
                <w:webHidden/>
                <w:lang w:val="en-GB"/>
              </w:rPr>
              <w:fldChar w:fldCharType="separate"/>
            </w:r>
            <w:r w:rsidRPr="00945108">
              <w:rPr>
                <w:webHidden/>
                <w:lang w:val="en-GB"/>
              </w:rPr>
              <w:t>6</w:t>
            </w:r>
            <w:r w:rsidRPr="00945108">
              <w:rPr>
                <w:webHidden/>
                <w:lang w:val="en-GB"/>
              </w:rPr>
              <w:fldChar w:fldCharType="end"/>
            </w:r>
          </w:hyperlink>
        </w:p>
        <w:p w14:paraId="5CC2418A" w14:textId="06E3085B"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38" w:history="1">
            <w:r w:rsidRPr="00636B44">
              <w:rPr>
                <w:rStyle w:val="Hyperlink"/>
                <w:rFonts w:ascii="Arial" w:eastAsiaTheme="minorHAnsi" w:hAnsi="Arial" w:cs="Arial"/>
                <w:b/>
                <w:bCs/>
                <w:noProof/>
                <w:lang w:val="en-GB"/>
              </w:rPr>
              <w:t>4. Critical Evaluation of Change Management Theories</w:t>
            </w:r>
            <w:r w:rsidRPr="00945108">
              <w:rPr>
                <w:webHidden/>
                <w:lang w:val="en-GB"/>
              </w:rPr>
              <w:tab/>
            </w:r>
            <w:r w:rsidRPr="00945108">
              <w:rPr>
                <w:webHidden/>
                <w:lang w:val="en-GB"/>
              </w:rPr>
              <w:fldChar w:fldCharType="begin"/>
            </w:r>
            <w:r w:rsidRPr="00945108">
              <w:rPr>
                <w:webHidden/>
                <w:lang w:val="en-GB"/>
              </w:rPr>
              <w:instrText xml:space="preserve"> PAGEREF _Toc227790538 \h </w:instrText>
            </w:r>
            <w:r w:rsidRPr="00945108">
              <w:rPr>
                <w:webHidden/>
                <w:lang w:val="en-GB"/>
              </w:rPr>
            </w:r>
            <w:r w:rsidRPr="00945108">
              <w:rPr>
                <w:webHidden/>
                <w:lang w:val="en-GB"/>
              </w:rPr>
              <w:fldChar w:fldCharType="separate"/>
            </w:r>
            <w:r w:rsidRPr="00945108">
              <w:rPr>
                <w:webHidden/>
                <w:lang w:val="en-GB"/>
              </w:rPr>
              <w:t>6</w:t>
            </w:r>
            <w:r w:rsidRPr="00945108">
              <w:rPr>
                <w:webHidden/>
                <w:lang w:val="en-GB"/>
              </w:rPr>
              <w:fldChar w:fldCharType="end"/>
            </w:r>
          </w:hyperlink>
        </w:p>
        <w:p w14:paraId="235925BA" w14:textId="578C175E"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39" w:history="1">
            <w:r w:rsidRPr="00636B44">
              <w:rPr>
                <w:rStyle w:val="Hyperlink"/>
                <w:rFonts w:eastAsiaTheme="minorHAnsi" w:cs="Arial"/>
                <w:b/>
                <w:bCs/>
                <w:noProof/>
                <w:lang w:val="en-GB"/>
              </w:rPr>
              <w:t>4.1 Emergent Change and Complexity Theory</w:t>
            </w:r>
            <w:r w:rsidRPr="00945108">
              <w:rPr>
                <w:webHidden/>
                <w:lang w:val="en-GB"/>
              </w:rPr>
              <w:tab/>
            </w:r>
            <w:r w:rsidRPr="00945108">
              <w:rPr>
                <w:webHidden/>
                <w:lang w:val="en-GB"/>
              </w:rPr>
              <w:fldChar w:fldCharType="begin"/>
            </w:r>
            <w:r w:rsidRPr="00945108">
              <w:rPr>
                <w:webHidden/>
                <w:lang w:val="en-GB"/>
              </w:rPr>
              <w:instrText xml:space="preserve"> PAGEREF _Toc227790539 \h </w:instrText>
            </w:r>
            <w:r w:rsidRPr="00945108">
              <w:rPr>
                <w:webHidden/>
                <w:lang w:val="en-GB"/>
              </w:rPr>
            </w:r>
            <w:r w:rsidRPr="00945108">
              <w:rPr>
                <w:webHidden/>
                <w:lang w:val="en-GB"/>
              </w:rPr>
              <w:fldChar w:fldCharType="separate"/>
            </w:r>
            <w:r w:rsidRPr="00945108">
              <w:rPr>
                <w:webHidden/>
                <w:lang w:val="en-GB"/>
              </w:rPr>
              <w:t>7</w:t>
            </w:r>
            <w:r w:rsidRPr="00945108">
              <w:rPr>
                <w:webHidden/>
                <w:lang w:val="en-GB"/>
              </w:rPr>
              <w:fldChar w:fldCharType="end"/>
            </w:r>
          </w:hyperlink>
        </w:p>
        <w:p w14:paraId="2E090BD7" w14:textId="45A286C4"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40" w:history="1">
            <w:r w:rsidRPr="00636B44">
              <w:rPr>
                <w:rStyle w:val="Hyperlink"/>
                <w:rFonts w:ascii="Arial" w:eastAsiaTheme="minorHAnsi" w:hAnsi="Arial" w:cs="Arial"/>
                <w:b/>
                <w:bCs/>
                <w:noProof/>
                <w:lang w:val="en-GB"/>
              </w:rPr>
              <w:t>5. Leadership and Organisational Culture</w:t>
            </w:r>
            <w:r w:rsidRPr="00945108">
              <w:rPr>
                <w:webHidden/>
                <w:lang w:val="en-GB"/>
              </w:rPr>
              <w:tab/>
            </w:r>
            <w:r w:rsidRPr="00945108">
              <w:rPr>
                <w:webHidden/>
                <w:lang w:val="en-GB"/>
              </w:rPr>
              <w:fldChar w:fldCharType="begin"/>
            </w:r>
            <w:r w:rsidRPr="00945108">
              <w:rPr>
                <w:webHidden/>
                <w:lang w:val="en-GB"/>
              </w:rPr>
              <w:instrText xml:space="preserve"> PAGEREF _Toc227790540 \h </w:instrText>
            </w:r>
            <w:r w:rsidRPr="00945108">
              <w:rPr>
                <w:webHidden/>
                <w:lang w:val="en-GB"/>
              </w:rPr>
            </w:r>
            <w:r w:rsidRPr="00945108">
              <w:rPr>
                <w:webHidden/>
                <w:lang w:val="en-GB"/>
              </w:rPr>
              <w:fldChar w:fldCharType="separate"/>
            </w:r>
            <w:r w:rsidRPr="00945108">
              <w:rPr>
                <w:webHidden/>
                <w:lang w:val="en-GB"/>
              </w:rPr>
              <w:t>7</w:t>
            </w:r>
            <w:r w:rsidRPr="00945108">
              <w:rPr>
                <w:webHidden/>
                <w:lang w:val="en-GB"/>
              </w:rPr>
              <w:fldChar w:fldCharType="end"/>
            </w:r>
          </w:hyperlink>
        </w:p>
        <w:p w14:paraId="2C180495" w14:textId="5F2E1C25"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1" w:history="1">
            <w:r w:rsidRPr="00636B44">
              <w:rPr>
                <w:rStyle w:val="Hyperlink"/>
                <w:rFonts w:eastAsiaTheme="minorHAnsi" w:cs="Arial"/>
                <w:b/>
                <w:bCs/>
                <w:noProof/>
                <w:lang w:val="en-GB"/>
              </w:rPr>
              <w:t>5.1 Employee Engagement and Change Readiness</w:t>
            </w:r>
            <w:r w:rsidRPr="00945108">
              <w:rPr>
                <w:webHidden/>
                <w:lang w:val="en-GB"/>
              </w:rPr>
              <w:tab/>
            </w:r>
            <w:r w:rsidRPr="00945108">
              <w:rPr>
                <w:webHidden/>
                <w:lang w:val="en-GB"/>
              </w:rPr>
              <w:fldChar w:fldCharType="begin"/>
            </w:r>
            <w:r w:rsidRPr="00945108">
              <w:rPr>
                <w:webHidden/>
                <w:lang w:val="en-GB"/>
              </w:rPr>
              <w:instrText xml:space="preserve"> PAGEREF _Toc227790541 \h </w:instrText>
            </w:r>
            <w:r w:rsidRPr="00945108">
              <w:rPr>
                <w:webHidden/>
                <w:lang w:val="en-GB"/>
              </w:rPr>
            </w:r>
            <w:r w:rsidRPr="00945108">
              <w:rPr>
                <w:webHidden/>
                <w:lang w:val="en-GB"/>
              </w:rPr>
              <w:fldChar w:fldCharType="separate"/>
            </w:r>
            <w:r w:rsidRPr="00945108">
              <w:rPr>
                <w:webHidden/>
                <w:lang w:val="en-GB"/>
              </w:rPr>
              <w:t>7</w:t>
            </w:r>
            <w:r w:rsidRPr="00945108">
              <w:rPr>
                <w:webHidden/>
                <w:lang w:val="en-GB"/>
              </w:rPr>
              <w:fldChar w:fldCharType="end"/>
            </w:r>
          </w:hyperlink>
        </w:p>
        <w:p w14:paraId="30749AED" w14:textId="56819EDE"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42" w:history="1">
            <w:r w:rsidRPr="00636B44">
              <w:rPr>
                <w:rStyle w:val="Hyperlink"/>
                <w:rFonts w:ascii="Arial" w:eastAsiaTheme="minorHAnsi" w:hAnsi="Arial" w:cs="Arial"/>
                <w:b/>
                <w:bCs/>
                <w:noProof/>
                <w:lang w:val="en-GB"/>
              </w:rPr>
              <w:t>6. Critical Evaluation of Change at Monzo</w:t>
            </w:r>
            <w:r w:rsidRPr="00945108">
              <w:rPr>
                <w:webHidden/>
                <w:lang w:val="en-GB"/>
              </w:rPr>
              <w:tab/>
            </w:r>
            <w:r w:rsidRPr="00945108">
              <w:rPr>
                <w:webHidden/>
                <w:lang w:val="en-GB"/>
              </w:rPr>
              <w:fldChar w:fldCharType="begin"/>
            </w:r>
            <w:r w:rsidRPr="00945108">
              <w:rPr>
                <w:webHidden/>
                <w:lang w:val="en-GB"/>
              </w:rPr>
              <w:instrText xml:space="preserve"> PAGEREF _Toc227790542 \h </w:instrText>
            </w:r>
            <w:r w:rsidRPr="00945108">
              <w:rPr>
                <w:webHidden/>
                <w:lang w:val="en-GB"/>
              </w:rPr>
            </w:r>
            <w:r w:rsidRPr="00945108">
              <w:rPr>
                <w:webHidden/>
                <w:lang w:val="en-GB"/>
              </w:rPr>
              <w:fldChar w:fldCharType="separate"/>
            </w:r>
            <w:r w:rsidRPr="00945108">
              <w:rPr>
                <w:webHidden/>
                <w:lang w:val="en-GB"/>
              </w:rPr>
              <w:t>8</w:t>
            </w:r>
            <w:r w:rsidRPr="00945108">
              <w:rPr>
                <w:webHidden/>
                <w:lang w:val="en-GB"/>
              </w:rPr>
              <w:fldChar w:fldCharType="end"/>
            </w:r>
          </w:hyperlink>
        </w:p>
        <w:p w14:paraId="046844ED" w14:textId="56DE719E"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3" w:history="1">
            <w:r w:rsidRPr="00636B44">
              <w:rPr>
                <w:rStyle w:val="Hyperlink"/>
                <w:rFonts w:eastAsiaTheme="minorHAnsi" w:cs="Arial"/>
                <w:b/>
                <w:bCs/>
                <w:noProof/>
                <w:lang w:val="en-GB"/>
              </w:rPr>
              <w:t>6.1 Technological Risk and Cybersecurity Considerations</w:t>
            </w:r>
            <w:r w:rsidRPr="00945108">
              <w:rPr>
                <w:webHidden/>
                <w:lang w:val="en-GB"/>
              </w:rPr>
              <w:tab/>
            </w:r>
            <w:r w:rsidRPr="00945108">
              <w:rPr>
                <w:webHidden/>
                <w:lang w:val="en-GB"/>
              </w:rPr>
              <w:fldChar w:fldCharType="begin"/>
            </w:r>
            <w:r w:rsidRPr="00945108">
              <w:rPr>
                <w:webHidden/>
                <w:lang w:val="en-GB"/>
              </w:rPr>
              <w:instrText xml:space="preserve"> PAGEREF _Toc227790543 \h </w:instrText>
            </w:r>
            <w:r w:rsidRPr="00945108">
              <w:rPr>
                <w:webHidden/>
                <w:lang w:val="en-GB"/>
              </w:rPr>
            </w:r>
            <w:r w:rsidRPr="00945108">
              <w:rPr>
                <w:webHidden/>
                <w:lang w:val="en-GB"/>
              </w:rPr>
              <w:fldChar w:fldCharType="separate"/>
            </w:r>
            <w:r w:rsidRPr="00945108">
              <w:rPr>
                <w:webHidden/>
                <w:lang w:val="en-GB"/>
              </w:rPr>
              <w:t>8</w:t>
            </w:r>
            <w:r w:rsidRPr="00945108">
              <w:rPr>
                <w:webHidden/>
                <w:lang w:val="en-GB"/>
              </w:rPr>
              <w:fldChar w:fldCharType="end"/>
            </w:r>
          </w:hyperlink>
        </w:p>
        <w:p w14:paraId="2F28EEDF" w14:textId="23B77475"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44" w:history="1">
            <w:r w:rsidRPr="00636B44">
              <w:rPr>
                <w:rStyle w:val="Hyperlink"/>
                <w:rFonts w:ascii="Arial" w:eastAsiaTheme="minorHAnsi" w:hAnsi="Arial" w:cs="Arial"/>
                <w:b/>
                <w:bCs/>
                <w:noProof/>
                <w:lang w:val="en-GB"/>
              </w:rPr>
              <w:t>7. Proposed Change Management Plan</w:t>
            </w:r>
            <w:r w:rsidRPr="00945108">
              <w:rPr>
                <w:webHidden/>
                <w:lang w:val="en-GB"/>
              </w:rPr>
              <w:tab/>
            </w:r>
            <w:r w:rsidRPr="00945108">
              <w:rPr>
                <w:webHidden/>
                <w:lang w:val="en-GB"/>
              </w:rPr>
              <w:fldChar w:fldCharType="begin"/>
            </w:r>
            <w:r w:rsidRPr="00945108">
              <w:rPr>
                <w:webHidden/>
                <w:lang w:val="en-GB"/>
              </w:rPr>
              <w:instrText xml:space="preserve"> PAGEREF _Toc227790544 \h </w:instrText>
            </w:r>
            <w:r w:rsidRPr="00945108">
              <w:rPr>
                <w:webHidden/>
                <w:lang w:val="en-GB"/>
              </w:rPr>
            </w:r>
            <w:r w:rsidRPr="00945108">
              <w:rPr>
                <w:webHidden/>
                <w:lang w:val="en-GB"/>
              </w:rPr>
              <w:fldChar w:fldCharType="separate"/>
            </w:r>
            <w:r w:rsidRPr="00945108">
              <w:rPr>
                <w:webHidden/>
                <w:lang w:val="en-GB"/>
              </w:rPr>
              <w:t>9</w:t>
            </w:r>
            <w:r w:rsidRPr="00945108">
              <w:rPr>
                <w:webHidden/>
                <w:lang w:val="en-GB"/>
              </w:rPr>
              <w:fldChar w:fldCharType="end"/>
            </w:r>
          </w:hyperlink>
        </w:p>
        <w:p w14:paraId="5060B262" w14:textId="7F0A5363"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5" w:history="1">
            <w:r w:rsidRPr="00636B44">
              <w:rPr>
                <w:rStyle w:val="Hyperlink"/>
                <w:rFonts w:eastAsiaTheme="minorHAnsi" w:cs="Arial"/>
                <w:b/>
                <w:bCs/>
                <w:noProof/>
                <w:lang w:val="en-GB"/>
              </w:rPr>
              <w:t>7.1 Strategic Alignment and Long Term Capability Development</w:t>
            </w:r>
            <w:r w:rsidRPr="00945108">
              <w:rPr>
                <w:webHidden/>
                <w:lang w:val="en-GB"/>
              </w:rPr>
              <w:tab/>
            </w:r>
            <w:r w:rsidRPr="00945108">
              <w:rPr>
                <w:webHidden/>
                <w:lang w:val="en-GB"/>
              </w:rPr>
              <w:fldChar w:fldCharType="begin"/>
            </w:r>
            <w:r w:rsidRPr="00945108">
              <w:rPr>
                <w:webHidden/>
                <w:lang w:val="en-GB"/>
              </w:rPr>
              <w:instrText xml:space="preserve"> PAGEREF _Toc227790545 \h </w:instrText>
            </w:r>
            <w:r w:rsidRPr="00945108">
              <w:rPr>
                <w:webHidden/>
                <w:lang w:val="en-GB"/>
              </w:rPr>
            </w:r>
            <w:r w:rsidRPr="00945108">
              <w:rPr>
                <w:webHidden/>
                <w:lang w:val="en-GB"/>
              </w:rPr>
              <w:fldChar w:fldCharType="separate"/>
            </w:r>
            <w:r w:rsidRPr="00945108">
              <w:rPr>
                <w:webHidden/>
                <w:lang w:val="en-GB"/>
              </w:rPr>
              <w:t>9</w:t>
            </w:r>
            <w:r w:rsidRPr="00945108">
              <w:rPr>
                <w:webHidden/>
                <w:lang w:val="en-GB"/>
              </w:rPr>
              <w:fldChar w:fldCharType="end"/>
            </w:r>
          </w:hyperlink>
        </w:p>
        <w:p w14:paraId="28A83D7C" w14:textId="61EE8570"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6" w:history="1">
            <w:r w:rsidRPr="00636B44">
              <w:rPr>
                <w:rStyle w:val="Hyperlink"/>
                <w:rFonts w:eastAsiaTheme="minorHAnsi" w:cs="Arial"/>
                <w:b/>
                <w:bCs/>
                <w:noProof/>
                <w:lang w:val="en-GB"/>
              </w:rPr>
              <w:t>7.2 Stakeholder Analysis and Change Impact</w:t>
            </w:r>
            <w:r w:rsidRPr="00945108">
              <w:rPr>
                <w:webHidden/>
                <w:lang w:val="en-GB"/>
              </w:rPr>
              <w:tab/>
            </w:r>
            <w:r w:rsidRPr="00945108">
              <w:rPr>
                <w:webHidden/>
                <w:lang w:val="en-GB"/>
              </w:rPr>
              <w:fldChar w:fldCharType="begin"/>
            </w:r>
            <w:r w:rsidRPr="00945108">
              <w:rPr>
                <w:webHidden/>
                <w:lang w:val="en-GB"/>
              </w:rPr>
              <w:instrText xml:space="preserve"> PAGEREF _Toc227790546 \h </w:instrText>
            </w:r>
            <w:r w:rsidRPr="00945108">
              <w:rPr>
                <w:webHidden/>
                <w:lang w:val="en-GB"/>
              </w:rPr>
            </w:r>
            <w:r w:rsidRPr="00945108">
              <w:rPr>
                <w:webHidden/>
                <w:lang w:val="en-GB"/>
              </w:rPr>
              <w:fldChar w:fldCharType="separate"/>
            </w:r>
            <w:r w:rsidRPr="00945108">
              <w:rPr>
                <w:webHidden/>
                <w:lang w:val="en-GB"/>
              </w:rPr>
              <w:t>9</w:t>
            </w:r>
            <w:r w:rsidRPr="00945108">
              <w:rPr>
                <w:webHidden/>
                <w:lang w:val="en-GB"/>
              </w:rPr>
              <w:fldChar w:fldCharType="end"/>
            </w:r>
          </w:hyperlink>
        </w:p>
        <w:p w14:paraId="594B7664" w14:textId="141A6031"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7" w:history="1">
            <w:r w:rsidRPr="00636B44">
              <w:rPr>
                <w:rStyle w:val="Hyperlink"/>
                <w:rFonts w:eastAsiaTheme="minorHAnsi" w:cs="Arial"/>
                <w:b/>
                <w:bCs/>
                <w:noProof/>
                <w:lang w:val="en-GB"/>
              </w:rPr>
              <w:t>7.3 Risk Analysis of the Change Programme</w:t>
            </w:r>
            <w:r w:rsidRPr="00945108">
              <w:rPr>
                <w:webHidden/>
                <w:lang w:val="en-GB"/>
              </w:rPr>
              <w:tab/>
            </w:r>
            <w:r w:rsidRPr="00945108">
              <w:rPr>
                <w:webHidden/>
                <w:lang w:val="en-GB"/>
              </w:rPr>
              <w:fldChar w:fldCharType="begin"/>
            </w:r>
            <w:r w:rsidRPr="00945108">
              <w:rPr>
                <w:webHidden/>
                <w:lang w:val="en-GB"/>
              </w:rPr>
              <w:instrText xml:space="preserve"> PAGEREF _Toc227790547 \h </w:instrText>
            </w:r>
            <w:r w:rsidRPr="00945108">
              <w:rPr>
                <w:webHidden/>
                <w:lang w:val="en-GB"/>
              </w:rPr>
            </w:r>
            <w:r w:rsidRPr="00945108">
              <w:rPr>
                <w:webHidden/>
                <w:lang w:val="en-GB"/>
              </w:rPr>
              <w:fldChar w:fldCharType="separate"/>
            </w:r>
            <w:r w:rsidRPr="00945108">
              <w:rPr>
                <w:webHidden/>
                <w:lang w:val="en-GB"/>
              </w:rPr>
              <w:t>10</w:t>
            </w:r>
            <w:r w:rsidRPr="00945108">
              <w:rPr>
                <w:webHidden/>
                <w:lang w:val="en-GB"/>
              </w:rPr>
              <w:fldChar w:fldCharType="end"/>
            </w:r>
          </w:hyperlink>
        </w:p>
        <w:p w14:paraId="3F09CAF2" w14:textId="4B40C3DB"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8" w:history="1">
            <w:r w:rsidRPr="00636B44">
              <w:rPr>
                <w:rStyle w:val="Hyperlink"/>
                <w:rFonts w:eastAsiaTheme="minorHAnsi" w:cs="Arial"/>
                <w:b/>
                <w:bCs/>
                <w:noProof/>
                <w:lang w:val="en-GB"/>
              </w:rPr>
              <w:t>7.4 Performance Measurement and Key Performance Indicators</w:t>
            </w:r>
            <w:r w:rsidRPr="00945108">
              <w:rPr>
                <w:webHidden/>
                <w:lang w:val="en-GB"/>
              </w:rPr>
              <w:tab/>
            </w:r>
            <w:r w:rsidRPr="00945108">
              <w:rPr>
                <w:webHidden/>
                <w:lang w:val="en-GB"/>
              </w:rPr>
              <w:fldChar w:fldCharType="begin"/>
            </w:r>
            <w:r w:rsidRPr="00945108">
              <w:rPr>
                <w:webHidden/>
                <w:lang w:val="en-GB"/>
              </w:rPr>
              <w:instrText xml:space="preserve"> PAGEREF _Toc227790548 \h </w:instrText>
            </w:r>
            <w:r w:rsidRPr="00945108">
              <w:rPr>
                <w:webHidden/>
                <w:lang w:val="en-GB"/>
              </w:rPr>
            </w:r>
            <w:r w:rsidRPr="00945108">
              <w:rPr>
                <w:webHidden/>
                <w:lang w:val="en-GB"/>
              </w:rPr>
              <w:fldChar w:fldCharType="separate"/>
            </w:r>
            <w:r w:rsidRPr="00945108">
              <w:rPr>
                <w:webHidden/>
                <w:lang w:val="en-GB"/>
              </w:rPr>
              <w:t>11</w:t>
            </w:r>
            <w:r w:rsidRPr="00945108">
              <w:rPr>
                <w:webHidden/>
                <w:lang w:val="en-GB"/>
              </w:rPr>
              <w:fldChar w:fldCharType="end"/>
            </w:r>
          </w:hyperlink>
        </w:p>
        <w:p w14:paraId="75BB7FFA" w14:textId="239503DC"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49" w:history="1">
            <w:r w:rsidRPr="00636B44">
              <w:rPr>
                <w:rStyle w:val="Hyperlink"/>
                <w:rFonts w:eastAsiaTheme="minorHAnsi" w:cs="Arial"/>
                <w:b/>
                <w:bCs/>
                <w:noProof/>
                <w:lang w:val="en-GB"/>
              </w:rPr>
              <w:t>7.5 Sustainability and Long Term Strategic Impact</w:t>
            </w:r>
            <w:r w:rsidRPr="00945108">
              <w:rPr>
                <w:webHidden/>
                <w:lang w:val="en-GB"/>
              </w:rPr>
              <w:tab/>
            </w:r>
            <w:r w:rsidRPr="00945108">
              <w:rPr>
                <w:webHidden/>
                <w:lang w:val="en-GB"/>
              </w:rPr>
              <w:fldChar w:fldCharType="begin"/>
            </w:r>
            <w:r w:rsidRPr="00945108">
              <w:rPr>
                <w:webHidden/>
                <w:lang w:val="en-GB"/>
              </w:rPr>
              <w:instrText xml:space="preserve"> PAGEREF _Toc227790549 \h </w:instrText>
            </w:r>
            <w:r w:rsidRPr="00945108">
              <w:rPr>
                <w:webHidden/>
                <w:lang w:val="en-GB"/>
              </w:rPr>
            </w:r>
            <w:r w:rsidRPr="00945108">
              <w:rPr>
                <w:webHidden/>
                <w:lang w:val="en-GB"/>
              </w:rPr>
              <w:fldChar w:fldCharType="separate"/>
            </w:r>
            <w:r w:rsidRPr="00945108">
              <w:rPr>
                <w:webHidden/>
                <w:lang w:val="en-GB"/>
              </w:rPr>
              <w:t>11</w:t>
            </w:r>
            <w:r w:rsidRPr="00945108">
              <w:rPr>
                <w:webHidden/>
                <w:lang w:val="en-GB"/>
              </w:rPr>
              <w:fldChar w:fldCharType="end"/>
            </w:r>
          </w:hyperlink>
        </w:p>
        <w:p w14:paraId="35298066" w14:textId="757ECFDE" w:rsidR="00C701D0" w:rsidRDefault="00C701D0">
          <w:pPr>
            <w:pStyle w:val="TOC2"/>
            <w:tabs>
              <w:tab w:val="right" w:leader="dot" w:pos="9016"/>
            </w:tabs>
            <w:rPr>
              <w:rFonts w:hint="eastAsia"/>
              <w:i w:val="0"/>
              <w:iCs w:val="0"/>
              <w:noProof/>
              <w:kern w:val="2"/>
              <w:sz w:val="24"/>
              <w:szCs w:val="24"/>
              <w:lang w:val="en-GB" w:eastAsia="en-GB"/>
              <w14:ligatures w14:val="standardContextual"/>
            </w:rPr>
          </w:pPr>
          <w:hyperlink w:anchor="_Toc227790550" w:history="1">
            <w:r w:rsidRPr="00636B44">
              <w:rPr>
                <w:rStyle w:val="Hyperlink"/>
                <w:rFonts w:ascii="Arial" w:eastAsiaTheme="minorHAnsi" w:hAnsi="Arial" w:cs="Arial"/>
                <w:b/>
                <w:bCs/>
                <w:noProof/>
                <w:lang w:val="en-GB"/>
              </w:rPr>
              <w:t>8. Reflective Learning</w:t>
            </w:r>
            <w:r w:rsidRPr="00945108">
              <w:rPr>
                <w:webHidden/>
                <w:lang w:val="en-GB"/>
              </w:rPr>
              <w:tab/>
            </w:r>
            <w:r w:rsidRPr="00945108">
              <w:rPr>
                <w:webHidden/>
                <w:lang w:val="en-GB"/>
              </w:rPr>
              <w:fldChar w:fldCharType="begin"/>
            </w:r>
            <w:r w:rsidRPr="00945108">
              <w:rPr>
                <w:webHidden/>
                <w:lang w:val="en-GB"/>
              </w:rPr>
              <w:instrText xml:space="preserve"> PAGEREF _Toc227790550 \h </w:instrText>
            </w:r>
            <w:r w:rsidRPr="00945108">
              <w:rPr>
                <w:webHidden/>
                <w:lang w:val="en-GB"/>
              </w:rPr>
            </w:r>
            <w:r w:rsidRPr="00945108">
              <w:rPr>
                <w:webHidden/>
                <w:lang w:val="en-GB"/>
              </w:rPr>
              <w:fldChar w:fldCharType="separate"/>
            </w:r>
            <w:r w:rsidRPr="00945108">
              <w:rPr>
                <w:webHidden/>
                <w:lang w:val="en-GB"/>
              </w:rPr>
              <w:t>12</w:t>
            </w:r>
            <w:r w:rsidRPr="00945108">
              <w:rPr>
                <w:webHidden/>
                <w:lang w:val="en-GB"/>
              </w:rPr>
              <w:fldChar w:fldCharType="end"/>
            </w:r>
          </w:hyperlink>
        </w:p>
        <w:p w14:paraId="142F9629" w14:textId="25DD0162"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51" w:history="1">
            <w:r w:rsidRPr="00636B44">
              <w:rPr>
                <w:rStyle w:val="Hyperlink"/>
                <w:rFonts w:eastAsiaTheme="minorHAnsi" w:cs="Arial"/>
                <w:b/>
                <w:bCs/>
                <w:noProof/>
                <w:lang w:val="en-GB"/>
              </w:rPr>
              <w:t>8.1 Limitations of the Analysis and Future Change Considerations</w:t>
            </w:r>
            <w:r w:rsidRPr="00945108">
              <w:rPr>
                <w:webHidden/>
                <w:lang w:val="en-GB"/>
              </w:rPr>
              <w:tab/>
            </w:r>
            <w:r w:rsidRPr="00945108">
              <w:rPr>
                <w:webHidden/>
                <w:lang w:val="en-GB"/>
              </w:rPr>
              <w:fldChar w:fldCharType="begin"/>
            </w:r>
            <w:r w:rsidRPr="00945108">
              <w:rPr>
                <w:webHidden/>
                <w:lang w:val="en-GB"/>
              </w:rPr>
              <w:instrText xml:space="preserve"> PAGEREF _Toc227790551 \h </w:instrText>
            </w:r>
            <w:r w:rsidRPr="00945108">
              <w:rPr>
                <w:webHidden/>
                <w:lang w:val="en-GB"/>
              </w:rPr>
            </w:r>
            <w:r w:rsidRPr="00945108">
              <w:rPr>
                <w:webHidden/>
                <w:lang w:val="en-GB"/>
              </w:rPr>
              <w:fldChar w:fldCharType="separate"/>
            </w:r>
            <w:r w:rsidRPr="00945108">
              <w:rPr>
                <w:webHidden/>
                <w:lang w:val="en-GB"/>
              </w:rPr>
              <w:t>12</w:t>
            </w:r>
            <w:r w:rsidRPr="00945108">
              <w:rPr>
                <w:webHidden/>
                <w:lang w:val="en-GB"/>
              </w:rPr>
              <w:fldChar w:fldCharType="end"/>
            </w:r>
          </w:hyperlink>
        </w:p>
        <w:p w14:paraId="00A052DA" w14:textId="2AAC51C6" w:rsidR="00C701D0" w:rsidRDefault="00C701D0">
          <w:pPr>
            <w:pStyle w:val="TOC3"/>
            <w:tabs>
              <w:tab w:val="right" w:leader="dot" w:pos="9016"/>
            </w:tabs>
            <w:rPr>
              <w:rFonts w:hint="eastAsia"/>
              <w:noProof/>
              <w:kern w:val="2"/>
              <w:sz w:val="24"/>
              <w:szCs w:val="24"/>
              <w:lang w:val="en-GB" w:eastAsia="en-GB"/>
              <w14:ligatures w14:val="standardContextual"/>
            </w:rPr>
          </w:pPr>
          <w:hyperlink w:anchor="_Toc227790552" w:history="1">
            <w:r w:rsidRPr="00636B44">
              <w:rPr>
                <w:rStyle w:val="Hyperlink"/>
                <w:rFonts w:eastAsiaTheme="minorHAnsi" w:cs="Arial"/>
                <w:b/>
                <w:bCs/>
                <w:noProof/>
                <w:lang w:val="en-GB"/>
              </w:rPr>
              <w:t>8.2 Integration of Digital Transformation Strategy</w:t>
            </w:r>
            <w:r w:rsidRPr="00945108">
              <w:rPr>
                <w:webHidden/>
                <w:lang w:val="en-GB"/>
              </w:rPr>
              <w:tab/>
            </w:r>
            <w:r w:rsidRPr="00945108">
              <w:rPr>
                <w:webHidden/>
                <w:lang w:val="en-GB"/>
              </w:rPr>
              <w:fldChar w:fldCharType="begin"/>
            </w:r>
            <w:r w:rsidRPr="00945108">
              <w:rPr>
                <w:webHidden/>
                <w:lang w:val="en-GB"/>
              </w:rPr>
              <w:instrText xml:space="preserve"> PAGEREF _Toc227790552 \h </w:instrText>
            </w:r>
            <w:r w:rsidRPr="00945108">
              <w:rPr>
                <w:webHidden/>
                <w:lang w:val="en-GB"/>
              </w:rPr>
            </w:r>
            <w:r w:rsidRPr="00945108">
              <w:rPr>
                <w:webHidden/>
                <w:lang w:val="en-GB"/>
              </w:rPr>
              <w:fldChar w:fldCharType="separate"/>
            </w:r>
            <w:r w:rsidRPr="00945108">
              <w:rPr>
                <w:webHidden/>
                <w:lang w:val="en-GB"/>
              </w:rPr>
              <w:t>13</w:t>
            </w:r>
            <w:r w:rsidRPr="00945108">
              <w:rPr>
                <w:webHidden/>
                <w:lang w:val="en-GB"/>
              </w:rPr>
              <w:fldChar w:fldCharType="end"/>
            </w:r>
          </w:hyperlink>
        </w:p>
        <w:p w14:paraId="21973244" w14:textId="6C461CDB" w:rsidR="00C701D0" w:rsidRDefault="00C701D0">
          <w:pPr>
            <w:pStyle w:val="TOC1"/>
            <w:tabs>
              <w:tab w:val="right" w:leader="dot" w:pos="9016"/>
            </w:tabs>
            <w:rPr>
              <w:rFonts w:hint="eastAsia"/>
              <w:b w:val="0"/>
              <w:bCs w:val="0"/>
              <w:i w:val="0"/>
              <w:iCs w:val="0"/>
              <w:noProof/>
              <w:kern w:val="2"/>
              <w:lang w:val="en-GB" w:eastAsia="en-GB"/>
              <w14:ligatures w14:val="standardContextual"/>
            </w:rPr>
          </w:pPr>
          <w:hyperlink w:anchor="_Toc227790553" w:history="1">
            <w:r w:rsidRPr="00636B44">
              <w:rPr>
                <w:rStyle w:val="Hyperlink"/>
                <w:rFonts w:ascii="Arial" w:eastAsiaTheme="minorHAnsi" w:hAnsi="Arial" w:cs="Arial"/>
                <w:noProof/>
                <w:lang w:val="en-GB"/>
              </w:rPr>
              <w:t>Conclusion</w:t>
            </w:r>
            <w:r w:rsidRPr="00945108">
              <w:rPr>
                <w:webHidden/>
                <w:lang w:val="en-GB"/>
              </w:rPr>
              <w:tab/>
            </w:r>
            <w:r w:rsidRPr="00945108">
              <w:rPr>
                <w:webHidden/>
                <w:lang w:val="en-GB"/>
              </w:rPr>
              <w:fldChar w:fldCharType="begin"/>
            </w:r>
            <w:r w:rsidRPr="00945108">
              <w:rPr>
                <w:webHidden/>
                <w:lang w:val="en-GB"/>
              </w:rPr>
              <w:instrText xml:space="preserve"> PAGEREF _Toc227790553 \h </w:instrText>
            </w:r>
            <w:r w:rsidRPr="00945108">
              <w:rPr>
                <w:webHidden/>
                <w:lang w:val="en-GB"/>
              </w:rPr>
            </w:r>
            <w:r w:rsidRPr="00945108">
              <w:rPr>
                <w:webHidden/>
                <w:lang w:val="en-GB"/>
              </w:rPr>
              <w:fldChar w:fldCharType="separate"/>
            </w:r>
            <w:r w:rsidRPr="00945108">
              <w:rPr>
                <w:webHidden/>
                <w:lang w:val="en-GB"/>
              </w:rPr>
              <w:t>13</w:t>
            </w:r>
            <w:r w:rsidRPr="00945108">
              <w:rPr>
                <w:webHidden/>
                <w:lang w:val="en-GB"/>
              </w:rPr>
              <w:fldChar w:fldCharType="end"/>
            </w:r>
          </w:hyperlink>
        </w:p>
        <w:p w14:paraId="40700F9B" w14:textId="6EBB73F8" w:rsidR="00C701D0" w:rsidRDefault="00C701D0">
          <w:pPr>
            <w:pStyle w:val="TOC1"/>
            <w:tabs>
              <w:tab w:val="right" w:leader="dot" w:pos="9016"/>
            </w:tabs>
            <w:rPr>
              <w:rFonts w:hint="eastAsia"/>
              <w:b w:val="0"/>
              <w:bCs w:val="0"/>
              <w:i w:val="0"/>
              <w:iCs w:val="0"/>
              <w:noProof/>
              <w:kern w:val="2"/>
              <w:lang w:val="en-GB" w:eastAsia="en-GB"/>
              <w14:ligatures w14:val="standardContextual"/>
            </w:rPr>
          </w:pPr>
          <w:hyperlink w:anchor="_Toc227790554" w:history="1">
            <w:r w:rsidRPr="00945108">
              <w:rPr>
                <w:rStyle w:val="Hyperlink"/>
                <w:rFonts w:cs="Arial"/>
                <w:lang w:val="en-GB"/>
              </w:rPr>
              <w:t>Reference</w:t>
            </w:r>
            <w:r w:rsidRPr="00945108">
              <w:rPr>
                <w:webHidden/>
                <w:lang w:val="en-GB"/>
              </w:rPr>
              <w:tab/>
            </w:r>
            <w:r w:rsidRPr="00945108">
              <w:rPr>
                <w:webHidden/>
                <w:lang w:val="en-GB"/>
              </w:rPr>
              <w:fldChar w:fldCharType="begin"/>
            </w:r>
            <w:r w:rsidRPr="00945108">
              <w:rPr>
                <w:webHidden/>
                <w:lang w:val="en-GB"/>
              </w:rPr>
              <w:instrText xml:space="preserve"> PAGEREF _Toc227790554 \h </w:instrText>
            </w:r>
            <w:r w:rsidRPr="00945108">
              <w:rPr>
                <w:webHidden/>
                <w:lang w:val="en-GB"/>
              </w:rPr>
            </w:r>
            <w:r w:rsidRPr="00945108">
              <w:rPr>
                <w:webHidden/>
                <w:lang w:val="en-GB"/>
              </w:rPr>
              <w:fldChar w:fldCharType="separate"/>
            </w:r>
            <w:r w:rsidRPr="00945108">
              <w:rPr>
                <w:webHidden/>
                <w:lang w:val="en-GB"/>
              </w:rPr>
              <w:t>14</w:t>
            </w:r>
            <w:r w:rsidRPr="00945108">
              <w:rPr>
                <w:webHidden/>
                <w:lang w:val="en-GB"/>
              </w:rPr>
              <w:fldChar w:fldCharType="end"/>
            </w:r>
          </w:hyperlink>
        </w:p>
        <w:p w14:paraId="08A099E7" w14:textId="79B81971" w:rsidR="0001410E" w:rsidRPr="00945108" w:rsidRDefault="007D0BD7" w:rsidP="008D6096">
          <w:pPr>
            <w:rPr>
              <w:b/>
              <w:lang w:val="en-GB"/>
            </w:rPr>
          </w:pPr>
          <w:r w:rsidRPr="00945108">
            <w:rPr>
              <w:b/>
              <w:lang w:val="en-GB"/>
            </w:rPr>
            <w:fldChar w:fldCharType="end"/>
          </w:r>
        </w:p>
      </w:sdtContent>
    </w:sdt>
    <w:bookmarkStart w:id="2" w:name="_Toc227790532" w:displacedByCustomXml="prev"/>
    <w:p w14:paraId="5084FD93" w14:textId="77777777" w:rsidR="004A5F44" w:rsidRDefault="004A5F44" w:rsidP="002F7485">
      <w:pPr>
        <w:pStyle w:val="Heading1"/>
        <w:rPr>
          <w:rFonts w:ascii="Arial" w:eastAsiaTheme="minorHAnsi" w:hAnsi="Arial" w:cs="Arial"/>
          <w:b/>
          <w:bCs/>
          <w:sz w:val="28"/>
          <w:szCs w:val="28"/>
          <w:lang w:val="en-GB"/>
          <w14:ligatures w14:val="standardContextual"/>
        </w:rPr>
      </w:pPr>
    </w:p>
    <w:p w14:paraId="19E515D4" w14:textId="77777777" w:rsidR="004A5F44" w:rsidRDefault="004A5F44" w:rsidP="002F7485">
      <w:pPr>
        <w:pStyle w:val="Heading1"/>
        <w:rPr>
          <w:rFonts w:ascii="Arial" w:eastAsiaTheme="minorHAnsi" w:hAnsi="Arial" w:cs="Arial"/>
          <w:b/>
          <w:bCs/>
          <w:sz w:val="28"/>
          <w:szCs w:val="28"/>
          <w:lang w:val="en-GB"/>
          <w14:ligatures w14:val="standardContextual"/>
        </w:rPr>
      </w:pPr>
    </w:p>
    <w:p w14:paraId="11CDD852" w14:textId="77777777" w:rsidR="00B806AC" w:rsidRPr="00B565D0" w:rsidRDefault="00B806AC" w:rsidP="00B806AC">
      <w:pPr>
        <w:rPr>
          <w:rFonts w:cs="Arial"/>
          <w:lang w:val="en-GB"/>
        </w:rPr>
      </w:pPr>
    </w:p>
    <w:p w14:paraId="1429873A" w14:textId="5459F3A6" w:rsidR="002D1DB8" w:rsidRPr="00B565D0" w:rsidRDefault="002D1DB8" w:rsidP="00053219">
      <w:pPr>
        <w:pStyle w:val="Heading1"/>
        <w:spacing w:line="360" w:lineRule="auto"/>
        <w:rPr>
          <w:rFonts w:ascii="Arial" w:eastAsiaTheme="minorEastAsia" w:hAnsi="Arial" w:cs="Arial"/>
          <w:sz w:val="22"/>
          <w:szCs w:val="22"/>
          <w:lang w:val="en-GB"/>
        </w:rPr>
      </w:pPr>
      <w:r w:rsidRPr="000D5A2F">
        <w:rPr>
          <w:rFonts w:ascii="Arial" w:eastAsiaTheme="minorHAnsi" w:hAnsi="Arial" w:cs="Arial"/>
          <w:b/>
          <w:bCs/>
          <w:sz w:val="28"/>
          <w:szCs w:val="28"/>
          <w:lang w:val="en-GB"/>
          <w14:ligatures w14:val="standardContextual"/>
        </w:rPr>
        <w:t>Executive Summary</w:t>
      </w:r>
      <w:bookmarkEnd w:id="2"/>
    </w:p>
    <w:p w14:paraId="21AF6E2B" w14:textId="77777777" w:rsidR="0037036A" w:rsidRPr="00B565D0" w:rsidRDefault="0037036A" w:rsidP="00053219">
      <w:pPr>
        <w:autoSpaceDE w:val="0"/>
        <w:autoSpaceDN w:val="0"/>
        <w:adjustRightInd w:val="0"/>
        <w:spacing w:after="40" w:line="360" w:lineRule="auto"/>
        <w:rPr>
          <w:rFonts w:eastAsiaTheme="minorHAnsi" w:cs="Arial"/>
          <w:b/>
          <w:sz w:val="32"/>
          <w:szCs w:val="32"/>
          <w:lang w:val="en-GB"/>
          <w14:ligatures w14:val="standardContextual"/>
        </w:rPr>
      </w:pPr>
    </w:p>
    <w:p w14:paraId="590378C2" w14:textId="13DA19EC" w:rsidR="00B820E5" w:rsidRPr="00B565D0" w:rsidRDefault="00B820E5" w:rsidP="00B820E5">
      <w:pPr>
        <w:autoSpaceDE w:val="0"/>
        <w:autoSpaceDN w:val="0"/>
        <w:adjustRightInd w:val="0"/>
        <w:spacing w:after="0" w:line="360" w:lineRule="auto"/>
        <w:jc w:val="both"/>
        <w:rPr>
          <w:rFonts w:cs="Arial"/>
          <w:sz w:val="24"/>
          <w:szCs w:val="24"/>
          <w:lang w:val="en-GB"/>
        </w:rPr>
      </w:pPr>
      <w:bookmarkStart w:id="3" w:name="_Toc227790533"/>
      <w:proofErr w:type="spellStart"/>
      <w:r w:rsidRPr="00B565D0">
        <w:rPr>
          <w:rFonts w:cs="Arial"/>
          <w:sz w:val="24"/>
          <w:szCs w:val="24"/>
          <w:lang w:val="en-GB"/>
        </w:rPr>
        <w:t>Monzo</w:t>
      </w:r>
      <w:proofErr w:type="spellEnd"/>
      <w:r w:rsidRPr="00B565D0">
        <w:rPr>
          <w:rFonts w:cs="Arial"/>
          <w:sz w:val="24"/>
          <w:szCs w:val="24"/>
          <w:lang w:val="en-GB"/>
        </w:rPr>
        <w:t xml:space="preserve"> has expanded substantially since its beginnings in 2015, from a fintech startup to a fully regulated digital bank with a</w:t>
      </w:r>
      <w:r w:rsidR="00034999" w:rsidRPr="00B565D0">
        <w:rPr>
          <w:rFonts w:cs="Arial"/>
          <w:sz w:val="24"/>
          <w:szCs w:val="24"/>
          <w:lang w:val="en-GB"/>
        </w:rPr>
        <w:t xml:space="preserve"> </w:t>
      </w:r>
      <w:r w:rsidR="0078784A" w:rsidRPr="00B565D0">
        <w:rPr>
          <w:rFonts w:cs="Arial"/>
          <w:sz w:val="24"/>
          <w:szCs w:val="24"/>
          <w:lang w:val="en-GB"/>
        </w:rPr>
        <w:t>grow</w:t>
      </w:r>
      <w:r w:rsidR="00034999" w:rsidRPr="00B565D0">
        <w:rPr>
          <w:rFonts w:cs="Arial"/>
          <w:sz w:val="24"/>
          <w:szCs w:val="24"/>
          <w:lang w:val="en-GB"/>
        </w:rPr>
        <w:t xml:space="preserve">ing </w:t>
      </w:r>
      <w:r w:rsidRPr="00B565D0">
        <w:rPr>
          <w:rFonts w:cs="Arial"/>
          <w:sz w:val="24"/>
          <w:szCs w:val="24"/>
          <w:lang w:val="en-GB"/>
        </w:rPr>
        <w:t>user base, and it expects to become profitable for the first time in 2024</w:t>
      </w:r>
      <w:r w:rsidR="0078784A" w:rsidRPr="00B565D0">
        <w:rPr>
          <w:rFonts w:cs="Arial"/>
          <w:sz w:val="24"/>
          <w:szCs w:val="24"/>
          <w:lang w:val="en-GB"/>
        </w:rPr>
        <w:t>,</w:t>
      </w:r>
      <w:r w:rsidRPr="00B565D0">
        <w:rPr>
          <w:rFonts w:cs="Arial"/>
          <w:sz w:val="24"/>
          <w:szCs w:val="24"/>
          <w:lang w:val="en-GB"/>
        </w:rPr>
        <w:t xml:space="preserve"> with 9.7 million customers. This development has been driven by digital innovation and shifting consumer expectations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2018)</w:t>
      </w:r>
      <w:r w:rsidR="003716CB" w:rsidRPr="00B565D0">
        <w:rPr>
          <w:rFonts w:cs="Arial"/>
          <w:sz w:val="24"/>
          <w:szCs w:val="24"/>
          <w:lang w:val="en-GB"/>
        </w:rPr>
        <w:t xml:space="preserve">; </w:t>
      </w:r>
      <w:r w:rsidRPr="00B565D0">
        <w:rPr>
          <w:rFonts w:cs="Arial"/>
          <w:sz w:val="24"/>
          <w:szCs w:val="24"/>
          <w:lang w:val="en-GB"/>
        </w:rPr>
        <w:t xml:space="preserve">however, it has also </w:t>
      </w:r>
      <w:r w:rsidR="0078784A" w:rsidRPr="00B565D0">
        <w:rPr>
          <w:rFonts w:cs="Arial"/>
          <w:sz w:val="24"/>
          <w:szCs w:val="24"/>
          <w:lang w:val="en-GB"/>
        </w:rPr>
        <w:t>created</w:t>
      </w:r>
      <w:r w:rsidRPr="00B565D0">
        <w:rPr>
          <w:rFonts w:cs="Arial"/>
          <w:sz w:val="24"/>
          <w:szCs w:val="24"/>
          <w:lang w:val="en-GB"/>
        </w:rPr>
        <w:t xml:space="preserve"> </w:t>
      </w:r>
      <w:r w:rsidR="0078784A" w:rsidRPr="00B565D0">
        <w:rPr>
          <w:rFonts w:cs="Arial"/>
          <w:sz w:val="24"/>
          <w:szCs w:val="24"/>
          <w:lang w:val="en-GB"/>
        </w:rPr>
        <w:t>greater</w:t>
      </w:r>
      <w:r w:rsidRPr="00B565D0">
        <w:rPr>
          <w:rFonts w:cs="Arial"/>
          <w:sz w:val="24"/>
          <w:szCs w:val="24"/>
          <w:lang w:val="en-GB"/>
        </w:rPr>
        <w:t xml:space="preserve"> challenges </w:t>
      </w:r>
      <w:r w:rsidR="0078784A" w:rsidRPr="00B565D0">
        <w:rPr>
          <w:rFonts w:cs="Arial"/>
          <w:sz w:val="24"/>
          <w:szCs w:val="24"/>
          <w:lang w:val="en-GB"/>
        </w:rPr>
        <w:t>for</w:t>
      </w:r>
      <w:r w:rsidRPr="00B565D0">
        <w:rPr>
          <w:rFonts w:cs="Arial"/>
          <w:sz w:val="24"/>
          <w:szCs w:val="24"/>
          <w:lang w:val="en-GB"/>
        </w:rPr>
        <w:t xml:space="preserve"> regulatory compliance, operational resilience, and sustainable profitability (</w:t>
      </w:r>
      <w:proofErr w:type="spellStart"/>
      <w:r w:rsidRPr="00B565D0">
        <w:rPr>
          <w:rFonts w:cs="Arial"/>
          <w:sz w:val="24"/>
          <w:szCs w:val="24"/>
          <w:lang w:val="en-GB"/>
        </w:rPr>
        <w:t>Burnes</w:t>
      </w:r>
      <w:proofErr w:type="spellEnd"/>
      <w:r w:rsidRPr="00B565D0">
        <w:rPr>
          <w:rFonts w:cs="Arial"/>
          <w:sz w:val="24"/>
          <w:szCs w:val="24"/>
          <w:lang w:val="en-GB"/>
        </w:rPr>
        <w:t>, 2017; Financial Conduct Authority, 2024)</w:t>
      </w:r>
      <w:r w:rsidR="00470194" w:rsidRPr="00B565D0">
        <w:rPr>
          <w:rFonts w:cs="Arial"/>
          <w:sz w:val="24"/>
          <w:szCs w:val="24"/>
          <w:lang w:val="en-GB"/>
        </w:rPr>
        <w:t xml:space="preserve">. </w:t>
      </w:r>
      <w:r w:rsidRPr="00B565D0">
        <w:rPr>
          <w:rFonts w:cs="Arial"/>
          <w:sz w:val="24"/>
          <w:szCs w:val="24"/>
          <w:lang w:val="en-GB"/>
        </w:rPr>
        <w:t xml:space="preserve">While classic planned change techniques emphasise organised preparation and execution (Lewin, 1951; </w:t>
      </w:r>
      <w:proofErr w:type="spellStart"/>
      <w:r w:rsidRPr="00B565D0">
        <w:rPr>
          <w:rFonts w:cs="Arial"/>
          <w:sz w:val="24"/>
          <w:szCs w:val="24"/>
          <w:lang w:val="en-GB"/>
        </w:rPr>
        <w:t>Kotter</w:t>
      </w:r>
      <w:proofErr w:type="spellEnd"/>
      <w:r w:rsidRPr="00B565D0">
        <w:rPr>
          <w:rFonts w:cs="Arial"/>
          <w:sz w:val="24"/>
          <w:szCs w:val="24"/>
          <w:lang w:val="en-GB"/>
        </w:rPr>
        <w:t>, 2012), modern viewpoints acknowledge that change in digital contexts requires a mix of planning and adaptation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Weick</w:t>
      </w:r>
      <w:proofErr w:type="spellEnd"/>
      <w:r w:rsidRPr="00B565D0">
        <w:rPr>
          <w:rFonts w:cs="Arial"/>
          <w:sz w:val="24"/>
          <w:szCs w:val="24"/>
          <w:lang w:val="en-GB"/>
        </w:rPr>
        <w:t xml:space="preserve"> and Quinn, 1999)</w:t>
      </w:r>
      <w:r w:rsidR="00BE3364" w:rsidRPr="00B565D0">
        <w:rPr>
          <w:rFonts w:cs="Arial"/>
          <w:sz w:val="24"/>
          <w:szCs w:val="24"/>
          <w:lang w:val="en-GB"/>
        </w:rPr>
        <w:t xml:space="preserve"> </w:t>
      </w:r>
      <w:r w:rsidRPr="00B565D0">
        <w:rPr>
          <w:rFonts w:cs="Arial"/>
          <w:sz w:val="24"/>
          <w:szCs w:val="24"/>
          <w:lang w:val="en-GB"/>
        </w:rPr>
        <w:t>This is especially significant in fintech, where regulatory re</w:t>
      </w:r>
      <w:r w:rsidR="00B518B0" w:rsidRPr="00B565D0">
        <w:rPr>
          <w:rFonts w:cs="Arial"/>
          <w:sz w:val="24"/>
          <w:szCs w:val="24"/>
          <w:lang w:val="en-GB"/>
        </w:rPr>
        <w:t>quirements</w:t>
      </w:r>
      <w:r w:rsidRPr="00B565D0">
        <w:rPr>
          <w:rFonts w:cs="Arial"/>
          <w:sz w:val="24"/>
          <w:szCs w:val="24"/>
          <w:lang w:val="en-GB"/>
        </w:rPr>
        <w:t xml:space="preserve"> need methodical procedures and competitive pressures necessitate organisational agility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xml:space="preserve">, </w:t>
      </w:r>
      <w:r w:rsidR="00E95502" w:rsidRPr="00B565D0">
        <w:rPr>
          <w:rFonts w:cs="Arial"/>
          <w:sz w:val="24"/>
          <w:szCs w:val="24"/>
          <w:lang w:val="en-GB"/>
        </w:rPr>
        <w:t>and</w:t>
      </w:r>
      <w:r w:rsidRPr="00B565D0">
        <w:rPr>
          <w:rFonts w:cs="Arial"/>
          <w:sz w:val="24"/>
          <w:szCs w:val="24"/>
          <w:lang w:val="en-GB"/>
        </w:rPr>
        <w:t xml:space="preserve"> Greenwood, 2018).</w:t>
      </w:r>
    </w:p>
    <w:p w14:paraId="753C84B0" w14:textId="77777777" w:rsidR="00B820E5" w:rsidRPr="00B565D0" w:rsidRDefault="00B820E5" w:rsidP="00B820E5">
      <w:pPr>
        <w:autoSpaceDE w:val="0"/>
        <w:autoSpaceDN w:val="0"/>
        <w:adjustRightInd w:val="0"/>
        <w:spacing w:after="0" w:line="360" w:lineRule="auto"/>
        <w:jc w:val="both"/>
        <w:rPr>
          <w:rFonts w:cs="Arial"/>
          <w:sz w:val="24"/>
          <w:szCs w:val="24"/>
          <w:lang w:val="en-GB"/>
        </w:rPr>
      </w:pPr>
    </w:p>
    <w:p w14:paraId="2DBB4874" w14:textId="5A7E67F3" w:rsidR="00B820E5" w:rsidRPr="00B565D0" w:rsidRDefault="00B820E5" w:rsidP="00B820E5">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The study investigates the importance of leadership and organisational culture, arguing that </w:t>
      </w:r>
      <w:proofErr w:type="spellStart"/>
      <w:r w:rsidRPr="00B565D0">
        <w:rPr>
          <w:rFonts w:cs="Arial"/>
          <w:sz w:val="24"/>
          <w:szCs w:val="24"/>
          <w:lang w:val="en-GB"/>
        </w:rPr>
        <w:t>Monzo</w:t>
      </w:r>
      <w:proofErr w:type="spellEnd"/>
      <w:r w:rsidRPr="00B565D0">
        <w:rPr>
          <w:rFonts w:cs="Arial"/>
          <w:sz w:val="24"/>
          <w:szCs w:val="24"/>
          <w:lang w:val="en-GB"/>
        </w:rPr>
        <w:t xml:space="preserve"> should transition to a model of disciplined agility in which innovation is supported by governance and responsibility (</w:t>
      </w:r>
      <w:proofErr w:type="spellStart"/>
      <w:r w:rsidRPr="00B565D0">
        <w:rPr>
          <w:rFonts w:cs="Arial"/>
          <w:sz w:val="24"/>
          <w:szCs w:val="24"/>
          <w:lang w:val="en-GB"/>
        </w:rPr>
        <w:t>Schein</w:t>
      </w:r>
      <w:proofErr w:type="spellEnd"/>
      <w:r w:rsidRPr="00B565D0">
        <w:rPr>
          <w:rFonts w:cs="Arial"/>
          <w:sz w:val="24"/>
          <w:szCs w:val="24"/>
          <w:lang w:val="en-GB"/>
        </w:rPr>
        <w:t xml:space="preserve">, 2017; </w:t>
      </w:r>
      <w:proofErr w:type="spellStart"/>
      <w:r w:rsidRPr="00B565D0">
        <w:rPr>
          <w:rFonts w:cs="Arial"/>
          <w:sz w:val="24"/>
          <w:szCs w:val="24"/>
          <w:lang w:val="en-GB"/>
        </w:rPr>
        <w:t>Kotter</w:t>
      </w:r>
      <w:proofErr w:type="spellEnd"/>
      <w:r w:rsidR="00A23D16" w:rsidRPr="00B565D0">
        <w:rPr>
          <w:rFonts w:cs="Arial"/>
          <w:sz w:val="24"/>
          <w:szCs w:val="24"/>
          <w:lang w:val="en-GB"/>
        </w:rPr>
        <w:t>,</w:t>
      </w:r>
      <w:r w:rsidRPr="00B565D0">
        <w:rPr>
          <w:rFonts w:cs="Arial"/>
          <w:sz w:val="24"/>
          <w:szCs w:val="24"/>
          <w:lang w:val="en-GB"/>
        </w:rPr>
        <w:t xml:space="preserve"> 2012). Drawing on dynamic capacity theory, the paper highlights the need </w:t>
      </w:r>
      <w:r w:rsidR="0078784A" w:rsidRPr="00B565D0">
        <w:rPr>
          <w:rFonts w:cs="Arial"/>
          <w:sz w:val="24"/>
          <w:szCs w:val="24"/>
          <w:lang w:val="en-GB"/>
        </w:rPr>
        <w:t>for</w:t>
      </w:r>
      <w:r w:rsidRPr="00B565D0">
        <w:rPr>
          <w:rFonts w:cs="Arial"/>
          <w:sz w:val="24"/>
          <w:szCs w:val="24"/>
          <w:lang w:val="en-GB"/>
        </w:rPr>
        <w:t xml:space="preserve"> organisational adaptability </w:t>
      </w:r>
      <w:r w:rsidR="0078784A" w:rsidRPr="00B565D0">
        <w:rPr>
          <w:rFonts w:cs="Arial"/>
          <w:sz w:val="24"/>
          <w:szCs w:val="24"/>
          <w:lang w:val="en-GB"/>
        </w:rPr>
        <w:t>to</w:t>
      </w:r>
      <w:r w:rsidRPr="00B565D0">
        <w:rPr>
          <w:rFonts w:cs="Arial"/>
          <w:sz w:val="24"/>
          <w:szCs w:val="24"/>
          <w:lang w:val="en-GB"/>
        </w:rPr>
        <w:t xml:space="preserve"> retain a competitive edge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Helfat</w:t>
      </w:r>
      <w:proofErr w:type="spellEnd"/>
      <w:r w:rsidRPr="00B565D0">
        <w:rPr>
          <w:rFonts w:cs="Arial"/>
          <w:sz w:val="24"/>
          <w:szCs w:val="24"/>
          <w:lang w:val="en-GB"/>
        </w:rPr>
        <w:t xml:space="preserve"> </w:t>
      </w:r>
      <w:r w:rsidR="00454FE8" w:rsidRPr="00B565D0">
        <w:rPr>
          <w:rFonts w:cs="Arial"/>
          <w:sz w:val="24"/>
          <w:szCs w:val="24"/>
          <w:lang w:val="en-GB"/>
        </w:rPr>
        <w:t>and</w:t>
      </w:r>
      <w:r w:rsidRPr="00B565D0">
        <w:rPr>
          <w:rFonts w:cs="Arial"/>
          <w:sz w:val="24"/>
          <w:szCs w:val="24"/>
          <w:lang w:val="en-GB"/>
        </w:rPr>
        <w:t xml:space="preserve"> </w:t>
      </w:r>
      <w:proofErr w:type="spellStart"/>
      <w:r w:rsidRPr="00B565D0">
        <w:rPr>
          <w:rFonts w:cs="Arial"/>
          <w:sz w:val="24"/>
          <w:szCs w:val="24"/>
          <w:lang w:val="en-GB"/>
        </w:rPr>
        <w:t>Peteraf</w:t>
      </w:r>
      <w:proofErr w:type="spellEnd"/>
      <w:r w:rsidRPr="00B565D0">
        <w:rPr>
          <w:rFonts w:cs="Arial"/>
          <w:sz w:val="24"/>
          <w:szCs w:val="24"/>
          <w:lang w:val="en-GB"/>
        </w:rPr>
        <w:t xml:space="preserve">, 2015). To address these challenges, a Programme for Responsible Growth and Operational Resilience is suggested (McKinsey &amp; Company, 2016). This program integrates strategy alignment, governance improvement, communication, and performance assessment (Cummings and Worley, 2019; </w:t>
      </w:r>
      <w:proofErr w:type="spellStart"/>
      <w:r w:rsidRPr="00B565D0">
        <w:rPr>
          <w:rFonts w:cs="Arial"/>
          <w:sz w:val="24"/>
          <w:szCs w:val="24"/>
          <w:lang w:val="en-GB"/>
        </w:rPr>
        <w:t>Burnes</w:t>
      </w:r>
      <w:proofErr w:type="spellEnd"/>
      <w:r w:rsidRPr="00B565D0">
        <w:rPr>
          <w:rFonts w:cs="Arial"/>
          <w:sz w:val="24"/>
          <w:szCs w:val="24"/>
          <w:lang w:val="en-GB"/>
        </w:rPr>
        <w:t xml:space="preserve">, 2017). It is concluded that </w:t>
      </w:r>
      <w:proofErr w:type="spellStart"/>
      <w:r w:rsidRPr="00B565D0">
        <w:rPr>
          <w:rFonts w:cs="Arial"/>
          <w:sz w:val="24"/>
          <w:szCs w:val="24"/>
          <w:lang w:val="en-GB"/>
        </w:rPr>
        <w:t>Monzo's</w:t>
      </w:r>
      <w:proofErr w:type="spellEnd"/>
      <w:r w:rsidRPr="00B565D0">
        <w:rPr>
          <w:rFonts w:cs="Arial"/>
          <w:sz w:val="24"/>
          <w:szCs w:val="24"/>
          <w:lang w:val="en-GB"/>
        </w:rPr>
        <w:t xml:space="preserve"> lifespan is determined not just by its ability to innovate, but also by its ability to manage change </w:t>
      </w:r>
      <w:r w:rsidR="00B73512" w:rsidRPr="00B565D0">
        <w:rPr>
          <w:rFonts w:cs="Arial"/>
          <w:sz w:val="24"/>
          <w:szCs w:val="24"/>
          <w:lang w:val="en-GB"/>
        </w:rPr>
        <w:t>methodically</w:t>
      </w:r>
      <w:r w:rsidRPr="00B565D0">
        <w:rPr>
          <w:rFonts w:cs="Arial"/>
          <w:sz w:val="24"/>
          <w:szCs w:val="24"/>
          <w:lang w:val="en-GB"/>
        </w:rPr>
        <w:t xml:space="preserve"> and sustainably (Vial, 2019; </w:t>
      </w:r>
      <w:proofErr w:type="spellStart"/>
      <w:r w:rsidRPr="00B565D0">
        <w:rPr>
          <w:rFonts w:cs="Arial"/>
          <w:sz w:val="24"/>
          <w:szCs w:val="24"/>
          <w:lang w:val="en-GB"/>
        </w:rPr>
        <w:t>Teece</w:t>
      </w:r>
      <w:proofErr w:type="spellEnd"/>
      <w:r w:rsidRPr="00B565D0">
        <w:rPr>
          <w:rFonts w:cs="Arial"/>
          <w:sz w:val="24"/>
          <w:szCs w:val="24"/>
          <w:lang w:val="en-GB"/>
        </w:rPr>
        <w:t>, 2018).</w:t>
      </w:r>
    </w:p>
    <w:p w14:paraId="68AA51D8" w14:textId="77777777" w:rsidR="00B806AC" w:rsidRPr="00B565D0" w:rsidRDefault="00B806AC" w:rsidP="00053219">
      <w:pPr>
        <w:pStyle w:val="Heading2"/>
        <w:spacing w:line="360" w:lineRule="auto"/>
        <w:rPr>
          <w:rFonts w:ascii="Arial" w:eastAsiaTheme="minorHAnsi" w:hAnsi="Arial" w:cs="Arial"/>
          <w:b/>
          <w:sz w:val="28"/>
          <w:szCs w:val="28"/>
          <w:lang w:val="en-GB"/>
        </w:rPr>
      </w:pPr>
    </w:p>
    <w:p w14:paraId="35101201" w14:textId="66125741" w:rsidR="0037036A" w:rsidRPr="00B565D0" w:rsidRDefault="0037036A" w:rsidP="00053219">
      <w:pPr>
        <w:pStyle w:val="Heading2"/>
        <w:spacing w:line="360" w:lineRule="auto"/>
        <w:rPr>
          <w:rFonts w:ascii="Arial" w:eastAsiaTheme="minorHAnsi" w:hAnsi="Arial" w:cs="Arial"/>
          <w:b/>
          <w:sz w:val="28"/>
          <w:szCs w:val="28"/>
          <w:lang w:val="en-GB"/>
        </w:rPr>
      </w:pPr>
      <w:r w:rsidRPr="00B565D0">
        <w:rPr>
          <w:rFonts w:ascii="Arial" w:eastAsiaTheme="minorHAnsi" w:hAnsi="Arial" w:cs="Arial"/>
          <w:b/>
          <w:sz w:val="28"/>
          <w:szCs w:val="28"/>
          <w:lang w:val="en-GB"/>
        </w:rPr>
        <w:t>Introduction</w:t>
      </w:r>
      <w:bookmarkEnd w:id="3"/>
    </w:p>
    <w:p w14:paraId="208D3E9E" w14:textId="08569B28" w:rsidR="0005770B" w:rsidRPr="00B565D0" w:rsidRDefault="0005770B" w:rsidP="0005770B">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The financial services industry has undergone significant development </w:t>
      </w:r>
      <w:r w:rsidR="002707A2" w:rsidRPr="00B565D0">
        <w:rPr>
          <w:rFonts w:cs="Arial"/>
          <w:sz w:val="24"/>
          <w:szCs w:val="24"/>
          <w:lang w:val="en-GB"/>
        </w:rPr>
        <w:t>because of</w:t>
      </w:r>
      <w:r w:rsidRPr="00B565D0">
        <w:rPr>
          <w:rFonts w:cs="Arial"/>
          <w:sz w:val="24"/>
          <w:szCs w:val="24"/>
          <w:lang w:val="en-GB"/>
        </w:rPr>
        <w:t xml:space="preserve"> technolog</w:t>
      </w:r>
      <w:r w:rsidR="00C515E5" w:rsidRPr="00B565D0">
        <w:rPr>
          <w:rFonts w:cs="Arial"/>
          <w:sz w:val="24"/>
          <w:szCs w:val="24"/>
          <w:lang w:val="en-GB"/>
        </w:rPr>
        <w:t>ical</w:t>
      </w:r>
      <w:r w:rsidRPr="00B565D0">
        <w:rPr>
          <w:rFonts w:cs="Arial"/>
          <w:sz w:val="24"/>
          <w:szCs w:val="24"/>
          <w:lang w:val="en-GB"/>
        </w:rPr>
        <w:t xml:space="preserve"> advances, regulatory changes, and altering customer expectations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xml:space="preserve">, and Buckley, 2016;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xml:space="preserve">, 2018). </w:t>
      </w:r>
      <w:proofErr w:type="spellStart"/>
      <w:r w:rsidRPr="00B565D0">
        <w:rPr>
          <w:rFonts w:cs="Arial"/>
          <w:sz w:val="24"/>
          <w:szCs w:val="24"/>
          <w:lang w:val="en-GB"/>
        </w:rPr>
        <w:t>Monzo</w:t>
      </w:r>
      <w:proofErr w:type="spellEnd"/>
      <w:r w:rsidRPr="00B565D0">
        <w:rPr>
          <w:rFonts w:cs="Arial"/>
          <w:sz w:val="24"/>
          <w:szCs w:val="24"/>
          <w:lang w:val="en-GB"/>
        </w:rPr>
        <w:t xml:space="preserve"> is an important case study of organisational transformation, demonstrating both the benefits and drawbacks of digital disruption in the banking industry (Vial, 2019;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and Greenwood, 2018).</w:t>
      </w:r>
    </w:p>
    <w:p w14:paraId="65A7EC44" w14:textId="77777777" w:rsidR="0005770B" w:rsidRPr="00B565D0" w:rsidRDefault="0005770B" w:rsidP="0005770B">
      <w:pPr>
        <w:autoSpaceDE w:val="0"/>
        <w:autoSpaceDN w:val="0"/>
        <w:adjustRightInd w:val="0"/>
        <w:spacing w:after="0" w:line="360" w:lineRule="auto"/>
        <w:jc w:val="both"/>
        <w:rPr>
          <w:rFonts w:cs="Arial"/>
          <w:sz w:val="24"/>
          <w:szCs w:val="24"/>
          <w:lang w:val="en-GB"/>
        </w:rPr>
      </w:pPr>
    </w:p>
    <w:p w14:paraId="761FE7BB" w14:textId="33BCF11A" w:rsidR="0005770B" w:rsidRPr="00B565D0" w:rsidRDefault="0005770B" w:rsidP="0005770B">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was founded in 2015 to address recognised inefficiencies in traditional banking, offering a technologically sophisticated alternative differentiated by transparency, accessibility, and an engaged design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w:t>
      </w:r>
      <w:proofErr w:type="spellStart"/>
      <w:r w:rsidRPr="00B565D0">
        <w:rPr>
          <w:rFonts w:cs="Arial"/>
          <w:sz w:val="24"/>
          <w:szCs w:val="24"/>
          <w:lang w:val="en-GB"/>
        </w:rPr>
        <w:t>Bharadwaj</w:t>
      </w:r>
      <w:proofErr w:type="spellEnd"/>
      <w:r w:rsidRPr="00B565D0">
        <w:rPr>
          <w:rFonts w:cs="Arial"/>
          <w:sz w:val="24"/>
          <w:szCs w:val="24"/>
          <w:lang w:val="en-GB"/>
        </w:rPr>
        <w:t xml:space="preserve"> et al., 2013). This technique permitted rapid development but also increasing complexity as the company evolved in a strongly regulated environment (Financial Conduct Authority, 2024; </w:t>
      </w:r>
      <w:proofErr w:type="spellStart"/>
      <w:r w:rsidRPr="00B565D0">
        <w:rPr>
          <w:rFonts w:cs="Arial"/>
          <w:sz w:val="24"/>
          <w:szCs w:val="24"/>
          <w:lang w:val="en-GB"/>
        </w:rPr>
        <w:t>Burnes</w:t>
      </w:r>
      <w:proofErr w:type="spellEnd"/>
      <w:r w:rsidRPr="00B565D0">
        <w:rPr>
          <w:rFonts w:cs="Arial"/>
          <w:sz w:val="24"/>
          <w:szCs w:val="24"/>
          <w:lang w:val="en-GB"/>
        </w:rPr>
        <w:t xml:space="preserve">, 2017). </w:t>
      </w:r>
      <w:r w:rsidR="000B433F" w:rsidRPr="00B565D0">
        <w:rPr>
          <w:rFonts w:eastAsiaTheme="minorHAnsi" w:cs="Arial"/>
          <w:sz w:val="24"/>
          <w:szCs w:val="24"/>
          <w:lang w:val="en-GB"/>
          <w14:ligatures w14:val="standardContextual"/>
        </w:rPr>
        <w:t>This report adopts the perspective</w:t>
      </w:r>
      <w:r w:rsidRPr="00B565D0">
        <w:rPr>
          <w:rFonts w:cs="Arial"/>
          <w:sz w:val="24"/>
          <w:szCs w:val="24"/>
          <w:lang w:val="en-GB"/>
        </w:rPr>
        <w:t xml:space="preserve"> of a Change Manager who advises the board on resolving current and future concerns using proven change management approaches (</w:t>
      </w:r>
      <w:proofErr w:type="spellStart"/>
      <w:r w:rsidRPr="00B565D0">
        <w:rPr>
          <w:rFonts w:cs="Arial"/>
          <w:sz w:val="24"/>
          <w:szCs w:val="24"/>
          <w:lang w:val="en-GB"/>
        </w:rPr>
        <w:t>Kotter</w:t>
      </w:r>
      <w:proofErr w:type="spellEnd"/>
      <w:r w:rsidRPr="00B565D0">
        <w:rPr>
          <w:rFonts w:cs="Arial"/>
          <w:sz w:val="24"/>
          <w:szCs w:val="24"/>
          <w:lang w:val="en-GB"/>
        </w:rPr>
        <w:t xml:space="preserve">, 2012; Cummings and Worley, 2019). It thoroughly studies the causes driving change at </w:t>
      </w:r>
      <w:proofErr w:type="spellStart"/>
      <w:r w:rsidRPr="00B565D0">
        <w:rPr>
          <w:rFonts w:cs="Arial"/>
          <w:sz w:val="24"/>
          <w:szCs w:val="24"/>
          <w:lang w:val="en-GB"/>
        </w:rPr>
        <w:t>Monzo</w:t>
      </w:r>
      <w:proofErr w:type="spellEnd"/>
      <w:r w:rsidRPr="00B565D0">
        <w:rPr>
          <w:rFonts w:cs="Arial"/>
          <w:sz w:val="24"/>
          <w:szCs w:val="24"/>
          <w:lang w:val="en-GB"/>
        </w:rPr>
        <w:t>, evaluates relevant change management theories, and looks at the impact of leadership and organisational culture (</w:t>
      </w:r>
      <w:proofErr w:type="spellStart"/>
      <w:r w:rsidRPr="00B565D0">
        <w:rPr>
          <w:rFonts w:cs="Arial"/>
          <w:sz w:val="24"/>
          <w:szCs w:val="24"/>
          <w:lang w:val="en-GB"/>
        </w:rPr>
        <w:t>Schein</w:t>
      </w:r>
      <w:proofErr w:type="spellEnd"/>
      <w:r w:rsidRPr="00B565D0">
        <w:rPr>
          <w:rFonts w:cs="Arial"/>
          <w:sz w:val="24"/>
          <w:szCs w:val="24"/>
          <w:lang w:val="en-GB"/>
        </w:rPr>
        <w:t xml:space="preserve">, 2017; </w:t>
      </w:r>
      <w:proofErr w:type="spellStart"/>
      <w:r w:rsidRPr="00B565D0">
        <w:rPr>
          <w:rFonts w:cs="Arial"/>
          <w:sz w:val="24"/>
          <w:szCs w:val="24"/>
          <w:lang w:val="en-GB"/>
        </w:rPr>
        <w:t>Weick</w:t>
      </w:r>
      <w:proofErr w:type="spellEnd"/>
      <w:r w:rsidRPr="00B565D0">
        <w:rPr>
          <w:rFonts w:cs="Arial"/>
          <w:sz w:val="24"/>
          <w:szCs w:val="24"/>
          <w:lang w:val="en-GB"/>
        </w:rPr>
        <w:t xml:space="preserve"> and Quinn, 1999). The article concludes with a recommended structured change management approach to promote ongoing organisational growth (</w:t>
      </w:r>
      <w:proofErr w:type="spellStart"/>
      <w:r w:rsidRPr="00B565D0">
        <w:rPr>
          <w:rFonts w:cs="Arial"/>
          <w:sz w:val="24"/>
          <w:szCs w:val="24"/>
          <w:lang w:val="en-GB"/>
        </w:rPr>
        <w:t>Teece</w:t>
      </w:r>
      <w:proofErr w:type="spellEnd"/>
      <w:r w:rsidRPr="00B565D0">
        <w:rPr>
          <w:rFonts w:cs="Arial"/>
          <w:sz w:val="24"/>
          <w:szCs w:val="24"/>
          <w:lang w:val="en-GB"/>
        </w:rPr>
        <w:t>, 2018; McKinsey &amp; Company, 2016).</w:t>
      </w:r>
    </w:p>
    <w:p w14:paraId="4109FAE0" w14:textId="77777777" w:rsidR="00D87146" w:rsidRPr="00B565D0" w:rsidRDefault="00D87146" w:rsidP="0005770B">
      <w:pPr>
        <w:autoSpaceDE w:val="0"/>
        <w:autoSpaceDN w:val="0"/>
        <w:adjustRightInd w:val="0"/>
        <w:spacing w:after="0" w:line="360" w:lineRule="auto"/>
        <w:jc w:val="both"/>
        <w:rPr>
          <w:rFonts w:cs="Arial"/>
          <w:sz w:val="24"/>
          <w:szCs w:val="24"/>
          <w:lang w:val="en-GB"/>
        </w:rPr>
      </w:pPr>
    </w:p>
    <w:p w14:paraId="1C581810" w14:textId="77777777" w:rsidR="0037036A" w:rsidRPr="000D5A2F" w:rsidRDefault="0037036A" w:rsidP="00300389">
      <w:pPr>
        <w:pStyle w:val="Heading3"/>
        <w:tabs>
          <w:tab w:val="right" w:pos="9026"/>
        </w:tabs>
        <w:spacing w:line="360" w:lineRule="auto"/>
        <w:rPr>
          <w:rFonts w:eastAsiaTheme="minorHAnsi" w:cs="Arial"/>
          <w:b/>
          <w:bCs/>
          <w:sz w:val="24"/>
          <w:szCs w:val="24"/>
          <w:lang w:val="en-GB"/>
          <w14:ligatures w14:val="standardContextual"/>
        </w:rPr>
      </w:pPr>
      <w:bookmarkStart w:id="4" w:name="_Toc227790534"/>
      <w:r w:rsidRPr="000D5A2F">
        <w:rPr>
          <w:rFonts w:eastAsiaTheme="minorHAnsi" w:cs="Arial"/>
          <w:b/>
          <w:bCs/>
          <w:sz w:val="24"/>
          <w:szCs w:val="24"/>
          <w:lang w:val="en-GB"/>
          <w14:ligatures w14:val="standardContextual"/>
        </w:rPr>
        <w:t xml:space="preserve">2. Organisational Context of </w:t>
      </w:r>
      <w:proofErr w:type="spellStart"/>
      <w:r w:rsidRPr="000D5A2F">
        <w:rPr>
          <w:rFonts w:eastAsiaTheme="minorHAnsi" w:cs="Arial"/>
          <w:b/>
          <w:bCs/>
          <w:sz w:val="24"/>
          <w:szCs w:val="24"/>
          <w:lang w:val="en-GB"/>
          <w14:ligatures w14:val="standardContextual"/>
        </w:rPr>
        <w:t>Monzo</w:t>
      </w:r>
      <w:bookmarkEnd w:id="4"/>
      <w:proofErr w:type="spellEnd"/>
    </w:p>
    <w:p w14:paraId="24646C9C" w14:textId="453B33CC" w:rsidR="00EC08A1" w:rsidRPr="00B565D0" w:rsidRDefault="00893483" w:rsidP="00893483">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is a digitally based bank that primarily offers services through mobile devices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This strategy enhances cost efficiency and customer experience by leveraging </w:t>
      </w:r>
      <w:r w:rsidR="00241B4F" w:rsidRPr="00B565D0">
        <w:rPr>
          <w:rFonts w:cs="Arial"/>
          <w:sz w:val="24"/>
          <w:szCs w:val="24"/>
          <w:lang w:val="en-GB"/>
        </w:rPr>
        <w:t>a</w:t>
      </w:r>
      <w:r w:rsidRPr="00B565D0">
        <w:rPr>
          <w:rFonts w:cs="Arial"/>
          <w:sz w:val="24"/>
          <w:szCs w:val="24"/>
          <w:lang w:val="en-GB"/>
        </w:rPr>
        <w:t>nalytical and immediate transactions, demonstrating how fintech is transforming financial services through personalised design and accessibility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xml:space="preserve">, 2018; </w:t>
      </w:r>
      <w:proofErr w:type="spellStart"/>
      <w:r w:rsidRPr="00B565D0">
        <w:rPr>
          <w:rFonts w:cs="Arial"/>
          <w:sz w:val="24"/>
          <w:szCs w:val="24"/>
          <w:lang w:val="en-GB"/>
        </w:rPr>
        <w:t>Soldatos</w:t>
      </w:r>
      <w:proofErr w:type="spellEnd"/>
      <w:r w:rsidRPr="00B565D0">
        <w:rPr>
          <w:rFonts w:cs="Arial"/>
          <w:sz w:val="24"/>
          <w:szCs w:val="24"/>
          <w:lang w:val="en-GB"/>
        </w:rPr>
        <w:t xml:space="preserve"> and </w:t>
      </w:r>
      <w:proofErr w:type="spellStart"/>
      <w:r w:rsidRPr="00B565D0">
        <w:rPr>
          <w:rFonts w:cs="Arial"/>
          <w:sz w:val="24"/>
          <w:szCs w:val="24"/>
          <w:lang w:val="en-GB"/>
        </w:rPr>
        <w:t>Kyriazis</w:t>
      </w:r>
      <w:proofErr w:type="spellEnd"/>
      <w:r w:rsidRPr="00B565D0">
        <w:rPr>
          <w:rFonts w:cs="Arial"/>
          <w:sz w:val="24"/>
          <w:szCs w:val="24"/>
          <w:lang w:val="en-GB"/>
        </w:rPr>
        <w:t xml:space="preserve">, 2022). </w:t>
      </w:r>
      <w:proofErr w:type="spellStart"/>
      <w:r w:rsidRPr="00B565D0">
        <w:rPr>
          <w:rFonts w:cs="Arial"/>
          <w:sz w:val="24"/>
          <w:szCs w:val="24"/>
          <w:lang w:val="en-GB"/>
        </w:rPr>
        <w:t>Monzo</w:t>
      </w:r>
      <w:proofErr w:type="spellEnd"/>
      <w:r w:rsidRPr="00B565D0">
        <w:rPr>
          <w:rFonts w:cs="Arial"/>
          <w:sz w:val="24"/>
          <w:szCs w:val="24"/>
          <w:lang w:val="en-GB"/>
        </w:rPr>
        <w:t xml:space="preserve"> has been able to scale rapidly while maintaining customer satisfaction levels that surpass those of traditional banks as a result of the focus on technology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Harvard Business School Digital Initiative, 2020). </w:t>
      </w:r>
    </w:p>
    <w:p w14:paraId="20412ADF" w14:textId="77777777" w:rsidR="00EC08A1" w:rsidRPr="00B565D0" w:rsidRDefault="00EC08A1" w:rsidP="00893483">
      <w:pPr>
        <w:autoSpaceDE w:val="0"/>
        <w:autoSpaceDN w:val="0"/>
        <w:adjustRightInd w:val="0"/>
        <w:spacing w:after="0" w:line="360" w:lineRule="auto"/>
        <w:jc w:val="both"/>
        <w:rPr>
          <w:rFonts w:cs="Arial"/>
          <w:sz w:val="24"/>
          <w:szCs w:val="24"/>
          <w:lang w:val="en-GB"/>
        </w:rPr>
      </w:pPr>
    </w:p>
    <w:p w14:paraId="0D472156" w14:textId="061861D3" w:rsidR="00893483" w:rsidRPr="00B565D0" w:rsidRDefault="00893483" w:rsidP="00893483">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Monzo's</w:t>
      </w:r>
      <w:proofErr w:type="spellEnd"/>
      <w:r w:rsidRPr="00B565D0">
        <w:rPr>
          <w:rFonts w:cs="Arial"/>
          <w:sz w:val="24"/>
          <w:szCs w:val="24"/>
          <w:lang w:val="en-GB"/>
        </w:rPr>
        <w:t xml:space="preserve"> expansion represents a transition from an entrepreneurial enterprise to a regulated financial entity (Vial, 2019). </w:t>
      </w:r>
      <w:r w:rsidR="00B73512" w:rsidRPr="00B565D0">
        <w:rPr>
          <w:rFonts w:cs="Arial"/>
          <w:sz w:val="24"/>
          <w:szCs w:val="24"/>
          <w:lang w:val="en-GB"/>
        </w:rPr>
        <w:t>T</w:t>
      </w:r>
      <w:r w:rsidRPr="00B565D0">
        <w:rPr>
          <w:rFonts w:cs="Arial"/>
          <w:sz w:val="24"/>
          <w:szCs w:val="24"/>
          <w:lang w:val="en-GB"/>
        </w:rPr>
        <w:t>o preserve their effectiveness, businesses must establish formal governance frameworks, improve risk management systems, and standardise operational procedures as they expand (Cummings and Worley, 2019; Brown, Steen, and Foreman, 2009). This transition from entrepreneurial to mature organisational structures necessitates a meticulous equilibrium between regulatory compliance and the preservation of innovation capacity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Schein</w:t>
      </w:r>
      <w:proofErr w:type="spellEnd"/>
      <w:r w:rsidRPr="00B565D0">
        <w:rPr>
          <w:rFonts w:cs="Arial"/>
          <w:sz w:val="24"/>
          <w:szCs w:val="24"/>
          <w:lang w:val="en-GB"/>
        </w:rPr>
        <w:t xml:space="preserve">, 2017). </w:t>
      </w:r>
    </w:p>
    <w:p w14:paraId="7CD6A493" w14:textId="77777777" w:rsidR="00893483" w:rsidRPr="00B565D0" w:rsidRDefault="00893483" w:rsidP="00893483">
      <w:pPr>
        <w:autoSpaceDE w:val="0"/>
        <w:autoSpaceDN w:val="0"/>
        <w:adjustRightInd w:val="0"/>
        <w:spacing w:after="0" w:line="360" w:lineRule="auto"/>
        <w:jc w:val="both"/>
        <w:rPr>
          <w:rFonts w:cs="Arial"/>
          <w:sz w:val="24"/>
          <w:szCs w:val="24"/>
          <w:lang w:val="en-GB"/>
        </w:rPr>
      </w:pPr>
    </w:p>
    <w:p w14:paraId="51748E6B" w14:textId="77777777" w:rsidR="00893483" w:rsidRPr="00B565D0" w:rsidRDefault="00893483" w:rsidP="00893483">
      <w:pPr>
        <w:autoSpaceDE w:val="0"/>
        <w:autoSpaceDN w:val="0"/>
        <w:adjustRightInd w:val="0"/>
        <w:spacing w:after="0" w:line="360" w:lineRule="auto"/>
        <w:jc w:val="both"/>
        <w:rPr>
          <w:rFonts w:cs="Arial"/>
          <w:sz w:val="24"/>
          <w:szCs w:val="24"/>
          <w:lang w:val="en-GB"/>
        </w:rPr>
      </w:pPr>
      <w:r w:rsidRPr="00B565D0">
        <w:rPr>
          <w:rFonts w:cs="Arial"/>
          <w:sz w:val="24"/>
          <w:szCs w:val="24"/>
          <w:lang w:val="en-GB"/>
        </w:rPr>
        <w:t>This creates a strategic tension between regulation and innovation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and Greenwood, 2018). Although agility is essential for maintaining a competitive edge, the expansion of scope requires increased responsibility and monitoring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xml:space="preserve">, 2015;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Schein</w:t>
      </w:r>
      <w:proofErr w:type="spellEnd"/>
      <w:r w:rsidRPr="00B565D0">
        <w:rPr>
          <w:rFonts w:cs="Arial"/>
          <w:sz w:val="24"/>
          <w:szCs w:val="24"/>
          <w:lang w:val="en-GB"/>
        </w:rPr>
        <w:t xml:space="preserve"> (2017) underscores the importance of corporate culture in the resolution of tensions, as it influences the implementation of change. Therefore, </w:t>
      </w:r>
      <w:proofErr w:type="spellStart"/>
      <w:r w:rsidRPr="00B565D0">
        <w:rPr>
          <w:rFonts w:cs="Arial"/>
          <w:sz w:val="24"/>
          <w:szCs w:val="24"/>
          <w:lang w:val="en-GB"/>
        </w:rPr>
        <w:t>Monzo's</w:t>
      </w:r>
      <w:proofErr w:type="spellEnd"/>
      <w:r w:rsidRPr="00B565D0">
        <w:rPr>
          <w:rFonts w:cs="Arial"/>
          <w:sz w:val="24"/>
          <w:szCs w:val="24"/>
          <w:lang w:val="en-GB"/>
        </w:rPr>
        <w:t xml:space="preserve"> current status represents a critical juncture in its organisational evolution, as the balance between innovation and governance is essential for sustainable growth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Financial Conduct Authority, 2024).</w:t>
      </w:r>
    </w:p>
    <w:p w14:paraId="146D2210" w14:textId="77777777" w:rsidR="009C3DA1" w:rsidRPr="00B565D0" w:rsidRDefault="009C3DA1" w:rsidP="009C3DA1">
      <w:pPr>
        <w:autoSpaceDE w:val="0"/>
        <w:autoSpaceDN w:val="0"/>
        <w:adjustRightInd w:val="0"/>
        <w:spacing w:after="0" w:line="360" w:lineRule="auto"/>
        <w:jc w:val="both"/>
        <w:rPr>
          <w:rFonts w:eastAsiaTheme="minorHAnsi" w:cs="Arial"/>
          <w:sz w:val="24"/>
          <w:szCs w:val="24"/>
          <w:lang w:val="en-GB"/>
          <w14:ligatures w14:val="standardContextual"/>
        </w:rPr>
      </w:pPr>
    </w:p>
    <w:p w14:paraId="546F1FAC" w14:textId="77777777" w:rsidR="0037036A" w:rsidRPr="000D5A2F" w:rsidRDefault="0037036A" w:rsidP="00053219">
      <w:pPr>
        <w:pStyle w:val="Heading3"/>
        <w:spacing w:line="360" w:lineRule="auto"/>
        <w:rPr>
          <w:rFonts w:eastAsiaTheme="minorHAnsi" w:cs="Arial"/>
          <w:b/>
          <w:bCs/>
          <w:sz w:val="24"/>
          <w:szCs w:val="24"/>
          <w:lang w:val="en-GB"/>
          <w14:ligatures w14:val="standardContextual"/>
        </w:rPr>
      </w:pPr>
      <w:bookmarkStart w:id="5" w:name="_Toc227790535"/>
      <w:r w:rsidRPr="000D5A2F">
        <w:rPr>
          <w:rFonts w:eastAsiaTheme="minorHAnsi" w:cs="Arial"/>
          <w:b/>
          <w:bCs/>
          <w:sz w:val="24"/>
          <w:szCs w:val="24"/>
          <w:lang w:val="en-GB"/>
          <w14:ligatures w14:val="standardContextual"/>
        </w:rPr>
        <w:t>2.1 Market Positioning and Competitive Strategy</w:t>
      </w:r>
      <w:bookmarkEnd w:id="5"/>
    </w:p>
    <w:p w14:paraId="46EB651C" w14:textId="32B2931B" w:rsidR="002A2B2C" w:rsidRPr="00B565D0" w:rsidRDefault="001974EE" w:rsidP="002A2B2C">
      <w:pPr>
        <w:rPr>
          <w:rFonts w:cs="Arial"/>
          <w:lang w:val="en-GB"/>
        </w:rPr>
      </w:pPr>
      <w:r w:rsidRPr="00B565D0">
        <w:rPr>
          <w:rFonts w:cs="Arial"/>
          <w:lang w:val="en-GB"/>
          <w14:ligatures w14:val="standardContextual"/>
        </w:rPr>
        <w:drawing>
          <wp:anchor distT="0" distB="0" distL="114300" distR="114300" simplePos="0" relativeHeight="251658241" behindDoc="0" locked="0" layoutInCell="1" allowOverlap="1" wp14:anchorId="042B351D" wp14:editId="5171B31F">
            <wp:simplePos x="0" y="0"/>
            <wp:positionH relativeFrom="column">
              <wp:posOffset>-635</wp:posOffset>
            </wp:positionH>
            <wp:positionV relativeFrom="paragraph">
              <wp:posOffset>224790</wp:posOffset>
            </wp:positionV>
            <wp:extent cx="5588000" cy="2857500"/>
            <wp:effectExtent l="0" t="0" r="0" b="0"/>
            <wp:wrapTopAndBottom/>
            <wp:docPr id="1240636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36978" name="Picture 1240636978"/>
                    <pic:cNvPicPr/>
                  </pic:nvPicPr>
                  <pic:blipFill>
                    <a:blip r:embed="rId9">
                      <a:extLst>
                        <a:ext uri="{28A0092B-C50C-407E-A947-70E740481C1C}">
                          <a14:useLocalDpi xmlns:a14="http://schemas.microsoft.com/office/drawing/2010/main" val="0"/>
                        </a:ext>
                      </a:extLst>
                    </a:blip>
                    <a:stretch>
                      <a:fillRect/>
                    </a:stretch>
                  </pic:blipFill>
                  <pic:spPr>
                    <a:xfrm>
                      <a:off x="0" y="0"/>
                      <a:ext cx="5588000" cy="2857500"/>
                    </a:xfrm>
                    <a:prstGeom prst="rect">
                      <a:avLst/>
                    </a:prstGeom>
                  </pic:spPr>
                </pic:pic>
              </a:graphicData>
            </a:graphic>
          </wp:anchor>
        </w:drawing>
      </w:r>
    </w:p>
    <w:p w14:paraId="4311A539" w14:textId="77777777" w:rsidR="00474FE7" w:rsidRPr="00B565D0" w:rsidRDefault="00DC18F3" w:rsidP="00474FE7">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Source: </w:t>
      </w:r>
      <w:r w:rsidR="00474FE7" w:rsidRPr="00B565D0">
        <w:rPr>
          <w:rFonts w:cs="Arial"/>
          <w:sz w:val="24"/>
          <w:szCs w:val="24"/>
          <w:lang w:val="en-GB"/>
        </w:rPr>
        <w:t>Adapted from the Harvard Business School Digital Initiative (2020)</w:t>
      </w:r>
    </w:p>
    <w:p w14:paraId="2C4F6A4A" w14:textId="77777777" w:rsidR="009F029B" w:rsidRPr="00B565D0" w:rsidRDefault="009F029B" w:rsidP="00474FE7">
      <w:pPr>
        <w:autoSpaceDE w:val="0"/>
        <w:autoSpaceDN w:val="0"/>
        <w:adjustRightInd w:val="0"/>
        <w:spacing w:after="0" w:line="360" w:lineRule="auto"/>
        <w:jc w:val="both"/>
        <w:rPr>
          <w:rFonts w:cs="Arial"/>
          <w:sz w:val="24"/>
          <w:szCs w:val="24"/>
          <w:lang w:val="en-GB"/>
        </w:rPr>
      </w:pPr>
    </w:p>
    <w:p w14:paraId="4617C42D" w14:textId="63914C2D" w:rsidR="00596C3C" w:rsidRPr="00B565D0" w:rsidRDefault="00474FE7" w:rsidP="00474FE7">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Monzo's</w:t>
      </w:r>
      <w:proofErr w:type="spellEnd"/>
      <w:r w:rsidRPr="00B565D0">
        <w:rPr>
          <w:rFonts w:cs="Arial"/>
          <w:sz w:val="24"/>
          <w:szCs w:val="24"/>
          <w:lang w:val="en-GB"/>
        </w:rPr>
        <w:t xml:space="preserve"> competitive positioning is indicative of a transition to core framework financial services, which prioritises user experience and integration with third parties over traditional branch infrastructure (</w:t>
      </w:r>
      <w:proofErr w:type="spellStart"/>
      <w:r w:rsidRPr="00B565D0">
        <w:rPr>
          <w:rFonts w:cs="Arial"/>
          <w:sz w:val="24"/>
          <w:szCs w:val="24"/>
          <w:lang w:val="en-GB"/>
        </w:rPr>
        <w:t>Bharadwaj</w:t>
      </w:r>
      <w:proofErr w:type="spellEnd"/>
      <w:r w:rsidRPr="00B565D0">
        <w:rPr>
          <w:rFonts w:cs="Arial"/>
          <w:sz w:val="24"/>
          <w:szCs w:val="24"/>
          <w:lang w:val="en-GB"/>
        </w:rPr>
        <w:t xml:space="preserve"> et al., 2013;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xml:space="preserve">, 2018). Nevertheless, competitors </w:t>
      </w:r>
      <w:r w:rsidR="00A8031C" w:rsidRPr="00B565D0">
        <w:rPr>
          <w:rFonts w:cs="Arial"/>
          <w:sz w:val="24"/>
          <w:szCs w:val="24"/>
          <w:lang w:val="en-GB"/>
        </w:rPr>
        <w:t>can</w:t>
      </w:r>
      <w:r w:rsidRPr="00B565D0">
        <w:rPr>
          <w:rFonts w:cs="Arial"/>
          <w:sz w:val="24"/>
          <w:szCs w:val="24"/>
          <w:lang w:val="en-GB"/>
        </w:rPr>
        <w:t xml:space="preserve"> rapidly replicate features due to the low entry barriers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and Buckley, 2016). Subsequently, competitive advantage is increasingly contingent upon organisational capabilities, including regulatory compliance, data stewardship, and customer trust, rather than technology alone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xml:space="preserve">, 2015). </w:t>
      </w:r>
      <w:proofErr w:type="spellStart"/>
      <w:r w:rsidRPr="00B565D0">
        <w:rPr>
          <w:rFonts w:cs="Arial"/>
          <w:sz w:val="24"/>
          <w:szCs w:val="24"/>
          <w:lang w:val="en-GB"/>
        </w:rPr>
        <w:t>Monzo's</w:t>
      </w:r>
      <w:proofErr w:type="spellEnd"/>
      <w:r w:rsidRPr="00B565D0">
        <w:rPr>
          <w:rFonts w:cs="Arial"/>
          <w:sz w:val="24"/>
          <w:szCs w:val="24"/>
          <w:lang w:val="en-GB"/>
        </w:rPr>
        <w:t xml:space="preserve"> digital platform model and its value creation through ecosystem integration are depicted in the figure.</w:t>
      </w:r>
    </w:p>
    <w:p w14:paraId="7FEA0E06" w14:textId="77777777" w:rsidR="0037036A" w:rsidRPr="00B565D0" w:rsidRDefault="0037036A" w:rsidP="00474FE7">
      <w:pPr>
        <w:autoSpaceDE w:val="0"/>
        <w:autoSpaceDN w:val="0"/>
        <w:adjustRightInd w:val="0"/>
        <w:spacing w:after="0" w:line="360" w:lineRule="auto"/>
        <w:jc w:val="both"/>
        <w:rPr>
          <w:rFonts w:eastAsiaTheme="minorHAnsi" w:cs="Arial"/>
          <w:sz w:val="24"/>
          <w:szCs w:val="24"/>
          <w:lang w:val="en-GB"/>
          <w14:ligatures w14:val="standardContextual"/>
        </w:rPr>
      </w:pPr>
    </w:p>
    <w:p w14:paraId="6AF4FF0A" w14:textId="61654024" w:rsidR="0037036A" w:rsidRPr="000D5A2F"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6" w:name="_Toc227790536"/>
      <w:r w:rsidRPr="000D5A2F">
        <w:rPr>
          <w:rFonts w:ascii="Arial" w:eastAsiaTheme="minorHAnsi" w:hAnsi="Arial" w:cs="Arial"/>
          <w:b/>
          <w:bCs/>
          <w:sz w:val="24"/>
          <w:szCs w:val="24"/>
          <w:lang w:val="en-GB"/>
          <w14:ligatures w14:val="standardContextual"/>
        </w:rPr>
        <w:t>3. Drivers of Strategic Change</w:t>
      </w:r>
      <w:bookmarkEnd w:id="6"/>
    </w:p>
    <w:p w14:paraId="17EFC33C" w14:textId="77777777" w:rsidR="0073469C" w:rsidRPr="00B565D0" w:rsidRDefault="0073469C" w:rsidP="00217B1C">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operates in a context that is characterised by escalating competition and rapid technological advancement (</w:t>
      </w:r>
      <w:proofErr w:type="spellStart"/>
      <w:r w:rsidRPr="00B565D0">
        <w:rPr>
          <w:rFonts w:cs="Arial"/>
          <w:sz w:val="24"/>
          <w:szCs w:val="24"/>
          <w:lang w:val="en-GB"/>
        </w:rPr>
        <w:t>Bharadwaj</w:t>
      </w:r>
      <w:proofErr w:type="spellEnd"/>
      <w:r w:rsidRPr="00B565D0">
        <w:rPr>
          <w:rFonts w:cs="Arial"/>
          <w:sz w:val="24"/>
          <w:szCs w:val="24"/>
          <w:lang w:val="en-GB"/>
        </w:rPr>
        <w:t xml:space="preserve"> et al., 2013; Vial, 2019). Customers' expectations have been transformed by digital disruption, as they now expect a focus on mobile, immediate, and seamless services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xml:space="preserve">, 2018;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Although </w:t>
      </w:r>
      <w:proofErr w:type="spellStart"/>
      <w:r w:rsidRPr="00B565D0">
        <w:rPr>
          <w:rFonts w:cs="Arial"/>
          <w:sz w:val="24"/>
          <w:szCs w:val="24"/>
          <w:lang w:val="en-GB"/>
        </w:rPr>
        <w:t>Monzo</w:t>
      </w:r>
      <w:proofErr w:type="spellEnd"/>
      <w:r w:rsidRPr="00B565D0">
        <w:rPr>
          <w:rFonts w:cs="Arial"/>
          <w:sz w:val="24"/>
          <w:szCs w:val="24"/>
          <w:lang w:val="en-GB"/>
        </w:rPr>
        <w:t xml:space="preserve"> has capitalised on these trends, they also serve to diminish entry barriers and heighten competitive pressure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xml:space="preserve"> and Buckley, 2016;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xml:space="preserve"> and Greenwood, 2018).</w:t>
      </w:r>
    </w:p>
    <w:p w14:paraId="64218E57" w14:textId="77777777" w:rsidR="0073469C" w:rsidRPr="00B565D0" w:rsidRDefault="0073469C" w:rsidP="00217B1C">
      <w:pPr>
        <w:autoSpaceDE w:val="0"/>
        <w:autoSpaceDN w:val="0"/>
        <w:adjustRightInd w:val="0"/>
        <w:spacing w:after="0" w:line="360" w:lineRule="auto"/>
        <w:jc w:val="both"/>
        <w:rPr>
          <w:rFonts w:cs="Arial"/>
          <w:sz w:val="24"/>
          <w:szCs w:val="24"/>
          <w:lang w:val="en-GB"/>
        </w:rPr>
      </w:pPr>
    </w:p>
    <w:p w14:paraId="765E8CA0" w14:textId="77777777" w:rsidR="0073469C" w:rsidRPr="00B565D0" w:rsidRDefault="0073469C" w:rsidP="00217B1C">
      <w:pPr>
        <w:autoSpaceDE w:val="0"/>
        <w:autoSpaceDN w:val="0"/>
        <w:adjustRightInd w:val="0"/>
        <w:spacing w:after="0" w:line="360" w:lineRule="auto"/>
        <w:jc w:val="both"/>
        <w:rPr>
          <w:rFonts w:cs="Arial"/>
          <w:sz w:val="24"/>
          <w:szCs w:val="24"/>
          <w:lang w:val="en-GB"/>
        </w:rPr>
      </w:pPr>
      <w:r w:rsidRPr="00B565D0">
        <w:rPr>
          <w:rFonts w:cs="Arial"/>
          <w:sz w:val="24"/>
          <w:szCs w:val="24"/>
          <w:lang w:val="en-GB"/>
        </w:rPr>
        <w:t>Through automation in fraud detection and consumer service, artificial intelligence has revolutionised the sector (</w:t>
      </w:r>
      <w:proofErr w:type="spellStart"/>
      <w:r w:rsidRPr="00B565D0">
        <w:rPr>
          <w:rFonts w:cs="Arial"/>
          <w:sz w:val="24"/>
          <w:szCs w:val="24"/>
          <w:lang w:val="en-GB"/>
        </w:rPr>
        <w:t>Soldatos</w:t>
      </w:r>
      <w:proofErr w:type="spellEnd"/>
      <w:r w:rsidRPr="00B565D0">
        <w:rPr>
          <w:rFonts w:cs="Arial"/>
          <w:sz w:val="24"/>
          <w:szCs w:val="24"/>
          <w:lang w:val="en-GB"/>
        </w:rPr>
        <w:t xml:space="preserve"> and </w:t>
      </w:r>
      <w:proofErr w:type="spellStart"/>
      <w:r w:rsidRPr="00B565D0">
        <w:rPr>
          <w:rFonts w:cs="Arial"/>
          <w:sz w:val="24"/>
          <w:szCs w:val="24"/>
          <w:lang w:val="en-GB"/>
        </w:rPr>
        <w:t>Kyriazis</w:t>
      </w:r>
      <w:proofErr w:type="spellEnd"/>
      <w:r w:rsidRPr="00B565D0">
        <w:rPr>
          <w:rFonts w:cs="Arial"/>
          <w:sz w:val="24"/>
          <w:szCs w:val="24"/>
          <w:lang w:val="en-GB"/>
        </w:rPr>
        <w:t xml:space="preserve">, 2022; </w:t>
      </w:r>
      <w:proofErr w:type="spellStart"/>
      <w:r w:rsidRPr="00B565D0">
        <w:rPr>
          <w:rFonts w:cs="Arial"/>
          <w:sz w:val="24"/>
          <w:szCs w:val="24"/>
          <w:lang w:val="en-GB"/>
        </w:rPr>
        <w:t>Bharadwaj</w:t>
      </w:r>
      <w:proofErr w:type="spellEnd"/>
      <w:r w:rsidRPr="00B565D0">
        <w:rPr>
          <w:rFonts w:cs="Arial"/>
          <w:sz w:val="24"/>
          <w:szCs w:val="24"/>
          <w:lang w:val="en-GB"/>
        </w:rPr>
        <w:t xml:space="preserve"> et al., 2013). Nevertheless, the implementation of AI presents governance challenges in the areas of accountability, transparency, and compliance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and Buckley, 2016). In response, regulatory bodies have intensified their examination of operational resilience and consumer protection (Financial Conduct Authority, 2024; Brown, Steen, and Foreman, 2009).</w:t>
      </w:r>
    </w:p>
    <w:p w14:paraId="2445BAFB" w14:textId="77777777" w:rsidR="0073469C" w:rsidRPr="00B565D0" w:rsidRDefault="0073469C" w:rsidP="00217B1C">
      <w:pPr>
        <w:autoSpaceDE w:val="0"/>
        <w:autoSpaceDN w:val="0"/>
        <w:adjustRightInd w:val="0"/>
        <w:spacing w:after="0" w:line="360" w:lineRule="auto"/>
        <w:jc w:val="both"/>
        <w:rPr>
          <w:rFonts w:cs="Arial"/>
          <w:sz w:val="24"/>
          <w:szCs w:val="24"/>
          <w:lang w:val="en-GB"/>
        </w:rPr>
      </w:pPr>
    </w:p>
    <w:p w14:paraId="2A0B0A20" w14:textId="0AC46D95" w:rsidR="0037036A" w:rsidRPr="00B565D0" w:rsidRDefault="0073469C" w:rsidP="00217B1C">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Internally, rapid expansion poses obstacles due to the complexity of communication, the </w:t>
      </w:r>
      <w:r w:rsidR="00327F73" w:rsidRPr="00B565D0">
        <w:rPr>
          <w:rFonts w:cs="Arial"/>
          <w:sz w:val="24"/>
          <w:szCs w:val="24"/>
          <w:lang w:val="en-GB"/>
        </w:rPr>
        <w:t>judgment</w:t>
      </w:r>
      <w:r w:rsidRPr="00B565D0">
        <w:rPr>
          <w:rFonts w:cs="Arial"/>
          <w:sz w:val="24"/>
          <w:szCs w:val="24"/>
          <w:lang w:val="en-GB"/>
        </w:rPr>
        <w:t xml:space="preserve"> of </w:t>
      </w:r>
      <w:r w:rsidR="002A2335" w:rsidRPr="00B565D0">
        <w:rPr>
          <w:rFonts w:cs="Arial"/>
          <w:sz w:val="24"/>
          <w:szCs w:val="24"/>
          <w:lang w:val="en-GB"/>
        </w:rPr>
        <w:t>resolution</w:t>
      </w:r>
      <w:r w:rsidRPr="00B565D0">
        <w:rPr>
          <w:rFonts w:cs="Arial"/>
          <w:sz w:val="24"/>
          <w:szCs w:val="24"/>
          <w:lang w:val="en-GB"/>
        </w:rPr>
        <w:t>, and the inadequacy of informal structures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This requires the implementation of formalised systems that may be in opposition to the organi</w:t>
      </w:r>
      <w:r w:rsidR="002A2335" w:rsidRPr="00B565D0">
        <w:rPr>
          <w:rFonts w:cs="Arial"/>
          <w:sz w:val="24"/>
          <w:szCs w:val="24"/>
          <w:lang w:val="en-GB"/>
        </w:rPr>
        <w:t>s</w:t>
      </w:r>
      <w:r w:rsidRPr="00B565D0">
        <w:rPr>
          <w:rFonts w:cs="Arial"/>
          <w:sz w:val="24"/>
          <w:szCs w:val="24"/>
          <w:lang w:val="en-GB"/>
        </w:rPr>
        <w:t>ation's original culture of experimentation and agility (</w:t>
      </w:r>
      <w:proofErr w:type="spellStart"/>
      <w:r w:rsidRPr="00B565D0">
        <w:rPr>
          <w:rFonts w:cs="Arial"/>
          <w:sz w:val="24"/>
          <w:szCs w:val="24"/>
          <w:lang w:val="en-GB"/>
        </w:rPr>
        <w:t>Schein</w:t>
      </w:r>
      <w:proofErr w:type="spellEnd"/>
      <w:r w:rsidRPr="00B565D0">
        <w:rPr>
          <w:rFonts w:cs="Arial"/>
          <w:sz w:val="24"/>
          <w:szCs w:val="24"/>
          <w:lang w:val="en-GB"/>
        </w:rPr>
        <w:t xml:space="preserve">, 2017; </w:t>
      </w:r>
      <w:proofErr w:type="spellStart"/>
      <w:r w:rsidRPr="00B565D0">
        <w:rPr>
          <w:rFonts w:cs="Arial"/>
          <w:sz w:val="24"/>
          <w:szCs w:val="24"/>
          <w:lang w:val="en-GB"/>
        </w:rPr>
        <w:t>Weick</w:t>
      </w:r>
      <w:proofErr w:type="spellEnd"/>
      <w:r w:rsidRPr="00B565D0">
        <w:rPr>
          <w:rFonts w:cs="Arial"/>
          <w:sz w:val="24"/>
          <w:szCs w:val="24"/>
          <w:lang w:val="en-GB"/>
        </w:rPr>
        <w:t xml:space="preserve"> and Quinn, 1999).</w:t>
      </w:r>
    </w:p>
    <w:p w14:paraId="71888A28" w14:textId="77777777" w:rsidR="00217B1C" w:rsidRPr="00B565D0" w:rsidRDefault="00217B1C" w:rsidP="00217B1C">
      <w:pPr>
        <w:autoSpaceDE w:val="0"/>
        <w:autoSpaceDN w:val="0"/>
        <w:adjustRightInd w:val="0"/>
        <w:spacing w:after="0" w:line="360" w:lineRule="auto"/>
        <w:jc w:val="both"/>
        <w:rPr>
          <w:rFonts w:eastAsiaTheme="minorHAnsi" w:cs="Arial"/>
          <w:sz w:val="24"/>
          <w:szCs w:val="24"/>
          <w:lang w:val="en-GB"/>
          <w14:ligatures w14:val="standardContextual"/>
        </w:rPr>
      </w:pPr>
    </w:p>
    <w:p w14:paraId="0490291F" w14:textId="77777777" w:rsidR="0037036A" w:rsidRPr="000D5A2F" w:rsidRDefault="0037036A" w:rsidP="00053219">
      <w:pPr>
        <w:pStyle w:val="Heading3"/>
        <w:spacing w:line="360" w:lineRule="auto"/>
        <w:rPr>
          <w:rFonts w:eastAsiaTheme="minorHAnsi" w:cs="Arial"/>
          <w:b/>
          <w:bCs/>
          <w:sz w:val="24"/>
          <w:szCs w:val="24"/>
          <w:lang w:val="en-GB"/>
          <w14:ligatures w14:val="standardContextual"/>
        </w:rPr>
      </w:pPr>
      <w:bookmarkStart w:id="7" w:name="_Toc227790537"/>
      <w:r w:rsidRPr="000D5A2F">
        <w:rPr>
          <w:rFonts w:eastAsiaTheme="minorHAnsi" w:cs="Arial"/>
          <w:b/>
          <w:bCs/>
          <w:sz w:val="24"/>
          <w:szCs w:val="24"/>
          <w:lang w:val="en-GB"/>
          <w14:ligatures w14:val="standardContextual"/>
        </w:rPr>
        <w:t>3.1 Regulatory and Risk Environment</w:t>
      </w:r>
      <w:bookmarkEnd w:id="7"/>
    </w:p>
    <w:p w14:paraId="3C39EDB7" w14:textId="77777777" w:rsidR="00F96691" w:rsidRPr="00B565D0" w:rsidRDefault="00F96691" w:rsidP="0000431E">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Monzo's</w:t>
      </w:r>
      <w:proofErr w:type="spellEnd"/>
      <w:r w:rsidRPr="00B565D0">
        <w:rPr>
          <w:rFonts w:cs="Arial"/>
          <w:sz w:val="24"/>
          <w:szCs w:val="24"/>
          <w:lang w:val="en-GB"/>
        </w:rPr>
        <w:t xml:space="preserve"> regulatory environment is a substantial factor in its evolution (Financial Conduct Authority, 2024). Financial institutions are subject to rigorous regulation that is intended to preserve trust, safeguard consumers, and guarantee stability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and Buckley, 2016; Brown, Steen, and Foreman, 2009). Innovation frequently surpasses regulatory frameworks in the context of digital institutions, resulting in unique obstacles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2018; Vial, 2019).</w:t>
      </w:r>
    </w:p>
    <w:p w14:paraId="15616A1D" w14:textId="77777777" w:rsidR="00F96691" w:rsidRPr="00B565D0" w:rsidRDefault="00F96691" w:rsidP="0000431E">
      <w:pPr>
        <w:autoSpaceDE w:val="0"/>
        <w:autoSpaceDN w:val="0"/>
        <w:adjustRightInd w:val="0"/>
        <w:spacing w:after="0" w:line="360" w:lineRule="auto"/>
        <w:jc w:val="both"/>
        <w:rPr>
          <w:rFonts w:cs="Arial"/>
          <w:sz w:val="24"/>
          <w:szCs w:val="24"/>
          <w:lang w:val="en-GB"/>
        </w:rPr>
      </w:pPr>
    </w:p>
    <w:p w14:paraId="5530A2D7" w14:textId="77777777" w:rsidR="00F96691" w:rsidRPr="00B565D0" w:rsidRDefault="00F96691" w:rsidP="0000431E">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Monzo's</w:t>
      </w:r>
      <w:proofErr w:type="spellEnd"/>
      <w:r w:rsidRPr="00B565D0">
        <w:rPr>
          <w:rFonts w:cs="Arial"/>
          <w:sz w:val="24"/>
          <w:szCs w:val="24"/>
          <w:lang w:val="en-GB"/>
        </w:rPr>
        <w:t xml:space="preserve"> expansion has resulted in heightened regulatory scrutiny regarding operational resilience, data protection, and safeguards against money laundering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Financial Conduct Authority, 2024). Compliance is a continuous adaptation process, as regulatory expectations are subject to constant change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and Buckley, 2016).</w:t>
      </w:r>
    </w:p>
    <w:p w14:paraId="45E3F6CF" w14:textId="77777777" w:rsidR="00F96691" w:rsidRPr="00B565D0" w:rsidRDefault="00F96691" w:rsidP="0000431E">
      <w:pPr>
        <w:autoSpaceDE w:val="0"/>
        <w:autoSpaceDN w:val="0"/>
        <w:adjustRightInd w:val="0"/>
        <w:spacing w:after="0" w:line="360" w:lineRule="auto"/>
        <w:jc w:val="both"/>
        <w:rPr>
          <w:rFonts w:cs="Arial"/>
          <w:sz w:val="24"/>
          <w:szCs w:val="24"/>
          <w:lang w:val="en-GB"/>
        </w:rPr>
      </w:pPr>
    </w:p>
    <w:p w14:paraId="659B45C6" w14:textId="3DD92A37" w:rsidR="0000431E" w:rsidRPr="00B565D0" w:rsidRDefault="00F96691" w:rsidP="0000431E">
      <w:pPr>
        <w:autoSpaceDE w:val="0"/>
        <w:autoSpaceDN w:val="0"/>
        <w:adjustRightInd w:val="0"/>
        <w:spacing w:after="0" w:line="360" w:lineRule="auto"/>
        <w:jc w:val="both"/>
        <w:rPr>
          <w:rFonts w:cs="Arial"/>
          <w:sz w:val="24"/>
          <w:szCs w:val="24"/>
          <w:lang w:val="en-GB"/>
        </w:rPr>
      </w:pPr>
      <w:r w:rsidRPr="00B565D0">
        <w:rPr>
          <w:rFonts w:cs="Arial"/>
          <w:sz w:val="24"/>
          <w:szCs w:val="24"/>
          <w:lang w:val="en-GB"/>
        </w:rPr>
        <w:t>Regulation functions as both a constraint and a catalyst from the perspective of change management (</w:t>
      </w:r>
      <w:proofErr w:type="spellStart"/>
      <w:r w:rsidRPr="00B565D0">
        <w:rPr>
          <w:rFonts w:cs="Arial"/>
          <w:sz w:val="24"/>
          <w:szCs w:val="24"/>
          <w:lang w:val="en-GB"/>
        </w:rPr>
        <w:t>Weick</w:t>
      </w:r>
      <w:proofErr w:type="spellEnd"/>
      <w:r w:rsidRPr="00B565D0">
        <w:rPr>
          <w:rFonts w:cs="Arial"/>
          <w:sz w:val="24"/>
          <w:szCs w:val="24"/>
          <w:lang w:val="en-GB"/>
        </w:rPr>
        <w:t xml:space="preserve"> and Quinn, 1999). It promotes the creation of resilient systems while simultaneously enforcing behavioural constraints (Brown, Steen, and Foreman, 2009; </w:t>
      </w:r>
      <w:proofErr w:type="spellStart"/>
      <w:r w:rsidRPr="00B565D0">
        <w:rPr>
          <w:rFonts w:cs="Arial"/>
          <w:sz w:val="24"/>
          <w:szCs w:val="24"/>
          <w:lang w:val="en-GB"/>
        </w:rPr>
        <w:t>Teece</w:t>
      </w:r>
      <w:proofErr w:type="spellEnd"/>
      <w:r w:rsidRPr="00B565D0">
        <w:rPr>
          <w:rFonts w:cs="Arial"/>
          <w:sz w:val="24"/>
          <w:szCs w:val="24"/>
          <w:lang w:val="en-GB"/>
        </w:rPr>
        <w:t>,</w:t>
      </w:r>
      <w:r w:rsidR="006A439E" w:rsidRPr="00B565D0">
        <w:rPr>
          <w:rFonts w:cs="Arial"/>
          <w:sz w:val="24"/>
          <w:szCs w:val="24"/>
          <w:lang w:val="en-GB"/>
        </w:rPr>
        <w:t xml:space="preserve"> </w:t>
      </w:r>
      <w:r w:rsidRPr="00B565D0">
        <w:rPr>
          <w:rFonts w:cs="Arial"/>
          <w:sz w:val="24"/>
          <w:szCs w:val="24"/>
          <w:lang w:val="en-GB"/>
        </w:rPr>
        <w:t xml:space="preserve">2018). </w:t>
      </w:r>
      <w:proofErr w:type="spellStart"/>
      <w:r w:rsidRPr="00B565D0">
        <w:rPr>
          <w:rFonts w:cs="Arial"/>
          <w:sz w:val="24"/>
          <w:szCs w:val="24"/>
          <w:lang w:val="en-GB"/>
        </w:rPr>
        <w:t>Monzo</w:t>
      </w:r>
      <w:proofErr w:type="spellEnd"/>
      <w:r w:rsidRPr="00B565D0">
        <w:rPr>
          <w:rFonts w:cs="Arial"/>
          <w:sz w:val="24"/>
          <w:szCs w:val="24"/>
          <w:lang w:val="en-GB"/>
        </w:rPr>
        <w:t xml:space="preserve"> is compelled to transition from reactive compliance to proactive risk management in response to regulatory pressure, thereby incorporating compliance into strategic choice (Financial Conduct Authority, 2024; </w:t>
      </w:r>
      <w:proofErr w:type="spellStart"/>
      <w:r w:rsidRPr="00B565D0">
        <w:rPr>
          <w:rFonts w:cs="Arial"/>
          <w:sz w:val="24"/>
          <w:szCs w:val="24"/>
          <w:lang w:val="en-GB"/>
        </w:rPr>
        <w:t>Kotter</w:t>
      </w:r>
      <w:proofErr w:type="spellEnd"/>
      <w:r w:rsidRPr="00B565D0">
        <w:rPr>
          <w:rFonts w:cs="Arial"/>
          <w:sz w:val="24"/>
          <w:szCs w:val="24"/>
          <w:lang w:val="en-GB"/>
        </w:rPr>
        <w:t>, 2012).</w:t>
      </w:r>
    </w:p>
    <w:p w14:paraId="5F3D0C58" w14:textId="77777777" w:rsidR="0037036A" w:rsidRPr="00B565D0" w:rsidRDefault="0037036A" w:rsidP="00053219">
      <w:pPr>
        <w:autoSpaceDE w:val="0"/>
        <w:autoSpaceDN w:val="0"/>
        <w:adjustRightInd w:val="0"/>
        <w:spacing w:after="0" w:line="360" w:lineRule="auto"/>
        <w:rPr>
          <w:rFonts w:cs="Arial"/>
          <w:sz w:val="24"/>
          <w:szCs w:val="24"/>
          <w:lang w:val="en-GB"/>
        </w:rPr>
      </w:pPr>
    </w:p>
    <w:p w14:paraId="4A87314F" w14:textId="77777777" w:rsidR="0037036A" w:rsidRPr="008D7345"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8" w:name="_Toc227790538"/>
      <w:r w:rsidRPr="008D7345">
        <w:rPr>
          <w:rFonts w:ascii="Arial" w:eastAsiaTheme="minorHAnsi" w:hAnsi="Arial" w:cs="Arial"/>
          <w:b/>
          <w:bCs/>
          <w:sz w:val="24"/>
          <w:szCs w:val="24"/>
          <w:lang w:val="en-GB"/>
          <w14:ligatures w14:val="standardContextual"/>
        </w:rPr>
        <w:t>4. Critical Evaluation of Change Management Theories</w:t>
      </w:r>
      <w:bookmarkEnd w:id="8"/>
    </w:p>
    <w:p w14:paraId="3FF7F8FD" w14:textId="307209EF" w:rsidR="008A3D39" w:rsidRPr="00B565D0" w:rsidRDefault="008A3D39" w:rsidP="00141764">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Lewin's Change Management Model conceptualises change as the process of unfreezing, altering, and refreezing (Lewin, 1951). It is problematic in digital banking, where continuous adaptation is necessary, as it presupposes that organisations can achieve a subsequent stability, </w:t>
      </w:r>
      <w:r w:rsidR="002C3730" w:rsidRPr="00B565D0">
        <w:rPr>
          <w:rFonts w:cs="Arial"/>
          <w:sz w:val="24"/>
          <w:szCs w:val="24"/>
          <w:lang w:val="en-GB"/>
        </w:rPr>
        <w:t>even though</w:t>
      </w:r>
      <w:r w:rsidRPr="00B565D0">
        <w:rPr>
          <w:rFonts w:cs="Arial"/>
          <w:sz w:val="24"/>
          <w:szCs w:val="24"/>
          <w:lang w:val="en-GB"/>
        </w:rPr>
        <w:t xml:space="preserve"> it provides a useful foundation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Weick</w:t>
      </w:r>
      <w:proofErr w:type="spellEnd"/>
      <w:r w:rsidRPr="00B565D0">
        <w:rPr>
          <w:rFonts w:cs="Arial"/>
          <w:sz w:val="24"/>
          <w:szCs w:val="24"/>
          <w:lang w:val="en-GB"/>
        </w:rPr>
        <w:t xml:space="preserve"> and Quinn, 1999). </w:t>
      </w:r>
      <w:proofErr w:type="spellStart"/>
      <w:r w:rsidRPr="00B565D0">
        <w:rPr>
          <w:rFonts w:cs="Arial"/>
          <w:sz w:val="24"/>
          <w:szCs w:val="24"/>
          <w:lang w:val="en-GB"/>
        </w:rPr>
        <w:t>Kotter's</w:t>
      </w:r>
      <w:proofErr w:type="spellEnd"/>
      <w:r w:rsidRPr="00B565D0">
        <w:rPr>
          <w:rFonts w:cs="Arial"/>
          <w:sz w:val="24"/>
          <w:szCs w:val="24"/>
          <w:lang w:val="en-GB"/>
        </w:rPr>
        <w:t xml:space="preserve"> Eight Stage Change Model underscores the importance of employee engagement, communication, and leadership, which are particularly pertinent to </w:t>
      </w:r>
      <w:proofErr w:type="spellStart"/>
      <w:r w:rsidRPr="00B565D0">
        <w:rPr>
          <w:rFonts w:cs="Arial"/>
          <w:sz w:val="24"/>
          <w:szCs w:val="24"/>
          <w:lang w:val="en-GB"/>
        </w:rPr>
        <w:t>Monzo's</w:t>
      </w:r>
      <w:proofErr w:type="spellEnd"/>
      <w:r w:rsidRPr="00B565D0">
        <w:rPr>
          <w:rFonts w:cs="Arial"/>
          <w:sz w:val="24"/>
          <w:szCs w:val="24"/>
          <w:lang w:val="en-GB"/>
        </w:rPr>
        <w:t xml:space="preserve"> requirement for alignment during the scaling process (</w:t>
      </w:r>
      <w:proofErr w:type="spellStart"/>
      <w:r w:rsidRPr="00B565D0">
        <w:rPr>
          <w:rFonts w:cs="Arial"/>
          <w:sz w:val="24"/>
          <w:szCs w:val="24"/>
          <w:lang w:val="en-GB"/>
        </w:rPr>
        <w:t>Kotter</w:t>
      </w:r>
      <w:proofErr w:type="spellEnd"/>
      <w:r w:rsidRPr="00B565D0">
        <w:rPr>
          <w:rFonts w:cs="Arial"/>
          <w:sz w:val="24"/>
          <w:szCs w:val="24"/>
          <w:lang w:val="en-GB"/>
        </w:rPr>
        <w:t xml:space="preserve">, 2012;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Nevertheless, the model is based on linear progression, which does not accurately represent the iterative nature of fintech change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and Greenwood, 2018).</w:t>
      </w:r>
    </w:p>
    <w:p w14:paraId="2717CE1D" w14:textId="77777777" w:rsidR="008A3D39" w:rsidRPr="00B565D0" w:rsidRDefault="008A3D39" w:rsidP="00141764">
      <w:pPr>
        <w:autoSpaceDE w:val="0"/>
        <w:autoSpaceDN w:val="0"/>
        <w:adjustRightInd w:val="0"/>
        <w:spacing w:after="0" w:line="360" w:lineRule="auto"/>
        <w:jc w:val="both"/>
        <w:rPr>
          <w:rFonts w:cs="Arial"/>
          <w:sz w:val="24"/>
          <w:szCs w:val="24"/>
          <w:lang w:val="en-GB"/>
        </w:rPr>
      </w:pPr>
    </w:p>
    <w:p w14:paraId="574AFDF5" w14:textId="2518F84F" w:rsidR="008A3D39" w:rsidRPr="00B565D0" w:rsidRDefault="008A3D39" w:rsidP="00141764">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The McKinsey 7S Framework offers a more comprehensive perspective by emphasising the alignment of organisational components, including strategy, structure, systems, and culture (Waterman, Peters, and Phillips, 1980). This is especially pertinent for </w:t>
      </w:r>
      <w:proofErr w:type="spellStart"/>
      <w:r w:rsidRPr="00B565D0">
        <w:rPr>
          <w:rFonts w:cs="Arial"/>
          <w:sz w:val="24"/>
          <w:szCs w:val="24"/>
          <w:lang w:val="en-GB"/>
        </w:rPr>
        <w:t>Monzo</w:t>
      </w:r>
      <w:proofErr w:type="spellEnd"/>
      <w:r w:rsidRPr="00B565D0">
        <w:rPr>
          <w:rFonts w:cs="Arial"/>
          <w:sz w:val="24"/>
          <w:szCs w:val="24"/>
          <w:lang w:val="en-GB"/>
        </w:rPr>
        <w:t xml:space="preserve">, as operational risk may arise </w:t>
      </w:r>
      <w:r w:rsidR="003461FB" w:rsidRPr="00B565D0">
        <w:rPr>
          <w:rFonts w:cs="Arial"/>
          <w:sz w:val="24"/>
          <w:szCs w:val="24"/>
          <w:lang w:val="en-GB"/>
        </w:rPr>
        <w:t>because of</w:t>
      </w:r>
      <w:r w:rsidRPr="00B565D0">
        <w:rPr>
          <w:rFonts w:cs="Arial"/>
          <w:sz w:val="24"/>
          <w:szCs w:val="24"/>
          <w:lang w:val="en-GB"/>
        </w:rPr>
        <w:t xml:space="preserve"> a misalignment between innovation and governance (</w:t>
      </w:r>
      <w:proofErr w:type="spellStart"/>
      <w:r w:rsidRPr="00B565D0">
        <w:rPr>
          <w:rFonts w:cs="Arial"/>
          <w:sz w:val="24"/>
          <w:szCs w:val="24"/>
          <w:lang w:val="en-GB"/>
        </w:rPr>
        <w:t>Schein</w:t>
      </w:r>
      <w:proofErr w:type="spellEnd"/>
      <w:r w:rsidRPr="00B565D0">
        <w:rPr>
          <w:rFonts w:cs="Arial"/>
          <w:sz w:val="24"/>
          <w:szCs w:val="24"/>
          <w:lang w:val="en-GB"/>
        </w:rPr>
        <w:t>, 2017; Brown, Steen, and Foreman, 2009).</w:t>
      </w:r>
    </w:p>
    <w:p w14:paraId="72FD8E85" w14:textId="77777777" w:rsidR="008A3D39" w:rsidRPr="00B565D0" w:rsidRDefault="008A3D39" w:rsidP="00141764">
      <w:pPr>
        <w:autoSpaceDE w:val="0"/>
        <w:autoSpaceDN w:val="0"/>
        <w:adjustRightInd w:val="0"/>
        <w:spacing w:after="0" w:line="360" w:lineRule="auto"/>
        <w:jc w:val="both"/>
        <w:rPr>
          <w:rFonts w:cs="Arial"/>
          <w:sz w:val="24"/>
          <w:szCs w:val="24"/>
          <w:lang w:val="en-GB"/>
        </w:rPr>
      </w:pPr>
    </w:p>
    <w:p w14:paraId="79F8DD54" w14:textId="04518173" w:rsidR="0037036A" w:rsidRPr="00B565D0" w:rsidRDefault="008A3D39" w:rsidP="00141764">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Dynamic capabilities theory can facilitate a more sophisticated comprehension of organisational change by emphasising the </w:t>
      </w:r>
      <w:proofErr w:type="spellStart"/>
      <w:r w:rsidRPr="00B565D0">
        <w:rPr>
          <w:rFonts w:cs="Arial"/>
          <w:sz w:val="24"/>
          <w:szCs w:val="24"/>
          <w:lang w:val="en-GB"/>
        </w:rPr>
        <w:t>organization's</w:t>
      </w:r>
      <w:proofErr w:type="spellEnd"/>
      <w:r w:rsidRPr="00B565D0">
        <w:rPr>
          <w:rFonts w:cs="Arial"/>
          <w:sz w:val="24"/>
          <w:szCs w:val="24"/>
          <w:lang w:val="en-GB"/>
        </w:rPr>
        <w:t xml:space="preserve"> capacity to identify opportunities, capitalise on them, and adjust its resources accordingly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xml:space="preserve">, 2015). </w:t>
      </w:r>
      <w:proofErr w:type="spellStart"/>
      <w:r w:rsidRPr="00B565D0">
        <w:rPr>
          <w:rFonts w:cs="Arial"/>
          <w:sz w:val="24"/>
          <w:szCs w:val="24"/>
          <w:lang w:val="en-GB"/>
        </w:rPr>
        <w:t>Monzo</w:t>
      </w:r>
      <w:proofErr w:type="spellEnd"/>
      <w:r w:rsidRPr="00B565D0">
        <w:rPr>
          <w:rFonts w:cs="Arial"/>
          <w:sz w:val="24"/>
          <w:szCs w:val="24"/>
          <w:lang w:val="en-GB"/>
        </w:rPr>
        <w:t xml:space="preserve"> </w:t>
      </w:r>
      <w:r w:rsidR="0037036A" w:rsidRPr="00B565D0">
        <w:rPr>
          <w:rFonts w:cs="Arial"/>
          <w:sz w:val="24"/>
          <w:szCs w:val="24"/>
          <w:lang w:val="en-GB"/>
        </w:rPr>
        <w:t xml:space="preserve">is particularly </w:t>
      </w:r>
      <w:r w:rsidRPr="00B565D0">
        <w:rPr>
          <w:rFonts w:cs="Arial"/>
          <w:sz w:val="24"/>
          <w:szCs w:val="24"/>
          <w:lang w:val="en-GB"/>
        </w:rPr>
        <w:t>pertinent to this perspective due to its operations</w:t>
      </w:r>
      <w:r w:rsidR="0037036A" w:rsidRPr="00B565D0">
        <w:rPr>
          <w:rFonts w:cs="Arial"/>
          <w:sz w:val="24"/>
          <w:szCs w:val="24"/>
          <w:lang w:val="en-GB"/>
        </w:rPr>
        <w:t xml:space="preserve"> in an environment </w:t>
      </w:r>
      <w:r w:rsidRPr="00B565D0">
        <w:rPr>
          <w:rFonts w:cs="Arial"/>
          <w:sz w:val="24"/>
          <w:szCs w:val="24"/>
          <w:lang w:val="en-GB"/>
        </w:rPr>
        <w:t xml:space="preserve">that is </w:t>
      </w:r>
      <w:r w:rsidR="0037036A" w:rsidRPr="00B565D0">
        <w:rPr>
          <w:rFonts w:cs="Arial"/>
          <w:sz w:val="24"/>
          <w:szCs w:val="24"/>
          <w:lang w:val="en-GB"/>
        </w:rPr>
        <w:t>characterised by rapid technological and regulatory change</w:t>
      </w:r>
      <w:r w:rsidRPr="00B565D0">
        <w:rPr>
          <w:rFonts w:cs="Arial"/>
          <w:sz w:val="24"/>
          <w:szCs w:val="24"/>
          <w:lang w:val="en-GB"/>
        </w:rPr>
        <w:t xml:space="preserve"> (Vial, 2019; Financial Conduct Authority, 2024).</w:t>
      </w:r>
    </w:p>
    <w:p w14:paraId="31E4C03E" w14:textId="77777777" w:rsidR="00141764" w:rsidRPr="00B565D0" w:rsidRDefault="00141764" w:rsidP="008A3D39">
      <w:pPr>
        <w:autoSpaceDE w:val="0"/>
        <w:autoSpaceDN w:val="0"/>
        <w:adjustRightInd w:val="0"/>
        <w:spacing w:after="0" w:line="360" w:lineRule="auto"/>
        <w:rPr>
          <w:rFonts w:eastAsiaTheme="minorHAnsi" w:cs="Arial"/>
          <w:sz w:val="24"/>
          <w:szCs w:val="24"/>
          <w:lang w:val="en-GB"/>
          <w14:ligatures w14:val="standardContextual"/>
        </w:rPr>
      </w:pPr>
    </w:p>
    <w:p w14:paraId="5B4FD1A1" w14:textId="77777777" w:rsidR="0037036A" w:rsidRPr="008D7345" w:rsidRDefault="0037036A" w:rsidP="00053219">
      <w:pPr>
        <w:pStyle w:val="Heading3"/>
        <w:spacing w:line="360" w:lineRule="auto"/>
        <w:rPr>
          <w:rFonts w:eastAsiaTheme="minorHAnsi" w:cs="Arial"/>
          <w:b/>
          <w:bCs/>
          <w:sz w:val="24"/>
          <w:szCs w:val="24"/>
          <w:lang w:val="en-GB"/>
          <w14:ligatures w14:val="standardContextual"/>
        </w:rPr>
      </w:pPr>
      <w:bookmarkStart w:id="9" w:name="_Toc227790539"/>
      <w:r w:rsidRPr="008D7345">
        <w:rPr>
          <w:rFonts w:eastAsiaTheme="minorHAnsi" w:cs="Arial"/>
          <w:b/>
          <w:bCs/>
          <w:sz w:val="24"/>
          <w:szCs w:val="24"/>
          <w:lang w:val="en-GB"/>
          <w14:ligatures w14:val="standardContextual"/>
        </w:rPr>
        <w:t>4.1 Emergent Change and Complexity Theory</w:t>
      </w:r>
      <w:bookmarkEnd w:id="9"/>
    </w:p>
    <w:p w14:paraId="1889BFB3" w14:textId="77777777" w:rsidR="00360D5B" w:rsidRPr="00B565D0" w:rsidRDefault="00360D5B" w:rsidP="00360D5B">
      <w:pPr>
        <w:autoSpaceDE w:val="0"/>
        <w:autoSpaceDN w:val="0"/>
        <w:adjustRightInd w:val="0"/>
        <w:spacing w:after="40" w:line="360" w:lineRule="auto"/>
        <w:jc w:val="both"/>
        <w:rPr>
          <w:rFonts w:cs="Arial"/>
          <w:sz w:val="24"/>
          <w:szCs w:val="24"/>
          <w:lang w:val="en-GB"/>
        </w:rPr>
      </w:pPr>
      <w:r w:rsidRPr="00B565D0">
        <w:rPr>
          <w:rFonts w:cs="Arial"/>
          <w:sz w:val="24"/>
          <w:szCs w:val="24"/>
          <w:lang w:val="en-GB"/>
        </w:rPr>
        <w:t xml:space="preserve">Traditional models, such as those of Lewin and </w:t>
      </w:r>
      <w:proofErr w:type="spellStart"/>
      <w:r w:rsidRPr="00B565D0">
        <w:rPr>
          <w:rFonts w:cs="Arial"/>
          <w:sz w:val="24"/>
          <w:szCs w:val="24"/>
          <w:lang w:val="en-GB"/>
        </w:rPr>
        <w:t>Kotter</w:t>
      </w:r>
      <w:proofErr w:type="spellEnd"/>
      <w:r w:rsidRPr="00B565D0">
        <w:rPr>
          <w:rFonts w:cs="Arial"/>
          <w:sz w:val="24"/>
          <w:szCs w:val="24"/>
          <w:lang w:val="en-GB"/>
        </w:rPr>
        <w:t>, provide valuable frameworks; however, they are being challenged by perspectives that view change as emergent and irregular (</w:t>
      </w:r>
      <w:proofErr w:type="spellStart"/>
      <w:r w:rsidRPr="00B565D0">
        <w:rPr>
          <w:rFonts w:cs="Arial"/>
          <w:sz w:val="24"/>
          <w:szCs w:val="24"/>
          <w:lang w:val="en-GB"/>
        </w:rPr>
        <w:t>Weick</w:t>
      </w:r>
      <w:proofErr w:type="spellEnd"/>
      <w:r w:rsidRPr="00B565D0">
        <w:rPr>
          <w:rFonts w:cs="Arial"/>
          <w:sz w:val="24"/>
          <w:szCs w:val="24"/>
          <w:lang w:val="en-GB"/>
        </w:rPr>
        <w:t xml:space="preserve"> and Quinn, 1999). Complexity theory posits that organisations operate as dynamic systems in which change is the outcome of interactions between numerous internal and external factors, rather than centrally planned interventions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and Greenwood, 2018).</w:t>
      </w:r>
    </w:p>
    <w:p w14:paraId="778BFEDB" w14:textId="77777777" w:rsidR="00360D5B" w:rsidRPr="00B565D0" w:rsidRDefault="00360D5B" w:rsidP="00360D5B">
      <w:pPr>
        <w:autoSpaceDE w:val="0"/>
        <w:autoSpaceDN w:val="0"/>
        <w:adjustRightInd w:val="0"/>
        <w:spacing w:after="40" w:line="360" w:lineRule="auto"/>
        <w:jc w:val="both"/>
        <w:rPr>
          <w:rFonts w:cs="Arial"/>
          <w:sz w:val="24"/>
          <w:szCs w:val="24"/>
          <w:lang w:val="en-GB"/>
        </w:rPr>
      </w:pPr>
    </w:p>
    <w:p w14:paraId="50BD06AD" w14:textId="26C81839" w:rsidR="00360D5B" w:rsidRPr="00B565D0" w:rsidRDefault="00360D5B" w:rsidP="00360D5B">
      <w:pPr>
        <w:autoSpaceDE w:val="0"/>
        <w:autoSpaceDN w:val="0"/>
        <w:adjustRightInd w:val="0"/>
        <w:spacing w:after="40" w:line="360" w:lineRule="auto"/>
        <w:jc w:val="both"/>
        <w:rPr>
          <w:rFonts w:cs="Arial"/>
          <w:sz w:val="24"/>
          <w:szCs w:val="24"/>
          <w:lang w:val="en-GB"/>
        </w:rPr>
      </w:pPr>
      <w:r w:rsidRPr="00B565D0">
        <w:rPr>
          <w:rFonts w:cs="Arial"/>
          <w:sz w:val="24"/>
          <w:szCs w:val="24"/>
          <w:lang w:val="en-GB"/>
        </w:rPr>
        <w:t xml:space="preserve">This perspective is particularly relevant to </w:t>
      </w:r>
      <w:proofErr w:type="spellStart"/>
      <w:r w:rsidRPr="00B565D0">
        <w:rPr>
          <w:rFonts w:cs="Arial"/>
          <w:sz w:val="24"/>
          <w:szCs w:val="24"/>
          <w:lang w:val="en-GB"/>
        </w:rPr>
        <w:t>Monzo</w:t>
      </w:r>
      <w:proofErr w:type="spellEnd"/>
      <w:r w:rsidRPr="00B565D0">
        <w:rPr>
          <w:rFonts w:cs="Arial"/>
          <w:sz w:val="24"/>
          <w:szCs w:val="24"/>
          <w:lang w:val="en-GB"/>
        </w:rPr>
        <w:t xml:space="preserve">, as the company is susceptible to change </w:t>
      </w:r>
      <w:r w:rsidR="002C3730" w:rsidRPr="00B565D0">
        <w:rPr>
          <w:rFonts w:cs="Arial"/>
          <w:sz w:val="24"/>
          <w:szCs w:val="24"/>
          <w:lang w:val="en-GB"/>
        </w:rPr>
        <w:t>because of</w:t>
      </w:r>
      <w:r w:rsidRPr="00B565D0">
        <w:rPr>
          <w:rFonts w:cs="Arial"/>
          <w:sz w:val="24"/>
          <w:szCs w:val="24"/>
          <w:lang w:val="en-GB"/>
        </w:rPr>
        <w:t xml:space="preserve"> the rapid advancement of technology, the evolution of customer expectations, and the change in regulatory requirements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Vial, 2019). In such an environment, it is impossible to completely predict or regulate the outcomes of change initiatives (</w:t>
      </w:r>
      <w:proofErr w:type="spellStart"/>
      <w:r w:rsidRPr="00B565D0">
        <w:rPr>
          <w:rFonts w:cs="Arial"/>
          <w:sz w:val="24"/>
          <w:szCs w:val="24"/>
          <w:lang w:val="en-GB"/>
        </w:rPr>
        <w:t>Weick</w:t>
      </w:r>
      <w:proofErr w:type="spellEnd"/>
      <w:r w:rsidRPr="00B565D0">
        <w:rPr>
          <w:rFonts w:cs="Arial"/>
          <w:sz w:val="24"/>
          <w:szCs w:val="24"/>
          <w:lang w:val="en-GB"/>
        </w:rPr>
        <w:t xml:space="preserve"> and Quinn, 1999). Organisations must instead develop the capacity to adapt to emerging challenges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2015).</w:t>
      </w:r>
    </w:p>
    <w:p w14:paraId="7EB60312" w14:textId="77777777" w:rsidR="0037036A" w:rsidRPr="00B565D0" w:rsidRDefault="0037036A" w:rsidP="00360D5B">
      <w:pPr>
        <w:autoSpaceDE w:val="0"/>
        <w:autoSpaceDN w:val="0"/>
        <w:adjustRightInd w:val="0"/>
        <w:spacing w:after="40" w:line="360" w:lineRule="auto"/>
        <w:jc w:val="both"/>
        <w:rPr>
          <w:rFonts w:cs="Arial"/>
          <w:sz w:val="24"/>
          <w:szCs w:val="24"/>
          <w:lang w:val="en-GB"/>
        </w:rPr>
      </w:pPr>
    </w:p>
    <w:p w14:paraId="3C268715" w14:textId="27A0BCC8" w:rsidR="0037036A" w:rsidRPr="00D97D87" w:rsidRDefault="0037036A" w:rsidP="00053219">
      <w:pPr>
        <w:autoSpaceDE w:val="0"/>
        <w:autoSpaceDN w:val="0"/>
        <w:adjustRightInd w:val="0"/>
        <w:spacing w:after="40" w:line="360" w:lineRule="auto"/>
        <w:jc w:val="both"/>
        <w:rPr>
          <w:rFonts w:eastAsiaTheme="minorHAnsi" w:cs="Arial"/>
          <w:b/>
          <w:bCs/>
          <w:sz w:val="24"/>
          <w:szCs w:val="24"/>
          <w:lang w:val="en-GB"/>
          <w14:ligatures w14:val="standardContextual"/>
        </w:rPr>
      </w:pPr>
      <w:r w:rsidRPr="00B565D0">
        <w:rPr>
          <w:rFonts w:cs="Arial"/>
          <w:sz w:val="24"/>
          <w:szCs w:val="24"/>
          <w:lang w:val="en-GB"/>
        </w:rPr>
        <w:t xml:space="preserve">Emergent change theory emphasises the importance of learning, experimentation, and decentralised </w:t>
      </w:r>
      <w:r w:rsidR="00360D5B" w:rsidRPr="00B565D0">
        <w:rPr>
          <w:rFonts w:cs="Arial"/>
          <w:sz w:val="24"/>
          <w:szCs w:val="24"/>
          <w:lang w:val="en-GB"/>
        </w:rPr>
        <w:t>deciding (</w:t>
      </w:r>
      <w:proofErr w:type="spellStart"/>
      <w:r w:rsidR="00360D5B" w:rsidRPr="00B565D0">
        <w:rPr>
          <w:rFonts w:cs="Arial"/>
          <w:sz w:val="24"/>
          <w:szCs w:val="24"/>
          <w:lang w:val="en-GB"/>
        </w:rPr>
        <w:t>Burnes</w:t>
      </w:r>
      <w:proofErr w:type="spellEnd"/>
      <w:r w:rsidR="00360D5B" w:rsidRPr="00B565D0">
        <w:rPr>
          <w:rFonts w:cs="Arial"/>
          <w:sz w:val="24"/>
          <w:szCs w:val="24"/>
          <w:lang w:val="en-GB"/>
        </w:rPr>
        <w:t xml:space="preserve">, 2017; </w:t>
      </w:r>
      <w:proofErr w:type="spellStart"/>
      <w:r w:rsidR="00360D5B" w:rsidRPr="00B565D0">
        <w:rPr>
          <w:rFonts w:cs="Arial"/>
          <w:sz w:val="24"/>
          <w:szCs w:val="24"/>
          <w:lang w:val="en-GB"/>
        </w:rPr>
        <w:t>Weick</w:t>
      </w:r>
      <w:proofErr w:type="spellEnd"/>
      <w:r w:rsidR="00360D5B" w:rsidRPr="00B565D0">
        <w:rPr>
          <w:rFonts w:cs="Arial"/>
          <w:sz w:val="24"/>
          <w:szCs w:val="24"/>
          <w:lang w:val="en-GB"/>
        </w:rPr>
        <w:t xml:space="preserve"> and Quinn, 1999).</w:t>
      </w:r>
      <w:r w:rsidRPr="00B565D0">
        <w:rPr>
          <w:rFonts w:cs="Arial"/>
          <w:sz w:val="24"/>
          <w:szCs w:val="24"/>
          <w:lang w:val="en-GB"/>
        </w:rPr>
        <w:t xml:space="preserve"> However, this approach also presents challenges in a regulated </w:t>
      </w:r>
      <w:r w:rsidR="00360D5B" w:rsidRPr="00B565D0">
        <w:rPr>
          <w:rFonts w:cs="Arial"/>
          <w:sz w:val="24"/>
          <w:szCs w:val="24"/>
          <w:lang w:val="en-GB"/>
        </w:rPr>
        <w:t xml:space="preserve">sector, where accountability and consistency are essential (Financial Conduct Authority, 2024; Brown, Steen, and Foreman, 2009). </w:t>
      </w:r>
      <w:proofErr w:type="spellStart"/>
      <w:r w:rsidR="00360D5B" w:rsidRPr="00B565D0">
        <w:rPr>
          <w:rFonts w:cs="Arial"/>
          <w:sz w:val="24"/>
          <w:szCs w:val="24"/>
          <w:lang w:val="en-GB"/>
        </w:rPr>
        <w:t>Monzo's</w:t>
      </w:r>
      <w:proofErr w:type="spellEnd"/>
      <w:r w:rsidR="00360D5B" w:rsidRPr="00B565D0">
        <w:rPr>
          <w:rFonts w:cs="Arial"/>
          <w:sz w:val="24"/>
          <w:szCs w:val="24"/>
          <w:lang w:val="en-GB"/>
        </w:rPr>
        <w:t xml:space="preserve"> primary concern is not the question of</w:t>
      </w:r>
      <w:r w:rsidRPr="00B565D0">
        <w:rPr>
          <w:rFonts w:cs="Arial"/>
          <w:sz w:val="24"/>
          <w:szCs w:val="24"/>
          <w:lang w:val="en-GB"/>
        </w:rPr>
        <w:t xml:space="preserve"> whether change should be planned or emergent, but </w:t>
      </w:r>
      <w:r w:rsidR="00360D5B" w:rsidRPr="00B565D0">
        <w:rPr>
          <w:rFonts w:cs="Arial"/>
          <w:sz w:val="24"/>
          <w:szCs w:val="24"/>
          <w:lang w:val="en-GB"/>
        </w:rPr>
        <w:t>rather the integration of</w:t>
      </w:r>
      <w:r w:rsidRPr="00B565D0">
        <w:rPr>
          <w:rFonts w:cs="Arial"/>
          <w:sz w:val="24"/>
          <w:szCs w:val="24"/>
          <w:lang w:val="en-GB"/>
        </w:rPr>
        <w:t xml:space="preserve"> these approaches </w:t>
      </w:r>
      <w:r w:rsidR="00360D5B" w:rsidRPr="00B565D0">
        <w:rPr>
          <w:rFonts w:cs="Arial"/>
          <w:sz w:val="24"/>
          <w:szCs w:val="24"/>
          <w:lang w:val="en-GB"/>
        </w:rPr>
        <w:t>into a</w:t>
      </w:r>
      <w:r w:rsidRPr="00B565D0">
        <w:rPr>
          <w:rFonts w:cs="Arial"/>
          <w:sz w:val="24"/>
          <w:szCs w:val="24"/>
          <w:lang w:val="en-GB"/>
        </w:rPr>
        <w:t xml:space="preserve"> hybrid model that </w:t>
      </w:r>
      <w:r w:rsidR="00360D5B" w:rsidRPr="00B565D0">
        <w:rPr>
          <w:rFonts w:cs="Arial"/>
          <w:sz w:val="24"/>
          <w:szCs w:val="24"/>
          <w:lang w:val="en-GB"/>
        </w:rPr>
        <w:t>effectively balances</w:t>
      </w:r>
      <w:r w:rsidRPr="00B565D0">
        <w:rPr>
          <w:rFonts w:cs="Arial"/>
          <w:sz w:val="24"/>
          <w:szCs w:val="24"/>
          <w:lang w:val="en-GB"/>
        </w:rPr>
        <w:t xml:space="preserve"> strategic direction with operational flexibility </w:t>
      </w:r>
      <w:r w:rsidR="00360D5B" w:rsidRPr="00B565D0">
        <w:rPr>
          <w:rFonts w:cs="Arial"/>
          <w:sz w:val="24"/>
          <w:szCs w:val="24"/>
          <w:lang w:val="en-GB"/>
        </w:rPr>
        <w:t>(</w:t>
      </w:r>
      <w:proofErr w:type="spellStart"/>
      <w:r w:rsidR="00360D5B" w:rsidRPr="00B565D0">
        <w:rPr>
          <w:rFonts w:cs="Arial"/>
          <w:sz w:val="24"/>
          <w:szCs w:val="24"/>
          <w:lang w:val="en-GB"/>
        </w:rPr>
        <w:t>Kotter</w:t>
      </w:r>
      <w:proofErr w:type="spellEnd"/>
      <w:r w:rsidR="00360D5B" w:rsidRPr="00B565D0">
        <w:rPr>
          <w:rFonts w:cs="Arial"/>
          <w:sz w:val="24"/>
          <w:szCs w:val="24"/>
          <w:lang w:val="en-GB"/>
        </w:rPr>
        <w:t>, 2012; Cummings and Worley, 2019).</w:t>
      </w:r>
    </w:p>
    <w:p w14:paraId="7D940944" w14:textId="77777777" w:rsidR="001A0B4C" w:rsidRPr="00B565D0" w:rsidRDefault="001A0B4C" w:rsidP="00053219">
      <w:pPr>
        <w:autoSpaceDE w:val="0"/>
        <w:autoSpaceDN w:val="0"/>
        <w:adjustRightInd w:val="0"/>
        <w:spacing w:after="40" w:line="360" w:lineRule="auto"/>
        <w:jc w:val="both"/>
        <w:rPr>
          <w:rFonts w:eastAsiaTheme="minorHAnsi" w:cs="Arial"/>
          <w:b/>
          <w:bCs/>
          <w:sz w:val="24"/>
          <w:szCs w:val="24"/>
          <w:lang w:val="en-GB"/>
          <w14:ligatures w14:val="standardContextual"/>
        </w:rPr>
      </w:pPr>
    </w:p>
    <w:p w14:paraId="18A06CAC" w14:textId="77777777" w:rsidR="001A0B4C" w:rsidRPr="00B565D0" w:rsidRDefault="001A0B4C" w:rsidP="00053219">
      <w:pPr>
        <w:autoSpaceDE w:val="0"/>
        <w:autoSpaceDN w:val="0"/>
        <w:adjustRightInd w:val="0"/>
        <w:spacing w:after="40" w:line="360" w:lineRule="auto"/>
        <w:jc w:val="both"/>
        <w:rPr>
          <w:rFonts w:eastAsiaTheme="minorHAnsi" w:cs="Arial"/>
          <w:b/>
          <w:bCs/>
          <w:sz w:val="24"/>
          <w:szCs w:val="24"/>
          <w:lang w:val="en-GB"/>
          <w14:ligatures w14:val="standardContextual"/>
        </w:rPr>
      </w:pPr>
    </w:p>
    <w:p w14:paraId="2D19121D" w14:textId="77777777" w:rsidR="0037036A" w:rsidRPr="008D7345"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10" w:name="_Toc227790540"/>
      <w:r w:rsidRPr="008D7345">
        <w:rPr>
          <w:rFonts w:ascii="Arial" w:eastAsiaTheme="minorHAnsi" w:hAnsi="Arial" w:cs="Arial"/>
          <w:b/>
          <w:bCs/>
          <w:sz w:val="24"/>
          <w:szCs w:val="24"/>
          <w:lang w:val="en-GB"/>
          <w14:ligatures w14:val="standardContextual"/>
        </w:rPr>
        <w:t>5. Leadership and Organisational Culture</w:t>
      </w:r>
      <w:bookmarkEnd w:id="10"/>
    </w:p>
    <w:p w14:paraId="5FDBC5A7" w14:textId="77777777" w:rsidR="00540E64" w:rsidRPr="00B565D0" w:rsidRDefault="00540E64" w:rsidP="00937E23">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Within </w:t>
      </w:r>
      <w:proofErr w:type="spellStart"/>
      <w:r w:rsidRPr="00B565D0">
        <w:rPr>
          <w:rFonts w:cs="Arial"/>
          <w:sz w:val="24"/>
          <w:szCs w:val="24"/>
          <w:lang w:val="en-GB"/>
        </w:rPr>
        <w:t>Monzo</w:t>
      </w:r>
      <w:proofErr w:type="spellEnd"/>
      <w:r w:rsidRPr="00B565D0">
        <w:rPr>
          <w:rFonts w:cs="Arial"/>
          <w:sz w:val="24"/>
          <w:szCs w:val="24"/>
          <w:lang w:val="en-GB"/>
        </w:rPr>
        <w:t>, leadership is instrumental in the development of organisational change (</w:t>
      </w:r>
      <w:proofErr w:type="spellStart"/>
      <w:r w:rsidRPr="00B565D0">
        <w:rPr>
          <w:rFonts w:cs="Arial"/>
          <w:sz w:val="24"/>
          <w:szCs w:val="24"/>
          <w:lang w:val="en-GB"/>
        </w:rPr>
        <w:t>Kotter</w:t>
      </w:r>
      <w:proofErr w:type="spellEnd"/>
      <w:r w:rsidRPr="00B565D0">
        <w:rPr>
          <w:rFonts w:cs="Arial"/>
          <w:sz w:val="24"/>
          <w:szCs w:val="24"/>
          <w:lang w:val="en-GB"/>
        </w:rPr>
        <w:t>, 2012). Transformational leadership is effective in fostering innovation and aligning employees with strategic objectives (</w:t>
      </w:r>
      <w:proofErr w:type="spellStart"/>
      <w:r w:rsidRPr="00B565D0">
        <w:rPr>
          <w:rFonts w:cs="Arial"/>
          <w:sz w:val="24"/>
          <w:szCs w:val="24"/>
          <w:lang w:val="en-GB"/>
        </w:rPr>
        <w:t>Schein</w:t>
      </w:r>
      <w:proofErr w:type="spellEnd"/>
      <w:r w:rsidRPr="00B565D0">
        <w:rPr>
          <w:rFonts w:cs="Arial"/>
          <w:sz w:val="24"/>
          <w:szCs w:val="24"/>
          <w:lang w:val="en-GB"/>
        </w:rPr>
        <w:t xml:space="preserve">, 2017; Bass and </w:t>
      </w:r>
      <w:proofErr w:type="spellStart"/>
      <w:r w:rsidRPr="00B565D0">
        <w:rPr>
          <w:rFonts w:cs="Arial"/>
          <w:sz w:val="24"/>
          <w:szCs w:val="24"/>
          <w:lang w:val="en-GB"/>
        </w:rPr>
        <w:t>Avolio</w:t>
      </w:r>
      <w:proofErr w:type="spellEnd"/>
      <w:r w:rsidRPr="00B565D0">
        <w:rPr>
          <w:rFonts w:cs="Arial"/>
          <w:sz w:val="24"/>
          <w:szCs w:val="24"/>
          <w:lang w:val="en-GB"/>
        </w:rPr>
        <w:t xml:space="preserve">, 1994). Nevertheless, in a regulated industry, transactional leadership must be incorporated to guarantee accountability and compliance (Cummings and Worley, 2019; Financial Conduct Authority, 2024). </w:t>
      </w:r>
    </w:p>
    <w:p w14:paraId="0D3A825F" w14:textId="77777777" w:rsidR="00540E64" w:rsidRPr="00B565D0" w:rsidRDefault="00540E64" w:rsidP="00937E23">
      <w:pPr>
        <w:autoSpaceDE w:val="0"/>
        <w:autoSpaceDN w:val="0"/>
        <w:adjustRightInd w:val="0"/>
        <w:spacing w:after="0" w:line="360" w:lineRule="auto"/>
        <w:jc w:val="both"/>
        <w:rPr>
          <w:rFonts w:cs="Arial"/>
          <w:sz w:val="24"/>
          <w:szCs w:val="24"/>
          <w:lang w:val="en-GB"/>
        </w:rPr>
      </w:pPr>
    </w:p>
    <w:p w14:paraId="5EB96EEE" w14:textId="36D70B55" w:rsidR="00AE6587" w:rsidRPr="00B565D0" w:rsidRDefault="00540E64" w:rsidP="00A23BEA">
      <w:pPr>
        <w:autoSpaceDE w:val="0"/>
        <w:autoSpaceDN w:val="0"/>
        <w:adjustRightInd w:val="0"/>
        <w:spacing w:after="0" w:line="360" w:lineRule="auto"/>
        <w:jc w:val="both"/>
        <w:rPr>
          <w:rFonts w:cs="Arial"/>
          <w:sz w:val="24"/>
          <w:szCs w:val="24"/>
          <w:lang w:val="en-GB"/>
        </w:rPr>
      </w:pPr>
      <w:r w:rsidRPr="00B565D0">
        <w:rPr>
          <w:rFonts w:cs="Arial"/>
          <w:sz w:val="24"/>
          <w:szCs w:val="24"/>
          <w:lang w:val="en-GB"/>
        </w:rPr>
        <w:t>The success of change initiatives is also significantly influenced by organisational culture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Schein</w:t>
      </w:r>
      <w:proofErr w:type="spellEnd"/>
      <w:r w:rsidRPr="00B565D0">
        <w:rPr>
          <w:rFonts w:cs="Arial"/>
          <w:sz w:val="24"/>
          <w:szCs w:val="24"/>
          <w:lang w:val="en-GB"/>
        </w:rPr>
        <w:t xml:space="preserve">, 2017). Throughout its history, </w:t>
      </w:r>
      <w:proofErr w:type="spellStart"/>
      <w:r w:rsidRPr="00B565D0">
        <w:rPr>
          <w:rFonts w:cs="Arial"/>
          <w:sz w:val="24"/>
          <w:szCs w:val="24"/>
          <w:lang w:val="en-GB"/>
        </w:rPr>
        <w:t>Monzo</w:t>
      </w:r>
      <w:proofErr w:type="spellEnd"/>
      <w:r w:rsidRPr="00B565D0">
        <w:rPr>
          <w:rFonts w:cs="Arial"/>
          <w:sz w:val="24"/>
          <w:szCs w:val="24"/>
          <w:lang w:val="en-GB"/>
        </w:rPr>
        <w:t xml:space="preserve"> has prioritised customer focus and innovation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Harvard Business School Digital Initiative, 2020). This may not entirely align with the governance requirements of a mature financial institution, </w:t>
      </w:r>
      <w:r w:rsidR="00B94DBF" w:rsidRPr="00B565D0">
        <w:rPr>
          <w:rFonts w:cs="Arial"/>
          <w:sz w:val="24"/>
          <w:szCs w:val="24"/>
          <w:lang w:val="en-GB"/>
        </w:rPr>
        <w:t>even though</w:t>
      </w:r>
      <w:r w:rsidRPr="00B565D0">
        <w:rPr>
          <w:rFonts w:cs="Arial"/>
          <w:sz w:val="24"/>
          <w:szCs w:val="24"/>
          <w:lang w:val="en-GB"/>
        </w:rPr>
        <w:t xml:space="preserve"> it supports adaptability (</w:t>
      </w:r>
      <w:proofErr w:type="spellStart"/>
      <w:r w:rsidRPr="00B565D0">
        <w:rPr>
          <w:rFonts w:cs="Arial"/>
          <w:sz w:val="24"/>
          <w:szCs w:val="24"/>
          <w:lang w:val="en-GB"/>
        </w:rPr>
        <w:t>Schein</w:t>
      </w:r>
      <w:proofErr w:type="spellEnd"/>
      <w:r w:rsidRPr="00B565D0">
        <w:rPr>
          <w:rFonts w:cs="Arial"/>
          <w:sz w:val="24"/>
          <w:szCs w:val="24"/>
          <w:lang w:val="en-GB"/>
        </w:rPr>
        <w:t>, 2017; Brown, Steen and Foreman, 2009). This challenge is effectively addressed by the concept of disciplined agility, which allows the organi</w:t>
      </w:r>
      <w:r w:rsidR="00B94DBF" w:rsidRPr="00B565D0">
        <w:rPr>
          <w:rFonts w:cs="Arial"/>
          <w:sz w:val="24"/>
          <w:szCs w:val="24"/>
          <w:lang w:val="en-GB"/>
        </w:rPr>
        <w:t>s</w:t>
      </w:r>
      <w:r w:rsidRPr="00B565D0">
        <w:rPr>
          <w:rFonts w:cs="Arial"/>
          <w:sz w:val="24"/>
          <w:szCs w:val="24"/>
          <w:lang w:val="en-GB"/>
        </w:rPr>
        <w:t>ation to preserve innovation while simultaneously implementing accountability and risk management (</w:t>
      </w:r>
      <w:proofErr w:type="spellStart"/>
      <w:r w:rsidRPr="00B565D0">
        <w:rPr>
          <w:rFonts w:cs="Arial"/>
          <w:sz w:val="24"/>
          <w:szCs w:val="24"/>
          <w:lang w:val="en-GB"/>
        </w:rPr>
        <w:t>Teece</w:t>
      </w:r>
      <w:proofErr w:type="spellEnd"/>
      <w:r w:rsidRPr="00B565D0">
        <w:rPr>
          <w:rFonts w:cs="Arial"/>
          <w:sz w:val="24"/>
          <w:szCs w:val="24"/>
          <w:lang w:val="en-GB"/>
        </w:rPr>
        <w:t>, 2018; Cummings and Worley, 2019). This necessitates a cultural transformation that prioritises both governance and experimentation (</w:t>
      </w:r>
      <w:proofErr w:type="spellStart"/>
      <w:r w:rsidRPr="00B565D0">
        <w:rPr>
          <w:rFonts w:cs="Arial"/>
          <w:sz w:val="24"/>
          <w:szCs w:val="24"/>
          <w:lang w:val="en-GB"/>
        </w:rPr>
        <w:t>Weick</w:t>
      </w:r>
      <w:proofErr w:type="spellEnd"/>
      <w:r w:rsidRPr="00B565D0">
        <w:rPr>
          <w:rFonts w:cs="Arial"/>
          <w:sz w:val="24"/>
          <w:szCs w:val="24"/>
          <w:lang w:val="en-GB"/>
        </w:rPr>
        <w:t xml:space="preserve"> and Quinn, 1999; </w:t>
      </w:r>
      <w:proofErr w:type="spellStart"/>
      <w:r w:rsidRPr="00B565D0">
        <w:rPr>
          <w:rFonts w:cs="Arial"/>
          <w:sz w:val="24"/>
          <w:szCs w:val="24"/>
          <w:lang w:val="en-GB"/>
        </w:rPr>
        <w:t>Schein</w:t>
      </w:r>
      <w:proofErr w:type="spellEnd"/>
      <w:r w:rsidRPr="00B565D0">
        <w:rPr>
          <w:rFonts w:cs="Arial"/>
          <w:sz w:val="24"/>
          <w:szCs w:val="24"/>
          <w:lang w:val="en-GB"/>
        </w:rPr>
        <w:t>, 2017).</w:t>
      </w:r>
    </w:p>
    <w:p w14:paraId="437BDB9F" w14:textId="77777777" w:rsidR="0037036A" w:rsidRPr="00B565D0" w:rsidRDefault="0037036A" w:rsidP="00A23BEA">
      <w:pPr>
        <w:autoSpaceDE w:val="0"/>
        <w:autoSpaceDN w:val="0"/>
        <w:adjustRightInd w:val="0"/>
        <w:spacing w:after="0" w:line="360" w:lineRule="auto"/>
        <w:jc w:val="both"/>
        <w:rPr>
          <w:rFonts w:cs="Arial"/>
          <w:sz w:val="24"/>
          <w:szCs w:val="24"/>
          <w:lang w:val="en-GB"/>
        </w:rPr>
      </w:pPr>
    </w:p>
    <w:p w14:paraId="592824A0" w14:textId="19CBE945" w:rsidR="0037036A" w:rsidRPr="008D7345" w:rsidRDefault="0037036A" w:rsidP="00053219">
      <w:pPr>
        <w:pStyle w:val="Heading3"/>
        <w:spacing w:line="360" w:lineRule="auto"/>
        <w:rPr>
          <w:rFonts w:eastAsiaTheme="minorHAnsi" w:cs="Arial"/>
          <w:b/>
          <w:bCs/>
          <w:sz w:val="24"/>
          <w:szCs w:val="24"/>
          <w:lang w:val="en-GB"/>
          <w14:ligatures w14:val="standardContextual"/>
        </w:rPr>
      </w:pPr>
      <w:bookmarkStart w:id="11" w:name="_Toc227790541"/>
      <w:r w:rsidRPr="008D7345">
        <w:rPr>
          <w:rFonts w:eastAsiaTheme="minorHAnsi" w:cs="Arial"/>
          <w:b/>
          <w:bCs/>
          <w:sz w:val="24"/>
          <w:szCs w:val="24"/>
          <w:lang w:val="en-GB"/>
          <w14:ligatures w14:val="standardContextual"/>
        </w:rPr>
        <w:t>5.1 Employee Engagement and Change Readiness</w:t>
      </w:r>
      <w:bookmarkEnd w:id="11"/>
    </w:p>
    <w:p w14:paraId="00D84C56" w14:textId="77777777" w:rsidR="00F451CD" w:rsidRPr="00B565D0" w:rsidRDefault="00F451CD" w:rsidP="00F451CD">
      <w:pPr>
        <w:autoSpaceDE w:val="0"/>
        <w:autoSpaceDN w:val="0"/>
        <w:adjustRightInd w:val="0"/>
        <w:spacing w:after="40" w:line="360" w:lineRule="auto"/>
        <w:jc w:val="both"/>
        <w:rPr>
          <w:rFonts w:cs="Arial"/>
          <w:sz w:val="24"/>
          <w:szCs w:val="24"/>
          <w:lang w:val="en-GB"/>
        </w:rPr>
      </w:pPr>
      <w:r w:rsidRPr="00B565D0">
        <w:rPr>
          <w:rFonts w:cs="Arial"/>
          <w:sz w:val="24"/>
          <w:szCs w:val="24"/>
          <w:lang w:val="en-GB"/>
        </w:rPr>
        <w:t>The success of a change initiative is contingent upon employee engagement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Kotter</w:t>
      </w:r>
      <w:proofErr w:type="spellEnd"/>
      <w:r w:rsidRPr="00B565D0">
        <w:rPr>
          <w:rFonts w:cs="Arial"/>
          <w:sz w:val="24"/>
          <w:szCs w:val="24"/>
          <w:lang w:val="en-GB"/>
        </w:rPr>
        <w:t xml:space="preserve">, 2012). At </w:t>
      </w:r>
      <w:proofErr w:type="spellStart"/>
      <w:r w:rsidRPr="00B565D0">
        <w:rPr>
          <w:rFonts w:cs="Arial"/>
          <w:sz w:val="24"/>
          <w:szCs w:val="24"/>
          <w:lang w:val="en-GB"/>
        </w:rPr>
        <w:t>Monzo</w:t>
      </w:r>
      <w:proofErr w:type="spellEnd"/>
      <w:r w:rsidRPr="00B565D0">
        <w:rPr>
          <w:rFonts w:cs="Arial"/>
          <w:sz w:val="24"/>
          <w:szCs w:val="24"/>
          <w:lang w:val="en-GB"/>
        </w:rPr>
        <w:t>, employees are required to internalise the evolving governance and accountability values while adapting to new systems (</w:t>
      </w:r>
      <w:proofErr w:type="spellStart"/>
      <w:r w:rsidRPr="00B565D0">
        <w:rPr>
          <w:rFonts w:cs="Arial"/>
          <w:sz w:val="24"/>
          <w:szCs w:val="24"/>
          <w:lang w:val="en-GB"/>
        </w:rPr>
        <w:t>Schein</w:t>
      </w:r>
      <w:proofErr w:type="spellEnd"/>
      <w:r w:rsidRPr="00B565D0">
        <w:rPr>
          <w:rFonts w:cs="Arial"/>
          <w:sz w:val="24"/>
          <w:szCs w:val="24"/>
          <w:lang w:val="en-GB"/>
        </w:rPr>
        <w:t>, 2017; Cummings and Worley, 2019).</w:t>
      </w:r>
    </w:p>
    <w:p w14:paraId="04F522C3" w14:textId="77777777" w:rsidR="00F451CD" w:rsidRPr="00B565D0" w:rsidRDefault="00F451CD" w:rsidP="00F451CD">
      <w:pPr>
        <w:autoSpaceDE w:val="0"/>
        <w:autoSpaceDN w:val="0"/>
        <w:adjustRightInd w:val="0"/>
        <w:spacing w:after="40" w:line="360" w:lineRule="auto"/>
        <w:jc w:val="both"/>
        <w:rPr>
          <w:rFonts w:cs="Arial"/>
          <w:sz w:val="24"/>
          <w:szCs w:val="24"/>
          <w:lang w:val="en-GB"/>
        </w:rPr>
      </w:pPr>
    </w:p>
    <w:p w14:paraId="4B434A10" w14:textId="77777777" w:rsidR="00F451CD" w:rsidRPr="00B565D0" w:rsidRDefault="00F451CD" w:rsidP="00F451CD">
      <w:pPr>
        <w:autoSpaceDE w:val="0"/>
        <w:autoSpaceDN w:val="0"/>
        <w:adjustRightInd w:val="0"/>
        <w:spacing w:after="40" w:line="360" w:lineRule="auto"/>
        <w:jc w:val="both"/>
        <w:rPr>
          <w:rFonts w:cs="Arial"/>
          <w:sz w:val="24"/>
          <w:szCs w:val="24"/>
          <w:lang w:val="en-GB"/>
        </w:rPr>
      </w:pPr>
      <w:r w:rsidRPr="00B565D0">
        <w:rPr>
          <w:rFonts w:cs="Arial"/>
          <w:sz w:val="24"/>
          <w:szCs w:val="24"/>
          <w:lang w:val="en-GB"/>
        </w:rPr>
        <w:t xml:space="preserve">The effectiveness of implementation is directly influenced by change readiness, which refers to the psychological and behavioural preparedness of employees (Cummings and Worley, 2019; </w:t>
      </w:r>
      <w:proofErr w:type="spellStart"/>
      <w:r w:rsidRPr="00B565D0">
        <w:rPr>
          <w:rFonts w:cs="Arial"/>
          <w:sz w:val="24"/>
          <w:szCs w:val="24"/>
          <w:lang w:val="en-GB"/>
        </w:rPr>
        <w:t>Weick</w:t>
      </w:r>
      <w:proofErr w:type="spellEnd"/>
      <w:r w:rsidRPr="00B565D0">
        <w:rPr>
          <w:rFonts w:cs="Arial"/>
          <w:sz w:val="24"/>
          <w:szCs w:val="24"/>
          <w:lang w:val="en-GB"/>
        </w:rPr>
        <w:t xml:space="preserve"> and Quinn, 1999). Low readiness undermines initiatives, while high readiness enhances commitment and diminishes resistance (</w:t>
      </w:r>
      <w:proofErr w:type="spellStart"/>
      <w:r w:rsidRPr="00B565D0">
        <w:rPr>
          <w:rFonts w:cs="Arial"/>
          <w:sz w:val="24"/>
          <w:szCs w:val="24"/>
          <w:lang w:val="en-GB"/>
        </w:rPr>
        <w:t>Burnes</w:t>
      </w:r>
      <w:proofErr w:type="spellEnd"/>
      <w:r w:rsidRPr="00B565D0">
        <w:rPr>
          <w:rFonts w:cs="Arial"/>
          <w:sz w:val="24"/>
          <w:szCs w:val="24"/>
          <w:lang w:val="en-GB"/>
        </w:rPr>
        <w:t xml:space="preserve">, 2017; </w:t>
      </w:r>
      <w:proofErr w:type="spellStart"/>
      <w:r w:rsidRPr="00B565D0">
        <w:rPr>
          <w:rFonts w:cs="Arial"/>
          <w:sz w:val="24"/>
          <w:szCs w:val="24"/>
          <w:lang w:val="en-GB"/>
        </w:rPr>
        <w:t>Kotter</w:t>
      </w:r>
      <w:proofErr w:type="spellEnd"/>
      <w:r w:rsidRPr="00B565D0">
        <w:rPr>
          <w:rFonts w:cs="Arial"/>
          <w:sz w:val="24"/>
          <w:szCs w:val="24"/>
          <w:lang w:val="en-GB"/>
        </w:rPr>
        <w:t>, 2012).</w:t>
      </w:r>
    </w:p>
    <w:p w14:paraId="6F7D2821" w14:textId="77777777" w:rsidR="00F451CD" w:rsidRPr="00B565D0" w:rsidRDefault="00F451CD" w:rsidP="00F451CD">
      <w:pPr>
        <w:autoSpaceDE w:val="0"/>
        <w:autoSpaceDN w:val="0"/>
        <w:adjustRightInd w:val="0"/>
        <w:spacing w:after="40" w:line="360" w:lineRule="auto"/>
        <w:jc w:val="both"/>
        <w:rPr>
          <w:rFonts w:cs="Arial"/>
          <w:sz w:val="24"/>
          <w:szCs w:val="24"/>
          <w:lang w:val="en-GB"/>
        </w:rPr>
      </w:pPr>
    </w:p>
    <w:p w14:paraId="7390BEE2" w14:textId="28F73DFC" w:rsidR="000F573C" w:rsidRPr="00B565D0" w:rsidRDefault="00F451CD" w:rsidP="00F451CD">
      <w:pPr>
        <w:autoSpaceDE w:val="0"/>
        <w:autoSpaceDN w:val="0"/>
        <w:adjustRightInd w:val="0"/>
        <w:spacing w:after="40" w:line="360" w:lineRule="auto"/>
        <w:jc w:val="both"/>
        <w:rPr>
          <w:rFonts w:cs="Arial"/>
          <w:sz w:val="24"/>
          <w:szCs w:val="24"/>
          <w:lang w:val="en-GB"/>
        </w:rPr>
      </w:pPr>
      <w:r w:rsidRPr="00B565D0">
        <w:rPr>
          <w:rFonts w:cs="Arial"/>
          <w:sz w:val="24"/>
          <w:szCs w:val="24"/>
          <w:lang w:val="en-GB"/>
        </w:rPr>
        <w:t>The process of maintaining engagement becomes increasingly intricate in organisations that are expanding rapidly, as the formalisation of change may appear to be imposed rather than collaborative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w:t>
      </w:r>
      <w:proofErr w:type="spellStart"/>
      <w:r w:rsidRPr="00B565D0">
        <w:rPr>
          <w:rFonts w:cs="Arial"/>
          <w:sz w:val="24"/>
          <w:szCs w:val="24"/>
          <w:lang w:val="en-GB"/>
        </w:rPr>
        <w:t>Schein</w:t>
      </w:r>
      <w:proofErr w:type="spellEnd"/>
      <w:r w:rsidRPr="00B565D0">
        <w:rPr>
          <w:rFonts w:cs="Arial"/>
          <w:sz w:val="24"/>
          <w:szCs w:val="24"/>
          <w:lang w:val="en-GB"/>
        </w:rPr>
        <w:t>, 2017). This emphasises the significance of transparency, participation, and communication in the development of employee ownership (</w:t>
      </w:r>
      <w:proofErr w:type="spellStart"/>
      <w:r w:rsidRPr="00B565D0">
        <w:rPr>
          <w:rFonts w:cs="Arial"/>
          <w:sz w:val="24"/>
          <w:szCs w:val="24"/>
          <w:lang w:val="en-GB"/>
        </w:rPr>
        <w:t>Kotter</w:t>
      </w:r>
      <w:proofErr w:type="spellEnd"/>
      <w:r w:rsidRPr="00B565D0">
        <w:rPr>
          <w:rFonts w:cs="Arial"/>
          <w:sz w:val="24"/>
          <w:szCs w:val="24"/>
          <w:lang w:val="en-GB"/>
        </w:rPr>
        <w:t xml:space="preserve">, 2012; Bass and </w:t>
      </w:r>
      <w:proofErr w:type="spellStart"/>
      <w:r w:rsidRPr="00B565D0">
        <w:rPr>
          <w:rFonts w:cs="Arial"/>
          <w:sz w:val="24"/>
          <w:szCs w:val="24"/>
          <w:lang w:val="en-GB"/>
        </w:rPr>
        <w:t>Avolio</w:t>
      </w:r>
      <w:proofErr w:type="spellEnd"/>
      <w:r w:rsidRPr="00B565D0">
        <w:rPr>
          <w:rFonts w:cs="Arial"/>
          <w:sz w:val="24"/>
          <w:szCs w:val="24"/>
          <w:lang w:val="en-GB"/>
        </w:rPr>
        <w:t xml:space="preserve">, </w:t>
      </w:r>
      <w:r w:rsidR="00B94DBF" w:rsidRPr="00B565D0">
        <w:rPr>
          <w:rFonts w:cs="Arial"/>
          <w:sz w:val="24"/>
          <w:szCs w:val="24"/>
          <w:lang w:val="en-GB"/>
        </w:rPr>
        <w:t>1994)</w:t>
      </w:r>
      <w:r w:rsidRPr="00B565D0">
        <w:rPr>
          <w:rFonts w:cs="Arial"/>
          <w:sz w:val="24"/>
          <w:szCs w:val="24"/>
          <w:lang w:val="en-GB"/>
        </w:rPr>
        <w:t xml:space="preserve">. This is consistent with </w:t>
      </w:r>
      <w:proofErr w:type="spellStart"/>
      <w:r w:rsidRPr="00B565D0">
        <w:rPr>
          <w:rFonts w:cs="Arial"/>
          <w:sz w:val="24"/>
          <w:szCs w:val="24"/>
          <w:lang w:val="en-GB"/>
        </w:rPr>
        <w:t>Kotter's</w:t>
      </w:r>
      <w:proofErr w:type="spellEnd"/>
      <w:r w:rsidRPr="00B565D0">
        <w:rPr>
          <w:rFonts w:cs="Arial"/>
          <w:sz w:val="24"/>
          <w:szCs w:val="24"/>
          <w:lang w:val="en-GB"/>
        </w:rPr>
        <w:t xml:space="preserve"> emphasis on shared vision and reflects the principle that sustainable change necessitates alignment between individual motivations and organisational objectives (</w:t>
      </w:r>
      <w:proofErr w:type="spellStart"/>
      <w:r w:rsidRPr="00B565D0">
        <w:rPr>
          <w:rFonts w:cs="Arial"/>
          <w:sz w:val="24"/>
          <w:szCs w:val="24"/>
          <w:lang w:val="en-GB"/>
        </w:rPr>
        <w:t>Kotter</w:t>
      </w:r>
      <w:proofErr w:type="spellEnd"/>
      <w:r w:rsidRPr="00B565D0">
        <w:rPr>
          <w:rFonts w:cs="Arial"/>
          <w:sz w:val="24"/>
          <w:szCs w:val="24"/>
          <w:lang w:val="en-GB"/>
        </w:rPr>
        <w:t xml:space="preserve">, 2012; </w:t>
      </w:r>
      <w:proofErr w:type="spellStart"/>
      <w:r w:rsidRPr="00B565D0">
        <w:rPr>
          <w:rFonts w:cs="Arial"/>
          <w:sz w:val="24"/>
          <w:szCs w:val="24"/>
          <w:lang w:val="en-GB"/>
        </w:rPr>
        <w:t>Weick</w:t>
      </w:r>
      <w:proofErr w:type="spellEnd"/>
      <w:r w:rsidRPr="00B565D0">
        <w:rPr>
          <w:rFonts w:cs="Arial"/>
          <w:sz w:val="24"/>
          <w:szCs w:val="24"/>
          <w:lang w:val="en-GB"/>
        </w:rPr>
        <w:t xml:space="preserve"> and Quinn, </w:t>
      </w:r>
      <w:r w:rsidR="00B94DBF" w:rsidRPr="00B565D0">
        <w:rPr>
          <w:rFonts w:cs="Arial"/>
          <w:sz w:val="24"/>
          <w:szCs w:val="24"/>
          <w:lang w:val="en-GB"/>
        </w:rPr>
        <w:t>1999)</w:t>
      </w:r>
      <w:r w:rsidRPr="00B565D0">
        <w:rPr>
          <w:rFonts w:cs="Arial"/>
          <w:sz w:val="24"/>
          <w:szCs w:val="24"/>
          <w:lang w:val="en-GB"/>
        </w:rPr>
        <w:t>.</w:t>
      </w:r>
    </w:p>
    <w:p w14:paraId="24A6AB46" w14:textId="77777777" w:rsidR="0037036A" w:rsidRPr="00B565D0" w:rsidRDefault="0037036A" w:rsidP="00F451CD">
      <w:pPr>
        <w:autoSpaceDE w:val="0"/>
        <w:autoSpaceDN w:val="0"/>
        <w:adjustRightInd w:val="0"/>
        <w:spacing w:after="40" w:line="360" w:lineRule="auto"/>
        <w:jc w:val="both"/>
        <w:rPr>
          <w:rFonts w:eastAsiaTheme="minorHAnsi" w:cs="Arial"/>
          <w:b/>
          <w:sz w:val="24"/>
          <w:szCs w:val="24"/>
          <w:lang w:val="en-GB"/>
          <w14:ligatures w14:val="standardContextual"/>
        </w:rPr>
      </w:pPr>
    </w:p>
    <w:p w14:paraId="015F31C6" w14:textId="77777777" w:rsidR="0037036A" w:rsidRPr="008D7345"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12" w:name="_Toc227790542"/>
      <w:r w:rsidRPr="008D7345">
        <w:rPr>
          <w:rFonts w:ascii="Arial" w:eastAsiaTheme="minorHAnsi" w:hAnsi="Arial" w:cs="Arial"/>
          <w:b/>
          <w:bCs/>
          <w:sz w:val="24"/>
          <w:szCs w:val="24"/>
          <w:lang w:val="en-GB"/>
          <w14:ligatures w14:val="standardContextual"/>
        </w:rPr>
        <w:t xml:space="preserve">6. Critical Evaluation of Change at </w:t>
      </w:r>
      <w:proofErr w:type="spellStart"/>
      <w:r w:rsidRPr="008D7345">
        <w:rPr>
          <w:rFonts w:ascii="Arial" w:eastAsiaTheme="minorHAnsi" w:hAnsi="Arial" w:cs="Arial"/>
          <w:b/>
          <w:bCs/>
          <w:sz w:val="24"/>
          <w:szCs w:val="24"/>
          <w:lang w:val="en-GB"/>
          <w14:ligatures w14:val="standardContextual"/>
        </w:rPr>
        <w:t>Monzo</w:t>
      </w:r>
      <w:bookmarkEnd w:id="12"/>
      <w:proofErr w:type="spellEnd"/>
    </w:p>
    <w:p w14:paraId="67EAA74E" w14:textId="77777777" w:rsidR="00DA5615" w:rsidRPr="00B565D0" w:rsidRDefault="00DA5615" w:rsidP="00DA5615">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has exhibited a robust capacity to contend with digital disruption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Vial, 2019). Nevertheless, its rapid expansion has revealed deficiencies in its governance structures and internal systems (Financial Conduct Authority, 2024; Brown, Steen, and Foreman, 2009). This is a prevalent issue in fintech organisations, where innovation may surpass organisational maturity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xml:space="preserve">, 2018;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xml:space="preserve">, and Greenwood, 2018). </w:t>
      </w:r>
    </w:p>
    <w:p w14:paraId="30214237" w14:textId="77777777" w:rsidR="00DA5615" w:rsidRPr="00B565D0" w:rsidRDefault="00DA5615" w:rsidP="00DA5615">
      <w:pPr>
        <w:autoSpaceDE w:val="0"/>
        <w:autoSpaceDN w:val="0"/>
        <w:adjustRightInd w:val="0"/>
        <w:spacing w:after="0" w:line="360" w:lineRule="auto"/>
        <w:jc w:val="both"/>
        <w:rPr>
          <w:rFonts w:cs="Arial"/>
          <w:sz w:val="24"/>
          <w:szCs w:val="24"/>
          <w:lang w:val="en-GB"/>
        </w:rPr>
      </w:pPr>
    </w:p>
    <w:p w14:paraId="06F5FA85" w14:textId="30880898" w:rsidR="00DA5615" w:rsidRPr="00B565D0" w:rsidRDefault="00DA5615" w:rsidP="00DA5615">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A critical concern is the potential </w:t>
      </w:r>
      <w:proofErr w:type="spellStart"/>
      <w:r w:rsidRPr="00B565D0">
        <w:rPr>
          <w:rFonts w:cs="Arial"/>
          <w:sz w:val="24"/>
          <w:szCs w:val="24"/>
          <w:lang w:val="en-GB"/>
        </w:rPr>
        <w:t>overreliance</w:t>
      </w:r>
      <w:proofErr w:type="spellEnd"/>
      <w:r w:rsidRPr="00B565D0">
        <w:rPr>
          <w:rFonts w:cs="Arial"/>
          <w:sz w:val="24"/>
          <w:szCs w:val="24"/>
          <w:lang w:val="en-GB"/>
        </w:rPr>
        <w:t xml:space="preserve"> on technological solutions in the absence of adequate governance frameworks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xml:space="preserve">, and Buckley, 2016; </w:t>
      </w:r>
      <w:proofErr w:type="spellStart"/>
      <w:r w:rsidRPr="00B565D0">
        <w:rPr>
          <w:rFonts w:cs="Arial"/>
          <w:sz w:val="24"/>
          <w:szCs w:val="24"/>
          <w:lang w:val="en-GB"/>
        </w:rPr>
        <w:t>Soldatos</w:t>
      </w:r>
      <w:proofErr w:type="spellEnd"/>
      <w:r w:rsidRPr="00B565D0">
        <w:rPr>
          <w:rFonts w:cs="Arial"/>
          <w:sz w:val="24"/>
          <w:szCs w:val="24"/>
          <w:lang w:val="en-GB"/>
        </w:rPr>
        <w:t xml:space="preserve"> and </w:t>
      </w:r>
      <w:proofErr w:type="spellStart"/>
      <w:r w:rsidRPr="00B565D0">
        <w:rPr>
          <w:rFonts w:cs="Arial"/>
          <w:sz w:val="24"/>
          <w:szCs w:val="24"/>
          <w:lang w:val="en-GB"/>
        </w:rPr>
        <w:t>Kyriazis</w:t>
      </w:r>
      <w:proofErr w:type="spellEnd"/>
      <w:r w:rsidRPr="00B565D0">
        <w:rPr>
          <w:rFonts w:cs="Arial"/>
          <w:sz w:val="24"/>
          <w:szCs w:val="24"/>
          <w:lang w:val="en-GB"/>
        </w:rPr>
        <w:t xml:space="preserve">, 2022). This increases the amount of operational and regulatory risks, particularly in the areas of data protection and fraud prevention (Financial Conduct Authority, 2024; Brown, Steen, and Foreman, 2009). As a result, </w:t>
      </w:r>
      <w:proofErr w:type="spellStart"/>
      <w:r w:rsidRPr="00B565D0">
        <w:rPr>
          <w:rFonts w:cs="Arial"/>
          <w:sz w:val="24"/>
          <w:szCs w:val="24"/>
          <w:lang w:val="en-GB"/>
        </w:rPr>
        <w:t>Monzo</w:t>
      </w:r>
      <w:proofErr w:type="spellEnd"/>
      <w:r w:rsidRPr="00B565D0">
        <w:rPr>
          <w:rFonts w:cs="Arial"/>
          <w:sz w:val="24"/>
          <w:szCs w:val="24"/>
          <w:lang w:val="en-GB"/>
        </w:rPr>
        <w:t xml:space="preserve"> must transition from a </w:t>
      </w:r>
      <w:r w:rsidR="00812F85" w:rsidRPr="00B565D0">
        <w:rPr>
          <w:rFonts w:cs="Arial"/>
          <w:sz w:val="24"/>
          <w:szCs w:val="24"/>
          <w:lang w:val="en-GB"/>
        </w:rPr>
        <w:t>prioriti</w:t>
      </w:r>
      <w:r w:rsidR="00B94DBF" w:rsidRPr="00B565D0">
        <w:rPr>
          <w:rFonts w:cs="Arial"/>
          <w:sz w:val="24"/>
          <w:szCs w:val="24"/>
          <w:lang w:val="en-GB"/>
        </w:rPr>
        <w:t>s</w:t>
      </w:r>
      <w:r w:rsidR="00812F85" w:rsidRPr="00B565D0">
        <w:rPr>
          <w:rFonts w:cs="Arial"/>
          <w:sz w:val="24"/>
          <w:szCs w:val="24"/>
          <w:lang w:val="en-GB"/>
        </w:rPr>
        <w:t xml:space="preserve">ed </w:t>
      </w:r>
      <w:r w:rsidRPr="00B565D0">
        <w:rPr>
          <w:rFonts w:cs="Arial"/>
          <w:sz w:val="24"/>
          <w:szCs w:val="24"/>
          <w:lang w:val="en-GB"/>
        </w:rPr>
        <w:t>expansion strategy to one that emphasises sustainability and resilience (</w:t>
      </w:r>
      <w:proofErr w:type="spellStart"/>
      <w:r w:rsidRPr="00B565D0">
        <w:rPr>
          <w:rFonts w:cs="Arial"/>
          <w:sz w:val="24"/>
          <w:szCs w:val="24"/>
          <w:lang w:val="en-GB"/>
        </w:rPr>
        <w:t>Teece</w:t>
      </w:r>
      <w:proofErr w:type="spellEnd"/>
      <w:r w:rsidRPr="00B565D0">
        <w:rPr>
          <w:rFonts w:cs="Arial"/>
          <w:sz w:val="24"/>
          <w:szCs w:val="24"/>
          <w:lang w:val="en-GB"/>
        </w:rPr>
        <w:t>, 2018; Cummings and Worley, 2019).</w:t>
      </w:r>
    </w:p>
    <w:p w14:paraId="3FC62D51" w14:textId="77777777" w:rsidR="0037036A" w:rsidRPr="00B565D0" w:rsidRDefault="0037036A" w:rsidP="00053219">
      <w:pPr>
        <w:autoSpaceDE w:val="0"/>
        <w:autoSpaceDN w:val="0"/>
        <w:adjustRightInd w:val="0"/>
        <w:spacing w:after="0" w:line="360" w:lineRule="auto"/>
        <w:rPr>
          <w:rFonts w:eastAsiaTheme="minorHAnsi" w:cs="Arial"/>
          <w:sz w:val="24"/>
          <w:szCs w:val="24"/>
          <w:lang w:val="en-GB"/>
          <w14:ligatures w14:val="standardContextual"/>
        </w:rPr>
      </w:pPr>
    </w:p>
    <w:p w14:paraId="57548618" w14:textId="77777777" w:rsidR="0037036A" w:rsidRPr="008D7345" w:rsidRDefault="0037036A" w:rsidP="00053219">
      <w:pPr>
        <w:pStyle w:val="Heading3"/>
        <w:spacing w:line="360" w:lineRule="auto"/>
        <w:rPr>
          <w:rFonts w:eastAsiaTheme="minorHAnsi" w:cs="Arial"/>
          <w:b/>
          <w:bCs/>
          <w:sz w:val="24"/>
          <w:szCs w:val="24"/>
          <w:lang w:val="en-GB"/>
          <w14:ligatures w14:val="standardContextual"/>
        </w:rPr>
      </w:pPr>
      <w:bookmarkStart w:id="13" w:name="_Toc227790543"/>
      <w:r w:rsidRPr="008D7345">
        <w:rPr>
          <w:rFonts w:eastAsiaTheme="minorHAnsi" w:cs="Arial"/>
          <w:b/>
          <w:bCs/>
          <w:sz w:val="24"/>
          <w:szCs w:val="24"/>
          <w:lang w:val="en-GB"/>
          <w14:ligatures w14:val="standardContextual"/>
        </w:rPr>
        <w:t>6.1 Technological Risk and Cybersecurity Considerations</w:t>
      </w:r>
      <w:bookmarkEnd w:id="13"/>
    </w:p>
    <w:p w14:paraId="32695F7C" w14:textId="77777777" w:rsidR="005C2F01" w:rsidRPr="00B565D0" w:rsidRDefault="007A1027" w:rsidP="00AC6D32">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is at an increased risk of cyber threats and system malfunctions due to its strictly digital nature (Financial Conduct Authority, 2024; </w:t>
      </w:r>
      <w:proofErr w:type="spellStart"/>
      <w:r w:rsidRPr="00B565D0">
        <w:rPr>
          <w:rFonts w:cs="Arial"/>
          <w:sz w:val="24"/>
          <w:szCs w:val="24"/>
          <w:lang w:val="en-GB"/>
        </w:rPr>
        <w:t>Soldatos</w:t>
      </w:r>
      <w:proofErr w:type="spellEnd"/>
      <w:r w:rsidRPr="00B565D0">
        <w:rPr>
          <w:rFonts w:cs="Arial"/>
          <w:sz w:val="24"/>
          <w:szCs w:val="24"/>
          <w:lang w:val="en-GB"/>
        </w:rPr>
        <w:t xml:space="preserve"> and </w:t>
      </w:r>
      <w:proofErr w:type="spellStart"/>
      <w:r w:rsidRPr="00B565D0">
        <w:rPr>
          <w:rFonts w:cs="Arial"/>
          <w:sz w:val="24"/>
          <w:szCs w:val="24"/>
          <w:lang w:val="en-GB"/>
        </w:rPr>
        <w:t>Kyriazis</w:t>
      </w:r>
      <w:proofErr w:type="spellEnd"/>
      <w:r w:rsidRPr="00B565D0">
        <w:rPr>
          <w:rFonts w:cs="Arial"/>
          <w:sz w:val="24"/>
          <w:szCs w:val="24"/>
          <w:lang w:val="en-GB"/>
        </w:rPr>
        <w:t xml:space="preserve">, 2022). Cybersecurity necessitates ongoing investment in advanced technologies and expertise, as threat sophistication continues to escalate, necessitating coordination among IT, risk management, and governance functions (Brown, Steen, and Foreman, 2009;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and Buckley, 2016).</w:t>
      </w:r>
    </w:p>
    <w:p w14:paraId="5F9BB0D8" w14:textId="77777777" w:rsidR="005C2F01" w:rsidRPr="00B565D0" w:rsidRDefault="005C2F01" w:rsidP="00AC6D32">
      <w:pPr>
        <w:autoSpaceDE w:val="0"/>
        <w:autoSpaceDN w:val="0"/>
        <w:adjustRightInd w:val="0"/>
        <w:spacing w:after="0" w:line="360" w:lineRule="auto"/>
        <w:jc w:val="both"/>
        <w:rPr>
          <w:rFonts w:cs="Arial"/>
          <w:sz w:val="24"/>
          <w:szCs w:val="24"/>
          <w:lang w:val="en-GB"/>
        </w:rPr>
      </w:pPr>
    </w:p>
    <w:p w14:paraId="07AFD7C2" w14:textId="0F80E9F2" w:rsidR="0037036A" w:rsidRPr="00B565D0" w:rsidRDefault="0037036A" w:rsidP="00AC6D32">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 Technological </w:t>
      </w:r>
      <w:r w:rsidR="007A1027" w:rsidRPr="00B565D0">
        <w:rPr>
          <w:rFonts w:cs="Arial"/>
          <w:sz w:val="24"/>
          <w:szCs w:val="24"/>
          <w:lang w:val="en-GB"/>
        </w:rPr>
        <w:t>advancements</w:t>
      </w:r>
      <w:r w:rsidRPr="00B565D0">
        <w:rPr>
          <w:rFonts w:cs="Arial"/>
          <w:sz w:val="24"/>
          <w:szCs w:val="24"/>
          <w:lang w:val="en-GB"/>
        </w:rPr>
        <w:t xml:space="preserve"> and security enhancements must be implemented without disrupting operational performance</w:t>
      </w:r>
      <w:r w:rsidR="007A1027" w:rsidRPr="00B565D0">
        <w:rPr>
          <w:rFonts w:cs="Arial"/>
          <w:sz w:val="24"/>
          <w:szCs w:val="24"/>
          <w:lang w:val="en-GB"/>
        </w:rPr>
        <w:t xml:space="preserve"> or customer experience from a change management perspective, necessitating meticulous</w:t>
      </w:r>
      <w:r w:rsidRPr="00B565D0">
        <w:rPr>
          <w:rFonts w:cs="Arial"/>
          <w:sz w:val="24"/>
          <w:szCs w:val="24"/>
          <w:lang w:val="en-GB"/>
        </w:rPr>
        <w:t xml:space="preserve"> planning, testing, and communication</w:t>
      </w:r>
      <w:r w:rsidR="007A1027" w:rsidRPr="00B565D0">
        <w:rPr>
          <w:rFonts w:cs="Arial"/>
          <w:sz w:val="24"/>
          <w:szCs w:val="24"/>
          <w:lang w:val="en-GB"/>
        </w:rPr>
        <w:t xml:space="preserve"> (</w:t>
      </w:r>
      <w:proofErr w:type="spellStart"/>
      <w:r w:rsidR="007A1027" w:rsidRPr="00B565D0">
        <w:rPr>
          <w:rFonts w:cs="Arial"/>
          <w:sz w:val="24"/>
          <w:szCs w:val="24"/>
          <w:lang w:val="en-GB"/>
        </w:rPr>
        <w:t>Kotter</w:t>
      </w:r>
      <w:proofErr w:type="spellEnd"/>
      <w:r w:rsidR="007A1027" w:rsidRPr="00B565D0">
        <w:rPr>
          <w:rFonts w:cs="Arial"/>
          <w:sz w:val="24"/>
          <w:szCs w:val="24"/>
          <w:lang w:val="en-GB"/>
        </w:rPr>
        <w:t>, 2012; Vial, 2019). The reputational consequences of major security vulnerabilities are substantial, and they have the potential to erode consumer trust and diminish the value of a brand (</w:t>
      </w:r>
      <w:proofErr w:type="spellStart"/>
      <w:r w:rsidR="007A1027" w:rsidRPr="00B565D0">
        <w:rPr>
          <w:rFonts w:cs="Arial"/>
          <w:sz w:val="24"/>
          <w:szCs w:val="24"/>
          <w:lang w:val="en-GB"/>
        </w:rPr>
        <w:t>Schein</w:t>
      </w:r>
      <w:proofErr w:type="spellEnd"/>
      <w:r w:rsidR="007A1027" w:rsidRPr="00B565D0">
        <w:rPr>
          <w:rFonts w:cs="Arial"/>
          <w:sz w:val="24"/>
          <w:szCs w:val="24"/>
          <w:lang w:val="en-GB"/>
        </w:rPr>
        <w:t>, 2017; Financial Conduct Authority, 2024). This underscores</w:t>
      </w:r>
      <w:r w:rsidRPr="00B565D0">
        <w:rPr>
          <w:rFonts w:cs="Arial"/>
          <w:sz w:val="24"/>
          <w:szCs w:val="24"/>
          <w:lang w:val="en-GB"/>
        </w:rPr>
        <w:t xml:space="preserve"> the </w:t>
      </w:r>
      <w:r w:rsidR="007A1027" w:rsidRPr="00B565D0">
        <w:rPr>
          <w:rFonts w:cs="Arial"/>
          <w:sz w:val="24"/>
          <w:szCs w:val="24"/>
          <w:lang w:val="en-GB"/>
        </w:rPr>
        <w:t>significance</w:t>
      </w:r>
      <w:r w:rsidRPr="00B565D0">
        <w:rPr>
          <w:rFonts w:cs="Arial"/>
          <w:sz w:val="24"/>
          <w:szCs w:val="24"/>
          <w:lang w:val="en-GB"/>
        </w:rPr>
        <w:t xml:space="preserve"> of </w:t>
      </w:r>
      <w:r w:rsidR="007A1027" w:rsidRPr="00B565D0">
        <w:rPr>
          <w:rFonts w:cs="Arial"/>
          <w:sz w:val="24"/>
          <w:szCs w:val="24"/>
          <w:lang w:val="en-GB"/>
        </w:rPr>
        <w:t>incorporating</w:t>
      </w:r>
      <w:r w:rsidRPr="00B565D0">
        <w:rPr>
          <w:rFonts w:cs="Arial"/>
          <w:sz w:val="24"/>
          <w:szCs w:val="24"/>
          <w:lang w:val="en-GB"/>
        </w:rPr>
        <w:t xml:space="preserve"> risk management into the </w:t>
      </w:r>
      <w:r w:rsidR="007A1027" w:rsidRPr="00B565D0">
        <w:rPr>
          <w:rFonts w:cs="Arial"/>
          <w:sz w:val="24"/>
          <w:szCs w:val="24"/>
          <w:lang w:val="en-GB"/>
        </w:rPr>
        <w:t>overarching</w:t>
      </w:r>
      <w:r w:rsidRPr="00B565D0">
        <w:rPr>
          <w:rFonts w:cs="Arial"/>
          <w:sz w:val="24"/>
          <w:szCs w:val="24"/>
          <w:lang w:val="en-GB"/>
        </w:rPr>
        <w:t xml:space="preserve"> change strategy</w:t>
      </w:r>
      <w:r w:rsidR="007A1027" w:rsidRPr="00B565D0">
        <w:rPr>
          <w:rFonts w:cs="Arial"/>
          <w:sz w:val="24"/>
          <w:szCs w:val="24"/>
          <w:lang w:val="en-GB"/>
        </w:rPr>
        <w:t xml:space="preserve"> to guarantee</w:t>
      </w:r>
      <w:r w:rsidRPr="00B565D0">
        <w:rPr>
          <w:rFonts w:cs="Arial"/>
          <w:sz w:val="24"/>
          <w:szCs w:val="24"/>
          <w:lang w:val="en-GB"/>
        </w:rPr>
        <w:t xml:space="preserve"> that technological innovation is accompanied by </w:t>
      </w:r>
      <w:r w:rsidR="007A1027" w:rsidRPr="00B565D0">
        <w:rPr>
          <w:rFonts w:cs="Arial"/>
          <w:sz w:val="24"/>
          <w:szCs w:val="24"/>
          <w:lang w:val="en-GB"/>
        </w:rPr>
        <w:t>comprehensive security measures (</w:t>
      </w:r>
      <w:proofErr w:type="spellStart"/>
      <w:r w:rsidR="007A1027" w:rsidRPr="00B565D0">
        <w:rPr>
          <w:rFonts w:cs="Arial"/>
          <w:sz w:val="24"/>
          <w:szCs w:val="24"/>
          <w:lang w:val="en-GB"/>
        </w:rPr>
        <w:t>Teece</w:t>
      </w:r>
      <w:proofErr w:type="spellEnd"/>
      <w:r w:rsidR="007A1027" w:rsidRPr="00B565D0">
        <w:rPr>
          <w:rFonts w:cs="Arial"/>
          <w:sz w:val="24"/>
          <w:szCs w:val="24"/>
          <w:lang w:val="en-GB"/>
        </w:rPr>
        <w:t>, 2018; Cummings and Worley, 2019).</w:t>
      </w:r>
    </w:p>
    <w:p w14:paraId="76FE7609" w14:textId="77777777" w:rsidR="000F573C" w:rsidRPr="00B565D0" w:rsidRDefault="000F573C" w:rsidP="00AC6D32">
      <w:pPr>
        <w:autoSpaceDE w:val="0"/>
        <w:autoSpaceDN w:val="0"/>
        <w:adjustRightInd w:val="0"/>
        <w:spacing w:after="0" w:line="360" w:lineRule="auto"/>
        <w:jc w:val="both"/>
        <w:rPr>
          <w:rFonts w:eastAsiaTheme="minorHAnsi" w:cs="Arial"/>
          <w:sz w:val="24"/>
          <w:szCs w:val="24"/>
          <w:lang w:val="en-GB"/>
          <w14:ligatures w14:val="standardContextual"/>
        </w:rPr>
      </w:pPr>
    </w:p>
    <w:p w14:paraId="7FF4DABB" w14:textId="77777777" w:rsidR="0037036A" w:rsidRPr="008D7345"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14" w:name="_Toc227790544"/>
      <w:r w:rsidRPr="008D7345">
        <w:rPr>
          <w:rFonts w:ascii="Arial" w:eastAsiaTheme="minorHAnsi" w:hAnsi="Arial" w:cs="Arial"/>
          <w:b/>
          <w:bCs/>
          <w:sz w:val="24"/>
          <w:szCs w:val="24"/>
          <w:lang w:val="en-GB"/>
          <w14:ligatures w14:val="standardContextual"/>
        </w:rPr>
        <w:t>7. Proposed Change Management Plan</w:t>
      </w:r>
      <w:bookmarkEnd w:id="14"/>
    </w:p>
    <w:p w14:paraId="1F7C1768" w14:textId="2A6ECAE9" w:rsidR="002D4385" w:rsidRPr="00B565D0" w:rsidRDefault="00D81B72" w:rsidP="00187352">
      <w:pPr>
        <w:autoSpaceDE w:val="0"/>
        <w:autoSpaceDN w:val="0"/>
        <w:adjustRightInd w:val="0"/>
        <w:spacing w:after="0" w:line="360" w:lineRule="auto"/>
        <w:jc w:val="both"/>
        <w:rPr>
          <w:rFonts w:cs="Arial"/>
          <w:sz w:val="24"/>
          <w:szCs w:val="24"/>
          <w:lang w:val="en-GB"/>
        </w:rPr>
      </w:pPr>
      <w:r w:rsidRPr="00B565D0">
        <w:rPr>
          <w:rFonts w:cs="Arial"/>
          <w:sz w:val="24"/>
          <w:szCs w:val="24"/>
          <w:lang w:val="en-GB"/>
          <w14:ligatures w14:val="standardContextual"/>
        </w:rPr>
        <w:drawing>
          <wp:anchor distT="0" distB="0" distL="114300" distR="114300" simplePos="0" relativeHeight="251658242" behindDoc="0" locked="0" layoutInCell="1" allowOverlap="1" wp14:anchorId="6C3F3E3A" wp14:editId="119FCAFB">
            <wp:simplePos x="0" y="0"/>
            <wp:positionH relativeFrom="column">
              <wp:posOffset>0</wp:posOffset>
            </wp:positionH>
            <wp:positionV relativeFrom="paragraph">
              <wp:posOffset>234315</wp:posOffset>
            </wp:positionV>
            <wp:extent cx="6021070" cy="4899660"/>
            <wp:effectExtent l="0" t="0" r="0" b="2540"/>
            <wp:wrapTopAndBottom/>
            <wp:docPr id="1290145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45804" name="Picture 1290145804"/>
                    <pic:cNvPicPr/>
                  </pic:nvPicPr>
                  <pic:blipFill>
                    <a:blip r:embed="rId10">
                      <a:extLst>
                        <a:ext uri="{28A0092B-C50C-407E-A947-70E740481C1C}">
                          <a14:useLocalDpi xmlns:a14="http://schemas.microsoft.com/office/drawing/2010/main" val="0"/>
                        </a:ext>
                      </a:extLst>
                    </a:blip>
                    <a:stretch>
                      <a:fillRect/>
                    </a:stretch>
                  </pic:blipFill>
                  <pic:spPr>
                    <a:xfrm>
                      <a:off x="0" y="0"/>
                      <a:ext cx="6021070" cy="4899660"/>
                    </a:xfrm>
                    <a:prstGeom prst="rect">
                      <a:avLst/>
                    </a:prstGeom>
                  </pic:spPr>
                </pic:pic>
              </a:graphicData>
            </a:graphic>
            <wp14:sizeRelH relativeFrom="margin">
              <wp14:pctWidth>0</wp14:pctWidth>
            </wp14:sizeRelH>
            <wp14:sizeRelV relativeFrom="margin">
              <wp14:pctHeight>0</wp14:pctHeight>
            </wp14:sizeRelV>
          </wp:anchor>
        </w:drawing>
      </w:r>
    </w:p>
    <w:p w14:paraId="769AC48C" w14:textId="77777777" w:rsidR="002D4385" w:rsidRPr="00B565D0" w:rsidRDefault="002D4385" w:rsidP="00187352">
      <w:pPr>
        <w:autoSpaceDE w:val="0"/>
        <w:autoSpaceDN w:val="0"/>
        <w:adjustRightInd w:val="0"/>
        <w:spacing w:after="0" w:line="360" w:lineRule="auto"/>
        <w:jc w:val="both"/>
        <w:rPr>
          <w:rFonts w:cs="Arial"/>
          <w:sz w:val="24"/>
          <w:szCs w:val="24"/>
          <w:lang w:val="en-GB"/>
        </w:rPr>
      </w:pPr>
    </w:p>
    <w:p w14:paraId="55F5AE0B" w14:textId="2D44C3AC" w:rsidR="00661A36" w:rsidRPr="00B565D0" w:rsidRDefault="00661A36" w:rsidP="00661A36">
      <w:pPr>
        <w:rPr>
          <w:rFonts w:cs="Arial"/>
          <w:sz w:val="24"/>
          <w:szCs w:val="24"/>
          <w:lang w:val="en-GB"/>
        </w:rPr>
      </w:pPr>
      <w:r w:rsidRPr="00B565D0">
        <w:rPr>
          <w:rFonts w:cs="Arial"/>
          <w:sz w:val="24"/>
          <w:szCs w:val="24"/>
          <w:lang w:val="en-GB"/>
        </w:rPr>
        <w:t xml:space="preserve">Source: </w:t>
      </w:r>
      <w:r w:rsidR="00BB781E" w:rsidRPr="00B565D0">
        <w:rPr>
          <w:rFonts w:cs="Arial"/>
          <w:sz w:val="24"/>
          <w:szCs w:val="24"/>
          <w:lang w:val="en-GB"/>
        </w:rPr>
        <w:t>Adapted from McKinsey &amp; Company (2016)</w:t>
      </w:r>
    </w:p>
    <w:p w14:paraId="4D22CB1D" w14:textId="77777777" w:rsidR="00661A36" w:rsidRPr="00B565D0" w:rsidRDefault="00661A36" w:rsidP="00661A36">
      <w:pPr>
        <w:rPr>
          <w:rFonts w:cs="Arial"/>
          <w:sz w:val="24"/>
          <w:szCs w:val="24"/>
          <w:lang w:val="en-GB"/>
        </w:rPr>
      </w:pPr>
    </w:p>
    <w:p w14:paraId="7A894FB2" w14:textId="4AD6FFAF" w:rsidR="0037036A" w:rsidRPr="00B565D0" w:rsidRDefault="0037036A" w:rsidP="00661A36">
      <w:pPr>
        <w:jc w:val="both"/>
        <w:rPr>
          <w:rFonts w:eastAsiaTheme="minorHAnsi" w:cs="Arial"/>
          <w:sz w:val="24"/>
          <w:szCs w:val="24"/>
          <w:lang w:val="en-GB"/>
          <w14:ligatures w14:val="standardContextual"/>
        </w:rPr>
      </w:pPr>
      <w:r w:rsidRPr="00B565D0">
        <w:rPr>
          <w:rFonts w:cs="Arial"/>
          <w:sz w:val="24"/>
          <w:szCs w:val="24"/>
          <w:lang w:val="en-GB"/>
        </w:rPr>
        <w:t xml:space="preserve">The proposed Responsible Growth and Operational Resilience Programme is </w:t>
      </w:r>
      <w:r w:rsidR="00661A36" w:rsidRPr="00B565D0">
        <w:rPr>
          <w:rFonts w:cs="Arial"/>
          <w:sz w:val="24"/>
          <w:szCs w:val="24"/>
          <w:lang w:val="en-GB"/>
        </w:rPr>
        <w:t xml:space="preserve">intended to enhance </w:t>
      </w:r>
      <w:proofErr w:type="spellStart"/>
      <w:r w:rsidR="00661A36" w:rsidRPr="00B565D0">
        <w:rPr>
          <w:rFonts w:cs="Arial"/>
          <w:sz w:val="24"/>
          <w:szCs w:val="24"/>
          <w:lang w:val="en-GB"/>
        </w:rPr>
        <w:t>Monzo's</w:t>
      </w:r>
      <w:proofErr w:type="spellEnd"/>
      <w:r w:rsidRPr="00B565D0">
        <w:rPr>
          <w:rFonts w:cs="Arial"/>
          <w:sz w:val="24"/>
          <w:szCs w:val="24"/>
          <w:lang w:val="en-GB"/>
        </w:rPr>
        <w:t xml:space="preserve"> internal capabilities </w:t>
      </w:r>
      <w:r w:rsidR="00661A36" w:rsidRPr="00B565D0">
        <w:rPr>
          <w:rFonts w:cs="Arial"/>
          <w:sz w:val="24"/>
          <w:szCs w:val="24"/>
          <w:lang w:val="en-GB"/>
        </w:rPr>
        <w:t>and foster ongoing</w:t>
      </w:r>
      <w:r w:rsidRPr="00B565D0">
        <w:rPr>
          <w:rFonts w:cs="Arial"/>
          <w:sz w:val="24"/>
          <w:szCs w:val="24"/>
          <w:lang w:val="en-GB"/>
        </w:rPr>
        <w:t xml:space="preserve"> innovation</w:t>
      </w:r>
      <w:r w:rsidR="00661A36" w:rsidRPr="00B565D0">
        <w:rPr>
          <w:rFonts w:cs="Arial"/>
          <w:sz w:val="24"/>
          <w:szCs w:val="24"/>
          <w:lang w:val="en-GB"/>
        </w:rPr>
        <w:t xml:space="preserve"> (McKinsey &amp; Company, 2016; Cummings and Worley, 2019). The program's objectives are to fortify customer service capabilities, enhance operational resilience, improve digital system governance, and establish a culture of accountability (</w:t>
      </w:r>
      <w:proofErr w:type="spellStart"/>
      <w:r w:rsidR="00661A36" w:rsidRPr="00B565D0">
        <w:rPr>
          <w:rFonts w:cs="Arial"/>
          <w:sz w:val="24"/>
          <w:szCs w:val="24"/>
          <w:lang w:val="en-GB"/>
        </w:rPr>
        <w:t>Kotter</w:t>
      </w:r>
      <w:proofErr w:type="spellEnd"/>
      <w:r w:rsidR="00661A36" w:rsidRPr="00B565D0">
        <w:rPr>
          <w:rFonts w:cs="Arial"/>
          <w:sz w:val="24"/>
          <w:szCs w:val="24"/>
          <w:lang w:val="en-GB"/>
        </w:rPr>
        <w:t xml:space="preserve">, 2012; </w:t>
      </w:r>
      <w:proofErr w:type="spellStart"/>
      <w:r w:rsidR="00661A36" w:rsidRPr="00B565D0">
        <w:rPr>
          <w:rFonts w:cs="Arial"/>
          <w:sz w:val="24"/>
          <w:szCs w:val="24"/>
          <w:lang w:val="en-GB"/>
        </w:rPr>
        <w:t>Schein</w:t>
      </w:r>
      <w:proofErr w:type="spellEnd"/>
      <w:r w:rsidR="00661A36" w:rsidRPr="00B565D0">
        <w:rPr>
          <w:rFonts w:cs="Arial"/>
          <w:sz w:val="24"/>
          <w:szCs w:val="24"/>
          <w:lang w:val="en-GB"/>
        </w:rPr>
        <w:t xml:space="preserve">, 2017). The implementation process should be conducted in a phased manner, with four stages: diagnosis, design, implementation, and evaluation. This approach should be anchored by effective leadership </w:t>
      </w:r>
      <w:r w:rsidRPr="00B565D0">
        <w:rPr>
          <w:rFonts w:cs="Arial"/>
          <w:sz w:val="24"/>
          <w:szCs w:val="24"/>
          <w:lang w:val="en-GB"/>
        </w:rPr>
        <w:t xml:space="preserve">communication </w:t>
      </w:r>
      <w:r w:rsidR="00661A36" w:rsidRPr="00B565D0">
        <w:rPr>
          <w:rFonts w:cs="Arial"/>
          <w:sz w:val="24"/>
          <w:szCs w:val="24"/>
          <w:lang w:val="en-GB"/>
        </w:rPr>
        <w:t>and</w:t>
      </w:r>
      <w:r w:rsidRPr="00B565D0">
        <w:rPr>
          <w:rFonts w:cs="Arial"/>
          <w:sz w:val="24"/>
          <w:szCs w:val="24"/>
          <w:lang w:val="en-GB"/>
        </w:rPr>
        <w:t xml:space="preserve"> both quantitative and qualitative </w:t>
      </w:r>
      <w:r w:rsidR="00661A36" w:rsidRPr="00B565D0">
        <w:rPr>
          <w:rFonts w:cs="Arial"/>
          <w:sz w:val="24"/>
          <w:szCs w:val="24"/>
          <w:lang w:val="en-GB"/>
        </w:rPr>
        <w:t xml:space="preserve">performance </w:t>
      </w:r>
      <w:r w:rsidRPr="00B565D0">
        <w:rPr>
          <w:rFonts w:cs="Arial"/>
          <w:sz w:val="24"/>
          <w:szCs w:val="24"/>
          <w:lang w:val="en-GB"/>
        </w:rPr>
        <w:t>measures (Financial Conduct Authority, 2024</w:t>
      </w:r>
      <w:r w:rsidR="00661A36" w:rsidRPr="00B565D0">
        <w:rPr>
          <w:rFonts w:cs="Arial"/>
          <w:sz w:val="24"/>
          <w:szCs w:val="24"/>
          <w:lang w:val="en-GB"/>
        </w:rPr>
        <w:t xml:space="preserve">; </w:t>
      </w:r>
      <w:proofErr w:type="spellStart"/>
      <w:r w:rsidR="00661A36" w:rsidRPr="00B565D0">
        <w:rPr>
          <w:rFonts w:cs="Arial"/>
          <w:sz w:val="24"/>
          <w:szCs w:val="24"/>
          <w:lang w:val="en-GB"/>
        </w:rPr>
        <w:t>Teece</w:t>
      </w:r>
      <w:proofErr w:type="spellEnd"/>
      <w:r w:rsidR="00661A36" w:rsidRPr="00B565D0">
        <w:rPr>
          <w:rFonts w:cs="Arial"/>
          <w:sz w:val="24"/>
          <w:szCs w:val="24"/>
          <w:lang w:val="en-GB"/>
        </w:rPr>
        <w:t>, 2018).</w:t>
      </w:r>
      <w:r w:rsidRPr="00B565D0">
        <w:rPr>
          <w:rFonts w:cs="Arial"/>
          <w:sz w:val="24"/>
          <w:szCs w:val="24"/>
          <w:lang w:val="en-GB"/>
        </w:rPr>
        <w:t xml:space="preserve"> The </w:t>
      </w:r>
      <w:r w:rsidR="00661A36" w:rsidRPr="00B565D0">
        <w:rPr>
          <w:rFonts w:cs="Arial"/>
          <w:sz w:val="24"/>
          <w:szCs w:val="24"/>
          <w:lang w:val="en-GB"/>
        </w:rPr>
        <w:t>four fundamental components of effective change implementation are depicted in the accompanying figure.</w:t>
      </w:r>
    </w:p>
    <w:p w14:paraId="00C36497" w14:textId="563F1B0E" w:rsidR="0037036A" w:rsidRPr="00521E85" w:rsidRDefault="0037036A" w:rsidP="00053219">
      <w:pPr>
        <w:pStyle w:val="Heading3"/>
        <w:spacing w:line="360" w:lineRule="auto"/>
        <w:rPr>
          <w:rFonts w:eastAsiaTheme="minorHAnsi" w:cs="Arial"/>
          <w:b/>
          <w:bCs/>
          <w:sz w:val="24"/>
          <w:szCs w:val="24"/>
          <w:lang w:val="en-GB"/>
          <w14:ligatures w14:val="standardContextual"/>
        </w:rPr>
      </w:pPr>
      <w:bookmarkStart w:id="15" w:name="_Toc227790545"/>
      <w:r w:rsidRPr="00521E85">
        <w:rPr>
          <w:rFonts w:eastAsiaTheme="minorHAnsi" w:cs="Arial"/>
          <w:b/>
          <w:bCs/>
          <w:sz w:val="24"/>
          <w:szCs w:val="24"/>
          <w:lang w:val="en-GB"/>
          <w14:ligatures w14:val="standardContextual"/>
        </w:rPr>
        <w:t xml:space="preserve">7.1 Strategic Alignment and </w:t>
      </w:r>
      <w:r w:rsidR="00B94DBF" w:rsidRPr="00B565D0">
        <w:rPr>
          <w:rFonts w:eastAsiaTheme="minorHAnsi" w:cs="Arial"/>
          <w:b/>
          <w:bCs/>
          <w:sz w:val="24"/>
          <w:szCs w:val="24"/>
          <w:lang w:val="en-GB"/>
          <w14:ligatures w14:val="standardContextual"/>
        </w:rPr>
        <w:t>Permanent</w:t>
      </w:r>
      <w:r w:rsidRPr="00521E85">
        <w:rPr>
          <w:rFonts w:eastAsiaTheme="minorHAnsi" w:cs="Arial"/>
          <w:b/>
          <w:bCs/>
          <w:sz w:val="24"/>
          <w:szCs w:val="24"/>
          <w:lang w:val="en-GB"/>
          <w14:ligatures w14:val="standardContextual"/>
        </w:rPr>
        <w:t xml:space="preserve"> Capability Development</w:t>
      </w:r>
      <w:bookmarkEnd w:id="15"/>
    </w:p>
    <w:p w14:paraId="14913EAD" w14:textId="19B2B367" w:rsidR="00264689" w:rsidRPr="00F07EAF" w:rsidRDefault="00264689" w:rsidP="00264689">
      <w:pPr>
        <w:autoSpaceDE w:val="0"/>
        <w:autoSpaceDN w:val="0"/>
        <w:adjustRightInd w:val="0"/>
        <w:spacing w:after="0" w:line="360" w:lineRule="auto"/>
        <w:jc w:val="both"/>
        <w:rPr>
          <w:rFonts w:cs="Arial"/>
          <w:sz w:val="24"/>
          <w:szCs w:val="24"/>
          <w:lang w:val="en-GB"/>
        </w:rPr>
      </w:pPr>
      <w:r w:rsidRPr="00F07EAF">
        <w:rPr>
          <w:rFonts w:cs="Arial"/>
          <w:sz w:val="24"/>
          <w:szCs w:val="24"/>
          <w:lang w:val="en-GB"/>
        </w:rPr>
        <w:t xml:space="preserve">The suggested Responsible Growth and Operational Resilience </w:t>
      </w:r>
      <w:r w:rsidR="00E54582" w:rsidRPr="00F07EAF">
        <w:rPr>
          <w:rFonts w:eastAsiaTheme="minorHAnsi" w:cs="Arial"/>
          <w:sz w:val="24"/>
          <w:szCs w:val="24"/>
          <w:lang w:val="en-GB"/>
          <w14:ligatures w14:val="standardContextual"/>
        </w:rPr>
        <w:t xml:space="preserve">Programme’s </w:t>
      </w:r>
      <w:r w:rsidRPr="00F07EAF">
        <w:rPr>
          <w:rFonts w:cs="Arial"/>
          <w:sz w:val="24"/>
          <w:szCs w:val="24"/>
          <w:lang w:val="en-GB"/>
        </w:rPr>
        <w:t xml:space="preserve">efficacy is determined by its compatibility with </w:t>
      </w:r>
      <w:proofErr w:type="spellStart"/>
      <w:r w:rsidRPr="00F07EAF">
        <w:rPr>
          <w:rFonts w:cs="Arial"/>
          <w:sz w:val="24"/>
          <w:szCs w:val="24"/>
          <w:lang w:val="en-GB"/>
        </w:rPr>
        <w:t>Monzo's</w:t>
      </w:r>
      <w:proofErr w:type="spellEnd"/>
      <w:r w:rsidRPr="00F07EAF">
        <w:rPr>
          <w:rFonts w:cs="Arial"/>
          <w:sz w:val="24"/>
          <w:szCs w:val="24"/>
          <w:lang w:val="en-GB"/>
        </w:rPr>
        <w:t xml:space="preserve"> larger strategic goals (</w:t>
      </w:r>
      <w:proofErr w:type="spellStart"/>
      <w:r w:rsidRPr="00F07EAF">
        <w:rPr>
          <w:rFonts w:cs="Arial"/>
          <w:sz w:val="24"/>
          <w:szCs w:val="24"/>
          <w:lang w:val="en-GB"/>
        </w:rPr>
        <w:t>Teece</w:t>
      </w:r>
      <w:proofErr w:type="spellEnd"/>
      <w:r w:rsidRPr="00F07EAF">
        <w:rPr>
          <w:rFonts w:cs="Arial"/>
          <w:sz w:val="24"/>
          <w:szCs w:val="24"/>
          <w:lang w:val="en-GB"/>
        </w:rPr>
        <w:t xml:space="preserve">, 2018; </w:t>
      </w:r>
      <w:proofErr w:type="spellStart"/>
      <w:r w:rsidRPr="00F07EAF">
        <w:rPr>
          <w:rFonts w:cs="Arial"/>
          <w:sz w:val="24"/>
          <w:szCs w:val="24"/>
          <w:lang w:val="en-GB"/>
        </w:rPr>
        <w:t>Helfat</w:t>
      </w:r>
      <w:proofErr w:type="spellEnd"/>
      <w:r w:rsidRPr="00F07EAF">
        <w:rPr>
          <w:rFonts w:cs="Arial"/>
          <w:sz w:val="24"/>
          <w:szCs w:val="24"/>
          <w:lang w:val="en-GB"/>
        </w:rPr>
        <w:t xml:space="preserve"> and </w:t>
      </w:r>
      <w:proofErr w:type="spellStart"/>
      <w:r w:rsidRPr="00F07EAF">
        <w:rPr>
          <w:rFonts w:cs="Arial"/>
          <w:sz w:val="24"/>
          <w:szCs w:val="24"/>
          <w:lang w:val="en-GB"/>
        </w:rPr>
        <w:t>Peteraf</w:t>
      </w:r>
      <w:proofErr w:type="spellEnd"/>
      <w:r w:rsidRPr="00F07EAF">
        <w:rPr>
          <w:rFonts w:cs="Arial"/>
          <w:sz w:val="24"/>
          <w:szCs w:val="24"/>
          <w:lang w:val="en-GB"/>
        </w:rPr>
        <w:t>, 2015). Change projects that are not clearly connected to organisational strategy are unlikely to provide beneficial effects (</w:t>
      </w:r>
      <w:proofErr w:type="spellStart"/>
      <w:r w:rsidRPr="00F07EAF">
        <w:rPr>
          <w:rFonts w:cs="Arial"/>
          <w:sz w:val="24"/>
          <w:szCs w:val="24"/>
          <w:lang w:val="en-GB"/>
        </w:rPr>
        <w:t>Kotter</w:t>
      </w:r>
      <w:proofErr w:type="spellEnd"/>
      <w:r w:rsidRPr="00F07EAF">
        <w:rPr>
          <w:rFonts w:cs="Arial"/>
          <w:sz w:val="24"/>
          <w:szCs w:val="24"/>
          <w:lang w:val="en-GB"/>
        </w:rPr>
        <w:t xml:space="preserve">, 2012; Cummings and Worley, 2019). </w:t>
      </w:r>
    </w:p>
    <w:p w14:paraId="231E3337" w14:textId="77777777" w:rsidR="00264689" w:rsidRPr="00F07EAF" w:rsidRDefault="00264689" w:rsidP="00264689">
      <w:pPr>
        <w:autoSpaceDE w:val="0"/>
        <w:autoSpaceDN w:val="0"/>
        <w:adjustRightInd w:val="0"/>
        <w:spacing w:after="0" w:line="360" w:lineRule="auto"/>
        <w:jc w:val="both"/>
        <w:rPr>
          <w:rFonts w:cs="Arial"/>
          <w:sz w:val="24"/>
          <w:szCs w:val="24"/>
          <w:lang w:val="en-GB"/>
        </w:rPr>
      </w:pPr>
    </w:p>
    <w:p w14:paraId="589F7994" w14:textId="2543395E" w:rsidR="00264689" w:rsidRPr="00F07EAF" w:rsidRDefault="00264689" w:rsidP="00264689">
      <w:pPr>
        <w:autoSpaceDE w:val="0"/>
        <w:autoSpaceDN w:val="0"/>
        <w:adjustRightInd w:val="0"/>
        <w:spacing w:after="0" w:line="360" w:lineRule="auto"/>
        <w:jc w:val="both"/>
        <w:rPr>
          <w:rFonts w:cs="Arial"/>
          <w:sz w:val="24"/>
          <w:szCs w:val="24"/>
          <w:lang w:val="en-GB"/>
        </w:rPr>
      </w:pPr>
      <w:r w:rsidRPr="00F07EAF">
        <w:rPr>
          <w:rFonts w:cs="Arial"/>
          <w:sz w:val="24"/>
          <w:szCs w:val="24"/>
          <w:lang w:val="en-GB"/>
        </w:rPr>
        <w:t xml:space="preserve">From a dynamic </w:t>
      </w:r>
      <w:r w:rsidR="00A01E82" w:rsidRPr="00F07EAF">
        <w:rPr>
          <w:rFonts w:cs="Arial"/>
          <w:sz w:val="24"/>
          <w:szCs w:val="24"/>
          <w:lang w:val="en-GB"/>
        </w:rPr>
        <w:t>capability’s</w:t>
      </w:r>
      <w:r w:rsidRPr="00F07EAF">
        <w:rPr>
          <w:rFonts w:cs="Arial"/>
          <w:sz w:val="24"/>
          <w:szCs w:val="24"/>
          <w:lang w:val="en-GB"/>
        </w:rPr>
        <w:t xml:space="preserve"> standpoint, the program should concentrate on improving the organi</w:t>
      </w:r>
      <w:r w:rsidR="00B94DBF" w:rsidRPr="00F07EAF">
        <w:rPr>
          <w:rFonts w:cs="Arial"/>
          <w:sz w:val="24"/>
          <w:szCs w:val="24"/>
          <w:lang w:val="en-GB"/>
        </w:rPr>
        <w:t>s</w:t>
      </w:r>
      <w:r w:rsidRPr="00F07EAF">
        <w:rPr>
          <w:rFonts w:cs="Arial"/>
          <w:sz w:val="24"/>
          <w:szCs w:val="24"/>
          <w:lang w:val="en-GB"/>
        </w:rPr>
        <w:t>ation's capacity to react to changing situations (</w:t>
      </w:r>
      <w:proofErr w:type="spellStart"/>
      <w:r w:rsidRPr="00F07EAF">
        <w:rPr>
          <w:rFonts w:cs="Arial"/>
          <w:sz w:val="24"/>
          <w:szCs w:val="24"/>
          <w:lang w:val="en-GB"/>
        </w:rPr>
        <w:t>Teece</w:t>
      </w:r>
      <w:proofErr w:type="spellEnd"/>
      <w:r w:rsidRPr="00F07EAF">
        <w:rPr>
          <w:rFonts w:cs="Arial"/>
          <w:sz w:val="24"/>
          <w:szCs w:val="24"/>
          <w:lang w:val="en-GB"/>
        </w:rPr>
        <w:t xml:space="preserve">, 2018; </w:t>
      </w:r>
      <w:proofErr w:type="spellStart"/>
      <w:r w:rsidRPr="00F07EAF">
        <w:rPr>
          <w:rFonts w:cs="Arial"/>
          <w:sz w:val="24"/>
          <w:szCs w:val="24"/>
          <w:lang w:val="en-GB"/>
        </w:rPr>
        <w:t>Helfat</w:t>
      </w:r>
      <w:proofErr w:type="spellEnd"/>
      <w:r w:rsidRPr="00F07EAF">
        <w:rPr>
          <w:rFonts w:cs="Arial"/>
          <w:sz w:val="24"/>
          <w:szCs w:val="24"/>
          <w:lang w:val="en-GB"/>
        </w:rPr>
        <w:t xml:space="preserve"> and </w:t>
      </w:r>
      <w:proofErr w:type="spellStart"/>
      <w:r w:rsidRPr="00F07EAF">
        <w:rPr>
          <w:rFonts w:cs="Arial"/>
          <w:sz w:val="24"/>
          <w:szCs w:val="24"/>
          <w:lang w:val="en-GB"/>
        </w:rPr>
        <w:t>Peteraf</w:t>
      </w:r>
      <w:proofErr w:type="spellEnd"/>
      <w:r w:rsidRPr="00F07EAF">
        <w:rPr>
          <w:rFonts w:cs="Arial"/>
          <w:sz w:val="24"/>
          <w:szCs w:val="24"/>
          <w:lang w:val="en-GB"/>
        </w:rPr>
        <w:t xml:space="preserve">, 2015). This entails not just resolving current issues but also developing the ability to adapt to future uncertainty (Vial, 2019; </w:t>
      </w:r>
      <w:proofErr w:type="spellStart"/>
      <w:r w:rsidRPr="00F07EAF">
        <w:rPr>
          <w:rFonts w:cs="Arial"/>
          <w:sz w:val="24"/>
          <w:szCs w:val="24"/>
          <w:lang w:val="en-GB"/>
        </w:rPr>
        <w:t>Burnes</w:t>
      </w:r>
      <w:proofErr w:type="spellEnd"/>
      <w:r w:rsidRPr="00F07EAF">
        <w:rPr>
          <w:rFonts w:cs="Arial"/>
          <w:sz w:val="24"/>
          <w:szCs w:val="24"/>
          <w:lang w:val="en-GB"/>
        </w:rPr>
        <w:t xml:space="preserve">, 2017). </w:t>
      </w:r>
    </w:p>
    <w:p w14:paraId="7908103C" w14:textId="77777777" w:rsidR="00264689" w:rsidRPr="00F07EAF" w:rsidRDefault="00264689" w:rsidP="00264689">
      <w:pPr>
        <w:autoSpaceDE w:val="0"/>
        <w:autoSpaceDN w:val="0"/>
        <w:adjustRightInd w:val="0"/>
        <w:spacing w:after="0" w:line="360" w:lineRule="auto"/>
        <w:jc w:val="both"/>
        <w:rPr>
          <w:rFonts w:cs="Arial"/>
          <w:sz w:val="24"/>
          <w:szCs w:val="24"/>
          <w:lang w:val="en-GB"/>
        </w:rPr>
      </w:pPr>
    </w:p>
    <w:p w14:paraId="4563B619" w14:textId="77777777" w:rsidR="00264689" w:rsidRPr="00F07EAF" w:rsidRDefault="00264689" w:rsidP="00264689">
      <w:pPr>
        <w:autoSpaceDE w:val="0"/>
        <w:autoSpaceDN w:val="0"/>
        <w:adjustRightInd w:val="0"/>
        <w:spacing w:after="0" w:line="360" w:lineRule="auto"/>
        <w:jc w:val="both"/>
        <w:rPr>
          <w:rFonts w:cs="Arial"/>
          <w:sz w:val="24"/>
          <w:szCs w:val="24"/>
          <w:lang w:val="en-GB"/>
        </w:rPr>
      </w:pPr>
      <w:r w:rsidRPr="00F07EAF">
        <w:rPr>
          <w:rFonts w:cs="Arial"/>
          <w:sz w:val="24"/>
          <w:szCs w:val="24"/>
          <w:lang w:val="en-GB"/>
        </w:rPr>
        <w:t>Sustainable capacity development necessitates investment in personnel skills, organisational learning, and technical infrastructure (</w:t>
      </w:r>
      <w:proofErr w:type="spellStart"/>
      <w:r w:rsidRPr="00F07EAF">
        <w:rPr>
          <w:rFonts w:cs="Arial"/>
          <w:sz w:val="24"/>
          <w:szCs w:val="24"/>
          <w:lang w:val="en-GB"/>
        </w:rPr>
        <w:t>Schein</w:t>
      </w:r>
      <w:proofErr w:type="spellEnd"/>
      <w:r w:rsidRPr="00F07EAF">
        <w:rPr>
          <w:rFonts w:cs="Arial"/>
          <w:sz w:val="24"/>
          <w:szCs w:val="24"/>
          <w:lang w:val="en-GB"/>
        </w:rPr>
        <w:t>, 2017; Cummings and Worley, 2019). It also requires a shift in perspective, with change perceived as a continuous process rather than a brief occurrence (</w:t>
      </w:r>
      <w:proofErr w:type="spellStart"/>
      <w:r w:rsidRPr="00F07EAF">
        <w:rPr>
          <w:rFonts w:cs="Arial"/>
          <w:sz w:val="24"/>
          <w:szCs w:val="24"/>
          <w:lang w:val="en-GB"/>
        </w:rPr>
        <w:t>Weick</w:t>
      </w:r>
      <w:proofErr w:type="spellEnd"/>
      <w:r w:rsidRPr="00F07EAF">
        <w:rPr>
          <w:rFonts w:cs="Arial"/>
          <w:sz w:val="24"/>
          <w:szCs w:val="24"/>
          <w:lang w:val="en-GB"/>
        </w:rPr>
        <w:t xml:space="preserve"> and Quinn, 1999). This viewpoint is especially applicable in the fintech industry, where competitive advantage is continually shifting (</w:t>
      </w:r>
      <w:proofErr w:type="spellStart"/>
      <w:r w:rsidRPr="00F07EAF">
        <w:rPr>
          <w:rFonts w:cs="Arial"/>
          <w:sz w:val="24"/>
          <w:szCs w:val="24"/>
          <w:lang w:val="en-GB"/>
        </w:rPr>
        <w:t>Gomber</w:t>
      </w:r>
      <w:proofErr w:type="spellEnd"/>
      <w:r w:rsidRPr="00F07EAF">
        <w:rPr>
          <w:rFonts w:cs="Arial"/>
          <w:sz w:val="24"/>
          <w:szCs w:val="24"/>
          <w:lang w:val="en-GB"/>
        </w:rPr>
        <w:t xml:space="preserve">, Koch, and </w:t>
      </w:r>
      <w:proofErr w:type="spellStart"/>
      <w:r w:rsidRPr="00F07EAF">
        <w:rPr>
          <w:rFonts w:cs="Arial"/>
          <w:sz w:val="24"/>
          <w:szCs w:val="24"/>
          <w:lang w:val="en-GB"/>
        </w:rPr>
        <w:t>Siering</w:t>
      </w:r>
      <w:proofErr w:type="spellEnd"/>
      <w:r w:rsidRPr="00F07EAF">
        <w:rPr>
          <w:rFonts w:cs="Arial"/>
          <w:sz w:val="24"/>
          <w:szCs w:val="24"/>
          <w:lang w:val="en-GB"/>
        </w:rPr>
        <w:t xml:space="preserve">, 2018; </w:t>
      </w:r>
      <w:proofErr w:type="spellStart"/>
      <w:r w:rsidRPr="00F07EAF">
        <w:rPr>
          <w:rFonts w:cs="Arial"/>
          <w:sz w:val="24"/>
          <w:szCs w:val="24"/>
          <w:lang w:val="en-GB"/>
        </w:rPr>
        <w:t>Hinings</w:t>
      </w:r>
      <w:proofErr w:type="spellEnd"/>
      <w:r w:rsidRPr="00F07EAF">
        <w:rPr>
          <w:rFonts w:cs="Arial"/>
          <w:sz w:val="24"/>
          <w:szCs w:val="24"/>
          <w:lang w:val="en-GB"/>
        </w:rPr>
        <w:t xml:space="preserve">, </w:t>
      </w:r>
      <w:proofErr w:type="spellStart"/>
      <w:r w:rsidRPr="00F07EAF">
        <w:rPr>
          <w:rFonts w:cs="Arial"/>
          <w:sz w:val="24"/>
          <w:szCs w:val="24"/>
          <w:lang w:val="en-GB"/>
        </w:rPr>
        <w:t>Gegenhuber</w:t>
      </w:r>
      <w:proofErr w:type="spellEnd"/>
      <w:r w:rsidRPr="00F07EAF">
        <w:rPr>
          <w:rFonts w:cs="Arial"/>
          <w:sz w:val="24"/>
          <w:szCs w:val="24"/>
          <w:lang w:val="en-GB"/>
        </w:rPr>
        <w:t>, and Greenwood, 2018).</w:t>
      </w:r>
    </w:p>
    <w:p w14:paraId="2CF7C74B" w14:textId="77777777" w:rsidR="0037036A" w:rsidRPr="00F07EAF" w:rsidRDefault="0037036A" w:rsidP="00053219">
      <w:pPr>
        <w:autoSpaceDE w:val="0"/>
        <w:autoSpaceDN w:val="0"/>
        <w:adjustRightInd w:val="0"/>
        <w:spacing w:after="0" w:line="360" w:lineRule="auto"/>
        <w:rPr>
          <w:rFonts w:eastAsiaTheme="minorHAnsi" w:cs="Arial"/>
          <w:sz w:val="24"/>
          <w:szCs w:val="24"/>
          <w:lang w:val="en-GB"/>
          <w14:ligatures w14:val="standardContextual"/>
        </w:rPr>
      </w:pPr>
    </w:p>
    <w:p w14:paraId="5AF109F2" w14:textId="77777777" w:rsidR="000274EA" w:rsidRPr="00F07EAF" w:rsidRDefault="000274EA" w:rsidP="00053219">
      <w:pPr>
        <w:autoSpaceDE w:val="0"/>
        <w:autoSpaceDN w:val="0"/>
        <w:adjustRightInd w:val="0"/>
        <w:spacing w:after="0" w:line="360" w:lineRule="auto"/>
        <w:rPr>
          <w:rFonts w:eastAsiaTheme="minorHAnsi" w:cs="Arial"/>
          <w:sz w:val="24"/>
          <w:szCs w:val="24"/>
          <w:lang w:val="en-GB"/>
          <w14:ligatures w14:val="standardContextual"/>
        </w:rPr>
      </w:pPr>
    </w:p>
    <w:p w14:paraId="5AC69A2B" w14:textId="77777777" w:rsidR="000274EA" w:rsidRPr="00F07EAF" w:rsidRDefault="000274EA" w:rsidP="00053219">
      <w:pPr>
        <w:autoSpaceDE w:val="0"/>
        <w:autoSpaceDN w:val="0"/>
        <w:adjustRightInd w:val="0"/>
        <w:spacing w:after="0" w:line="360" w:lineRule="auto"/>
        <w:rPr>
          <w:rFonts w:eastAsiaTheme="minorHAnsi" w:cs="Arial"/>
          <w:sz w:val="24"/>
          <w:szCs w:val="24"/>
          <w:lang w:val="en-GB"/>
          <w14:ligatures w14:val="standardContextual"/>
        </w:rPr>
      </w:pPr>
    </w:p>
    <w:p w14:paraId="2640C88A" w14:textId="77777777" w:rsidR="000274EA" w:rsidRPr="00F07EAF" w:rsidRDefault="000274EA" w:rsidP="00053219">
      <w:pPr>
        <w:autoSpaceDE w:val="0"/>
        <w:autoSpaceDN w:val="0"/>
        <w:adjustRightInd w:val="0"/>
        <w:spacing w:after="0" w:line="360" w:lineRule="auto"/>
        <w:rPr>
          <w:rFonts w:eastAsiaTheme="minorHAnsi" w:cs="Arial"/>
          <w:sz w:val="24"/>
          <w:szCs w:val="24"/>
          <w:lang w:val="en-GB"/>
          <w14:ligatures w14:val="standardContextual"/>
        </w:rPr>
      </w:pPr>
    </w:p>
    <w:p w14:paraId="38A5532D" w14:textId="77777777" w:rsidR="0037036A" w:rsidRPr="00521E85" w:rsidRDefault="0037036A" w:rsidP="00053219">
      <w:pPr>
        <w:pStyle w:val="Heading3"/>
        <w:spacing w:line="360" w:lineRule="auto"/>
        <w:rPr>
          <w:rFonts w:eastAsiaTheme="minorHAnsi" w:cs="Arial"/>
          <w:b/>
          <w:bCs/>
          <w:sz w:val="24"/>
          <w:szCs w:val="24"/>
          <w:lang w:val="en-GB"/>
          <w14:ligatures w14:val="standardContextual"/>
        </w:rPr>
      </w:pPr>
      <w:bookmarkStart w:id="16" w:name="_Toc227790546"/>
      <w:r w:rsidRPr="00521E85">
        <w:rPr>
          <w:rFonts w:eastAsiaTheme="minorHAnsi" w:cs="Arial"/>
          <w:b/>
          <w:bCs/>
          <w:sz w:val="24"/>
          <w:szCs w:val="24"/>
          <w:lang w:val="en-GB"/>
          <w14:ligatures w14:val="standardContextual"/>
        </w:rPr>
        <w:t>7.2 Stakeholder Analysis and Change Impact</w:t>
      </w:r>
      <w:bookmarkEnd w:id="16"/>
    </w:p>
    <w:p w14:paraId="5EE367D0" w14:textId="0A211FD0" w:rsidR="005F6AEB" w:rsidRPr="00B565D0" w:rsidRDefault="00070FDC" w:rsidP="00F30A52">
      <w:pPr>
        <w:rPr>
          <w:rFonts w:cs="Arial"/>
          <w:lang w:val="en-GB"/>
        </w:rPr>
      </w:pPr>
      <w:r w:rsidRPr="00B565D0">
        <w:rPr>
          <w:rFonts w:cs="Arial"/>
          <w:lang w:val="en-GB"/>
          <w14:ligatures w14:val="standardContextual"/>
        </w:rPr>
        <w:drawing>
          <wp:anchor distT="0" distB="0" distL="114300" distR="114300" simplePos="0" relativeHeight="251658243" behindDoc="0" locked="0" layoutInCell="1" allowOverlap="1" wp14:anchorId="4CA14B99" wp14:editId="53A121CD">
            <wp:simplePos x="0" y="0"/>
            <wp:positionH relativeFrom="column">
              <wp:posOffset>0</wp:posOffset>
            </wp:positionH>
            <wp:positionV relativeFrom="paragraph">
              <wp:posOffset>307340</wp:posOffset>
            </wp:positionV>
            <wp:extent cx="5951855" cy="5934710"/>
            <wp:effectExtent l="0" t="0" r="4445" b="0"/>
            <wp:wrapTopAndBottom/>
            <wp:docPr id="1502151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151209" name="Picture 1502151209"/>
                    <pic:cNvPicPr/>
                  </pic:nvPicPr>
                  <pic:blipFill>
                    <a:blip r:embed="rId11">
                      <a:extLst>
                        <a:ext uri="{28A0092B-C50C-407E-A947-70E740481C1C}">
                          <a14:useLocalDpi xmlns:a14="http://schemas.microsoft.com/office/drawing/2010/main" val="0"/>
                        </a:ext>
                      </a:extLst>
                    </a:blip>
                    <a:stretch>
                      <a:fillRect/>
                    </a:stretch>
                  </pic:blipFill>
                  <pic:spPr>
                    <a:xfrm>
                      <a:off x="0" y="0"/>
                      <a:ext cx="5951855" cy="5934710"/>
                    </a:xfrm>
                    <a:prstGeom prst="rect">
                      <a:avLst/>
                    </a:prstGeom>
                  </pic:spPr>
                </pic:pic>
              </a:graphicData>
            </a:graphic>
            <wp14:sizeRelH relativeFrom="margin">
              <wp14:pctWidth>0</wp14:pctWidth>
            </wp14:sizeRelH>
            <wp14:sizeRelV relativeFrom="margin">
              <wp14:pctHeight>0</wp14:pctHeight>
            </wp14:sizeRelV>
          </wp:anchor>
        </w:drawing>
      </w:r>
    </w:p>
    <w:p w14:paraId="1D88A12D" w14:textId="77777777" w:rsidR="00E66F2D" w:rsidRDefault="00E66F2D" w:rsidP="00053219">
      <w:pPr>
        <w:autoSpaceDE w:val="0"/>
        <w:autoSpaceDN w:val="0"/>
        <w:adjustRightInd w:val="0"/>
        <w:spacing w:after="0" w:line="360" w:lineRule="auto"/>
        <w:jc w:val="both"/>
        <w:rPr>
          <w:rFonts w:eastAsiaTheme="minorHAnsi" w:cs="Arial"/>
          <w:sz w:val="24"/>
          <w:szCs w:val="24"/>
          <w:lang w:val="en-GB"/>
          <w14:ligatures w14:val="standardContextual"/>
        </w:rPr>
      </w:pPr>
    </w:p>
    <w:p w14:paraId="759FE6E6" w14:textId="77777777" w:rsidR="00832EEA" w:rsidRPr="00B565D0" w:rsidRDefault="00832EEA" w:rsidP="00832EEA">
      <w:pPr>
        <w:autoSpaceDE w:val="0"/>
        <w:autoSpaceDN w:val="0"/>
        <w:adjustRightInd w:val="0"/>
        <w:spacing w:after="0" w:line="360" w:lineRule="auto"/>
        <w:jc w:val="both"/>
        <w:rPr>
          <w:rFonts w:cs="Arial"/>
          <w:sz w:val="24"/>
          <w:szCs w:val="24"/>
          <w:lang w:val="en-GB"/>
        </w:rPr>
      </w:pPr>
      <w:r w:rsidRPr="00B565D0">
        <w:rPr>
          <w:rFonts w:cs="Arial"/>
          <w:sz w:val="24"/>
          <w:szCs w:val="24"/>
          <w:lang w:val="en-GB"/>
        </w:rPr>
        <w:t>Source: Adapted from McKinsey &amp; Company (2016)</w:t>
      </w:r>
    </w:p>
    <w:p w14:paraId="3B3907F3" w14:textId="77777777" w:rsidR="005A2032" w:rsidRPr="00B565D0" w:rsidRDefault="005A2032" w:rsidP="005A2032">
      <w:pPr>
        <w:autoSpaceDE w:val="0"/>
        <w:autoSpaceDN w:val="0"/>
        <w:adjustRightInd w:val="0"/>
        <w:spacing w:after="0" w:line="360" w:lineRule="auto"/>
        <w:rPr>
          <w:rFonts w:cs="Arial"/>
          <w:sz w:val="24"/>
          <w:szCs w:val="24"/>
          <w:lang w:val="en-GB"/>
        </w:rPr>
      </w:pPr>
    </w:p>
    <w:p w14:paraId="40969783" w14:textId="461E9602" w:rsidR="0037036A" w:rsidRPr="00B565D0" w:rsidRDefault="005A2032" w:rsidP="00D76194">
      <w:pPr>
        <w:autoSpaceDE w:val="0"/>
        <w:autoSpaceDN w:val="0"/>
        <w:adjustRightInd w:val="0"/>
        <w:spacing w:after="0" w:line="360" w:lineRule="auto"/>
        <w:jc w:val="both"/>
        <w:rPr>
          <w:rFonts w:eastAsiaTheme="minorHAnsi" w:cs="Arial"/>
          <w:sz w:val="24"/>
          <w:szCs w:val="24"/>
          <w:lang w:val="en-GB"/>
          <w14:ligatures w14:val="standardContextual"/>
        </w:rPr>
      </w:pPr>
      <w:r w:rsidRPr="00B565D0">
        <w:rPr>
          <w:rFonts w:cs="Arial"/>
          <w:sz w:val="24"/>
          <w:szCs w:val="24"/>
          <w:lang w:val="en-GB"/>
        </w:rPr>
        <w:t xml:space="preserve">The program's success is contingent upon the effective management of stakeholders in four critical categories (Cummings and Worley, 2019; </w:t>
      </w:r>
      <w:proofErr w:type="spellStart"/>
      <w:r w:rsidRPr="00B565D0">
        <w:rPr>
          <w:rFonts w:cs="Arial"/>
          <w:sz w:val="24"/>
          <w:szCs w:val="24"/>
          <w:lang w:val="en-GB"/>
        </w:rPr>
        <w:t>Kotter</w:t>
      </w:r>
      <w:proofErr w:type="spellEnd"/>
      <w:r w:rsidRPr="00B565D0">
        <w:rPr>
          <w:rFonts w:cs="Arial"/>
          <w:sz w:val="24"/>
          <w:szCs w:val="24"/>
          <w:lang w:val="en-GB"/>
        </w:rPr>
        <w:t xml:space="preserve">, 2012). Compliance requirements and operational priorities are influenced by regulatory bodies, particularly the Financial Conduct Authority, with noncompliance resulting in financial penalties and reputational harm (Financial Conduct Authority, 2024; </w:t>
      </w:r>
      <w:proofErr w:type="spellStart"/>
      <w:r w:rsidRPr="00B565D0">
        <w:rPr>
          <w:rFonts w:cs="Arial"/>
          <w:sz w:val="24"/>
          <w:szCs w:val="24"/>
          <w:lang w:val="en-GB"/>
        </w:rPr>
        <w:t>Arner</w:t>
      </w:r>
      <w:proofErr w:type="spellEnd"/>
      <w:r w:rsidRPr="00B565D0">
        <w:rPr>
          <w:rFonts w:cs="Arial"/>
          <w:sz w:val="24"/>
          <w:szCs w:val="24"/>
          <w:lang w:val="en-GB"/>
        </w:rPr>
        <w:t xml:space="preserve">, </w:t>
      </w:r>
      <w:proofErr w:type="spellStart"/>
      <w:r w:rsidRPr="00B565D0">
        <w:rPr>
          <w:rFonts w:cs="Arial"/>
          <w:sz w:val="24"/>
          <w:szCs w:val="24"/>
          <w:lang w:val="en-GB"/>
        </w:rPr>
        <w:t>Barberis</w:t>
      </w:r>
      <w:proofErr w:type="spellEnd"/>
      <w:r w:rsidRPr="00B565D0">
        <w:rPr>
          <w:rFonts w:cs="Arial"/>
          <w:sz w:val="24"/>
          <w:szCs w:val="24"/>
          <w:lang w:val="en-GB"/>
        </w:rPr>
        <w:t xml:space="preserve"> and Buckley, 2016). In digital banking, where switching costs are minimal, customers anticipate that service quality will be maintained during transitions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Vial, 2019). </w:t>
      </w:r>
      <w:r w:rsidR="003604CF" w:rsidRPr="00B565D0">
        <w:rPr>
          <w:rFonts w:cs="Arial"/>
          <w:sz w:val="24"/>
          <w:szCs w:val="24"/>
          <w:lang w:val="en-GB"/>
        </w:rPr>
        <w:t>To</w:t>
      </w:r>
      <w:r w:rsidRPr="00B565D0">
        <w:rPr>
          <w:rFonts w:cs="Arial"/>
          <w:sz w:val="24"/>
          <w:szCs w:val="24"/>
          <w:lang w:val="en-GB"/>
        </w:rPr>
        <w:t xml:space="preserve"> adjust to new systems without experiencing a reduction in autonomy or an increase in burden, employees necessitate explicit communication and support (</w:t>
      </w:r>
      <w:proofErr w:type="spellStart"/>
      <w:r w:rsidRPr="00B565D0">
        <w:rPr>
          <w:rFonts w:cs="Arial"/>
          <w:sz w:val="24"/>
          <w:szCs w:val="24"/>
          <w:lang w:val="en-GB"/>
        </w:rPr>
        <w:t>Schein</w:t>
      </w:r>
      <w:proofErr w:type="spellEnd"/>
      <w:r w:rsidRPr="00B565D0">
        <w:rPr>
          <w:rFonts w:cs="Arial"/>
          <w:sz w:val="24"/>
          <w:szCs w:val="24"/>
          <w:lang w:val="en-GB"/>
        </w:rPr>
        <w:t xml:space="preserve">, 2017; Bass and </w:t>
      </w:r>
      <w:proofErr w:type="spellStart"/>
      <w:r w:rsidRPr="00B565D0">
        <w:rPr>
          <w:rFonts w:cs="Arial"/>
          <w:sz w:val="24"/>
          <w:szCs w:val="24"/>
          <w:lang w:val="en-GB"/>
        </w:rPr>
        <w:t>Avolio</w:t>
      </w:r>
      <w:proofErr w:type="spellEnd"/>
      <w:r w:rsidRPr="00B565D0">
        <w:rPr>
          <w:rFonts w:cs="Arial"/>
          <w:sz w:val="24"/>
          <w:szCs w:val="24"/>
          <w:lang w:val="en-GB"/>
        </w:rPr>
        <w:t>, 1994). Investors require transparent connections between change investments and lasting value generation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xml:space="preserve">, 2015; </w:t>
      </w:r>
      <w:proofErr w:type="spellStart"/>
      <w:r w:rsidRPr="00B565D0">
        <w:rPr>
          <w:rFonts w:cs="Arial"/>
          <w:sz w:val="24"/>
          <w:szCs w:val="24"/>
          <w:lang w:val="en-GB"/>
        </w:rPr>
        <w:t>Teece</w:t>
      </w:r>
      <w:proofErr w:type="spellEnd"/>
      <w:r w:rsidRPr="00B565D0">
        <w:rPr>
          <w:rFonts w:cs="Arial"/>
          <w:sz w:val="24"/>
          <w:szCs w:val="24"/>
          <w:lang w:val="en-GB"/>
        </w:rPr>
        <w:t xml:space="preserve">, 2018). The necessity of strategic alignment and balanced communication across diverse expectations is underscored by the figure, which depicts stakeholder influence and engagement strategies (McKinsey &amp; Company, 2016; </w:t>
      </w:r>
      <w:proofErr w:type="spellStart"/>
      <w:r w:rsidRPr="00B565D0">
        <w:rPr>
          <w:rFonts w:cs="Arial"/>
          <w:sz w:val="24"/>
          <w:szCs w:val="24"/>
          <w:lang w:val="en-GB"/>
        </w:rPr>
        <w:t>Burnes</w:t>
      </w:r>
      <w:proofErr w:type="spellEnd"/>
      <w:r w:rsidRPr="00B565D0">
        <w:rPr>
          <w:rFonts w:cs="Arial"/>
          <w:sz w:val="24"/>
          <w:szCs w:val="24"/>
          <w:lang w:val="en-GB"/>
        </w:rPr>
        <w:t>, 2017).</w:t>
      </w:r>
    </w:p>
    <w:p w14:paraId="3404F916" w14:textId="77777777" w:rsidR="00595520" w:rsidRPr="00B565D0" w:rsidRDefault="00595520" w:rsidP="00053219">
      <w:pPr>
        <w:autoSpaceDE w:val="0"/>
        <w:autoSpaceDN w:val="0"/>
        <w:adjustRightInd w:val="0"/>
        <w:spacing w:after="0" w:line="360" w:lineRule="auto"/>
        <w:rPr>
          <w:rFonts w:eastAsiaTheme="minorHAnsi" w:cs="Arial"/>
          <w:sz w:val="24"/>
          <w:szCs w:val="24"/>
          <w:lang w:val="en-GB"/>
          <w14:ligatures w14:val="standardContextual"/>
        </w:rPr>
      </w:pPr>
    </w:p>
    <w:p w14:paraId="2B1D28C5" w14:textId="6805E834" w:rsidR="003015B5" w:rsidRPr="00B565D0" w:rsidRDefault="0037036A" w:rsidP="00D76194">
      <w:pPr>
        <w:pStyle w:val="Heading3"/>
        <w:spacing w:line="360" w:lineRule="auto"/>
        <w:rPr>
          <w:rFonts w:eastAsiaTheme="minorHAnsi" w:cs="Arial"/>
          <w:b/>
          <w:sz w:val="24"/>
          <w:szCs w:val="24"/>
          <w:lang w:val="en-GB"/>
          <w14:ligatures w14:val="standardContextual"/>
        </w:rPr>
      </w:pPr>
      <w:bookmarkStart w:id="17" w:name="_Toc227790547"/>
      <w:r w:rsidRPr="00521E85">
        <w:rPr>
          <w:rFonts w:eastAsiaTheme="minorHAnsi" w:cs="Arial"/>
          <w:b/>
          <w:bCs/>
          <w:sz w:val="24"/>
          <w:szCs w:val="24"/>
          <w:lang w:val="en-GB"/>
          <w14:ligatures w14:val="standardContextual"/>
        </w:rPr>
        <w:t>7.3 Risk Analysis of the Change Programme</w:t>
      </w:r>
      <w:bookmarkEnd w:id="17"/>
    </w:p>
    <w:p w14:paraId="75EAABC9" w14:textId="77777777" w:rsidR="00D76194" w:rsidRPr="00B565D0" w:rsidRDefault="00D76194" w:rsidP="00D76194">
      <w:pPr>
        <w:rPr>
          <w:rFonts w:cs="Arial"/>
          <w:lang w:val="en-GB"/>
        </w:rPr>
      </w:pPr>
    </w:p>
    <w:p w14:paraId="78C897D3" w14:textId="16C7BDF8" w:rsidR="003015B5" w:rsidRPr="00B565D0" w:rsidRDefault="00143332" w:rsidP="003015B5">
      <w:pPr>
        <w:rPr>
          <w:rFonts w:cs="Arial"/>
          <w:lang w:val="en-GB"/>
        </w:rPr>
      </w:pPr>
      <w:r w:rsidRPr="00B565D0">
        <w:rPr>
          <w:rFonts w:cs="Arial"/>
          <w:lang w:val="en-GB"/>
          <w14:ligatures w14:val="standardContextual"/>
        </w:rPr>
        <w:drawing>
          <wp:anchor distT="0" distB="0" distL="114300" distR="114300" simplePos="0" relativeHeight="251658244" behindDoc="0" locked="0" layoutInCell="1" allowOverlap="1" wp14:anchorId="07CFA046" wp14:editId="0AF295C4">
            <wp:simplePos x="0" y="0"/>
            <wp:positionH relativeFrom="column">
              <wp:posOffset>-552450</wp:posOffset>
            </wp:positionH>
            <wp:positionV relativeFrom="paragraph">
              <wp:posOffset>0</wp:posOffset>
            </wp:positionV>
            <wp:extent cx="6951980" cy="4053840"/>
            <wp:effectExtent l="0" t="0" r="0" b="0"/>
            <wp:wrapTopAndBottom/>
            <wp:docPr id="522951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51931" name="Picture 522951931"/>
                    <pic:cNvPicPr/>
                  </pic:nvPicPr>
                  <pic:blipFill>
                    <a:blip r:embed="rId12">
                      <a:extLst>
                        <a:ext uri="{28A0092B-C50C-407E-A947-70E740481C1C}">
                          <a14:useLocalDpi xmlns:a14="http://schemas.microsoft.com/office/drawing/2010/main" val="0"/>
                        </a:ext>
                      </a:extLst>
                    </a:blip>
                    <a:stretch>
                      <a:fillRect/>
                    </a:stretch>
                  </pic:blipFill>
                  <pic:spPr>
                    <a:xfrm>
                      <a:off x="0" y="0"/>
                      <a:ext cx="6951980" cy="4053840"/>
                    </a:xfrm>
                    <a:prstGeom prst="rect">
                      <a:avLst/>
                    </a:prstGeom>
                  </pic:spPr>
                </pic:pic>
              </a:graphicData>
            </a:graphic>
            <wp14:sizeRelH relativeFrom="margin">
              <wp14:pctWidth>0</wp14:pctWidth>
            </wp14:sizeRelH>
            <wp14:sizeRelV relativeFrom="margin">
              <wp14:pctHeight>0</wp14:pctHeight>
            </wp14:sizeRelV>
          </wp:anchor>
        </w:drawing>
      </w:r>
    </w:p>
    <w:p w14:paraId="16305957" w14:textId="77777777" w:rsidR="00AC4E21" w:rsidRPr="00B565D0" w:rsidRDefault="00AC4E21" w:rsidP="00AC4E21">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Source: Adapted from </w:t>
      </w:r>
      <w:proofErr w:type="spellStart"/>
      <w:r w:rsidRPr="00B565D0">
        <w:rPr>
          <w:rFonts w:cs="Arial"/>
          <w:sz w:val="24"/>
          <w:szCs w:val="24"/>
          <w:lang w:val="en-GB"/>
        </w:rPr>
        <w:t>Monzo</w:t>
      </w:r>
      <w:proofErr w:type="spellEnd"/>
      <w:r w:rsidRPr="00B565D0">
        <w:rPr>
          <w:rFonts w:cs="Arial"/>
          <w:sz w:val="24"/>
          <w:szCs w:val="24"/>
          <w:lang w:val="en-GB"/>
        </w:rPr>
        <w:t xml:space="preserve"> Bank Limited (2024)</w:t>
      </w:r>
    </w:p>
    <w:p w14:paraId="57E029FB" w14:textId="77777777" w:rsidR="00AC4E21" w:rsidRPr="00B565D0" w:rsidRDefault="00AC4E21" w:rsidP="00AC4E21">
      <w:pPr>
        <w:autoSpaceDE w:val="0"/>
        <w:autoSpaceDN w:val="0"/>
        <w:adjustRightInd w:val="0"/>
        <w:spacing w:after="0" w:line="360" w:lineRule="auto"/>
        <w:jc w:val="both"/>
        <w:rPr>
          <w:rFonts w:cs="Arial"/>
          <w:sz w:val="24"/>
          <w:szCs w:val="24"/>
          <w:lang w:val="en-GB"/>
        </w:rPr>
      </w:pPr>
    </w:p>
    <w:p w14:paraId="191039F5" w14:textId="6E6EEA6F" w:rsidR="0037036A" w:rsidRPr="00B565D0" w:rsidRDefault="00924631" w:rsidP="00053219">
      <w:pPr>
        <w:autoSpaceDE w:val="0"/>
        <w:autoSpaceDN w:val="0"/>
        <w:adjustRightInd w:val="0"/>
        <w:spacing w:after="0" w:line="360" w:lineRule="auto"/>
        <w:jc w:val="both"/>
        <w:rPr>
          <w:rFonts w:cs="Arial"/>
          <w:sz w:val="24"/>
          <w:szCs w:val="24"/>
          <w:lang w:val="en-GB"/>
        </w:rPr>
      </w:pPr>
      <w:r w:rsidRPr="00B565D0">
        <w:rPr>
          <w:rFonts w:cs="Arial"/>
          <w:sz w:val="24"/>
          <w:szCs w:val="24"/>
          <w:lang w:val="en-GB"/>
        </w:rPr>
        <w:t xml:space="preserve">The program introduces operational, strategic, financial, and cultural hazards that necessitate meticulous oversight (Cummings and Worley, 2019; Brown, Steen, and Foreman, 2009). Potential service disruptions from system changes are identified as operational risks, which are mitigated through rigorous testing and phased implementation (Financial Conduct Authority, 2024; </w:t>
      </w:r>
      <w:proofErr w:type="spellStart"/>
      <w:r w:rsidRPr="00B565D0">
        <w:rPr>
          <w:rFonts w:cs="Arial"/>
          <w:sz w:val="24"/>
          <w:szCs w:val="24"/>
          <w:lang w:val="en-GB"/>
        </w:rPr>
        <w:t>Kotter</w:t>
      </w:r>
      <w:proofErr w:type="spellEnd"/>
      <w:r w:rsidRPr="00B565D0">
        <w:rPr>
          <w:rFonts w:cs="Arial"/>
          <w:sz w:val="24"/>
          <w:szCs w:val="24"/>
          <w:lang w:val="en-GB"/>
        </w:rPr>
        <w:t>, 2012). If innovation capacity is diminished</w:t>
      </w:r>
      <w:r w:rsidR="0037036A" w:rsidRPr="00B565D0">
        <w:rPr>
          <w:rFonts w:cs="Arial"/>
          <w:sz w:val="24"/>
          <w:szCs w:val="24"/>
          <w:lang w:val="en-GB"/>
        </w:rPr>
        <w:t xml:space="preserve"> by an excessive focus on governance</w:t>
      </w:r>
      <w:r w:rsidRPr="00B565D0">
        <w:rPr>
          <w:rFonts w:cs="Arial"/>
          <w:sz w:val="24"/>
          <w:szCs w:val="24"/>
          <w:lang w:val="en-GB"/>
        </w:rPr>
        <w:t>, strategic risks may arise, necessitating</w:t>
      </w:r>
      <w:r w:rsidR="0037036A" w:rsidRPr="00B565D0">
        <w:rPr>
          <w:rFonts w:cs="Arial"/>
          <w:sz w:val="24"/>
          <w:szCs w:val="24"/>
          <w:lang w:val="en-GB"/>
        </w:rPr>
        <w:t xml:space="preserve"> a balance between structure and flexibility</w:t>
      </w:r>
      <w:r w:rsidRPr="00B565D0">
        <w:rPr>
          <w:rFonts w:cs="Arial"/>
          <w:sz w:val="24"/>
          <w:szCs w:val="24"/>
          <w:lang w:val="en-GB"/>
        </w:rPr>
        <w:t xml:space="preserve">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Weick</w:t>
      </w:r>
      <w:proofErr w:type="spellEnd"/>
      <w:r w:rsidRPr="00B565D0">
        <w:rPr>
          <w:rFonts w:cs="Arial"/>
          <w:sz w:val="24"/>
          <w:szCs w:val="24"/>
          <w:lang w:val="en-GB"/>
        </w:rPr>
        <w:t xml:space="preserve"> and Quinn, 1999). Financial risks are immediate costs that may surpass expectations </w:t>
      </w:r>
      <w:r w:rsidR="003604CF" w:rsidRPr="00B565D0">
        <w:rPr>
          <w:rFonts w:cs="Arial"/>
          <w:sz w:val="24"/>
          <w:szCs w:val="24"/>
          <w:lang w:val="en-GB"/>
        </w:rPr>
        <w:t>despite</w:t>
      </w:r>
      <w:r w:rsidRPr="00B565D0">
        <w:rPr>
          <w:rFonts w:cs="Arial"/>
          <w:sz w:val="24"/>
          <w:szCs w:val="24"/>
          <w:lang w:val="en-GB"/>
        </w:rPr>
        <w:t xml:space="preserve"> foreseeable benefits. These risks are mitigated by meticulous budgeting and performance monitoring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Brown, Steen, and Foreman, 2009). </w:t>
      </w:r>
      <w:r w:rsidR="0037036A" w:rsidRPr="00B565D0">
        <w:rPr>
          <w:rFonts w:cs="Arial"/>
          <w:sz w:val="24"/>
          <w:szCs w:val="24"/>
          <w:lang w:val="en-GB"/>
        </w:rPr>
        <w:t xml:space="preserve">Cultural risks </w:t>
      </w:r>
      <w:r w:rsidRPr="00B565D0">
        <w:rPr>
          <w:rFonts w:cs="Arial"/>
          <w:sz w:val="24"/>
          <w:szCs w:val="24"/>
          <w:lang w:val="en-GB"/>
        </w:rPr>
        <w:t>arise when</w:t>
      </w:r>
      <w:r w:rsidR="0037036A" w:rsidRPr="00B565D0">
        <w:rPr>
          <w:rFonts w:cs="Arial"/>
          <w:sz w:val="24"/>
          <w:szCs w:val="24"/>
          <w:lang w:val="en-GB"/>
        </w:rPr>
        <w:t xml:space="preserve"> employees perceive </w:t>
      </w:r>
      <w:r w:rsidRPr="00B565D0">
        <w:rPr>
          <w:rFonts w:cs="Arial"/>
          <w:sz w:val="24"/>
          <w:szCs w:val="24"/>
          <w:lang w:val="en-GB"/>
        </w:rPr>
        <w:t>formalisation</w:t>
      </w:r>
      <w:r w:rsidR="0037036A" w:rsidRPr="00B565D0">
        <w:rPr>
          <w:rFonts w:cs="Arial"/>
          <w:sz w:val="24"/>
          <w:szCs w:val="24"/>
          <w:lang w:val="en-GB"/>
        </w:rPr>
        <w:t xml:space="preserve"> as a </w:t>
      </w:r>
      <w:r w:rsidRPr="00B565D0">
        <w:rPr>
          <w:rFonts w:cs="Arial"/>
          <w:sz w:val="24"/>
          <w:szCs w:val="24"/>
          <w:lang w:val="en-GB"/>
        </w:rPr>
        <w:t>rejection</w:t>
      </w:r>
      <w:r w:rsidR="0037036A" w:rsidRPr="00B565D0">
        <w:rPr>
          <w:rFonts w:cs="Arial"/>
          <w:sz w:val="24"/>
          <w:szCs w:val="24"/>
          <w:lang w:val="en-GB"/>
        </w:rPr>
        <w:t xml:space="preserve"> of innovation </w:t>
      </w:r>
      <w:r w:rsidRPr="00B565D0">
        <w:rPr>
          <w:rFonts w:cs="Arial"/>
          <w:sz w:val="24"/>
          <w:szCs w:val="24"/>
          <w:lang w:val="en-GB"/>
        </w:rPr>
        <w:t>values, which requires</w:t>
      </w:r>
      <w:r w:rsidR="0037036A" w:rsidRPr="00B565D0">
        <w:rPr>
          <w:rFonts w:cs="Arial"/>
          <w:sz w:val="24"/>
          <w:szCs w:val="24"/>
          <w:lang w:val="en-GB"/>
        </w:rPr>
        <w:t xml:space="preserve"> leadership </w:t>
      </w:r>
      <w:r w:rsidRPr="00B565D0">
        <w:rPr>
          <w:rFonts w:cs="Arial"/>
          <w:sz w:val="24"/>
          <w:szCs w:val="24"/>
          <w:lang w:val="en-GB"/>
        </w:rPr>
        <w:t>to emphasise</w:t>
      </w:r>
      <w:r w:rsidR="0037036A" w:rsidRPr="00B565D0">
        <w:rPr>
          <w:rFonts w:cs="Arial"/>
          <w:sz w:val="24"/>
          <w:szCs w:val="24"/>
          <w:lang w:val="en-GB"/>
        </w:rPr>
        <w:t xml:space="preserve"> that governance and innovation are mutually </w:t>
      </w:r>
      <w:r w:rsidRPr="00B565D0">
        <w:rPr>
          <w:rFonts w:cs="Arial"/>
          <w:sz w:val="24"/>
          <w:szCs w:val="24"/>
          <w:lang w:val="en-GB"/>
        </w:rPr>
        <w:t>reinforcing (</w:t>
      </w:r>
      <w:proofErr w:type="spellStart"/>
      <w:r w:rsidRPr="00B565D0">
        <w:rPr>
          <w:rFonts w:cs="Arial"/>
          <w:sz w:val="24"/>
          <w:szCs w:val="24"/>
          <w:lang w:val="en-GB"/>
        </w:rPr>
        <w:t>Schein</w:t>
      </w:r>
      <w:proofErr w:type="spellEnd"/>
      <w:r w:rsidRPr="00B565D0">
        <w:rPr>
          <w:rFonts w:cs="Arial"/>
          <w:sz w:val="24"/>
          <w:szCs w:val="24"/>
          <w:lang w:val="en-GB"/>
        </w:rPr>
        <w:t xml:space="preserve">, 2017; Bass and </w:t>
      </w:r>
      <w:proofErr w:type="spellStart"/>
      <w:r w:rsidRPr="00B565D0">
        <w:rPr>
          <w:rFonts w:cs="Arial"/>
          <w:sz w:val="24"/>
          <w:szCs w:val="24"/>
          <w:lang w:val="en-GB"/>
        </w:rPr>
        <w:t>Avolio</w:t>
      </w:r>
      <w:proofErr w:type="spellEnd"/>
      <w:r w:rsidRPr="00B565D0">
        <w:rPr>
          <w:rFonts w:cs="Arial"/>
          <w:sz w:val="24"/>
          <w:szCs w:val="24"/>
          <w:lang w:val="en-GB"/>
        </w:rPr>
        <w:t>, 1994). The figure organises these risk categories and their respective mitigation strategies throughout the program's lifecycle.</w:t>
      </w:r>
    </w:p>
    <w:p w14:paraId="287C42A4" w14:textId="77777777" w:rsidR="00924631" w:rsidRPr="00B565D0" w:rsidRDefault="00924631" w:rsidP="00053219">
      <w:pPr>
        <w:autoSpaceDE w:val="0"/>
        <w:autoSpaceDN w:val="0"/>
        <w:adjustRightInd w:val="0"/>
        <w:spacing w:after="0" w:line="360" w:lineRule="auto"/>
        <w:jc w:val="both"/>
        <w:rPr>
          <w:rFonts w:eastAsiaTheme="minorHAnsi" w:cs="Arial"/>
          <w:sz w:val="24"/>
          <w:szCs w:val="24"/>
          <w:lang w:val="en-GB"/>
          <w14:ligatures w14:val="standardContextual"/>
        </w:rPr>
      </w:pPr>
    </w:p>
    <w:p w14:paraId="1E8C3536" w14:textId="77777777" w:rsidR="0037036A" w:rsidRPr="00521E85" w:rsidRDefault="0037036A" w:rsidP="00053219">
      <w:pPr>
        <w:pStyle w:val="Heading3"/>
        <w:spacing w:line="360" w:lineRule="auto"/>
        <w:rPr>
          <w:rFonts w:eastAsiaTheme="minorHAnsi" w:cs="Arial"/>
          <w:b/>
          <w:bCs/>
          <w:sz w:val="24"/>
          <w:szCs w:val="24"/>
          <w:lang w:val="en-GB"/>
          <w14:ligatures w14:val="standardContextual"/>
        </w:rPr>
      </w:pPr>
      <w:bookmarkStart w:id="18" w:name="_Toc227790548"/>
      <w:r w:rsidRPr="00521E85">
        <w:rPr>
          <w:rFonts w:eastAsiaTheme="minorHAnsi" w:cs="Arial"/>
          <w:b/>
          <w:bCs/>
          <w:sz w:val="24"/>
          <w:szCs w:val="24"/>
          <w:lang w:val="en-GB"/>
          <w14:ligatures w14:val="standardContextual"/>
        </w:rPr>
        <w:t>7.4 Performance Measurement and Key Performance Indicators</w:t>
      </w:r>
      <w:bookmarkEnd w:id="18"/>
    </w:p>
    <w:p w14:paraId="4CB49C65" w14:textId="77777777" w:rsidR="00534A6F" w:rsidRPr="00B03E38" w:rsidRDefault="00534A6F" w:rsidP="00B03E38">
      <w:pPr>
        <w:spacing w:after="0" w:line="360" w:lineRule="auto"/>
        <w:jc w:val="both"/>
        <w:rPr>
          <w:rFonts w:cs="Arial"/>
          <w:sz w:val="24"/>
          <w:szCs w:val="24"/>
          <w:lang w:val="en-GB" w:eastAsia="en-GB"/>
        </w:rPr>
      </w:pPr>
      <w:r w:rsidRPr="00B03E38">
        <w:rPr>
          <w:rFonts w:cs="Arial"/>
          <w:sz w:val="24"/>
          <w:szCs w:val="24"/>
          <w:lang w:val="en-GB" w:eastAsia="en-GB"/>
        </w:rPr>
        <w:t>The program requires a performance measurement methodology that includes both quantitative and qualitative indicators (McKinsey and Company, 2016; Cummings and Worley, 2019). Operational measures including system availability, transaction times, and incident response rates demonstrate resilience (Financial Conduct Authority, 2024; Vial, 2019). Client measures such as satisfaction scores, complaints, and retention demonstrate how change impacts the client experience (</w:t>
      </w:r>
      <w:proofErr w:type="spellStart"/>
      <w:r w:rsidRPr="00B03E38">
        <w:rPr>
          <w:rFonts w:cs="Arial"/>
          <w:sz w:val="24"/>
          <w:szCs w:val="24"/>
          <w:lang w:val="en-GB" w:eastAsia="en-GB"/>
        </w:rPr>
        <w:t>Monzo</w:t>
      </w:r>
      <w:proofErr w:type="spellEnd"/>
      <w:r w:rsidRPr="00B03E38">
        <w:rPr>
          <w:rFonts w:cs="Arial"/>
          <w:sz w:val="24"/>
          <w:szCs w:val="24"/>
          <w:lang w:val="en-GB" w:eastAsia="en-GB"/>
        </w:rPr>
        <w:t xml:space="preserve"> Bank Limited, 2024; </w:t>
      </w:r>
      <w:proofErr w:type="spellStart"/>
      <w:r w:rsidRPr="00B03E38">
        <w:rPr>
          <w:rFonts w:cs="Arial"/>
          <w:sz w:val="24"/>
          <w:szCs w:val="24"/>
          <w:lang w:val="en-GB" w:eastAsia="en-GB"/>
        </w:rPr>
        <w:t>Gomber</w:t>
      </w:r>
      <w:proofErr w:type="spellEnd"/>
      <w:r w:rsidRPr="00B03E38">
        <w:rPr>
          <w:rFonts w:cs="Arial"/>
          <w:sz w:val="24"/>
          <w:szCs w:val="24"/>
          <w:lang w:val="en-GB" w:eastAsia="en-GB"/>
        </w:rPr>
        <w:t xml:space="preserve">, Koch, and </w:t>
      </w:r>
      <w:proofErr w:type="spellStart"/>
      <w:r w:rsidRPr="00B03E38">
        <w:rPr>
          <w:rFonts w:cs="Arial"/>
          <w:sz w:val="24"/>
          <w:szCs w:val="24"/>
          <w:lang w:val="en-GB" w:eastAsia="en-GB"/>
        </w:rPr>
        <w:t>Siering</w:t>
      </w:r>
      <w:proofErr w:type="spellEnd"/>
      <w:r w:rsidRPr="00B03E38">
        <w:rPr>
          <w:rFonts w:cs="Arial"/>
          <w:sz w:val="24"/>
          <w:szCs w:val="24"/>
          <w:lang w:val="en-GB" w:eastAsia="en-GB"/>
        </w:rPr>
        <w:t>, 2018). Financial measures such as cost efficiency, revenue growth, and profitability highlight the importance of governance and resilience investments (</w:t>
      </w:r>
      <w:proofErr w:type="spellStart"/>
      <w:r w:rsidRPr="00B03E38">
        <w:rPr>
          <w:rFonts w:cs="Arial"/>
          <w:sz w:val="24"/>
          <w:szCs w:val="24"/>
          <w:lang w:val="en-GB" w:eastAsia="en-GB"/>
        </w:rPr>
        <w:t>Teece</w:t>
      </w:r>
      <w:proofErr w:type="spellEnd"/>
      <w:r w:rsidRPr="00B03E38">
        <w:rPr>
          <w:rFonts w:cs="Arial"/>
          <w:sz w:val="24"/>
          <w:szCs w:val="24"/>
          <w:lang w:val="en-GB" w:eastAsia="en-GB"/>
        </w:rPr>
        <w:t xml:space="preserve">, 2018; </w:t>
      </w:r>
      <w:proofErr w:type="spellStart"/>
      <w:r w:rsidRPr="00B03E38">
        <w:rPr>
          <w:rFonts w:cs="Arial"/>
          <w:sz w:val="24"/>
          <w:szCs w:val="24"/>
          <w:lang w:val="en-GB" w:eastAsia="en-GB"/>
        </w:rPr>
        <w:t>Helfat</w:t>
      </w:r>
      <w:proofErr w:type="spellEnd"/>
      <w:r w:rsidRPr="00B03E38">
        <w:rPr>
          <w:rFonts w:cs="Arial"/>
          <w:sz w:val="24"/>
          <w:szCs w:val="24"/>
          <w:lang w:val="en-GB" w:eastAsia="en-GB"/>
        </w:rPr>
        <w:t xml:space="preserve"> and </w:t>
      </w:r>
      <w:proofErr w:type="spellStart"/>
      <w:r w:rsidRPr="00B03E38">
        <w:rPr>
          <w:rFonts w:cs="Arial"/>
          <w:sz w:val="24"/>
          <w:szCs w:val="24"/>
          <w:lang w:val="en-GB" w:eastAsia="en-GB"/>
        </w:rPr>
        <w:t>Peteraf</w:t>
      </w:r>
      <w:proofErr w:type="spellEnd"/>
      <w:r w:rsidRPr="00B03E38">
        <w:rPr>
          <w:rFonts w:cs="Arial"/>
          <w:sz w:val="24"/>
          <w:szCs w:val="24"/>
          <w:lang w:val="en-GB" w:eastAsia="en-GB"/>
        </w:rPr>
        <w:t>, 2015).</w:t>
      </w:r>
    </w:p>
    <w:p w14:paraId="4F3575C0" w14:textId="61DFB9E6" w:rsidR="00941E5B" w:rsidRPr="00B565D0" w:rsidRDefault="00941E5B" w:rsidP="00274C7D">
      <w:pPr>
        <w:autoSpaceDE w:val="0"/>
        <w:autoSpaceDN w:val="0"/>
        <w:adjustRightInd w:val="0"/>
        <w:spacing w:after="0" w:line="360" w:lineRule="auto"/>
        <w:jc w:val="both"/>
        <w:rPr>
          <w:rFonts w:cs="Arial"/>
          <w:sz w:val="24"/>
          <w:szCs w:val="24"/>
          <w:lang w:val="en-GB"/>
        </w:rPr>
      </w:pPr>
    </w:p>
    <w:p w14:paraId="431C4FC2" w14:textId="7BE7B3B0" w:rsidR="00A23BEA" w:rsidRPr="00B565D0" w:rsidRDefault="00941E5B" w:rsidP="00274C7D">
      <w:pPr>
        <w:autoSpaceDE w:val="0"/>
        <w:autoSpaceDN w:val="0"/>
        <w:adjustRightInd w:val="0"/>
        <w:spacing w:after="0" w:line="360" w:lineRule="auto"/>
        <w:jc w:val="both"/>
        <w:rPr>
          <w:rFonts w:eastAsiaTheme="minorHAnsi" w:cs="Arial"/>
          <w:sz w:val="24"/>
          <w:szCs w:val="24"/>
          <w:lang w:val="en-GB"/>
          <w14:ligatures w14:val="standardContextual"/>
        </w:rPr>
      </w:pPr>
      <w:r w:rsidRPr="00B565D0">
        <w:rPr>
          <w:rFonts w:cs="Arial"/>
          <w:sz w:val="24"/>
          <w:szCs w:val="24"/>
          <w:lang w:val="en-GB"/>
        </w:rPr>
        <w:t>Insights into the perception and integration of change within the organi</w:t>
      </w:r>
      <w:r w:rsidR="008E78D8" w:rsidRPr="00B565D0">
        <w:rPr>
          <w:rFonts w:cs="Arial"/>
          <w:sz w:val="24"/>
          <w:szCs w:val="24"/>
          <w:lang w:val="en-GB"/>
        </w:rPr>
        <w:t>s</w:t>
      </w:r>
      <w:r w:rsidRPr="00B565D0">
        <w:rPr>
          <w:rFonts w:cs="Arial"/>
          <w:sz w:val="24"/>
          <w:szCs w:val="24"/>
          <w:lang w:val="en-GB"/>
        </w:rPr>
        <w:t>ation are provided by qualitative measures, including employee feedback and culture assessments (</w:t>
      </w:r>
      <w:proofErr w:type="spellStart"/>
      <w:r w:rsidRPr="00B565D0">
        <w:rPr>
          <w:rFonts w:cs="Arial"/>
          <w:sz w:val="24"/>
          <w:szCs w:val="24"/>
          <w:lang w:val="en-GB"/>
        </w:rPr>
        <w:t>Schein</w:t>
      </w:r>
      <w:proofErr w:type="spellEnd"/>
      <w:r w:rsidRPr="00B565D0">
        <w:rPr>
          <w:rFonts w:cs="Arial"/>
          <w:sz w:val="24"/>
          <w:szCs w:val="24"/>
          <w:lang w:val="en-GB"/>
        </w:rPr>
        <w:t xml:space="preserve">, 2017; </w:t>
      </w:r>
      <w:proofErr w:type="spellStart"/>
      <w:r w:rsidRPr="00B565D0">
        <w:rPr>
          <w:rFonts w:cs="Arial"/>
          <w:sz w:val="24"/>
          <w:szCs w:val="24"/>
          <w:lang w:val="en-GB"/>
        </w:rPr>
        <w:t>Kotter</w:t>
      </w:r>
      <w:proofErr w:type="spellEnd"/>
      <w:r w:rsidRPr="00B565D0">
        <w:rPr>
          <w:rFonts w:cs="Arial"/>
          <w:sz w:val="24"/>
          <w:szCs w:val="24"/>
          <w:lang w:val="en-GB"/>
        </w:rPr>
        <w:t>, 2012). Employee surveys evaluate levels of commitment, comprehension, and engagement (</w:t>
      </w:r>
      <w:proofErr w:type="spellStart"/>
      <w:r w:rsidRPr="00B565D0">
        <w:rPr>
          <w:rFonts w:cs="Arial"/>
          <w:sz w:val="24"/>
          <w:szCs w:val="24"/>
          <w:lang w:val="en-GB"/>
        </w:rPr>
        <w:t>Burnes</w:t>
      </w:r>
      <w:proofErr w:type="spellEnd"/>
      <w:r w:rsidRPr="00B565D0">
        <w:rPr>
          <w:rFonts w:cs="Arial"/>
          <w:sz w:val="24"/>
          <w:szCs w:val="24"/>
          <w:lang w:val="en-GB"/>
        </w:rPr>
        <w:t xml:space="preserve">, 2017; Bass and </w:t>
      </w:r>
      <w:proofErr w:type="spellStart"/>
      <w:r w:rsidRPr="00B565D0">
        <w:rPr>
          <w:rFonts w:cs="Arial"/>
          <w:sz w:val="24"/>
          <w:szCs w:val="24"/>
          <w:lang w:val="en-GB"/>
        </w:rPr>
        <w:t>Avolio</w:t>
      </w:r>
      <w:proofErr w:type="spellEnd"/>
      <w:r w:rsidRPr="00B565D0">
        <w:rPr>
          <w:rFonts w:cs="Arial"/>
          <w:sz w:val="24"/>
          <w:szCs w:val="24"/>
          <w:lang w:val="en-GB"/>
        </w:rPr>
        <w:t xml:space="preserve">, 1994). </w:t>
      </w:r>
      <w:r w:rsidR="008E78D8" w:rsidRPr="00B565D0">
        <w:rPr>
          <w:rFonts w:eastAsiaTheme="minorHAnsi" w:cs="Arial"/>
          <w:sz w:val="24"/>
          <w:szCs w:val="24"/>
          <w:lang w:val="en-GB"/>
          <w14:ligatures w14:val="standardContextual"/>
        </w:rPr>
        <w:t>This methodology is consistent with contemporary performance management frameworks that incorporate both financial and operational indicators, thereby embodying the principles of continuous improvement. Performance data is con</w:t>
      </w:r>
      <w:r w:rsidR="005A7CDA" w:rsidRPr="00B565D0">
        <w:rPr>
          <w:rFonts w:eastAsiaTheme="minorHAnsi" w:cs="Arial"/>
          <w:sz w:val="24"/>
          <w:szCs w:val="24"/>
          <w:lang w:val="en-GB"/>
          <w14:ligatures w14:val="standardContextual"/>
        </w:rPr>
        <w:t>tinu</w:t>
      </w:r>
      <w:r w:rsidR="00B561C9" w:rsidRPr="00B565D0">
        <w:rPr>
          <w:rFonts w:eastAsiaTheme="minorHAnsi" w:cs="Arial"/>
          <w:sz w:val="24"/>
          <w:szCs w:val="24"/>
          <w:lang w:val="en-GB"/>
          <w14:ligatures w14:val="standardContextual"/>
        </w:rPr>
        <w:t>ou</w:t>
      </w:r>
      <w:r w:rsidR="005A7CDA" w:rsidRPr="00B565D0">
        <w:rPr>
          <w:rFonts w:eastAsiaTheme="minorHAnsi" w:cs="Arial"/>
          <w:sz w:val="24"/>
          <w:szCs w:val="24"/>
          <w:lang w:val="en-GB"/>
          <w14:ligatures w14:val="standardContextual"/>
        </w:rPr>
        <w:t>sly used</w:t>
      </w:r>
      <w:r w:rsidR="008E78D8" w:rsidRPr="00B565D0">
        <w:rPr>
          <w:rFonts w:eastAsiaTheme="minorHAnsi" w:cs="Arial"/>
          <w:sz w:val="24"/>
          <w:szCs w:val="24"/>
          <w:lang w:val="en-GB"/>
          <w14:ligatures w14:val="standardContextual"/>
        </w:rPr>
        <w:t xml:space="preserve"> to </w:t>
      </w:r>
      <w:r w:rsidR="004E0EAB" w:rsidRPr="00B565D0">
        <w:rPr>
          <w:rFonts w:eastAsiaTheme="minorHAnsi" w:cs="Arial"/>
          <w:sz w:val="24"/>
          <w:szCs w:val="24"/>
          <w:lang w:val="en-GB"/>
          <w14:ligatures w14:val="standardContextual"/>
        </w:rPr>
        <w:t>inform programme refinement and improv</w:t>
      </w:r>
      <w:r w:rsidR="00B561C9" w:rsidRPr="00B565D0">
        <w:rPr>
          <w:rFonts w:eastAsiaTheme="minorHAnsi" w:cs="Arial"/>
          <w:sz w:val="24"/>
          <w:szCs w:val="24"/>
          <w:lang w:val="en-GB"/>
          <w14:ligatures w14:val="standardContextual"/>
        </w:rPr>
        <w:t>e</w:t>
      </w:r>
      <w:r w:rsidR="004E0EAB" w:rsidRPr="00B565D0">
        <w:rPr>
          <w:rFonts w:eastAsiaTheme="minorHAnsi" w:cs="Arial"/>
          <w:sz w:val="24"/>
          <w:szCs w:val="24"/>
          <w:lang w:val="en-GB"/>
          <w14:ligatures w14:val="standardContextual"/>
        </w:rPr>
        <w:t>ment</w:t>
      </w:r>
      <w:r w:rsidR="008E78D8" w:rsidRPr="00B565D0">
        <w:rPr>
          <w:rFonts w:eastAsiaTheme="minorHAnsi" w:cs="Arial"/>
          <w:sz w:val="24"/>
          <w:szCs w:val="24"/>
          <w:lang w:val="en-GB"/>
          <w14:ligatures w14:val="standardContextual"/>
        </w:rPr>
        <w:t xml:space="preserve"> (</w:t>
      </w:r>
      <w:proofErr w:type="spellStart"/>
      <w:r w:rsidR="008E78D8" w:rsidRPr="00B565D0">
        <w:rPr>
          <w:rFonts w:eastAsiaTheme="minorHAnsi" w:cs="Arial"/>
          <w:sz w:val="24"/>
          <w:szCs w:val="24"/>
          <w:lang w:val="en-GB"/>
          <w14:ligatures w14:val="standardContextual"/>
        </w:rPr>
        <w:t>Weick</w:t>
      </w:r>
      <w:proofErr w:type="spellEnd"/>
      <w:r w:rsidR="008E78D8" w:rsidRPr="00B565D0">
        <w:rPr>
          <w:rFonts w:eastAsiaTheme="minorHAnsi" w:cs="Arial"/>
          <w:sz w:val="24"/>
          <w:szCs w:val="24"/>
          <w:lang w:val="en-GB"/>
          <w14:ligatures w14:val="standardContextual"/>
        </w:rPr>
        <w:t xml:space="preserve"> and Quinn, 1999; McKinsey &amp; Company, 2016).</w:t>
      </w:r>
    </w:p>
    <w:p w14:paraId="36DAB46E" w14:textId="77777777" w:rsidR="0037036A" w:rsidRPr="00B565D0" w:rsidRDefault="0037036A" w:rsidP="00274C7D">
      <w:pPr>
        <w:autoSpaceDE w:val="0"/>
        <w:autoSpaceDN w:val="0"/>
        <w:adjustRightInd w:val="0"/>
        <w:spacing w:after="0" w:line="360" w:lineRule="auto"/>
        <w:jc w:val="both"/>
        <w:rPr>
          <w:rFonts w:eastAsiaTheme="minorHAnsi" w:cs="Arial"/>
          <w:sz w:val="24"/>
          <w:szCs w:val="24"/>
          <w:lang w:val="en-GB"/>
          <w14:ligatures w14:val="standardContextual"/>
        </w:rPr>
      </w:pPr>
    </w:p>
    <w:p w14:paraId="30A538BF" w14:textId="163578DD" w:rsidR="0037036A" w:rsidRPr="00521E85" w:rsidRDefault="0037036A" w:rsidP="00053219">
      <w:pPr>
        <w:pStyle w:val="Heading3"/>
        <w:spacing w:line="360" w:lineRule="auto"/>
        <w:rPr>
          <w:rFonts w:eastAsiaTheme="minorHAnsi" w:cs="Arial"/>
          <w:b/>
          <w:bCs/>
          <w:sz w:val="24"/>
          <w:szCs w:val="24"/>
          <w:lang w:val="en-GB"/>
          <w14:ligatures w14:val="standardContextual"/>
        </w:rPr>
      </w:pPr>
      <w:bookmarkStart w:id="19" w:name="_Toc227790549"/>
      <w:r w:rsidRPr="00521E85">
        <w:rPr>
          <w:rFonts w:eastAsiaTheme="minorHAnsi" w:cs="Arial"/>
          <w:b/>
          <w:bCs/>
          <w:sz w:val="24"/>
          <w:szCs w:val="24"/>
          <w:lang w:val="en-GB"/>
          <w14:ligatures w14:val="standardContextual"/>
        </w:rPr>
        <w:t xml:space="preserve">7.5 Sustainability and </w:t>
      </w:r>
      <w:r w:rsidR="005E5F45" w:rsidRPr="00B565D0">
        <w:rPr>
          <w:rFonts w:eastAsiaTheme="minorHAnsi" w:cs="Arial"/>
          <w:b/>
          <w:bCs/>
          <w:sz w:val="24"/>
          <w:szCs w:val="24"/>
          <w:lang w:val="en-GB"/>
          <w14:ligatures w14:val="standardContextual"/>
        </w:rPr>
        <w:t>Enduring</w:t>
      </w:r>
      <w:r w:rsidRPr="00521E85">
        <w:rPr>
          <w:rFonts w:eastAsiaTheme="minorHAnsi" w:cs="Arial"/>
          <w:b/>
          <w:bCs/>
          <w:sz w:val="24"/>
          <w:szCs w:val="24"/>
          <w:lang w:val="en-GB"/>
          <w14:ligatures w14:val="standardContextual"/>
        </w:rPr>
        <w:t xml:space="preserve"> Strategic Impact</w:t>
      </w:r>
      <w:bookmarkEnd w:id="19"/>
    </w:p>
    <w:p w14:paraId="6C220ED5" w14:textId="77777777" w:rsidR="00D31BBB" w:rsidRPr="00D31BBB" w:rsidRDefault="00D31BBB" w:rsidP="00D31BBB">
      <w:pPr>
        <w:spacing w:after="0" w:line="240" w:lineRule="auto"/>
        <w:rPr>
          <w:rFonts w:ascii=".AppleSystemUIFont" w:hAnsi=".AppleSystemUIFont" w:cs="Times New Roman"/>
          <w:sz w:val="26"/>
          <w:szCs w:val="26"/>
          <w:lang w:val="en-GB" w:eastAsia="en-GB"/>
        </w:rPr>
      </w:pPr>
    </w:p>
    <w:p w14:paraId="719FF896" w14:textId="77777777" w:rsidR="00D31BBB" w:rsidRPr="005A08F2" w:rsidRDefault="00D31BBB" w:rsidP="00922F17">
      <w:pPr>
        <w:spacing w:after="0" w:line="360" w:lineRule="auto"/>
        <w:jc w:val="both"/>
        <w:rPr>
          <w:rFonts w:cs="Arial"/>
          <w:sz w:val="24"/>
          <w:szCs w:val="24"/>
          <w:lang w:val="en-GB" w:eastAsia="en-GB"/>
        </w:rPr>
      </w:pPr>
      <w:r w:rsidRPr="005A08F2">
        <w:rPr>
          <w:rFonts w:cs="Arial"/>
          <w:sz w:val="24"/>
          <w:szCs w:val="24"/>
          <w:lang w:val="en-GB" w:eastAsia="en-GB"/>
        </w:rPr>
        <w:t>The program's future success is contingent on its contribution to organisational sustainability, which includes economic viability, operational stability, and adaptability (</w:t>
      </w:r>
      <w:proofErr w:type="spellStart"/>
      <w:r w:rsidRPr="005A08F2">
        <w:rPr>
          <w:rFonts w:cs="Arial"/>
          <w:sz w:val="24"/>
          <w:szCs w:val="24"/>
          <w:lang w:val="en-GB" w:eastAsia="en-GB"/>
        </w:rPr>
        <w:t>Teece</w:t>
      </w:r>
      <w:proofErr w:type="spellEnd"/>
      <w:r w:rsidRPr="005A08F2">
        <w:rPr>
          <w:rFonts w:cs="Arial"/>
          <w:sz w:val="24"/>
          <w:szCs w:val="24"/>
          <w:lang w:val="en-GB" w:eastAsia="en-GB"/>
        </w:rPr>
        <w:t xml:space="preserve">, 2018; Cummings and Worley, 2019). </w:t>
      </w:r>
      <w:proofErr w:type="spellStart"/>
      <w:r w:rsidRPr="005A08F2">
        <w:rPr>
          <w:rFonts w:cs="Arial"/>
          <w:sz w:val="24"/>
          <w:szCs w:val="24"/>
          <w:lang w:val="en-GB" w:eastAsia="en-GB"/>
        </w:rPr>
        <w:t>Monzo's</w:t>
      </w:r>
      <w:proofErr w:type="spellEnd"/>
      <w:r w:rsidRPr="005A08F2">
        <w:rPr>
          <w:rFonts w:cs="Arial"/>
          <w:sz w:val="24"/>
          <w:szCs w:val="24"/>
          <w:lang w:val="en-GB" w:eastAsia="en-GB"/>
        </w:rPr>
        <w:t xml:space="preserve"> service quality, transparency, and regulatory compliance are linked to sustainability, consumer trust, and profitability (</w:t>
      </w:r>
      <w:proofErr w:type="spellStart"/>
      <w:r w:rsidRPr="005A08F2">
        <w:rPr>
          <w:rFonts w:cs="Arial"/>
          <w:sz w:val="24"/>
          <w:szCs w:val="24"/>
          <w:lang w:val="en-GB" w:eastAsia="en-GB"/>
        </w:rPr>
        <w:t>Monzo</w:t>
      </w:r>
      <w:proofErr w:type="spellEnd"/>
      <w:r w:rsidRPr="005A08F2">
        <w:rPr>
          <w:rFonts w:cs="Arial"/>
          <w:sz w:val="24"/>
          <w:szCs w:val="24"/>
          <w:lang w:val="en-GB" w:eastAsia="en-GB"/>
        </w:rPr>
        <w:t xml:space="preserve"> Bank Limited, 2024; Financial Conduct Authority, 2024). The program increases internal systems to eliminate flaws and improve the </w:t>
      </w:r>
      <w:proofErr w:type="spellStart"/>
      <w:r w:rsidRPr="005A08F2">
        <w:rPr>
          <w:rFonts w:cs="Arial"/>
          <w:sz w:val="24"/>
          <w:szCs w:val="24"/>
          <w:lang w:val="en-GB" w:eastAsia="en-GB"/>
        </w:rPr>
        <w:t>organization's</w:t>
      </w:r>
      <w:proofErr w:type="spellEnd"/>
      <w:r w:rsidRPr="005A08F2">
        <w:rPr>
          <w:rFonts w:cs="Arial"/>
          <w:sz w:val="24"/>
          <w:szCs w:val="24"/>
          <w:lang w:val="en-GB" w:eastAsia="en-GB"/>
        </w:rPr>
        <w:t xml:space="preserve"> ability to respond to rapid fintech change (</w:t>
      </w:r>
      <w:proofErr w:type="spellStart"/>
      <w:r w:rsidRPr="005A08F2">
        <w:rPr>
          <w:rFonts w:cs="Arial"/>
          <w:sz w:val="24"/>
          <w:szCs w:val="24"/>
          <w:lang w:val="en-GB" w:eastAsia="en-GB"/>
        </w:rPr>
        <w:t>Burnes</w:t>
      </w:r>
      <w:proofErr w:type="spellEnd"/>
      <w:r w:rsidRPr="005A08F2">
        <w:rPr>
          <w:rFonts w:cs="Arial"/>
          <w:sz w:val="24"/>
          <w:szCs w:val="24"/>
          <w:lang w:val="en-GB" w:eastAsia="en-GB"/>
        </w:rPr>
        <w:t xml:space="preserve">, 2017; </w:t>
      </w:r>
      <w:proofErr w:type="spellStart"/>
      <w:r w:rsidRPr="005A08F2">
        <w:rPr>
          <w:rFonts w:cs="Arial"/>
          <w:sz w:val="24"/>
          <w:szCs w:val="24"/>
          <w:lang w:val="en-GB" w:eastAsia="en-GB"/>
        </w:rPr>
        <w:t>Gomber</w:t>
      </w:r>
      <w:proofErr w:type="spellEnd"/>
      <w:r w:rsidRPr="005A08F2">
        <w:rPr>
          <w:rFonts w:cs="Arial"/>
          <w:sz w:val="24"/>
          <w:szCs w:val="24"/>
          <w:lang w:val="en-GB" w:eastAsia="en-GB"/>
        </w:rPr>
        <w:t xml:space="preserve">, Koch, and </w:t>
      </w:r>
      <w:proofErr w:type="spellStart"/>
      <w:r w:rsidRPr="005A08F2">
        <w:rPr>
          <w:rFonts w:cs="Arial"/>
          <w:sz w:val="24"/>
          <w:szCs w:val="24"/>
          <w:lang w:val="en-GB" w:eastAsia="en-GB"/>
        </w:rPr>
        <w:t>Siering</w:t>
      </w:r>
      <w:proofErr w:type="spellEnd"/>
      <w:r w:rsidRPr="005A08F2">
        <w:rPr>
          <w:rFonts w:cs="Arial"/>
          <w:sz w:val="24"/>
          <w:szCs w:val="24"/>
          <w:lang w:val="en-GB" w:eastAsia="en-GB"/>
        </w:rPr>
        <w:t xml:space="preserve">, 2018). </w:t>
      </w:r>
      <w:proofErr w:type="spellStart"/>
      <w:r w:rsidRPr="005A08F2">
        <w:rPr>
          <w:rFonts w:cs="Arial"/>
          <w:sz w:val="24"/>
          <w:szCs w:val="24"/>
          <w:lang w:val="en-GB" w:eastAsia="en-GB"/>
        </w:rPr>
        <w:t>Monzo</w:t>
      </w:r>
      <w:proofErr w:type="spellEnd"/>
      <w:r w:rsidRPr="005A08F2">
        <w:rPr>
          <w:rFonts w:cs="Arial"/>
          <w:sz w:val="24"/>
          <w:szCs w:val="24"/>
          <w:lang w:val="en-GB" w:eastAsia="en-GB"/>
        </w:rPr>
        <w:t xml:space="preserve"> is prepared for continuing adaptation by investing in personnel development, risk management, and data stewardship (</w:t>
      </w:r>
      <w:proofErr w:type="spellStart"/>
      <w:r w:rsidRPr="005A08F2">
        <w:rPr>
          <w:rFonts w:cs="Arial"/>
          <w:sz w:val="24"/>
          <w:szCs w:val="24"/>
          <w:lang w:val="en-GB" w:eastAsia="en-GB"/>
        </w:rPr>
        <w:t>Weick</w:t>
      </w:r>
      <w:proofErr w:type="spellEnd"/>
      <w:r w:rsidRPr="005A08F2">
        <w:rPr>
          <w:rFonts w:cs="Arial"/>
          <w:sz w:val="24"/>
          <w:szCs w:val="24"/>
          <w:lang w:val="en-GB" w:eastAsia="en-GB"/>
        </w:rPr>
        <w:t xml:space="preserve"> and Quinn, 1999; </w:t>
      </w:r>
      <w:proofErr w:type="spellStart"/>
      <w:r w:rsidRPr="005A08F2">
        <w:rPr>
          <w:rFonts w:cs="Arial"/>
          <w:sz w:val="24"/>
          <w:szCs w:val="24"/>
          <w:lang w:val="en-GB" w:eastAsia="en-GB"/>
        </w:rPr>
        <w:t>Helfat</w:t>
      </w:r>
      <w:proofErr w:type="spellEnd"/>
      <w:r w:rsidRPr="005A08F2">
        <w:rPr>
          <w:rFonts w:cs="Arial"/>
          <w:sz w:val="24"/>
          <w:szCs w:val="24"/>
          <w:lang w:val="en-GB" w:eastAsia="en-GB"/>
        </w:rPr>
        <w:t xml:space="preserve"> and </w:t>
      </w:r>
      <w:proofErr w:type="spellStart"/>
      <w:r w:rsidRPr="005A08F2">
        <w:rPr>
          <w:rFonts w:cs="Arial"/>
          <w:sz w:val="24"/>
          <w:szCs w:val="24"/>
          <w:lang w:val="en-GB" w:eastAsia="en-GB"/>
        </w:rPr>
        <w:t>Peteraf</w:t>
      </w:r>
      <w:proofErr w:type="spellEnd"/>
      <w:r w:rsidRPr="005A08F2">
        <w:rPr>
          <w:rFonts w:cs="Arial"/>
          <w:sz w:val="24"/>
          <w:szCs w:val="24"/>
          <w:lang w:val="en-GB" w:eastAsia="en-GB"/>
        </w:rPr>
        <w:t xml:space="preserve">, 2015). According to </w:t>
      </w:r>
      <w:proofErr w:type="spellStart"/>
      <w:r w:rsidRPr="005A08F2">
        <w:rPr>
          <w:rFonts w:cs="Arial"/>
          <w:sz w:val="24"/>
          <w:szCs w:val="24"/>
          <w:lang w:val="en-GB" w:eastAsia="en-GB"/>
        </w:rPr>
        <w:t>Teece</w:t>
      </w:r>
      <w:proofErr w:type="spellEnd"/>
      <w:r w:rsidRPr="005A08F2">
        <w:rPr>
          <w:rFonts w:cs="Arial"/>
          <w:sz w:val="24"/>
          <w:szCs w:val="24"/>
          <w:lang w:val="en-GB" w:eastAsia="en-GB"/>
        </w:rPr>
        <w:t xml:space="preserve"> (2018) and Vial (2019), the program aims to create long-term value by developing dynamic capabilities that balance risks and opportunities.</w:t>
      </w:r>
    </w:p>
    <w:p w14:paraId="259ACADF" w14:textId="77777777" w:rsidR="00F07EAF" w:rsidRPr="00922F17" w:rsidRDefault="00F07EAF" w:rsidP="00922F17">
      <w:pPr>
        <w:autoSpaceDE w:val="0"/>
        <w:autoSpaceDN w:val="0"/>
        <w:adjustRightInd w:val="0"/>
        <w:spacing w:after="0" w:line="360" w:lineRule="auto"/>
        <w:jc w:val="both"/>
        <w:rPr>
          <w:rFonts w:eastAsiaTheme="minorHAnsi" w:cs="Arial"/>
          <w:sz w:val="24"/>
          <w:szCs w:val="24"/>
          <w:lang w:val="en-GB"/>
          <w14:ligatures w14:val="standardContextual"/>
        </w:rPr>
      </w:pPr>
    </w:p>
    <w:p w14:paraId="271A6304" w14:textId="77777777" w:rsidR="0037036A" w:rsidRPr="00521E85" w:rsidRDefault="0037036A" w:rsidP="00053219">
      <w:pPr>
        <w:pStyle w:val="Heading2"/>
        <w:spacing w:line="360" w:lineRule="auto"/>
        <w:rPr>
          <w:rFonts w:ascii="Arial" w:eastAsiaTheme="minorHAnsi" w:hAnsi="Arial" w:cs="Arial"/>
          <w:b/>
          <w:bCs/>
          <w:sz w:val="24"/>
          <w:szCs w:val="24"/>
          <w:lang w:val="en-GB"/>
          <w14:ligatures w14:val="standardContextual"/>
        </w:rPr>
      </w:pPr>
      <w:bookmarkStart w:id="20" w:name="_Toc227790550"/>
      <w:r w:rsidRPr="00521E85">
        <w:rPr>
          <w:rFonts w:ascii="Arial" w:eastAsiaTheme="minorHAnsi" w:hAnsi="Arial" w:cs="Arial"/>
          <w:b/>
          <w:bCs/>
          <w:sz w:val="24"/>
          <w:szCs w:val="24"/>
          <w:lang w:val="en-GB"/>
          <w14:ligatures w14:val="standardContextual"/>
        </w:rPr>
        <w:t>8. Reflective Learning</w:t>
      </w:r>
      <w:bookmarkEnd w:id="20"/>
    </w:p>
    <w:p w14:paraId="7B10D3D2" w14:textId="77777777" w:rsidR="006E64E0" w:rsidRPr="00B565D0" w:rsidRDefault="006E64E0" w:rsidP="00CC4A7D">
      <w:pPr>
        <w:autoSpaceDE w:val="0"/>
        <w:autoSpaceDN w:val="0"/>
        <w:adjustRightInd w:val="0"/>
        <w:spacing w:after="0" w:line="360" w:lineRule="auto"/>
        <w:jc w:val="both"/>
        <w:rPr>
          <w:rFonts w:cs="Arial"/>
          <w:sz w:val="24"/>
          <w:szCs w:val="24"/>
          <w:lang w:val="en-GB"/>
        </w:rPr>
      </w:pPr>
      <w:r w:rsidRPr="00B565D0">
        <w:rPr>
          <w:rFonts w:cs="Arial"/>
          <w:sz w:val="24"/>
          <w:szCs w:val="24"/>
          <w:lang w:val="en-GB"/>
        </w:rPr>
        <w:t>This paper has shown that successful change management requires both theoretical knowledge and practical implementation (</w:t>
      </w:r>
      <w:proofErr w:type="spellStart"/>
      <w:r w:rsidRPr="00B565D0">
        <w:rPr>
          <w:rFonts w:cs="Arial"/>
          <w:sz w:val="24"/>
          <w:szCs w:val="24"/>
          <w:lang w:val="en-GB"/>
        </w:rPr>
        <w:t>Burnes</w:t>
      </w:r>
      <w:proofErr w:type="spellEnd"/>
      <w:r w:rsidRPr="00B565D0">
        <w:rPr>
          <w:rFonts w:cs="Arial"/>
          <w:sz w:val="24"/>
          <w:szCs w:val="24"/>
          <w:lang w:val="en-GB"/>
        </w:rPr>
        <w:t xml:space="preserve">, 2017; Cummings and Worley, 2019). </w:t>
      </w:r>
      <w:proofErr w:type="spellStart"/>
      <w:r w:rsidRPr="00B565D0">
        <w:rPr>
          <w:rFonts w:cs="Arial"/>
          <w:sz w:val="24"/>
          <w:szCs w:val="24"/>
          <w:lang w:val="en-GB"/>
        </w:rPr>
        <w:t>Monzo's</w:t>
      </w:r>
      <w:proofErr w:type="spellEnd"/>
      <w:r w:rsidRPr="00B565D0">
        <w:rPr>
          <w:rFonts w:cs="Arial"/>
          <w:sz w:val="24"/>
          <w:szCs w:val="24"/>
          <w:lang w:val="en-GB"/>
        </w:rPr>
        <w:t xml:space="preserve"> study emphasises the need of applying theoretical models to practical situations, especially in dynamic and highly regulated environments (Vial, 2019; Financial Conduct Authority, 2024).</w:t>
      </w:r>
    </w:p>
    <w:p w14:paraId="7491ADD4" w14:textId="77777777" w:rsidR="0037036A" w:rsidRPr="00B565D0" w:rsidRDefault="0037036A" w:rsidP="00CC4A7D">
      <w:pPr>
        <w:autoSpaceDE w:val="0"/>
        <w:autoSpaceDN w:val="0"/>
        <w:adjustRightInd w:val="0"/>
        <w:spacing w:after="0" w:line="360" w:lineRule="auto"/>
        <w:jc w:val="both"/>
        <w:rPr>
          <w:rFonts w:eastAsiaTheme="minorHAnsi" w:cs="Arial"/>
          <w:sz w:val="24"/>
          <w:szCs w:val="24"/>
          <w:lang w:val="en-GB"/>
          <w14:ligatures w14:val="standardContextual"/>
        </w:rPr>
      </w:pPr>
    </w:p>
    <w:p w14:paraId="13C68E43" w14:textId="77777777" w:rsidR="0037036A" w:rsidRPr="00521E85" w:rsidRDefault="0037036A" w:rsidP="00CC4A7D">
      <w:pPr>
        <w:pStyle w:val="Heading3"/>
        <w:spacing w:line="360" w:lineRule="auto"/>
        <w:jc w:val="both"/>
        <w:rPr>
          <w:rFonts w:eastAsiaTheme="minorHAnsi" w:cs="Arial"/>
          <w:b/>
          <w:bCs/>
          <w:sz w:val="24"/>
          <w:szCs w:val="24"/>
          <w:lang w:val="en-GB"/>
          <w14:ligatures w14:val="standardContextual"/>
        </w:rPr>
      </w:pPr>
      <w:bookmarkStart w:id="21" w:name="_Toc227790551"/>
      <w:r w:rsidRPr="00521E85">
        <w:rPr>
          <w:rFonts w:eastAsiaTheme="minorHAnsi" w:cs="Arial"/>
          <w:b/>
          <w:bCs/>
          <w:sz w:val="24"/>
          <w:szCs w:val="24"/>
          <w:lang w:val="en-GB"/>
          <w14:ligatures w14:val="standardContextual"/>
        </w:rPr>
        <w:t>8.1 Limitations of the Analysis and Future Change Considerations</w:t>
      </w:r>
      <w:bookmarkEnd w:id="21"/>
    </w:p>
    <w:p w14:paraId="00109BAC" w14:textId="77777777" w:rsidR="00566357" w:rsidRPr="00A9294E" w:rsidRDefault="00566357" w:rsidP="008C2041">
      <w:pPr>
        <w:spacing w:after="0" w:line="360" w:lineRule="auto"/>
        <w:jc w:val="both"/>
        <w:rPr>
          <w:rFonts w:cs="Arial"/>
          <w:sz w:val="24"/>
          <w:szCs w:val="24"/>
          <w:lang w:val="en-GB" w:eastAsia="en-GB"/>
        </w:rPr>
      </w:pPr>
      <w:r w:rsidRPr="00A9294E">
        <w:rPr>
          <w:rFonts w:cs="Arial"/>
          <w:sz w:val="24"/>
          <w:szCs w:val="24"/>
          <w:lang w:val="en-GB" w:eastAsia="en-GB"/>
        </w:rPr>
        <w:t>The scope and applicability of this analysis are constrained by its limitations (Cummings and Worley, 2019). Reliance on publicly available data may overlook internal challenges, informal practices, and undisclosed risks (</w:t>
      </w:r>
      <w:proofErr w:type="spellStart"/>
      <w:r w:rsidRPr="00A9294E">
        <w:rPr>
          <w:rFonts w:cs="Arial"/>
          <w:sz w:val="24"/>
          <w:szCs w:val="24"/>
          <w:lang w:val="en-GB" w:eastAsia="en-GB"/>
        </w:rPr>
        <w:t>Burnes</w:t>
      </w:r>
      <w:proofErr w:type="spellEnd"/>
      <w:r w:rsidRPr="00A9294E">
        <w:rPr>
          <w:rFonts w:cs="Arial"/>
          <w:sz w:val="24"/>
          <w:szCs w:val="24"/>
          <w:lang w:val="en-GB" w:eastAsia="en-GB"/>
        </w:rPr>
        <w:t xml:space="preserve">, 2017; </w:t>
      </w:r>
      <w:proofErr w:type="spellStart"/>
      <w:r w:rsidRPr="00A9294E">
        <w:rPr>
          <w:rFonts w:cs="Arial"/>
          <w:sz w:val="24"/>
          <w:szCs w:val="24"/>
          <w:lang w:val="en-GB" w:eastAsia="en-GB"/>
        </w:rPr>
        <w:t>Monzo</w:t>
      </w:r>
      <w:proofErr w:type="spellEnd"/>
      <w:r w:rsidRPr="00A9294E">
        <w:rPr>
          <w:rFonts w:cs="Arial"/>
          <w:sz w:val="24"/>
          <w:szCs w:val="24"/>
          <w:lang w:val="en-GB" w:eastAsia="en-GB"/>
        </w:rPr>
        <w:t xml:space="preserve"> Bank Limited, 2024). Continuous, technologically powered change in fintech may not be fully addressed by change management theories devised for traditional contexts (</w:t>
      </w:r>
      <w:proofErr w:type="spellStart"/>
      <w:r w:rsidRPr="00A9294E">
        <w:rPr>
          <w:rFonts w:cs="Arial"/>
          <w:sz w:val="24"/>
          <w:szCs w:val="24"/>
          <w:lang w:val="en-GB" w:eastAsia="en-GB"/>
        </w:rPr>
        <w:t>Kotter</w:t>
      </w:r>
      <w:proofErr w:type="spellEnd"/>
      <w:r w:rsidRPr="00A9294E">
        <w:rPr>
          <w:rFonts w:cs="Arial"/>
          <w:sz w:val="24"/>
          <w:szCs w:val="24"/>
          <w:lang w:val="en-GB" w:eastAsia="en-GB"/>
        </w:rPr>
        <w:t xml:space="preserve">, 2012; </w:t>
      </w:r>
      <w:proofErr w:type="spellStart"/>
      <w:r w:rsidRPr="00A9294E">
        <w:rPr>
          <w:rFonts w:cs="Arial"/>
          <w:sz w:val="24"/>
          <w:szCs w:val="24"/>
          <w:lang w:val="en-GB" w:eastAsia="en-GB"/>
        </w:rPr>
        <w:t>Weick</w:t>
      </w:r>
      <w:proofErr w:type="spellEnd"/>
      <w:r w:rsidRPr="00A9294E">
        <w:rPr>
          <w:rFonts w:cs="Arial"/>
          <w:sz w:val="24"/>
          <w:szCs w:val="24"/>
          <w:lang w:val="en-GB" w:eastAsia="en-GB"/>
        </w:rPr>
        <w:t xml:space="preserve"> and Quinn, 1999). These models require critical adaptation rather than prescriptive application (</w:t>
      </w:r>
      <w:proofErr w:type="spellStart"/>
      <w:r w:rsidRPr="00A9294E">
        <w:rPr>
          <w:rFonts w:cs="Arial"/>
          <w:sz w:val="24"/>
          <w:szCs w:val="24"/>
          <w:lang w:val="en-GB" w:eastAsia="en-GB"/>
        </w:rPr>
        <w:t>Teece</w:t>
      </w:r>
      <w:proofErr w:type="spellEnd"/>
      <w:r w:rsidRPr="00A9294E">
        <w:rPr>
          <w:rFonts w:cs="Arial"/>
          <w:sz w:val="24"/>
          <w:szCs w:val="24"/>
          <w:lang w:val="en-GB" w:eastAsia="en-GB"/>
        </w:rPr>
        <w:t>, 2018; Vial, 2019).</w:t>
      </w:r>
    </w:p>
    <w:p w14:paraId="721AADFC" w14:textId="77777777" w:rsidR="001B3839" w:rsidRPr="00B565D0" w:rsidRDefault="001B3839" w:rsidP="001B3839">
      <w:pPr>
        <w:autoSpaceDE w:val="0"/>
        <w:autoSpaceDN w:val="0"/>
        <w:adjustRightInd w:val="0"/>
        <w:spacing w:after="0" w:line="360" w:lineRule="auto"/>
        <w:jc w:val="both"/>
        <w:rPr>
          <w:rFonts w:cs="Arial"/>
          <w:sz w:val="24"/>
          <w:szCs w:val="24"/>
          <w:lang w:val="en-GB"/>
        </w:rPr>
      </w:pPr>
    </w:p>
    <w:p w14:paraId="4D52A14D" w14:textId="77777777" w:rsidR="00E007BA" w:rsidRPr="005D65F9" w:rsidRDefault="00E007BA" w:rsidP="00253E5A">
      <w:pPr>
        <w:spacing w:after="0" w:line="360" w:lineRule="auto"/>
        <w:jc w:val="both"/>
        <w:rPr>
          <w:rFonts w:cs="Arial"/>
          <w:sz w:val="24"/>
          <w:szCs w:val="24"/>
          <w:lang w:val="en-GB" w:eastAsia="en-GB"/>
        </w:rPr>
      </w:pPr>
      <w:proofErr w:type="spellStart"/>
      <w:r w:rsidRPr="005D65F9">
        <w:rPr>
          <w:rFonts w:cs="Arial"/>
          <w:sz w:val="24"/>
          <w:szCs w:val="24"/>
          <w:lang w:val="en-GB" w:eastAsia="en-GB"/>
        </w:rPr>
        <w:t>Monzo</w:t>
      </w:r>
      <w:proofErr w:type="spellEnd"/>
      <w:r w:rsidRPr="005D65F9">
        <w:rPr>
          <w:rFonts w:cs="Arial"/>
          <w:sz w:val="24"/>
          <w:szCs w:val="24"/>
          <w:lang w:val="en-GB" w:eastAsia="en-GB"/>
        </w:rPr>
        <w:t xml:space="preserve"> challenges emergent change drivers, including as rising regulatory requirements around data stewardship and ethical AI use, as well as AI integration that influences operational processes and consumer interactions (</w:t>
      </w:r>
      <w:proofErr w:type="spellStart"/>
      <w:r w:rsidRPr="005D65F9">
        <w:rPr>
          <w:rFonts w:cs="Arial"/>
          <w:sz w:val="24"/>
          <w:szCs w:val="24"/>
          <w:lang w:val="en-GB" w:eastAsia="en-GB"/>
        </w:rPr>
        <w:t>Soldatos</w:t>
      </w:r>
      <w:proofErr w:type="spellEnd"/>
      <w:r w:rsidRPr="005D65F9">
        <w:rPr>
          <w:rFonts w:cs="Arial"/>
          <w:sz w:val="24"/>
          <w:szCs w:val="24"/>
          <w:lang w:val="en-GB" w:eastAsia="en-GB"/>
        </w:rPr>
        <w:t xml:space="preserve"> and </w:t>
      </w:r>
      <w:proofErr w:type="spellStart"/>
      <w:r w:rsidRPr="005D65F9">
        <w:rPr>
          <w:rFonts w:cs="Arial"/>
          <w:sz w:val="24"/>
          <w:szCs w:val="24"/>
          <w:lang w:val="en-GB" w:eastAsia="en-GB"/>
        </w:rPr>
        <w:t>Kyriazis</w:t>
      </w:r>
      <w:proofErr w:type="spellEnd"/>
      <w:r w:rsidRPr="005D65F9">
        <w:rPr>
          <w:rFonts w:cs="Arial"/>
          <w:sz w:val="24"/>
          <w:szCs w:val="24"/>
          <w:lang w:val="en-GB" w:eastAsia="en-GB"/>
        </w:rPr>
        <w:t>, 2022; Financial Conduct Authority, 2024). This suggests that change management should be viewed as a continuous organisational capability rather than a singular initiative (</w:t>
      </w:r>
      <w:proofErr w:type="spellStart"/>
      <w:r w:rsidRPr="005D65F9">
        <w:rPr>
          <w:rFonts w:cs="Arial"/>
          <w:sz w:val="24"/>
          <w:szCs w:val="24"/>
          <w:lang w:val="en-GB" w:eastAsia="en-GB"/>
        </w:rPr>
        <w:t>Helfat</w:t>
      </w:r>
      <w:proofErr w:type="spellEnd"/>
      <w:r w:rsidRPr="005D65F9">
        <w:rPr>
          <w:rFonts w:cs="Arial"/>
          <w:sz w:val="24"/>
          <w:szCs w:val="24"/>
          <w:lang w:val="en-GB" w:eastAsia="en-GB"/>
        </w:rPr>
        <w:t xml:space="preserve"> and </w:t>
      </w:r>
      <w:proofErr w:type="spellStart"/>
      <w:r w:rsidRPr="005D65F9">
        <w:rPr>
          <w:rFonts w:cs="Arial"/>
          <w:sz w:val="24"/>
          <w:szCs w:val="24"/>
          <w:lang w:val="en-GB" w:eastAsia="en-GB"/>
        </w:rPr>
        <w:t>Peteraf</w:t>
      </w:r>
      <w:proofErr w:type="spellEnd"/>
      <w:r w:rsidRPr="005D65F9">
        <w:rPr>
          <w:rFonts w:cs="Arial"/>
          <w:sz w:val="24"/>
          <w:szCs w:val="24"/>
          <w:lang w:val="en-GB" w:eastAsia="en-GB"/>
        </w:rPr>
        <w:t xml:space="preserve">, 2015; </w:t>
      </w:r>
      <w:proofErr w:type="spellStart"/>
      <w:r w:rsidRPr="005D65F9">
        <w:rPr>
          <w:rFonts w:cs="Arial"/>
          <w:sz w:val="24"/>
          <w:szCs w:val="24"/>
          <w:lang w:val="en-GB" w:eastAsia="en-GB"/>
        </w:rPr>
        <w:t>Teece</w:t>
      </w:r>
      <w:proofErr w:type="spellEnd"/>
      <w:r w:rsidRPr="005D65F9">
        <w:rPr>
          <w:rFonts w:cs="Arial"/>
          <w:sz w:val="24"/>
          <w:szCs w:val="24"/>
          <w:lang w:val="en-GB" w:eastAsia="en-GB"/>
        </w:rPr>
        <w:t>, 2018). Future research could look into how digital banks foster this capability through leadership development, collaboration across departments, and organisational learning (</w:t>
      </w:r>
      <w:proofErr w:type="spellStart"/>
      <w:r w:rsidRPr="005D65F9">
        <w:rPr>
          <w:rFonts w:cs="Arial"/>
          <w:sz w:val="24"/>
          <w:szCs w:val="24"/>
          <w:lang w:val="en-GB" w:eastAsia="en-GB"/>
        </w:rPr>
        <w:t>Hinings</w:t>
      </w:r>
      <w:proofErr w:type="spellEnd"/>
      <w:r w:rsidRPr="005D65F9">
        <w:rPr>
          <w:rFonts w:cs="Arial"/>
          <w:sz w:val="24"/>
          <w:szCs w:val="24"/>
          <w:lang w:val="en-GB" w:eastAsia="en-GB"/>
        </w:rPr>
        <w:t xml:space="preserve">, </w:t>
      </w:r>
      <w:proofErr w:type="spellStart"/>
      <w:r w:rsidRPr="005D65F9">
        <w:rPr>
          <w:rFonts w:cs="Arial"/>
          <w:sz w:val="24"/>
          <w:szCs w:val="24"/>
          <w:lang w:val="en-GB" w:eastAsia="en-GB"/>
        </w:rPr>
        <w:t>Gegenhuber</w:t>
      </w:r>
      <w:proofErr w:type="spellEnd"/>
      <w:r w:rsidRPr="005D65F9">
        <w:rPr>
          <w:rFonts w:cs="Arial"/>
          <w:sz w:val="24"/>
          <w:szCs w:val="24"/>
          <w:lang w:val="en-GB" w:eastAsia="en-GB"/>
        </w:rPr>
        <w:t xml:space="preserve">, and Greenwood, 2018; </w:t>
      </w:r>
      <w:proofErr w:type="spellStart"/>
      <w:r w:rsidRPr="005D65F9">
        <w:rPr>
          <w:rFonts w:cs="Arial"/>
          <w:sz w:val="24"/>
          <w:szCs w:val="24"/>
          <w:lang w:val="en-GB" w:eastAsia="en-GB"/>
        </w:rPr>
        <w:t>Schein</w:t>
      </w:r>
      <w:proofErr w:type="spellEnd"/>
      <w:r w:rsidRPr="005D65F9">
        <w:rPr>
          <w:rFonts w:cs="Arial"/>
          <w:sz w:val="24"/>
          <w:szCs w:val="24"/>
          <w:lang w:val="en-GB" w:eastAsia="en-GB"/>
        </w:rPr>
        <w:t>, 2017). These insights will help leaders and managers manage organisational change more effectively.</w:t>
      </w:r>
    </w:p>
    <w:p w14:paraId="7887DB6C" w14:textId="77777777" w:rsidR="00AC65A4" w:rsidRPr="00B565D0" w:rsidRDefault="00AC65A4" w:rsidP="00253E5A">
      <w:pPr>
        <w:autoSpaceDE w:val="0"/>
        <w:autoSpaceDN w:val="0"/>
        <w:adjustRightInd w:val="0"/>
        <w:spacing w:after="0" w:line="360" w:lineRule="auto"/>
        <w:jc w:val="both"/>
        <w:rPr>
          <w:rFonts w:eastAsiaTheme="minorHAnsi" w:cs="Arial"/>
          <w:sz w:val="24"/>
          <w:szCs w:val="24"/>
          <w:lang w:val="en-GB"/>
          <w14:ligatures w14:val="standardContextual"/>
        </w:rPr>
      </w:pPr>
    </w:p>
    <w:p w14:paraId="5CD04992" w14:textId="77777777" w:rsidR="0037036A" w:rsidRPr="00521E85" w:rsidRDefault="0037036A" w:rsidP="00CC4A7D">
      <w:pPr>
        <w:pStyle w:val="Heading3"/>
        <w:spacing w:line="360" w:lineRule="auto"/>
        <w:jc w:val="both"/>
        <w:rPr>
          <w:rFonts w:eastAsiaTheme="minorHAnsi" w:cs="Arial"/>
          <w:b/>
          <w:bCs/>
          <w:sz w:val="24"/>
          <w:szCs w:val="24"/>
          <w:lang w:val="en-GB"/>
          <w14:ligatures w14:val="standardContextual"/>
        </w:rPr>
      </w:pPr>
      <w:bookmarkStart w:id="22" w:name="_Toc227790552"/>
      <w:r w:rsidRPr="00521E85">
        <w:rPr>
          <w:rFonts w:eastAsiaTheme="minorHAnsi" w:cs="Arial"/>
          <w:b/>
          <w:bCs/>
          <w:sz w:val="24"/>
          <w:szCs w:val="24"/>
          <w:lang w:val="en-GB"/>
          <w14:ligatures w14:val="standardContextual"/>
        </w:rPr>
        <w:t>8.2 Integration of Digital Transformation Strategy</w:t>
      </w:r>
      <w:bookmarkEnd w:id="22"/>
    </w:p>
    <w:p w14:paraId="3CB5156A" w14:textId="057C94B6" w:rsidR="00652188" w:rsidRPr="00B565D0" w:rsidRDefault="00652188" w:rsidP="00AC65A4">
      <w:pPr>
        <w:autoSpaceDE w:val="0"/>
        <w:autoSpaceDN w:val="0"/>
        <w:adjustRightInd w:val="0"/>
        <w:spacing w:after="0" w:line="360" w:lineRule="auto"/>
        <w:jc w:val="both"/>
        <w:rPr>
          <w:rFonts w:cs="Arial"/>
          <w:sz w:val="24"/>
          <w:szCs w:val="24"/>
          <w:lang w:val="en-GB"/>
        </w:rPr>
      </w:pPr>
      <w:bookmarkStart w:id="23" w:name="_Toc227790553"/>
      <w:proofErr w:type="spellStart"/>
      <w:r w:rsidRPr="00B565D0">
        <w:rPr>
          <w:rFonts w:cs="Arial"/>
          <w:sz w:val="24"/>
          <w:szCs w:val="24"/>
          <w:lang w:val="en-GB"/>
        </w:rPr>
        <w:t>Monzo</w:t>
      </w:r>
      <w:proofErr w:type="spellEnd"/>
      <w:r w:rsidRPr="00B565D0">
        <w:rPr>
          <w:rFonts w:cs="Arial"/>
          <w:sz w:val="24"/>
          <w:szCs w:val="24"/>
          <w:lang w:val="en-GB"/>
        </w:rPr>
        <w:t xml:space="preserve"> could also explore integrating its change plan with a larger digital transformation strategy (Vial, 2019; </w:t>
      </w:r>
      <w:proofErr w:type="spellStart"/>
      <w:r w:rsidRPr="00B565D0">
        <w:rPr>
          <w:rFonts w:cs="Arial"/>
          <w:sz w:val="24"/>
          <w:szCs w:val="24"/>
          <w:lang w:val="en-GB"/>
        </w:rPr>
        <w:t>Bharadwaj</w:t>
      </w:r>
      <w:proofErr w:type="spellEnd"/>
      <w:r w:rsidRPr="00B565D0">
        <w:rPr>
          <w:rFonts w:cs="Arial"/>
          <w:sz w:val="24"/>
          <w:szCs w:val="24"/>
          <w:lang w:val="en-GB"/>
        </w:rPr>
        <w:t xml:space="preserve"> et al., 2013). While </w:t>
      </w:r>
      <w:proofErr w:type="spellStart"/>
      <w:r w:rsidRPr="00B565D0">
        <w:rPr>
          <w:rFonts w:cs="Arial"/>
          <w:sz w:val="24"/>
          <w:szCs w:val="24"/>
          <w:lang w:val="en-GB"/>
        </w:rPr>
        <w:t>Monzo</w:t>
      </w:r>
      <w:proofErr w:type="spellEnd"/>
      <w:r w:rsidRPr="00B565D0">
        <w:rPr>
          <w:rFonts w:cs="Arial"/>
          <w:sz w:val="24"/>
          <w:szCs w:val="24"/>
          <w:lang w:val="en-GB"/>
        </w:rPr>
        <w:t xml:space="preserve"> has been intrinsically digital from its start, digital maturity is a dynamic capacity (</w:t>
      </w:r>
      <w:proofErr w:type="spellStart"/>
      <w:r w:rsidRPr="00B565D0">
        <w:rPr>
          <w:rFonts w:cs="Arial"/>
          <w:sz w:val="24"/>
          <w:szCs w:val="24"/>
          <w:lang w:val="en-GB"/>
        </w:rPr>
        <w:t>Hinings</w:t>
      </w:r>
      <w:proofErr w:type="spellEnd"/>
      <w:r w:rsidRPr="00B565D0">
        <w:rPr>
          <w:rFonts w:cs="Arial"/>
          <w:sz w:val="24"/>
          <w:szCs w:val="24"/>
          <w:lang w:val="en-GB"/>
        </w:rPr>
        <w:t xml:space="preserve">, </w:t>
      </w:r>
      <w:proofErr w:type="spellStart"/>
      <w:r w:rsidRPr="00B565D0">
        <w:rPr>
          <w:rFonts w:cs="Arial"/>
          <w:sz w:val="24"/>
          <w:szCs w:val="24"/>
          <w:lang w:val="en-GB"/>
        </w:rPr>
        <w:t>Gegenhuber</w:t>
      </w:r>
      <w:proofErr w:type="spellEnd"/>
      <w:r w:rsidRPr="00B565D0">
        <w:rPr>
          <w:rFonts w:cs="Arial"/>
          <w:sz w:val="24"/>
          <w:szCs w:val="24"/>
          <w:lang w:val="en-GB"/>
        </w:rPr>
        <w:t xml:space="preserve">, </w:t>
      </w:r>
      <w:r w:rsidR="004F3A3B" w:rsidRPr="00B565D0">
        <w:rPr>
          <w:rFonts w:cs="Arial"/>
          <w:sz w:val="24"/>
          <w:szCs w:val="24"/>
          <w:lang w:val="en-GB"/>
        </w:rPr>
        <w:t>and</w:t>
      </w:r>
      <w:r w:rsidR="00A80406" w:rsidRPr="00B565D0">
        <w:rPr>
          <w:rFonts w:cs="Arial"/>
          <w:sz w:val="24"/>
          <w:szCs w:val="24"/>
          <w:lang w:val="en-GB"/>
        </w:rPr>
        <w:t xml:space="preserve"> </w:t>
      </w:r>
      <w:r w:rsidRPr="00B565D0">
        <w:rPr>
          <w:rFonts w:cs="Arial"/>
          <w:sz w:val="24"/>
          <w:szCs w:val="24"/>
          <w:lang w:val="en-GB"/>
        </w:rPr>
        <w:t>Greenwood, 2018</w:t>
      </w:r>
      <w:r w:rsidR="00AC21B3" w:rsidRPr="00B565D0">
        <w:rPr>
          <w:rFonts w:cs="Arial"/>
          <w:sz w:val="24"/>
          <w:szCs w:val="24"/>
          <w:lang w:val="en-GB"/>
        </w:rPr>
        <w:t>;</w:t>
      </w:r>
      <w:r w:rsidRPr="00B565D0">
        <w:rPr>
          <w:rFonts w:cs="Arial"/>
          <w:sz w:val="24"/>
          <w:szCs w:val="24"/>
          <w:lang w:val="en-GB"/>
        </w:rPr>
        <w:t xml:space="preserve"> </w:t>
      </w:r>
      <w:proofErr w:type="spellStart"/>
      <w:r w:rsidRPr="00B565D0">
        <w:rPr>
          <w:rFonts w:cs="Arial"/>
          <w:sz w:val="24"/>
          <w:szCs w:val="24"/>
          <w:lang w:val="en-GB"/>
        </w:rPr>
        <w:t>Teece</w:t>
      </w:r>
      <w:proofErr w:type="spellEnd"/>
      <w:r w:rsidRPr="00B565D0">
        <w:rPr>
          <w:rFonts w:cs="Arial"/>
          <w:sz w:val="24"/>
          <w:szCs w:val="24"/>
          <w:lang w:val="en-GB"/>
        </w:rPr>
        <w:t xml:space="preserve">, 2018). As Vial (2019) emphasises, digital transformation requires ongoing alignment between technical innovation and organisational structures, processes, and culture. In </w:t>
      </w:r>
      <w:proofErr w:type="spellStart"/>
      <w:r w:rsidRPr="00B565D0">
        <w:rPr>
          <w:rFonts w:cs="Arial"/>
          <w:sz w:val="24"/>
          <w:szCs w:val="24"/>
          <w:lang w:val="en-GB"/>
        </w:rPr>
        <w:t>Monzo's</w:t>
      </w:r>
      <w:proofErr w:type="spellEnd"/>
      <w:r w:rsidRPr="00B565D0">
        <w:rPr>
          <w:rFonts w:cs="Arial"/>
          <w:sz w:val="24"/>
          <w:szCs w:val="24"/>
          <w:lang w:val="en-GB"/>
        </w:rPr>
        <w:t xml:space="preserve"> instance, this means that technical advancements must be complemented with changes in governance, staff capacities, and strategic choices frameworks (Cummings and Worley, 2019; </w:t>
      </w:r>
      <w:proofErr w:type="spellStart"/>
      <w:r w:rsidRPr="00B565D0">
        <w:rPr>
          <w:rFonts w:cs="Arial"/>
          <w:sz w:val="24"/>
          <w:szCs w:val="24"/>
          <w:lang w:val="en-GB"/>
        </w:rPr>
        <w:t>Schein</w:t>
      </w:r>
      <w:proofErr w:type="spellEnd"/>
      <w:r w:rsidRPr="00B565D0">
        <w:rPr>
          <w:rFonts w:cs="Arial"/>
          <w:sz w:val="24"/>
          <w:szCs w:val="24"/>
          <w:lang w:val="en-GB"/>
        </w:rPr>
        <w:t>, 2017). Failure to establish this alignment may result in fragmented transformation initiatives, with technical improvements not translating into enhanced organisational performance (</w:t>
      </w:r>
      <w:proofErr w:type="spellStart"/>
      <w:r w:rsidRPr="00B565D0">
        <w:rPr>
          <w:rFonts w:cs="Arial"/>
          <w:sz w:val="24"/>
          <w:szCs w:val="24"/>
          <w:lang w:val="en-GB"/>
        </w:rPr>
        <w:t>Weick</w:t>
      </w:r>
      <w:proofErr w:type="spellEnd"/>
      <w:r w:rsidRPr="00B565D0">
        <w:rPr>
          <w:rFonts w:cs="Arial"/>
          <w:sz w:val="24"/>
          <w:szCs w:val="24"/>
          <w:lang w:val="en-GB"/>
        </w:rPr>
        <w:t xml:space="preserve"> and Quinn, 1999). As a result, including digital transformation into the overall change programme improves strategy coherence and the organi</w:t>
      </w:r>
      <w:r w:rsidR="00AC21B3" w:rsidRPr="00B565D0">
        <w:rPr>
          <w:rFonts w:cs="Arial"/>
          <w:sz w:val="24"/>
          <w:szCs w:val="24"/>
          <w:lang w:val="en-GB"/>
        </w:rPr>
        <w:t>s</w:t>
      </w:r>
      <w:r w:rsidRPr="00B565D0">
        <w:rPr>
          <w:rFonts w:cs="Arial"/>
          <w:sz w:val="24"/>
          <w:szCs w:val="24"/>
          <w:lang w:val="en-GB"/>
        </w:rPr>
        <w:t>ation's capacity to maintain long-term competitive advantage (</w:t>
      </w:r>
      <w:proofErr w:type="spellStart"/>
      <w:r w:rsidRPr="00B565D0">
        <w:rPr>
          <w:rFonts w:cs="Arial"/>
          <w:sz w:val="24"/>
          <w:szCs w:val="24"/>
          <w:lang w:val="en-GB"/>
        </w:rPr>
        <w:t>Teece</w:t>
      </w:r>
      <w:proofErr w:type="spellEnd"/>
      <w:r w:rsidRPr="00B565D0">
        <w:rPr>
          <w:rFonts w:cs="Arial"/>
          <w:sz w:val="24"/>
          <w:szCs w:val="24"/>
          <w:lang w:val="en-GB"/>
        </w:rPr>
        <w:t xml:space="preserve">, 2018; </w:t>
      </w:r>
      <w:proofErr w:type="spellStart"/>
      <w:r w:rsidRPr="00B565D0">
        <w:rPr>
          <w:rFonts w:cs="Arial"/>
          <w:sz w:val="24"/>
          <w:szCs w:val="24"/>
          <w:lang w:val="en-GB"/>
        </w:rPr>
        <w:t>Helfat</w:t>
      </w:r>
      <w:proofErr w:type="spellEnd"/>
      <w:r w:rsidRPr="00B565D0">
        <w:rPr>
          <w:rFonts w:cs="Arial"/>
          <w:sz w:val="24"/>
          <w:szCs w:val="24"/>
          <w:lang w:val="en-GB"/>
        </w:rPr>
        <w:t xml:space="preserve"> and </w:t>
      </w:r>
      <w:proofErr w:type="spellStart"/>
      <w:r w:rsidRPr="00B565D0">
        <w:rPr>
          <w:rFonts w:cs="Arial"/>
          <w:sz w:val="24"/>
          <w:szCs w:val="24"/>
          <w:lang w:val="en-GB"/>
        </w:rPr>
        <w:t>Peteraf</w:t>
      </w:r>
      <w:proofErr w:type="spellEnd"/>
      <w:r w:rsidRPr="00B565D0">
        <w:rPr>
          <w:rFonts w:cs="Arial"/>
          <w:sz w:val="24"/>
          <w:szCs w:val="24"/>
          <w:lang w:val="en-GB"/>
        </w:rPr>
        <w:t>, 2015).</w:t>
      </w:r>
    </w:p>
    <w:p w14:paraId="2E79641B" w14:textId="77777777" w:rsidR="00572D36" w:rsidRPr="000A31B6" w:rsidRDefault="00572D36" w:rsidP="00053219">
      <w:pPr>
        <w:autoSpaceDE w:val="0"/>
        <w:autoSpaceDN w:val="0"/>
        <w:adjustRightInd w:val="0"/>
        <w:spacing w:after="0" w:line="360" w:lineRule="auto"/>
        <w:jc w:val="both"/>
        <w:rPr>
          <w:rFonts w:eastAsiaTheme="minorHAnsi" w:cs="Arial"/>
          <w:sz w:val="24"/>
          <w:szCs w:val="24"/>
          <w:lang w:val="en-GB"/>
          <w14:ligatures w14:val="standardContextual"/>
        </w:rPr>
      </w:pPr>
    </w:p>
    <w:p w14:paraId="2CCAC09E" w14:textId="762F5360" w:rsidR="0037036A" w:rsidRPr="00B565D0" w:rsidRDefault="0037036A" w:rsidP="00CC4A7D">
      <w:pPr>
        <w:pStyle w:val="Heading1"/>
        <w:spacing w:line="360" w:lineRule="auto"/>
        <w:jc w:val="both"/>
        <w:rPr>
          <w:rFonts w:ascii="Arial" w:eastAsiaTheme="minorHAnsi" w:hAnsi="Arial" w:cs="Arial"/>
          <w:b/>
          <w:sz w:val="24"/>
          <w:szCs w:val="24"/>
          <w:lang w:val="en-GB"/>
          <w14:ligatures w14:val="standardContextual"/>
        </w:rPr>
      </w:pPr>
      <w:r w:rsidRPr="00B565D0">
        <w:rPr>
          <w:rFonts w:ascii="Arial" w:eastAsiaTheme="minorHAnsi" w:hAnsi="Arial" w:cs="Arial"/>
          <w:b/>
          <w:sz w:val="24"/>
          <w:szCs w:val="24"/>
          <w:lang w:val="en-GB"/>
          <w14:ligatures w14:val="standardContextual"/>
        </w:rPr>
        <w:t>Conclusion</w:t>
      </w:r>
      <w:bookmarkEnd w:id="23"/>
    </w:p>
    <w:p w14:paraId="6B0AB8D9" w14:textId="77777777" w:rsidR="004278ED" w:rsidRPr="00B565D0" w:rsidRDefault="00AB56CA" w:rsidP="004278ED">
      <w:pPr>
        <w:autoSpaceDE w:val="0"/>
        <w:autoSpaceDN w:val="0"/>
        <w:adjustRightInd w:val="0"/>
        <w:spacing w:after="0" w:line="360" w:lineRule="auto"/>
        <w:jc w:val="both"/>
        <w:rPr>
          <w:rFonts w:cs="Arial"/>
          <w:sz w:val="24"/>
          <w:szCs w:val="24"/>
          <w:lang w:val="en-GB"/>
        </w:rPr>
      </w:pPr>
      <w:proofErr w:type="spellStart"/>
      <w:r w:rsidRPr="00B565D0">
        <w:rPr>
          <w:rFonts w:cs="Arial"/>
          <w:sz w:val="24"/>
          <w:szCs w:val="24"/>
          <w:lang w:val="en-GB"/>
        </w:rPr>
        <w:t>Monzo</w:t>
      </w:r>
      <w:proofErr w:type="spellEnd"/>
      <w:r w:rsidRPr="00B565D0">
        <w:rPr>
          <w:rFonts w:cs="Arial"/>
          <w:sz w:val="24"/>
          <w:szCs w:val="24"/>
          <w:lang w:val="en-GB"/>
        </w:rPr>
        <w:t xml:space="preserve"> is a fascinating example of strategy transformation in a technologically disrupted business (Vial, 2019; </w:t>
      </w:r>
      <w:proofErr w:type="spellStart"/>
      <w:r w:rsidRPr="00B565D0">
        <w:rPr>
          <w:rFonts w:cs="Arial"/>
          <w:sz w:val="24"/>
          <w:szCs w:val="24"/>
          <w:lang w:val="en-GB"/>
        </w:rPr>
        <w:t>Gomber</w:t>
      </w:r>
      <w:proofErr w:type="spellEnd"/>
      <w:r w:rsidRPr="00B565D0">
        <w:rPr>
          <w:rFonts w:cs="Arial"/>
          <w:sz w:val="24"/>
          <w:szCs w:val="24"/>
          <w:lang w:val="en-GB"/>
        </w:rPr>
        <w:t xml:space="preserve">, Koch, and </w:t>
      </w:r>
      <w:proofErr w:type="spellStart"/>
      <w:r w:rsidRPr="00B565D0">
        <w:rPr>
          <w:rFonts w:cs="Arial"/>
          <w:sz w:val="24"/>
          <w:szCs w:val="24"/>
          <w:lang w:val="en-GB"/>
        </w:rPr>
        <w:t>Siering</w:t>
      </w:r>
      <w:proofErr w:type="spellEnd"/>
      <w:r w:rsidRPr="00B565D0">
        <w:rPr>
          <w:rFonts w:cs="Arial"/>
          <w:sz w:val="24"/>
          <w:szCs w:val="24"/>
          <w:lang w:val="en-GB"/>
        </w:rPr>
        <w:t>, 2018). While the company has effectively used innovation, its future prosperity is dependent on its capacity to improve governance, resilience, and organisational alignment (</w:t>
      </w:r>
      <w:proofErr w:type="spellStart"/>
      <w:r w:rsidRPr="00B565D0">
        <w:rPr>
          <w:rFonts w:cs="Arial"/>
          <w:sz w:val="24"/>
          <w:szCs w:val="24"/>
          <w:lang w:val="en-GB"/>
        </w:rPr>
        <w:t>Monzo</w:t>
      </w:r>
      <w:proofErr w:type="spellEnd"/>
      <w:r w:rsidRPr="00B565D0">
        <w:rPr>
          <w:rFonts w:cs="Arial"/>
          <w:sz w:val="24"/>
          <w:szCs w:val="24"/>
          <w:lang w:val="en-GB"/>
        </w:rPr>
        <w:t xml:space="preserve"> Bank Limited, 2024; Financial Conduct Authority, 2024). This analysis demonstrated that successful change management requires an integrated strategy that incorporates theoretical knowledge, leadership competence, and cultural adaptability (</w:t>
      </w:r>
      <w:proofErr w:type="spellStart"/>
      <w:r w:rsidRPr="00B565D0">
        <w:rPr>
          <w:rFonts w:cs="Arial"/>
          <w:sz w:val="24"/>
          <w:szCs w:val="24"/>
          <w:lang w:val="en-GB"/>
        </w:rPr>
        <w:t>Kotter</w:t>
      </w:r>
      <w:proofErr w:type="spellEnd"/>
      <w:r w:rsidRPr="00B565D0">
        <w:rPr>
          <w:rFonts w:cs="Arial"/>
          <w:sz w:val="24"/>
          <w:szCs w:val="24"/>
          <w:lang w:val="en-GB"/>
        </w:rPr>
        <w:t xml:space="preserve">, 2012; </w:t>
      </w:r>
      <w:proofErr w:type="spellStart"/>
      <w:r w:rsidRPr="00B565D0">
        <w:rPr>
          <w:rFonts w:cs="Arial"/>
          <w:sz w:val="24"/>
          <w:szCs w:val="24"/>
          <w:lang w:val="en-GB"/>
        </w:rPr>
        <w:t>Schein</w:t>
      </w:r>
      <w:proofErr w:type="spellEnd"/>
      <w:r w:rsidRPr="00B565D0">
        <w:rPr>
          <w:rFonts w:cs="Arial"/>
          <w:sz w:val="24"/>
          <w:szCs w:val="24"/>
          <w:lang w:val="en-GB"/>
        </w:rPr>
        <w:t xml:space="preserve">, 2017; </w:t>
      </w:r>
      <w:proofErr w:type="spellStart"/>
      <w:r w:rsidRPr="00B565D0">
        <w:rPr>
          <w:rFonts w:cs="Arial"/>
          <w:sz w:val="24"/>
          <w:szCs w:val="24"/>
          <w:lang w:val="en-GB"/>
        </w:rPr>
        <w:t>Burnes</w:t>
      </w:r>
      <w:proofErr w:type="spellEnd"/>
      <w:r w:rsidRPr="00B565D0">
        <w:rPr>
          <w:rFonts w:cs="Arial"/>
          <w:sz w:val="24"/>
          <w:szCs w:val="24"/>
          <w:lang w:val="en-GB"/>
        </w:rPr>
        <w:t xml:space="preserve">, 2017). The suggested transformation plan offers a systematic framework for attaining sustained growth (McKinsey &amp; Company, 2016; Cummings and Worley, 2019; </w:t>
      </w:r>
      <w:proofErr w:type="spellStart"/>
      <w:r w:rsidRPr="00B565D0">
        <w:rPr>
          <w:rFonts w:cs="Arial"/>
          <w:sz w:val="24"/>
          <w:szCs w:val="24"/>
          <w:lang w:val="en-GB"/>
        </w:rPr>
        <w:t>Teece</w:t>
      </w:r>
      <w:proofErr w:type="spellEnd"/>
      <w:r w:rsidRPr="00B565D0">
        <w:rPr>
          <w:rFonts w:cs="Arial"/>
          <w:sz w:val="24"/>
          <w:szCs w:val="24"/>
          <w:lang w:val="en-GB"/>
        </w:rPr>
        <w:t>, 2018).</w:t>
      </w:r>
      <w:bookmarkStart w:id="24" w:name="_Toc227790554"/>
    </w:p>
    <w:p w14:paraId="784D62D0"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38EB0D75"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64ECA418"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332CE7FD"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31C93F66"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4C83192A"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4E2868C2" w14:textId="77777777" w:rsidR="004278ED" w:rsidRPr="00B565D0" w:rsidRDefault="004278ED" w:rsidP="004278ED">
      <w:pPr>
        <w:autoSpaceDE w:val="0"/>
        <w:autoSpaceDN w:val="0"/>
        <w:adjustRightInd w:val="0"/>
        <w:spacing w:after="0" w:line="360" w:lineRule="auto"/>
        <w:jc w:val="both"/>
        <w:rPr>
          <w:rFonts w:cs="Arial"/>
          <w:sz w:val="24"/>
          <w:szCs w:val="24"/>
          <w:lang w:val="en-GB"/>
        </w:rPr>
      </w:pPr>
    </w:p>
    <w:p w14:paraId="7F24DED7" w14:textId="77777777" w:rsidR="004278ED" w:rsidRDefault="004278ED" w:rsidP="004278ED">
      <w:pPr>
        <w:autoSpaceDE w:val="0"/>
        <w:autoSpaceDN w:val="0"/>
        <w:adjustRightInd w:val="0"/>
        <w:spacing w:after="0" w:line="360" w:lineRule="auto"/>
        <w:jc w:val="both"/>
        <w:rPr>
          <w:rFonts w:cs="Arial"/>
          <w:sz w:val="24"/>
          <w:szCs w:val="24"/>
          <w:lang w:val="en-GB"/>
        </w:rPr>
      </w:pPr>
    </w:p>
    <w:p w14:paraId="5FBC824A" w14:textId="77777777" w:rsidR="004278ED" w:rsidRDefault="004278ED" w:rsidP="004278ED">
      <w:pPr>
        <w:autoSpaceDE w:val="0"/>
        <w:autoSpaceDN w:val="0"/>
        <w:adjustRightInd w:val="0"/>
        <w:spacing w:after="0" w:line="360" w:lineRule="auto"/>
        <w:jc w:val="both"/>
        <w:rPr>
          <w:rFonts w:cs="Arial"/>
          <w:sz w:val="24"/>
          <w:szCs w:val="24"/>
          <w:lang w:val="en-GB"/>
        </w:rPr>
      </w:pPr>
    </w:p>
    <w:p w14:paraId="55E12818" w14:textId="77777777" w:rsidR="004278ED" w:rsidRDefault="004278ED" w:rsidP="004278ED">
      <w:pPr>
        <w:autoSpaceDE w:val="0"/>
        <w:autoSpaceDN w:val="0"/>
        <w:adjustRightInd w:val="0"/>
        <w:spacing w:after="0" w:line="360" w:lineRule="auto"/>
        <w:jc w:val="both"/>
        <w:rPr>
          <w:rFonts w:cs="Arial"/>
          <w:sz w:val="24"/>
          <w:szCs w:val="24"/>
          <w:lang w:val="en-GB"/>
        </w:rPr>
      </w:pPr>
    </w:p>
    <w:p w14:paraId="616C30B7" w14:textId="77777777" w:rsidR="004278ED" w:rsidRDefault="004278ED" w:rsidP="004278ED">
      <w:pPr>
        <w:autoSpaceDE w:val="0"/>
        <w:autoSpaceDN w:val="0"/>
        <w:adjustRightInd w:val="0"/>
        <w:spacing w:after="0" w:line="360" w:lineRule="auto"/>
        <w:jc w:val="both"/>
        <w:rPr>
          <w:rFonts w:cs="Arial"/>
          <w:sz w:val="24"/>
          <w:szCs w:val="24"/>
          <w:lang w:val="en-GB"/>
        </w:rPr>
      </w:pPr>
    </w:p>
    <w:p w14:paraId="21DC09D1" w14:textId="77777777" w:rsidR="004278ED" w:rsidRDefault="004278ED" w:rsidP="004278ED">
      <w:pPr>
        <w:autoSpaceDE w:val="0"/>
        <w:autoSpaceDN w:val="0"/>
        <w:adjustRightInd w:val="0"/>
        <w:spacing w:after="0" w:line="360" w:lineRule="auto"/>
        <w:jc w:val="both"/>
        <w:rPr>
          <w:rFonts w:cs="Arial"/>
          <w:sz w:val="24"/>
          <w:szCs w:val="24"/>
          <w:lang w:val="en-GB"/>
        </w:rPr>
      </w:pPr>
    </w:p>
    <w:p w14:paraId="4231C3BD" w14:textId="77777777" w:rsidR="004278ED" w:rsidRDefault="004278ED" w:rsidP="004278ED">
      <w:pPr>
        <w:autoSpaceDE w:val="0"/>
        <w:autoSpaceDN w:val="0"/>
        <w:adjustRightInd w:val="0"/>
        <w:spacing w:after="0" w:line="360" w:lineRule="auto"/>
        <w:jc w:val="both"/>
        <w:rPr>
          <w:rFonts w:cs="Arial"/>
          <w:sz w:val="24"/>
          <w:szCs w:val="24"/>
          <w:lang w:val="en-GB"/>
        </w:rPr>
      </w:pPr>
    </w:p>
    <w:p w14:paraId="45EB9699" w14:textId="77777777" w:rsidR="004278ED" w:rsidRDefault="004278ED" w:rsidP="004278ED">
      <w:pPr>
        <w:autoSpaceDE w:val="0"/>
        <w:autoSpaceDN w:val="0"/>
        <w:adjustRightInd w:val="0"/>
        <w:spacing w:after="0" w:line="360" w:lineRule="auto"/>
        <w:jc w:val="both"/>
        <w:rPr>
          <w:rFonts w:cs="Arial"/>
          <w:sz w:val="24"/>
          <w:szCs w:val="24"/>
          <w:lang w:val="en-GB"/>
        </w:rPr>
      </w:pPr>
    </w:p>
    <w:p w14:paraId="04E42BD5" w14:textId="77777777" w:rsidR="004278ED" w:rsidRDefault="004278ED" w:rsidP="004278ED">
      <w:pPr>
        <w:autoSpaceDE w:val="0"/>
        <w:autoSpaceDN w:val="0"/>
        <w:adjustRightInd w:val="0"/>
        <w:spacing w:after="0" w:line="360" w:lineRule="auto"/>
        <w:jc w:val="both"/>
        <w:rPr>
          <w:rFonts w:cs="Arial"/>
          <w:sz w:val="24"/>
          <w:szCs w:val="24"/>
          <w:lang w:val="en-GB"/>
        </w:rPr>
      </w:pPr>
    </w:p>
    <w:p w14:paraId="7965901B" w14:textId="77777777" w:rsidR="004278ED" w:rsidRDefault="004278ED" w:rsidP="004278ED">
      <w:pPr>
        <w:autoSpaceDE w:val="0"/>
        <w:autoSpaceDN w:val="0"/>
        <w:adjustRightInd w:val="0"/>
        <w:spacing w:after="0" w:line="360" w:lineRule="auto"/>
        <w:jc w:val="both"/>
        <w:rPr>
          <w:rFonts w:cs="Arial"/>
          <w:sz w:val="24"/>
          <w:szCs w:val="24"/>
          <w:lang w:val="en-GB"/>
        </w:rPr>
      </w:pPr>
    </w:p>
    <w:p w14:paraId="354B22DF" w14:textId="77777777" w:rsidR="004278ED" w:rsidRDefault="004278ED" w:rsidP="004278ED">
      <w:pPr>
        <w:autoSpaceDE w:val="0"/>
        <w:autoSpaceDN w:val="0"/>
        <w:adjustRightInd w:val="0"/>
        <w:spacing w:after="0" w:line="360" w:lineRule="auto"/>
        <w:jc w:val="both"/>
        <w:rPr>
          <w:rFonts w:cs="Arial"/>
          <w:sz w:val="24"/>
          <w:szCs w:val="24"/>
          <w:lang w:val="en-GB"/>
        </w:rPr>
      </w:pPr>
    </w:p>
    <w:p w14:paraId="04B09F74" w14:textId="77777777" w:rsidR="004278ED" w:rsidRDefault="004278ED" w:rsidP="004278ED">
      <w:pPr>
        <w:autoSpaceDE w:val="0"/>
        <w:autoSpaceDN w:val="0"/>
        <w:adjustRightInd w:val="0"/>
        <w:spacing w:after="0" w:line="360" w:lineRule="auto"/>
        <w:jc w:val="both"/>
        <w:rPr>
          <w:rFonts w:cs="Arial"/>
          <w:sz w:val="24"/>
          <w:szCs w:val="24"/>
          <w:lang w:val="en-GB"/>
        </w:rPr>
      </w:pPr>
    </w:p>
    <w:p w14:paraId="1FB0690D" w14:textId="77777777" w:rsidR="004278ED" w:rsidRDefault="004278ED" w:rsidP="004278ED">
      <w:pPr>
        <w:autoSpaceDE w:val="0"/>
        <w:autoSpaceDN w:val="0"/>
        <w:adjustRightInd w:val="0"/>
        <w:spacing w:after="0" w:line="360" w:lineRule="auto"/>
        <w:jc w:val="both"/>
        <w:rPr>
          <w:rFonts w:cs="Arial"/>
          <w:sz w:val="24"/>
          <w:szCs w:val="24"/>
          <w:lang w:val="en-GB"/>
        </w:rPr>
      </w:pPr>
    </w:p>
    <w:p w14:paraId="119C5A81" w14:textId="77777777" w:rsidR="004278ED" w:rsidRDefault="004278ED" w:rsidP="004278ED">
      <w:pPr>
        <w:autoSpaceDE w:val="0"/>
        <w:autoSpaceDN w:val="0"/>
        <w:adjustRightInd w:val="0"/>
        <w:spacing w:after="0" w:line="360" w:lineRule="auto"/>
        <w:jc w:val="both"/>
        <w:rPr>
          <w:rFonts w:cs="Arial"/>
          <w:sz w:val="24"/>
          <w:szCs w:val="24"/>
          <w:lang w:val="en-GB"/>
        </w:rPr>
      </w:pPr>
    </w:p>
    <w:p w14:paraId="21633349" w14:textId="77777777" w:rsidR="004278ED" w:rsidRDefault="004278ED" w:rsidP="004278ED">
      <w:pPr>
        <w:autoSpaceDE w:val="0"/>
        <w:autoSpaceDN w:val="0"/>
        <w:adjustRightInd w:val="0"/>
        <w:spacing w:after="0" w:line="360" w:lineRule="auto"/>
        <w:jc w:val="both"/>
        <w:rPr>
          <w:rFonts w:cs="Arial"/>
          <w:sz w:val="24"/>
          <w:szCs w:val="24"/>
          <w:lang w:val="en-GB"/>
        </w:rPr>
      </w:pPr>
    </w:p>
    <w:p w14:paraId="77CCD00D" w14:textId="77777777" w:rsidR="004278ED" w:rsidRDefault="004278ED" w:rsidP="004278ED">
      <w:pPr>
        <w:autoSpaceDE w:val="0"/>
        <w:autoSpaceDN w:val="0"/>
        <w:adjustRightInd w:val="0"/>
        <w:spacing w:after="0" w:line="360" w:lineRule="auto"/>
        <w:jc w:val="both"/>
        <w:rPr>
          <w:rFonts w:cs="Arial"/>
          <w:sz w:val="24"/>
          <w:szCs w:val="24"/>
          <w:lang w:val="en-GB"/>
        </w:rPr>
      </w:pPr>
    </w:p>
    <w:p w14:paraId="55956190" w14:textId="1761BE6C" w:rsidR="0037036A" w:rsidRPr="004278ED" w:rsidRDefault="0037036A" w:rsidP="004278ED">
      <w:pPr>
        <w:autoSpaceDE w:val="0"/>
        <w:autoSpaceDN w:val="0"/>
        <w:adjustRightInd w:val="0"/>
        <w:spacing w:after="0" w:line="360" w:lineRule="auto"/>
        <w:jc w:val="both"/>
        <w:rPr>
          <w:rFonts w:cs="Arial"/>
          <w:sz w:val="24"/>
          <w:szCs w:val="24"/>
          <w:lang w:val="en-GB"/>
        </w:rPr>
      </w:pPr>
      <w:r w:rsidRPr="00945108">
        <w:rPr>
          <w:rFonts w:cs="Arial"/>
          <w:b/>
          <w:bCs/>
          <w:sz w:val="28"/>
          <w:szCs w:val="28"/>
          <w:lang w:val="en-GB"/>
        </w:rPr>
        <w:t>Reference</w:t>
      </w:r>
      <w:bookmarkEnd w:id="24"/>
      <w:r w:rsidR="00A80406">
        <w:rPr>
          <w:rFonts w:cs="Arial"/>
          <w:b/>
          <w:bCs/>
          <w:sz w:val="28"/>
          <w:szCs w:val="28"/>
          <w:lang w:val="en-GB"/>
        </w:rPr>
        <w:t>s</w:t>
      </w:r>
    </w:p>
    <w:p w14:paraId="5ECCB6D7" w14:textId="77777777" w:rsidR="0037036A" w:rsidRPr="00945108" w:rsidRDefault="0037036A" w:rsidP="0037036A">
      <w:pPr>
        <w:jc w:val="both"/>
        <w:rPr>
          <w:rFonts w:cs="Arial"/>
          <w:b/>
          <w:sz w:val="24"/>
          <w:szCs w:val="24"/>
          <w:lang w:val="en-GB"/>
        </w:rPr>
      </w:pPr>
    </w:p>
    <w:p w14:paraId="7F0160B2" w14:textId="3D10279A"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Arner</w:t>
      </w:r>
      <w:proofErr w:type="spellEnd"/>
      <w:r w:rsidRPr="00945108">
        <w:rPr>
          <w:rFonts w:ascii="AppleSystemUIFont" w:eastAsiaTheme="minorHAnsi" w:hAnsi="AppleSystemUIFont" w:cs="AppleSystemUIFont"/>
          <w:sz w:val="26"/>
          <w:szCs w:val="26"/>
          <w:lang w:val="en-GB"/>
          <w14:ligatures w14:val="standardContextual"/>
        </w:rPr>
        <w:t xml:space="preserve">, D.W., </w:t>
      </w:r>
      <w:proofErr w:type="spellStart"/>
      <w:r w:rsidRPr="00945108">
        <w:rPr>
          <w:rFonts w:ascii="AppleSystemUIFont" w:eastAsiaTheme="minorHAnsi" w:hAnsi="AppleSystemUIFont" w:cs="AppleSystemUIFont"/>
          <w:sz w:val="26"/>
          <w:szCs w:val="26"/>
          <w:lang w:val="en-GB"/>
          <w14:ligatures w14:val="standardContextual"/>
        </w:rPr>
        <w:t>Barberis</w:t>
      </w:r>
      <w:proofErr w:type="spellEnd"/>
      <w:r w:rsidRPr="00945108">
        <w:rPr>
          <w:rFonts w:ascii="AppleSystemUIFont" w:eastAsiaTheme="minorHAnsi" w:hAnsi="AppleSystemUIFont" w:cs="AppleSystemUIFont"/>
          <w:sz w:val="26"/>
          <w:szCs w:val="26"/>
          <w:lang w:val="en-GB"/>
          <w14:ligatures w14:val="standardContextual"/>
        </w:rPr>
        <w:t xml:space="preserve">, J. and Buckley, R.P. (2016) 'FinTech, RegTech, and the </w:t>
      </w:r>
      <w:r w:rsidR="002F0294" w:rsidRPr="00945108">
        <w:rPr>
          <w:rFonts w:ascii="AppleSystemUIFont" w:eastAsiaTheme="minorHAnsi" w:hAnsi="AppleSystemUIFont" w:cs="AppleSystemUIFont"/>
          <w:sz w:val="26"/>
          <w:szCs w:val="26"/>
          <w:lang w:val="en-GB"/>
          <w14:ligatures w14:val="standardContextual"/>
        </w:rPr>
        <w:t>reconceptuali</w:t>
      </w:r>
      <w:r w:rsidR="002F0294">
        <w:rPr>
          <w:rFonts w:ascii="AppleSystemUIFont" w:eastAsiaTheme="minorHAnsi" w:hAnsi="AppleSystemUIFont" w:cs="AppleSystemUIFont"/>
          <w:sz w:val="26"/>
          <w:szCs w:val="26"/>
          <w:lang w:val="en-GB"/>
          <w14:ligatures w14:val="standardContextual"/>
        </w:rPr>
        <w:t>s</w:t>
      </w:r>
      <w:r w:rsidR="002F0294" w:rsidRPr="00945108">
        <w:rPr>
          <w:rFonts w:ascii="AppleSystemUIFont" w:eastAsiaTheme="minorHAnsi" w:hAnsi="AppleSystemUIFont" w:cs="AppleSystemUIFont"/>
          <w:sz w:val="26"/>
          <w:szCs w:val="26"/>
          <w:lang w:val="en-GB"/>
          <w14:ligatures w14:val="standardContextual"/>
        </w:rPr>
        <w:t>ation</w:t>
      </w:r>
      <w:r w:rsidRPr="00945108">
        <w:rPr>
          <w:rFonts w:ascii="AppleSystemUIFont" w:eastAsiaTheme="minorHAnsi" w:hAnsi="AppleSystemUIFont" w:cs="AppleSystemUIFont"/>
          <w:sz w:val="26"/>
          <w:szCs w:val="26"/>
          <w:lang w:val="en-GB"/>
          <w14:ligatures w14:val="standardContextual"/>
        </w:rPr>
        <w:t xml:space="preserve"> of financial regulation', Northwestern Journal of International Law &amp; Business, 37(3), pp. 371-413. Available at: https://scholarlycommons.law.northwestern.edu/njilb/vol37/iss3/2/ (Accessed: 27 April 2026).</w:t>
      </w:r>
    </w:p>
    <w:p w14:paraId="72E79302"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38FFA7CB" w14:textId="2A04126F"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 xml:space="preserve">Bass, B.M. and </w:t>
      </w:r>
      <w:proofErr w:type="spellStart"/>
      <w:r w:rsidRPr="00945108">
        <w:rPr>
          <w:rFonts w:ascii="AppleSystemUIFont" w:eastAsiaTheme="minorHAnsi" w:hAnsi="AppleSystemUIFont" w:cs="AppleSystemUIFont"/>
          <w:sz w:val="26"/>
          <w:szCs w:val="26"/>
          <w:lang w:val="en-GB"/>
          <w14:ligatures w14:val="standardContextual"/>
        </w:rPr>
        <w:t>Avolio</w:t>
      </w:r>
      <w:proofErr w:type="spellEnd"/>
      <w:r w:rsidRPr="00945108">
        <w:rPr>
          <w:rFonts w:ascii="AppleSystemUIFont" w:eastAsiaTheme="minorHAnsi" w:hAnsi="AppleSystemUIFont" w:cs="AppleSystemUIFont"/>
          <w:sz w:val="26"/>
          <w:szCs w:val="26"/>
          <w:lang w:val="en-GB"/>
          <w14:ligatures w14:val="standardContextual"/>
        </w:rPr>
        <w:t>, B.J. (1994) Improving organi</w:t>
      </w:r>
      <w:r w:rsidR="00F35F27">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ational effectiveness through transformational leadership. Thousand Oaks, CA: Sage Publications.</w:t>
      </w:r>
    </w:p>
    <w:p w14:paraId="42D4D829"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7A756652"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Bharadwaj</w:t>
      </w:r>
      <w:proofErr w:type="spellEnd"/>
      <w:r w:rsidRPr="00945108">
        <w:rPr>
          <w:rFonts w:ascii="AppleSystemUIFont" w:eastAsiaTheme="minorHAnsi" w:hAnsi="AppleSystemUIFont" w:cs="AppleSystemUIFont"/>
          <w:sz w:val="26"/>
          <w:szCs w:val="26"/>
          <w:lang w:val="en-GB"/>
          <w14:ligatures w14:val="standardContextual"/>
        </w:rPr>
        <w:t xml:space="preserve">, A., El </w:t>
      </w:r>
      <w:proofErr w:type="spellStart"/>
      <w:r w:rsidRPr="00945108">
        <w:rPr>
          <w:rFonts w:ascii="AppleSystemUIFont" w:eastAsiaTheme="minorHAnsi" w:hAnsi="AppleSystemUIFont" w:cs="AppleSystemUIFont"/>
          <w:sz w:val="26"/>
          <w:szCs w:val="26"/>
          <w:lang w:val="en-GB"/>
          <w14:ligatures w14:val="standardContextual"/>
        </w:rPr>
        <w:t>Sawy</w:t>
      </w:r>
      <w:proofErr w:type="spellEnd"/>
      <w:r w:rsidRPr="00945108">
        <w:rPr>
          <w:rFonts w:ascii="AppleSystemUIFont" w:eastAsiaTheme="minorHAnsi" w:hAnsi="AppleSystemUIFont" w:cs="AppleSystemUIFont"/>
          <w:sz w:val="26"/>
          <w:szCs w:val="26"/>
          <w:lang w:val="en-GB"/>
          <w14:ligatures w14:val="standardContextual"/>
        </w:rPr>
        <w:t xml:space="preserve">, O.A., </w:t>
      </w:r>
      <w:proofErr w:type="spellStart"/>
      <w:r w:rsidRPr="00945108">
        <w:rPr>
          <w:rFonts w:ascii="AppleSystemUIFont" w:eastAsiaTheme="minorHAnsi" w:hAnsi="AppleSystemUIFont" w:cs="AppleSystemUIFont"/>
          <w:sz w:val="26"/>
          <w:szCs w:val="26"/>
          <w:lang w:val="en-GB"/>
          <w14:ligatures w14:val="standardContextual"/>
        </w:rPr>
        <w:t>Pavlou</w:t>
      </w:r>
      <w:proofErr w:type="spellEnd"/>
      <w:r w:rsidRPr="00945108">
        <w:rPr>
          <w:rFonts w:ascii="AppleSystemUIFont" w:eastAsiaTheme="minorHAnsi" w:hAnsi="AppleSystemUIFont" w:cs="AppleSystemUIFont"/>
          <w:sz w:val="26"/>
          <w:szCs w:val="26"/>
          <w:lang w:val="en-GB"/>
          <w14:ligatures w14:val="standardContextual"/>
        </w:rPr>
        <w:t xml:space="preserve">, P.A. and </w:t>
      </w:r>
      <w:proofErr w:type="spellStart"/>
      <w:r w:rsidRPr="00945108">
        <w:rPr>
          <w:rFonts w:ascii="AppleSystemUIFont" w:eastAsiaTheme="minorHAnsi" w:hAnsi="AppleSystemUIFont" w:cs="AppleSystemUIFont"/>
          <w:sz w:val="26"/>
          <w:szCs w:val="26"/>
          <w:lang w:val="en-GB"/>
          <w14:ligatures w14:val="standardContextual"/>
        </w:rPr>
        <w:t>Venkatraman</w:t>
      </w:r>
      <w:proofErr w:type="spellEnd"/>
      <w:r w:rsidRPr="00945108">
        <w:rPr>
          <w:rFonts w:ascii="AppleSystemUIFont" w:eastAsiaTheme="minorHAnsi" w:hAnsi="AppleSystemUIFont" w:cs="AppleSystemUIFont"/>
          <w:sz w:val="26"/>
          <w:szCs w:val="26"/>
          <w:lang w:val="en-GB"/>
          <w14:ligatures w14:val="standardContextual"/>
        </w:rPr>
        <w:t>, N. (2013) 'Digital business strategy: toward a next generation of insights', MIS Quarterly, 37(2), pp. 471-482. Available at: https://aisel.aisnet.org/misq/vol37/iss2/10/ (Accessed: 27 April 2026).</w:t>
      </w:r>
    </w:p>
    <w:p w14:paraId="04E3584C"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20BEFC81"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Brown, I., Steen, A. and Foreman, J. (2009) 'Risk management in corporate governance: a review and proposal', Corporate Governance: An International Review, 17(5), pp. 546-558.</w:t>
      </w:r>
    </w:p>
    <w:p w14:paraId="59E9B0BC"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752E0E43" w14:textId="436EC42D"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Burnes</w:t>
      </w:r>
      <w:proofErr w:type="spellEnd"/>
      <w:r w:rsidRPr="00945108">
        <w:rPr>
          <w:rFonts w:ascii="AppleSystemUIFont" w:eastAsiaTheme="minorHAnsi" w:hAnsi="AppleSystemUIFont" w:cs="AppleSystemUIFont"/>
          <w:sz w:val="26"/>
          <w:szCs w:val="26"/>
          <w:lang w:val="en-GB"/>
          <w14:ligatures w14:val="standardContextual"/>
        </w:rPr>
        <w:t>, B. (2017)</w:t>
      </w:r>
      <w:r w:rsidR="00BE3364">
        <w:rPr>
          <w:rFonts w:ascii="AppleSystemUIFont" w:eastAsiaTheme="minorHAnsi" w:hAnsi="AppleSystemUIFont" w:cs="AppleSystemUIFont"/>
          <w:sz w:val="26"/>
          <w:szCs w:val="26"/>
          <w:lang w:val="en-GB"/>
          <w14:ligatures w14:val="standardContextual"/>
        </w:rPr>
        <w:t xml:space="preserve"> </w:t>
      </w:r>
      <w:r w:rsidRPr="00945108">
        <w:rPr>
          <w:rFonts w:ascii="AppleSystemUIFont" w:eastAsiaTheme="minorHAnsi" w:hAnsi="AppleSystemUIFont" w:cs="AppleSystemUIFont"/>
          <w:sz w:val="26"/>
          <w:szCs w:val="26"/>
          <w:lang w:val="en-GB"/>
          <w14:ligatures w14:val="standardContextual"/>
        </w:rPr>
        <w:t xml:space="preserve">Managing change. 7th </w:t>
      </w:r>
      <w:proofErr w:type="spellStart"/>
      <w:r w:rsidRPr="00945108">
        <w:rPr>
          <w:rFonts w:ascii="AppleSystemUIFont" w:eastAsiaTheme="minorHAnsi" w:hAnsi="AppleSystemUIFont" w:cs="AppleSystemUIFont"/>
          <w:sz w:val="26"/>
          <w:szCs w:val="26"/>
          <w:lang w:val="en-GB"/>
          <w14:ligatures w14:val="standardContextual"/>
        </w:rPr>
        <w:t>edn</w:t>
      </w:r>
      <w:proofErr w:type="spellEnd"/>
      <w:r w:rsidRPr="00945108">
        <w:rPr>
          <w:rFonts w:ascii="AppleSystemUIFont" w:eastAsiaTheme="minorHAnsi" w:hAnsi="AppleSystemUIFont" w:cs="AppleSystemUIFont"/>
          <w:sz w:val="26"/>
          <w:szCs w:val="26"/>
          <w:lang w:val="en-GB"/>
          <w14:ligatures w14:val="standardContextual"/>
        </w:rPr>
        <w:t>. Harlow: Pearson Education Limited.</w:t>
      </w:r>
    </w:p>
    <w:p w14:paraId="02E604BF"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D50D626" w14:textId="7F3AC538"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Cummings, T.G. and Worley, C.G. (2019)</w:t>
      </w:r>
      <w:r w:rsidR="00BE3364">
        <w:rPr>
          <w:rFonts w:ascii="AppleSystemUIFont" w:eastAsiaTheme="minorHAnsi" w:hAnsi="AppleSystemUIFont" w:cs="AppleSystemUIFont"/>
          <w:sz w:val="26"/>
          <w:szCs w:val="26"/>
          <w:lang w:val="en-GB"/>
          <w14:ligatures w14:val="standardContextual"/>
        </w:rPr>
        <w:t xml:space="preserve"> </w:t>
      </w:r>
      <w:r w:rsidRPr="00945108">
        <w:rPr>
          <w:rFonts w:ascii="AppleSystemUIFont" w:eastAsiaTheme="minorHAnsi" w:hAnsi="AppleSystemUIFont" w:cs="AppleSystemUIFont"/>
          <w:sz w:val="26"/>
          <w:szCs w:val="26"/>
          <w:lang w:val="en-GB"/>
          <w14:ligatures w14:val="standardContextual"/>
        </w:rPr>
        <w:t>Organi</w:t>
      </w:r>
      <w:r w:rsidR="004278ED">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 xml:space="preserve">ation development and change. 11th </w:t>
      </w:r>
      <w:proofErr w:type="spellStart"/>
      <w:r w:rsidRPr="00945108">
        <w:rPr>
          <w:rFonts w:ascii="AppleSystemUIFont" w:eastAsiaTheme="minorHAnsi" w:hAnsi="AppleSystemUIFont" w:cs="AppleSystemUIFont"/>
          <w:sz w:val="26"/>
          <w:szCs w:val="26"/>
          <w:lang w:val="en-GB"/>
          <w14:ligatures w14:val="standardContextual"/>
        </w:rPr>
        <w:t>edn</w:t>
      </w:r>
      <w:proofErr w:type="spellEnd"/>
      <w:r w:rsidRPr="00945108">
        <w:rPr>
          <w:rFonts w:ascii="AppleSystemUIFont" w:eastAsiaTheme="minorHAnsi" w:hAnsi="AppleSystemUIFont" w:cs="AppleSystemUIFont"/>
          <w:sz w:val="26"/>
          <w:szCs w:val="26"/>
          <w:lang w:val="en-GB"/>
          <w14:ligatures w14:val="standardContextual"/>
        </w:rPr>
        <w:t xml:space="preserve">. Boston, MA: </w:t>
      </w:r>
      <w:proofErr w:type="spellStart"/>
      <w:r w:rsidRPr="00945108">
        <w:rPr>
          <w:rFonts w:ascii="AppleSystemUIFont" w:eastAsiaTheme="minorHAnsi" w:hAnsi="AppleSystemUIFont" w:cs="AppleSystemUIFont"/>
          <w:sz w:val="26"/>
          <w:szCs w:val="26"/>
          <w:lang w:val="en-GB"/>
          <w14:ligatures w14:val="standardContextual"/>
        </w:rPr>
        <w:t>Cengage</w:t>
      </w:r>
      <w:proofErr w:type="spellEnd"/>
      <w:r w:rsidRPr="00945108">
        <w:rPr>
          <w:rFonts w:ascii="AppleSystemUIFont" w:eastAsiaTheme="minorHAnsi" w:hAnsi="AppleSystemUIFont" w:cs="AppleSystemUIFont"/>
          <w:sz w:val="26"/>
          <w:szCs w:val="26"/>
          <w:lang w:val="en-GB"/>
          <w14:ligatures w14:val="standardContextual"/>
        </w:rPr>
        <w:t xml:space="preserve"> Learning.</w:t>
      </w:r>
    </w:p>
    <w:p w14:paraId="31344394"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3D115218" w14:textId="6B1DF212"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Financial Conduct Authority (2024)</w:t>
      </w:r>
      <w:r w:rsidR="004278ED">
        <w:rPr>
          <w:rFonts w:ascii="AppleSystemUIFont" w:eastAsiaTheme="minorHAnsi" w:hAnsi="AppleSystemUIFont" w:cs="AppleSystemUIFont"/>
          <w:sz w:val="26"/>
          <w:szCs w:val="26"/>
          <w:lang w:val="en-GB"/>
          <w14:ligatures w14:val="standardContextual"/>
        </w:rPr>
        <w:t>.</w:t>
      </w:r>
      <w:r w:rsidRPr="00945108">
        <w:rPr>
          <w:rFonts w:ascii="AppleSystemUIFont" w:eastAsiaTheme="minorHAnsi" w:hAnsi="AppleSystemUIFont" w:cs="AppleSystemUIFont"/>
          <w:sz w:val="26"/>
          <w:szCs w:val="26"/>
          <w:lang w:val="en-GB"/>
          <w14:ligatures w14:val="standardContextual"/>
        </w:rPr>
        <w:t xml:space="preserve"> Operational resilience: critical third parties to the UK financial sector. PS24/16. London: FCA. Available at: https://www.fca.org.uk/publications/policy-statements/ps24-16-operational-resilience-critical-third-parties-uk-financial-sector (Accessed: 27 April 2026).</w:t>
      </w:r>
    </w:p>
    <w:p w14:paraId="5C872794"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8062FD5"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Gomber</w:t>
      </w:r>
      <w:proofErr w:type="spellEnd"/>
      <w:r w:rsidRPr="00945108">
        <w:rPr>
          <w:rFonts w:ascii="AppleSystemUIFont" w:eastAsiaTheme="minorHAnsi" w:hAnsi="AppleSystemUIFont" w:cs="AppleSystemUIFont"/>
          <w:sz w:val="26"/>
          <w:szCs w:val="26"/>
          <w:lang w:val="en-GB"/>
          <w14:ligatures w14:val="standardContextual"/>
        </w:rPr>
        <w:t xml:space="preserve">, P., Koch, J.-A. and </w:t>
      </w:r>
      <w:proofErr w:type="spellStart"/>
      <w:r w:rsidRPr="00945108">
        <w:rPr>
          <w:rFonts w:ascii="AppleSystemUIFont" w:eastAsiaTheme="minorHAnsi" w:hAnsi="AppleSystemUIFont" w:cs="AppleSystemUIFont"/>
          <w:sz w:val="26"/>
          <w:szCs w:val="26"/>
          <w:lang w:val="en-GB"/>
          <w14:ligatures w14:val="standardContextual"/>
        </w:rPr>
        <w:t>Siering</w:t>
      </w:r>
      <w:proofErr w:type="spellEnd"/>
      <w:r w:rsidRPr="00945108">
        <w:rPr>
          <w:rFonts w:ascii="AppleSystemUIFont" w:eastAsiaTheme="minorHAnsi" w:hAnsi="AppleSystemUIFont" w:cs="AppleSystemUIFont"/>
          <w:sz w:val="26"/>
          <w:szCs w:val="26"/>
          <w:lang w:val="en-GB"/>
          <w14:ligatures w14:val="standardContextual"/>
        </w:rPr>
        <w:t>, M. (2018) 'Digital finance and FinTech: current research and future research directions', Journal of Business Economics, 87(5), pp. 537-580.</w:t>
      </w:r>
    </w:p>
    <w:p w14:paraId="3065DAC4"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E86699E"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 xml:space="preserve">Harvard Business School Digital Initiative (2020) </w:t>
      </w:r>
      <w:proofErr w:type="spellStart"/>
      <w:r w:rsidRPr="00945108">
        <w:rPr>
          <w:rFonts w:ascii="AppleSystemUIFont" w:eastAsiaTheme="minorHAnsi" w:hAnsi="AppleSystemUIFont" w:cs="AppleSystemUIFont"/>
          <w:sz w:val="26"/>
          <w:szCs w:val="26"/>
          <w:lang w:val="en-GB"/>
          <w14:ligatures w14:val="standardContextual"/>
        </w:rPr>
        <w:t>Monzo</w:t>
      </w:r>
      <w:proofErr w:type="spellEnd"/>
      <w:r w:rsidRPr="00945108">
        <w:rPr>
          <w:rFonts w:ascii="AppleSystemUIFont" w:eastAsiaTheme="minorHAnsi" w:hAnsi="AppleSystemUIFont" w:cs="AppleSystemUIFont"/>
          <w:sz w:val="26"/>
          <w:szCs w:val="26"/>
          <w:lang w:val="en-GB"/>
          <w14:ligatures w14:val="standardContextual"/>
        </w:rPr>
        <w:t>: a digital offering that has traditional UK banks scrambling. Available at: https://d3.harvard.edu/platform-digit/submission/monzo-a-digital-offering-that-has-traditional-uk-banks-scrambling/ (Accessed: 27 April 2026).</w:t>
      </w:r>
    </w:p>
    <w:p w14:paraId="158EB921"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1F60DB97"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Helfat</w:t>
      </w:r>
      <w:proofErr w:type="spellEnd"/>
      <w:r w:rsidRPr="00945108">
        <w:rPr>
          <w:rFonts w:ascii="AppleSystemUIFont" w:eastAsiaTheme="minorHAnsi" w:hAnsi="AppleSystemUIFont" w:cs="AppleSystemUIFont"/>
          <w:sz w:val="26"/>
          <w:szCs w:val="26"/>
          <w:lang w:val="en-GB"/>
          <w14:ligatures w14:val="standardContextual"/>
        </w:rPr>
        <w:t xml:space="preserve">, C.E. and </w:t>
      </w:r>
      <w:proofErr w:type="spellStart"/>
      <w:r w:rsidRPr="00945108">
        <w:rPr>
          <w:rFonts w:ascii="AppleSystemUIFont" w:eastAsiaTheme="minorHAnsi" w:hAnsi="AppleSystemUIFont" w:cs="AppleSystemUIFont"/>
          <w:sz w:val="26"/>
          <w:szCs w:val="26"/>
          <w:lang w:val="en-GB"/>
          <w14:ligatures w14:val="standardContextual"/>
        </w:rPr>
        <w:t>Peteraf</w:t>
      </w:r>
      <w:proofErr w:type="spellEnd"/>
      <w:r w:rsidRPr="00945108">
        <w:rPr>
          <w:rFonts w:ascii="AppleSystemUIFont" w:eastAsiaTheme="minorHAnsi" w:hAnsi="AppleSystemUIFont" w:cs="AppleSystemUIFont"/>
          <w:sz w:val="26"/>
          <w:szCs w:val="26"/>
          <w:lang w:val="en-GB"/>
          <w14:ligatures w14:val="standardContextual"/>
        </w:rPr>
        <w:t xml:space="preserve">, M.A. (2015) 'Managerial cognitive capabilities and the </w:t>
      </w:r>
      <w:proofErr w:type="spellStart"/>
      <w:r w:rsidRPr="00945108">
        <w:rPr>
          <w:rFonts w:ascii="AppleSystemUIFont" w:eastAsiaTheme="minorHAnsi" w:hAnsi="AppleSystemUIFont" w:cs="AppleSystemUIFont"/>
          <w:sz w:val="26"/>
          <w:szCs w:val="26"/>
          <w:lang w:val="en-GB"/>
          <w14:ligatures w14:val="standardContextual"/>
        </w:rPr>
        <w:t>microfoundations</w:t>
      </w:r>
      <w:proofErr w:type="spellEnd"/>
      <w:r w:rsidRPr="00945108">
        <w:rPr>
          <w:rFonts w:ascii="AppleSystemUIFont" w:eastAsiaTheme="minorHAnsi" w:hAnsi="AppleSystemUIFont" w:cs="AppleSystemUIFont"/>
          <w:sz w:val="26"/>
          <w:szCs w:val="26"/>
          <w:lang w:val="en-GB"/>
          <w14:ligatures w14:val="standardContextual"/>
        </w:rPr>
        <w:t xml:space="preserve"> of dynamic capabilities', Strategic Management Journal, 36(6), pp. 831-850.</w:t>
      </w:r>
    </w:p>
    <w:p w14:paraId="61D4F6F6"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21323AB" w14:textId="41C16A06"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Hinings</w:t>
      </w:r>
      <w:proofErr w:type="spellEnd"/>
      <w:r w:rsidRPr="00945108">
        <w:rPr>
          <w:rFonts w:ascii="AppleSystemUIFont" w:eastAsiaTheme="minorHAnsi" w:hAnsi="AppleSystemUIFont" w:cs="AppleSystemUIFont"/>
          <w:sz w:val="26"/>
          <w:szCs w:val="26"/>
          <w:lang w:val="en-GB"/>
          <w14:ligatures w14:val="standardContextual"/>
        </w:rPr>
        <w:t xml:space="preserve">, B., </w:t>
      </w:r>
      <w:proofErr w:type="spellStart"/>
      <w:r w:rsidRPr="00945108">
        <w:rPr>
          <w:rFonts w:ascii="AppleSystemUIFont" w:eastAsiaTheme="minorHAnsi" w:hAnsi="AppleSystemUIFont" w:cs="AppleSystemUIFont"/>
          <w:sz w:val="26"/>
          <w:szCs w:val="26"/>
          <w:lang w:val="en-GB"/>
          <w14:ligatures w14:val="standardContextual"/>
        </w:rPr>
        <w:t>Gegenhuber</w:t>
      </w:r>
      <w:proofErr w:type="spellEnd"/>
      <w:r w:rsidRPr="00945108">
        <w:rPr>
          <w:rFonts w:ascii="AppleSystemUIFont" w:eastAsiaTheme="minorHAnsi" w:hAnsi="AppleSystemUIFont" w:cs="AppleSystemUIFont"/>
          <w:sz w:val="26"/>
          <w:szCs w:val="26"/>
          <w:lang w:val="en-GB"/>
          <w14:ligatures w14:val="standardContextual"/>
        </w:rPr>
        <w:t>, T. and Greenwood, R. (2018) 'Digital innovation and transformation: an institutional perspective', Information and Organi</w:t>
      </w:r>
      <w:r w:rsidR="00F35F27">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ation, 28(1), pp. 52-61.</w:t>
      </w:r>
    </w:p>
    <w:p w14:paraId="734C2AF7"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C192962" w14:textId="5B05BE47" w:rsidR="0037036A" w:rsidRDefault="0037036A"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Pr>
          <w:rFonts w:ascii="AppleSystemUIFont" w:eastAsiaTheme="minorHAnsi" w:hAnsi="AppleSystemUIFont" w:cs="AppleSystemUIFont"/>
          <w:sz w:val="26"/>
          <w:szCs w:val="26"/>
          <w:lang w:val="en-GB"/>
          <w14:ligatures w14:val="standardContextual"/>
        </w:rPr>
        <w:t>Kotter</w:t>
      </w:r>
      <w:proofErr w:type="spellEnd"/>
      <w:r>
        <w:rPr>
          <w:rFonts w:ascii="AppleSystemUIFont" w:eastAsiaTheme="minorHAnsi" w:hAnsi="AppleSystemUIFont" w:cs="AppleSystemUIFont"/>
          <w:sz w:val="26"/>
          <w:szCs w:val="26"/>
          <w:lang w:val="en-GB"/>
          <w14:ligatures w14:val="standardContextual"/>
        </w:rPr>
        <w:t xml:space="preserve">, J.P. (2012) </w:t>
      </w:r>
      <w:r w:rsidRPr="00945108">
        <w:rPr>
          <w:rFonts w:ascii="AppleSystemUIFont" w:eastAsiaTheme="minorHAnsi" w:hAnsi="AppleSystemUIFont" w:cs="AppleSystemUIFont"/>
          <w:sz w:val="26"/>
          <w:szCs w:val="26"/>
          <w:lang w:val="en-GB"/>
          <w14:ligatures w14:val="standardContextual"/>
        </w:rPr>
        <w:t xml:space="preserve">Leading </w:t>
      </w:r>
      <w:r w:rsidR="00E07EC4" w:rsidRPr="00945108">
        <w:rPr>
          <w:rFonts w:ascii="AppleSystemUIFont" w:eastAsiaTheme="minorHAnsi" w:hAnsi="AppleSystemUIFont" w:cs="AppleSystemUIFont"/>
          <w:sz w:val="26"/>
          <w:szCs w:val="26"/>
          <w:lang w:val="en-GB"/>
          <w14:ligatures w14:val="standardContextual"/>
        </w:rPr>
        <w:t>change.</w:t>
      </w:r>
      <w:r>
        <w:rPr>
          <w:rFonts w:ascii="AppleSystemUIFont" w:eastAsiaTheme="minorHAnsi" w:hAnsi="AppleSystemUIFont" w:cs="AppleSystemUIFont"/>
          <w:sz w:val="26"/>
          <w:szCs w:val="26"/>
          <w:lang w:val="en-GB"/>
          <w14:ligatures w14:val="standardContextual"/>
        </w:rPr>
        <w:t xml:space="preserve"> Boston</w:t>
      </w:r>
      <w:r w:rsidR="00E07EC4" w:rsidRPr="00945108">
        <w:rPr>
          <w:rFonts w:ascii="AppleSystemUIFont" w:eastAsiaTheme="minorHAnsi" w:hAnsi="AppleSystemUIFont" w:cs="AppleSystemUIFont"/>
          <w:sz w:val="26"/>
          <w:szCs w:val="26"/>
          <w:lang w:val="en-GB"/>
          <w14:ligatures w14:val="standardContextual"/>
        </w:rPr>
        <w:t>, MA</w:t>
      </w:r>
      <w:r>
        <w:rPr>
          <w:rFonts w:ascii="AppleSystemUIFont" w:eastAsiaTheme="minorHAnsi" w:hAnsi="AppleSystemUIFont" w:cs="AppleSystemUIFont"/>
          <w:sz w:val="26"/>
          <w:szCs w:val="26"/>
          <w:lang w:val="en-GB"/>
          <w14:ligatures w14:val="standardContextual"/>
        </w:rPr>
        <w:t>: Harvard Business Review Press.</w:t>
      </w:r>
    </w:p>
    <w:p w14:paraId="7C5584C4" w14:textId="77777777" w:rsidR="0037036A" w:rsidRDefault="0037036A"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77D3502E" w14:textId="266094D0" w:rsidR="0037036A" w:rsidRDefault="0037036A"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Pr>
          <w:rFonts w:ascii="AppleSystemUIFont" w:eastAsiaTheme="minorHAnsi" w:hAnsi="AppleSystemUIFont" w:cs="AppleSystemUIFont"/>
          <w:sz w:val="26"/>
          <w:szCs w:val="26"/>
          <w:lang w:val="en-GB"/>
          <w14:ligatures w14:val="standardContextual"/>
        </w:rPr>
        <w:t xml:space="preserve">Lewin, K. </w:t>
      </w:r>
      <w:r w:rsidR="00E07EC4" w:rsidRPr="00945108">
        <w:rPr>
          <w:rFonts w:ascii="AppleSystemUIFont" w:eastAsiaTheme="minorHAnsi" w:hAnsi="AppleSystemUIFont" w:cs="AppleSystemUIFont"/>
          <w:sz w:val="26"/>
          <w:szCs w:val="26"/>
          <w:lang w:val="en-GB"/>
          <w14:ligatures w14:val="standardContextual"/>
        </w:rPr>
        <w:t>(1951) Field theory in social science.</w:t>
      </w:r>
      <w:r>
        <w:rPr>
          <w:rFonts w:ascii="AppleSystemUIFont" w:eastAsiaTheme="minorHAnsi" w:hAnsi="AppleSystemUIFont" w:cs="AppleSystemUIFont"/>
          <w:sz w:val="26"/>
          <w:szCs w:val="26"/>
          <w:lang w:val="en-GB"/>
          <w14:ligatures w14:val="standardContextual"/>
        </w:rPr>
        <w:t xml:space="preserve"> New York: Harper &amp; Row.</w:t>
      </w:r>
    </w:p>
    <w:p w14:paraId="00B7F405" w14:textId="77777777" w:rsidR="0037036A" w:rsidRDefault="0037036A"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2C19084F"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McKinsey &amp; Company (2016) 'The four building blocks of change', McKinsey Quarterly, 10 April. Available at: https://www.mckinsey.com/capabilities/people-and-organizational-performance/our-insights/the-four-building-blocks--of-change (Accessed: 27 April 2026).</w:t>
      </w:r>
    </w:p>
    <w:p w14:paraId="576083C8"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2CAC8722"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Monzo</w:t>
      </w:r>
      <w:proofErr w:type="spellEnd"/>
      <w:r w:rsidRPr="00945108">
        <w:rPr>
          <w:rFonts w:ascii="AppleSystemUIFont" w:eastAsiaTheme="minorHAnsi" w:hAnsi="AppleSystemUIFont" w:cs="AppleSystemUIFont"/>
          <w:sz w:val="26"/>
          <w:szCs w:val="26"/>
          <w:lang w:val="en-GB"/>
          <w14:ligatures w14:val="standardContextual"/>
        </w:rPr>
        <w:t xml:space="preserve"> Bank Limited (2024) Annual report and financial statements 2024. London: </w:t>
      </w:r>
      <w:proofErr w:type="spellStart"/>
      <w:r w:rsidRPr="00945108">
        <w:rPr>
          <w:rFonts w:ascii="AppleSystemUIFont" w:eastAsiaTheme="minorHAnsi" w:hAnsi="AppleSystemUIFont" w:cs="AppleSystemUIFont"/>
          <w:sz w:val="26"/>
          <w:szCs w:val="26"/>
          <w:lang w:val="en-GB"/>
          <w14:ligatures w14:val="standardContextual"/>
        </w:rPr>
        <w:t>Monzo</w:t>
      </w:r>
      <w:proofErr w:type="spellEnd"/>
      <w:r w:rsidRPr="00945108">
        <w:rPr>
          <w:rFonts w:ascii="AppleSystemUIFont" w:eastAsiaTheme="minorHAnsi" w:hAnsi="AppleSystemUIFont" w:cs="AppleSystemUIFont"/>
          <w:sz w:val="26"/>
          <w:szCs w:val="26"/>
          <w:lang w:val="en-GB"/>
          <w14:ligatures w14:val="standardContextual"/>
        </w:rPr>
        <w:t xml:space="preserve"> Bank Limited. Available at: https://monzo.com/annual-report/2024 (Accessed: 27 April 2026).</w:t>
      </w:r>
    </w:p>
    <w:p w14:paraId="71C8DBB2"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1A12C48"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Monzo</w:t>
      </w:r>
      <w:proofErr w:type="spellEnd"/>
      <w:r w:rsidRPr="00945108">
        <w:rPr>
          <w:rFonts w:ascii="AppleSystemUIFont" w:eastAsiaTheme="minorHAnsi" w:hAnsi="AppleSystemUIFont" w:cs="AppleSystemUIFont"/>
          <w:sz w:val="26"/>
          <w:szCs w:val="26"/>
          <w:lang w:val="en-GB"/>
          <w14:ligatures w14:val="standardContextual"/>
        </w:rPr>
        <w:t xml:space="preserve"> Bank Limited (2025) Annual report and financial statements 2025. London: </w:t>
      </w:r>
      <w:proofErr w:type="spellStart"/>
      <w:r w:rsidRPr="00945108">
        <w:rPr>
          <w:rFonts w:ascii="AppleSystemUIFont" w:eastAsiaTheme="minorHAnsi" w:hAnsi="AppleSystemUIFont" w:cs="AppleSystemUIFont"/>
          <w:sz w:val="26"/>
          <w:szCs w:val="26"/>
          <w:lang w:val="en-GB"/>
          <w14:ligatures w14:val="standardContextual"/>
        </w:rPr>
        <w:t>Monzo</w:t>
      </w:r>
      <w:proofErr w:type="spellEnd"/>
      <w:r w:rsidRPr="00945108">
        <w:rPr>
          <w:rFonts w:ascii="AppleSystemUIFont" w:eastAsiaTheme="minorHAnsi" w:hAnsi="AppleSystemUIFont" w:cs="AppleSystemUIFont"/>
          <w:sz w:val="26"/>
          <w:szCs w:val="26"/>
          <w:lang w:val="en-GB"/>
          <w14:ligatures w14:val="standardContextual"/>
        </w:rPr>
        <w:t xml:space="preserve"> Bank Limited.</w:t>
      </w:r>
    </w:p>
    <w:p w14:paraId="5F2CA04B"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4E0E4ACA" w14:textId="227487F3"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Schein</w:t>
      </w:r>
      <w:proofErr w:type="spellEnd"/>
      <w:r w:rsidRPr="00945108">
        <w:rPr>
          <w:rFonts w:ascii="AppleSystemUIFont" w:eastAsiaTheme="minorHAnsi" w:hAnsi="AppleSystemUIFont" w:cs="AppleSystemUIFont"/>
          <w:sz w:val="26"/>
          <w:szCs w:val="26"/>
          <w:lang w:val="en-GB"/>
          <w14:ligatures w14:val="standardContextual"/>
        </w:rPr>
        <w:t>, E.H. (2017) Organi</w:t>
      </w:r>
      <w:r w:rsidR="001341FB">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 xml:space="preserve">ational culture and leadership. 5th </w:t>
      </w:r>
      <w:proofErr w:type="spellStart"/>
      <w:r w:rsidRPr="00945108">
        <w:rPr>
          <w:rFonts w:ascii="AppleSystemUIFont" w:eastAsiaTheme="minorHAnsi" w:hAnsi="AppleSystemUIFont" w:cs="AppleSystemUIFont"/>
          <w:sz w:val="26"/>
          <w:szCs w:val="26"/>
          <w:lang w:val="en-GB"/>
          <w14:ligatures w14:val="standardContextual"/>
        </w:rPr>
        <w:t>edn</w:t>
      </w:r>
      <w:proofErr w:type="spellEnd"/>
      <w:r w:rsidRPr="00945108">
        <w:rPr>
          <w:rFonts w:ascii="AppleSystemUIFont" w:eastAsiaTheme="minorHAnsi" w:hAnsi="AppleSystemUIFont" w:cs="AppleSystemUIFont"/>
          <w:sz w:val="26"/>
          <w:szCs w:val="26"/>
          <w:lang w:val="en-GB"/>
          <w14:ligatures w14:val="standardContextual"/>
        </w:rPr>
        <w:t>. Hoboken, NJ: John Wiley &amp; Sons.</w:t>
      </w:r>
    </w:p>
    <w:p w14:paraId="155816A7"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6F69D464" w14:textId="01D6B19D"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Soldatos</w:t>
      </w:r>
      <w:proofErr w:type="spellEnd"/>
      <w:r w:rsidRPr="00945108">
        <w:rPr>
          <w:rFonts w:ascii="AppleSystemUIFont" w:eastAsiaTheme="minorHAnsi" w:hAnsi="AppleSystemUIFont" w:cs="AppleSystemUIFont"/>
          <w:sz w:val="26"/>
          <w:szCs w:val="26"/>
          <w:lang w:val="en-GB"/>
          <w14:ligatures w14:val="standardContextual"/>
        </w:rPr>
        <w:t xml:space="preserve">, J. and </w:t>
      </w:r>
      <w:proofErr w:type="spellStart"/>
      <w:r w:rsidRPr="00945108">
        <w:rPr>
          <w:rFonts w:ascii="AppleSystemUIFont" w:eastAsiaTheme="minorHAnsi" w:hAnsi="AppleSystemUIFont" w:cs="AppleSystemUIFont"/>
          <w:sz w:val="26"/>
          <w:szCs w:val="26"/>
          <w:lang w:val="en-GB"/>
          <w14:ligatures w14:val="standardContextual"/>
        </w:rPr>
        <w:t>Kyriazis</w:t>
      </w:r>
      <w:proofErr w:type="spellEnd"/>
      <w:r w:rsidRPr="00945108">
        <w:rPr>
          <w:rFonts w:ascii="AppleSystemUIFont" w:eastAsiaTheme="minorHAnsi" w:hAnsi="AppleSystemUIFont" w:cs="AppleSystemUIFont"/>
          <w:sz w:val="26"/>
          <w:szCs w:val="26"/>
          <w:lang w:val="en-GB"/>
          <w14:ligatures w14:val="standardContextual"/>
        </w:rPr>
        <w:t>, D. (eds.) (2022) Big data and artificial intelligence in digital finance: increasing personali</w:t>
      </w:r>
      <w:r w:rsidR="001341FB">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ation and trust in digital finance using big data and AI. Cham: Springer International Publishing.</w:t>
      </w:r>
    </w:p>
    <w:p w14:paraId="4A05E45B"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5F1663C7"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roofErr w:type="spellStart"/>
      <w:r w:rsidRPr="00945108">
        <w:rPr>
          <w:rFonts w:ascii="AppleSystemUIFont" w:eastAsiaTheme="minorHAnsi" w:hAnsi="AppleSystemUIFont" w:cs="AppleSystemUIFont"/>
          <w:sz w:val="26"/>
          <w:szCs w:val="26"/>
          <w:lang w:val="en-GB"/>
          <w14:ligatures w14:val="standardContextual"/>
        </w:rPr>
        <w:t>Teece</w:t>
      </w:r>
      <w:proofErr w:type="spellEnd"/>
      <w:r w:rsidRPr="00945108">
        <w:rPr>
          <w:rFonts w:ascii="AppleSystemUIFont" w:eastAsiaTheme="minorHAnsi" w:hAnsi="AppleSystemUIFont" w:cs="AppleSystemUIFont"/>
          <w:sz w:val="26"/>
          <w:szCs w:val="26"/>
          <w:lang w:val="en-GB"/>
          <w14:ligatures w14:val="standardContextual"/>
        </w:rPr>
        <w:t>, D.J. (2018) 'Business models and dynamic capabilities', Long Range Planning, 51(1), pp. 40-49.</w:t>
      </w:r>
    </w:p>
    <w:p w14:paraId="78FEB8A2"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5EFE1BE8"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Vial, G. (2019) 'Understanding digital transformation: a review and a research agenda', Journal of Strategic Information Systems, 28(2), pp. 118-144.</w:t>
      </w:r>
    </w:p>
    <w:p w14:paraId="55817343"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622FC554" w14:textId="59237E43"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r w:rsidRPr="00945108">
        <w:rPr>
          <w:rFonts w:ascii="AppleSystemUIFont" w:eastAsiaTheme="minorHAnsi" w:hAnsi="AppleSystemUIFont" w:cs="AppleSystemUIFont"/>
          <w:sz w:val="26"/>
          <w:szCs w:val="26"/>
          <w:lang w:val="en-GB"/>
          <w14:ligatures w14:val="standardContextual"/>
        </w:rPr>
        <w:t>Waterman, R.H., Peters, T.J. and Phillips, J.R. (1980) 'Structure is not organi</w:t>
      </w:r>
      <w:r w:rsidR="001341FB">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ation', Business Horizons, 23(3), pp. 14-26.</w:t>
      </w:r>
    </w:p>
    <w:p w14:paraId="5DB2083F" w14:textId="77777777" w:rsidR="00E07EC4" w:rsidRPr="00945108" w:rsidRDefault="00E07EC4" w:rsidP="00E07EC4">
      <w:pPr>
        <w:autoSpaceDE w:val="0"/>
        <w:autoSpaceDN w:val="0"/>
        <w:adjustRightInd w:val="0"/>
        <w:spacing w:after="0" w:line="240" w:lineRule="auto"/>
        <w:rPr>
          <w:rFonts w:ascii="AppleSystemUIFont" w:eastAsiaTheme="minorHAnsi" w:hAnsi="AppleSystemUIFont" w:cs="AppleSystemUIFont"/>
          <w:sz w:val="26"/>
          <w:szCs w:val="26"/>
          <w:lang w:val="en-GB"/>
          <w14:ligatures w14:val="standardContextual"/>
        </w:rPr>
      </w:pPr>
    </w:p>
    <w:p w14:paraId="06EFE3F0" w14:textId="0E81B176" w:rsidR="005C13B9" w:rsidRPr="00945108" w:rsidRDefault="00E07EC4">
      <w:pPr>
        <w:rPr>
          <w:lang w:val="en-GB"/>
        </w:rPr>
      </w:pPr>
      <w:proofErr w:type="spellStart"/>
      <w:r w:rsidRPr="00945108">
        <w:rPr>
          <w:rFonts w:ascii="AppleSystemUIFont" w:eastAsiaTheme="minorHAnsi" w:hAnsi="AppleSystemUIFont" w:cs="AppleSystemUIFont"/>
          <w:sz w:val="26"/>
          <w:szCs w:val="26"/>
          <w:lang w:val="en-GB"/>
          <w14:ligatures w14:val="standardContextual"/>
        </w:rPr>
        <w:t>Weick</w:t>
      </w:r>
      <w:proofErr w:type="spellEnd"/>
      <w:r w:rsidRPr="00945108">
        <w:rPr>
          <w:rFonts w:ascii="AppleSystemUIFont" w:eastAsiaTheme="minorHAnsi" w:hAnsi="AppleSystemUIFont" w:cs="AppleSystemUIFont"/>
          <w:sz w:val="26"/>
          <w:szCs w:val="26"/>
          <w:lang w:val="en-GB"/>
          <w14:ligatures w14:val="standardContextual"/>
        </w:rPr>
        <w:t>, K.E. and Quinn, R.E. (1999) 'Organi</w:t>
      </w:r>
      <w:r w:rsidR="001341FB">
        <w:rPr>
          <w:rFonts w:ascii="AppleSystemUIFont" w:eastAsiaTheme="minorHAnsi" w:hAnsi="AppleSystemUIFont" w:cs="AppleSystemUIFont"/>
          <w:sz w:val="26"/>
          <w:szCs w:val="26"/>
          <w:lang w:val="en-GB"/>
          <w14:ligatures w14:val="standardContextual"/>
        </w:rPr>
        <w:t>s</w:t>
      </w:r>
      <w:r w:rsidRPr="00945108">
        <w:rPr>
          <w:rFonts w:ascii="AppleSystemUIFont" w:eastAsiaTheme="minorHAnsi" w:hAnsi="AppleSystemUIFont" w:cs="AppleSystemUIFont"/>
          <w:sz w:val="26"/>
          <w:szCs w:val="26"/>
          <w:lang w:val="en-GB"/>
          <w14:ligatures w14:val="standardContextual"/>
        </w:rPr>
        <w:t>ational change and development', Annual Review of Psychology, 50(1), pp. 361-386.</w:t>
      </w:r>
    </w:p>
    <w:sectPr w:rsidR="005C13B9" w:rsidRPr="00945108">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77D33" w14:textId="77777777" w:rsidR="00BD04B7" w:rsidRDefault="00BD04B7" w:rsidP="0037036A">
      <w:pPr>
        <w:spacing w:after="0" w:line="240" w:lineRule="auto"/>
      </w:pPr>
      <w:r>
        <w:separator/>
      </w:r>
    </w:p>
  </w:endnote>
  <w:endnote w:type="continuationSeparator" w:id="0">
    <w:p w14:paraId="12FF6A0C" w14:textId="77777777" w:rsidR="00BD04B7" w:rsidRDefault="00BD04B7" w:rsidP="00370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MT">
    <w:altName w:val="Arial"/>
    <w:panose1 w:val="020B0604020202020204"/>
    <w:charset w:val="01"/>
    <w:family w:val="swiss"/>
    <w:pitch w:val="variable"/>
  </w:font>
  <w:font w:name=".AppleSystemUIFont">
    <w:altName w:val="Cambria"/>
    <w:panose1 w:val="020B0604020202020204"/>
    <w:charset w:val="00"/>
    <w:family w:val="roman"/>
    <w:pitch w:val="default"/>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8431040"/>
      <w:docPartObj>
        <w:docPartGallery w:val="Page Numbers (Bottom of Page)"/>
        <w:docPartUnique/>
      </w:docPartObj>
    </w:sdtPr>
    <w:sdtEndPr>
      <w:rPr>
        <w:rStyle w:val="PageNumber"/>
      </w:rPr>
    </w:sdtEndPr>
    <w:sdtContent>
      <w:p w14:paraId="1EEABE91" w14:textId="6D1B6432" w:rsidR="0037036A" w:rsidRDefault="0037036A" w:rsidP="007A37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053C64" w14:textId="77777777" w:rsidR="0037036A" w:rsidRDefault="00370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6611188"/>
      <w:docPartObj>
        <w:docPartGallery w:val="Page Numbers (Bottom of Page)"/>
        <w:docPartUnique/>
      </w:docPartObj>
    </w:sdtPr>
    <w:sdtEndPr>
      <w:rPr>
        <w:rStyle w:val="PageNumber"/>
      </w:rPr>
    </w:sdtEndPr>
    <w:sdtContent>
      <w:p w14:paraId="673C11FD" w14:textId="48C4BFF2" w:rsidR="0037036A" w:rsidRDefault="0037036A" w:rsidP="007A37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D5B2DF" w14:textId="77777777" w:rsidR="0037036A" w:rsidRDefault="00370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DE430" w14:textId="77777777" w:rsidR="00BD04B7" w:rsidRDefault="00BD04B7" w:rsidP="0037036A">
      <w:pPr>
        <w:spacing w:after="0" w:line="240" w:lineRule="auto"/>
      </w:pPr>
      <w:r>
        <w:separator/>
      </w:r>
    </w:p>
  </w:footnote>
  <w:footnote w:type="continuationSeparator" w:id="0">
    <w:p w14:paraId="38A7CD9B" w14:textId="77777777" w:rsidR="00BD04B7" w:rsidRDefault="00BD04B7" w:rsidP="00370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6A"/>
    <w:rsid w:val="000030A7"/>
    <w:rsid w:val="00003714"/>
    <w:rsid w:val="0000431E"/>
    <w:rsid w:val="0001410E"/>
    <w:rsid w:val="000151D6"/>
    <w:rsid w:val="00015F71"/>
    <w:rsid w:val="00023984"/>
    <w:rsid w:val="000274EA"/>
    <w:rsid w:val="00034999"/>
    <w:rsid w:val="00042270"/>
    <w:rsid w:val="00044CDC"/>
    <w:rsid w:val="00053219"/>
    <w:rsid w:val="00053EF2"/>
    <w:rsid w:val="0005770B"/>
    <w:rsid w:val="00061318"/>
    <w:rsid w:val="00064F69"/>
    <w:rsid w:val="00065126"/>
    <w:rsid w:val="00065353"/>
    <w:rsid w:val="00070FDC"/>
    <w:rsid w:val="000900EE"/>
    <w:rsid w:val="000904D8"/>
    <w:rsid w:val="000A2716"/>
    <w:rsid w:val="000A31B6"/>
    <w:rsid w:val="000B0A80"/>
    <w:rsid w:val="000B29B9"/>
    <w:rsid w:val="000B2C4A"/>
    <w:rsid w:val="000B433F"/>
    <w:rsid w:val="000B6FAD"/>
    <w:rsid w:val="000C5A4F"/>
    <w:rsid w:val="000E4AB9"/>
    <w:rsid w:val="000E5A1C"/>
    <w:rsid w:val="000E6BAE"/>
    <w:rsid w:val="000F573C"/>
    <w:rsid w:val="0010271F"/>
    <w:rsid w:val="001045E2"/>
    <w:rsid w:val="0011474B"/>
    <w:rsid w:val="0011567C"/>
    <w:rsid w:val="0011648D"/>
    <w:rsid w:val="001203BD"/>
    <w:rsid w:val="00132B3F"/>
    <w:rsid w:val="00133555"/>
    <w:rsid w:val="001341FB"/>
    <w:rsid w:val="001400CE"/>
    <w:rsid w:val="00141764"/>
    <w:rsid w:val="00143332"/>
    <w:rsid w:val="001503EB"/>
    <w:rsid w:val="0015401E"/>
    <w:rsid w:val="00161005"/>
    <w:rsid w:val="0016707E"/>
    <w:rsid w:val="00172C10"/>
    <w:rsid w:val="00187352"/>
    <w:rsid w:val="001902A5"/>
    <w:rsid w:val="00190FB9"/>
    <w:rsid w:val="00191266"/>
    <w:rsid w:val="00191972"/>
    <w:rsid w:val="001974EE"/>
    <w:rsid w:val="00197798"/>
    <w:rsid w:val="001A0B4C"/>
    <w:rsid w:val="001A2CC6"/>
    <w:rsid w:val="001B2AB1"/>
    <w:rsid w:val="001B3839"/>
    <w:rsid w:val="001C2804"/>
    <w:rsid w:val="001C3540"/>
    <w:rsid w:val="001C54E5"/>
    <w:rsid w:val="001D1F05"/>
    <w:rsid w:val="001D276B"/>
    <w:rsid w:val="001D4541"/>
    <w:rsid w:val="001E4C0B"/>
    <w:rsid w:val="001E6073"/>
    <w:rsid w:val="00201277"/>
    <w:rsid w:val="0020470E"/>
    <w:rsid w:val="00212C85"/>
    <w:rsid w:val="00215077"/>
    <w:rsid w:val="00217B1C"/>
    <w:rsid w:val="00225141"/>
    <w:rsid w:val="002339C5"/>
    <w:rsid w:val="00241B4F"/>
    <w:rsid w:val="00242F42"/>
    <w:rsid w:val="0024350F"/>
    <w:rsid w:val="002458C4"/>
    <w:rsid w:val="00253538"/>
    <w:rsid w:val="00253E5A"/>
    <w:rsid w:val="002626A3"/>
    <w:rsid w:val="00264689"/>
    <w:rsid w:val="00266FCB"/>
    <w:rsid w:val="002707A2"/>
    <w:rsid w:val="002725E2"/>
    <w:rsid w:val="00274C7D"/>
    <w:rsid w:val="0028658F"/>
    <w:rsid w:val="002931FF"/>
    <w:rsid w:val="002942F1"/>
    <w:rsid w:val="002A0BCB"/>
    <w:rsid w:val="002A2335"/>
    <w:rsid w:val="002A2B2C"/>
    <w:rsid w:val="002B234A"/>
    <w:rsid w:val="002B24FD"/>
    <w:rsid w:val="002B48C3"/>
    <w:rsid w:val="002C2466"/>
    <w:rsid w:val="002C3730"/>
    <w:rsid w:val="002D1DB8"/>
    <w:rsid w:val="002D4385"/>
    <w:rsid w:val="002E254E"/>
    <w:rsid w:val="002E52D3"/>
    <w:rsid w:val="002E6CFF"/>
    <w:rsid w:val="002F0294"/>
    <w:rsid w:val="002F2F83"/>
    <w:rsid w:val="002F3635"/>
    <w:rsid w:val="002F3A1E"/>
    <w:rsid w:val="002F4338"/>
    <w:rsid w:val="002F4F03"/>
    <w:rsid w:val="002F7485"/>
    <w:rsid w:val="00300389"/>
    <w:rsid w:val="003015B5"/>
    <w:rsid w:val="00305B8A"/>
    <w:rsid w:val="00312E26"/>
    <w:rsid w:val="00316CDB"/>
    <w:rsid w:val="003200F4"/>
    <w:rsid w:val="00323F3F"/>
    <w:rsid w:val="00325223"/>
    <w:rsid w:val="0032545B"/>
    <w:rsid w:val="00327F73"/>
    <w:rsid w:val="00340C9C"/>
    <w:rsid w:val="003461FB"/>
    <w:rsid w:val="00354004"/>
    <w:rsid w:val="003564CE"/>
    <w:rsid w:val="00357ECD"/>
    <w:rsid w:val="003604CF"/>
    <w:rsid w:val="00360BEA"/>
    <w:rsid w:val="00360D5B"/>
    <w:rsid w:val="003622CC"/>
    <w:rsid w:val="00363B4C"/>
    <w:rsid w:val="00367372"/>
    <w:rsid w:val="00367DB3"/>
    <w:rsid w:val="0037036A"/>
    <w:rsid w:val="003716CB"/>
    <w:rsid w:val="003753D2"/>
    <w:rsid w:val="003A0136"/>
    <w:rsid w:val="003A1654"/>
    <w:rsid w:val="003A28C5"/>
    <w:rsid w:val="003A7F68"/>
    <w:rsid w:val="003C0C44"/>
    <w:rsid w:val="003C31CC"/>
    <w:rsid w:val="003D37CD"/>
    <w:rsid w:val="003D7CA1"/>
    <w:rsid w:val="003E5962"/>
    <w:rsid w:val="003F086E"/>
    <w:rsid w:val="003F0DA6"/>
    <w:rsid w:val="003F1DD5"/>
    <w:rsid w:val="003F26F1"/>
    <w:rsid w:val="003F66B2"/>
    <w:rsid w:val="003F6E05"/>
    <w:rsid w:val="0040328F"/>
    <w:rsid w:val="00403ECA"/>
    <w:rsid w:val="00405911"/>
    <w:rsid w:val="00407C67"/>
    <w:rsid w:val="00421A06"/>
    <w:rsid w:val="00425149"/>
    <w:rsid w:val="004278ED"/>
    <w:rsid w:val="00431056"/>
    <w:rsid w:val="00452CFA"/>
    <w:rsid w:val="00454FE8"/>
    <w:rsid w:val="00464DF3"/>
    <w:rsid w:val="0046576E"/>
    <w:rsid w:val="00470194"/>
    <w:rsid w:val="00471B97"/>
    <w:rsid w:val="00474FE7"/>
    <w:rsid w:val="00485C92"/>
    <w:rsid w:val="004A5F44"/>
    <w:rsid w:val="004B3982"/>
    <w:rsid w:val="004B3BE0"/>
    <w:rsid w:val="004B5FE0"/>
    <w:rsid w:val="004D0510"/>
    <w:rsid w:val="004D3D96"/>
    <w:rsid w:val="004E0EAB"/>
    <w:rsid w:val="004E30F4"/>
    <w:rsid w:val="004E4843"/>
    <w:rsid w:val="004F3A3B"/>
    <w:rsid w:val="005055C6"/>
    <w:rsid w:val="00515461"/>
    <w:rsid w:val="005310E6"/>
    <w:rsid w:val="00534A6F"/>
    <w:rsid w:val="005354F4"/>
    <w:rsid w:val="005372AF"/>
    <w:rsid w:val="00537D16"/>
    <w:rsid w:val="00540E64"/>
    <w:rsid w:val="005417FF"/>
    <w:rsid w:val="005458A5"/>
    <w:rsid w:val="005521D5"/>
    <w:rsid w:val="005521FB"/>
    <w:rsid w:val="005537AB"/>
    <w:rsid w:val="0055435D"/>
    <w:rsid w:val="00561945"/>
    <w:rsid w:val="00566357"/>
    <w:rsid w:val="00572D36"/>
    <w:rsid w:val="005821D7"/>
    <w:rsid w:val="005878BB"/>
    <w:rsid w:val="00595520"/>
    <w:rsid w:val="00596C3C"/>
    <w:rsid w:val="005A08F2"/>
    <w:rsid w:val="005A153F"/>
    <w:rsid w:val="005A2032"/>
    <w:rsid w:val="005A7CDA"/>
    <w:rsid w:val="005B258F"/>
    <w:rsid w:val="005C13B9"/>
    <w:rsid w:val="005C2F01"/>
    <w:rsid w:val="005C4AC9"/>
    <w:rsid w:val="005C6FAC"/>
    <w:rsid w:val="005D610B"/>
    <w:rsid w:val="005D65F9"/>
    <w:rsid w:val="005E38F4"/>
    <w:rsid w:val="005E5F45"/>
    <w:rsid w:val="005E781F"/>
    <w:rsid w:val="005F2A31"/>
    <w:rsid w:val="005F6AEB"/>
    <w:rsid w:val="0060695E"/>
    <w:rsid w:val="00612DED"/>
    <w:rsid w:val="00630AF7"/>
    <w:rsid w:val="00631511"/>
    <w:rsid w:val="00637068"/>
    <w:rsid w:val="006519A1"/>
    <w:rsid w:val="00652188"/>
    <w:rsid w:val="00661A36"/>
    <w:rsid w:val="00663505"/>
    <w:rsid w:val="00670CCE"/>
    <w:rsid w:val="00671D68"/>
    <w:rsid w:val="006754E8"/>
    <w:rsid w:val="00676385"/>
    <w:rsid w:val="00680D33"/>
    <w:rsid w:val="00680F3C"/>
    <w:rsid w:val="006A0E7E"/>
    <w:rsid w:val="006A439E"/>
    <w:rsid w:val="006B0355"/>
    <w:rsid w:val="006B1BCC"/>
    <w:rsid w:val="006B4D17"/>
    <w:rsid w:val="006B64F5"/>
    <w:rsid w:val="006C4BBE"/>
    <w:rsid w:val="006C521F"/>
    <w:rsid w:val="006D17E1"/>
    <w:rsid w:val="006D2733"/>
    <w:rsid w:val="006D2FBC"/>
    <w:rsid w:val="006D4DBF"/>
    <w:rsid w:val="006D5611"/>
    <w:rsid w:val="006E0E81"/>
    <w:rsid w:val="006E64E0"/>
    <w:rsid w:val="007024B6"/>
    <w:rsid w:val="007060A5"/>
    <w:rsid w:val="00713AC1"/>
    <w:rsid w:val="00716805"/>
    <w:rsid w:val="00717E71"/>
    <w:rsid w:val="00720D5A"/>
    <w:rsid w:val="00725323"/>
    <w:rsid w:val="00730169"/>
    <w:rsid w:val="007304FB"/>
    <w:rsid w:val="0073469C"/>
    <w:rsid w:val="00752111"/>
    <w:rsid w:val="00766294"/>
    <w:rsid w:val="0076699E"/>
    <w:rsid w:val="0077582F"/>
    <w:rsid w:val="0078784A"/>
    <w:rsid w:val="00787AD1"/>
    <w:rsid w:val="00790AE5"/>
    <w:rsid w:val="0079755A"/>
    <w:rsid w:val="007A1027"/>
    <w:rsid w:val="007A11A5"/>
    <w:rsid w:val="007A37AD"/>
    <w:rsid w:val="007B5320"/>
    <w:rsid w:val="007C6C04"/>
    <w:rsid w:val="007D038A"/>
    <w:rsid w:val="007D0B06"/>
    <w:rsid w:val="007D0BD7"/>
    <w:rsid w:val="007D43A1"/>
    <w:rsid w:val="007E09F1"/>
    <w:rsid w:val="007F52E1"/>
    <w:rsid w:val="00800F41"/>
    <w:rsid w:val="00806D1C"/>
    <w:rsid w:val="00807A9F"/>
    <w:rsid w:val="00811DC8"/>
    <w:rsid w:val="00812F85"/>
    <w:rsid w:val="00823E36"/>
    <w:rsid w:val="00830299"/>
    <w:rsid w:val="00832EEA"/>
    <w:rsid w:val="008503F3"/>
    <w:rsid w:val="00864544"/>
    <w:rsid w:val="0086605D"/>
    <w:rsid w:val="008738D4"/>
    <w:rsid w:val="0088497D"/>
    <w:rsid w:val="00893483"/>
    <w:rsid w:val="008A3D39"/>
    <w:rsid w:val="008A60CE"/>
    <w:rsid w:val="008C1489"/>
    <w:rsid w:val="008C2041"/>
    <w:rsid w:val="008C43A1"/>
    <w:rsid w:val="008D6096"/>
    <w:rsid w:val="008E2335"/>
    <w:rsid w:val="008E78D8"/>
    <w:rsid w:val="008F186B"/>
    <w:rsid w:val="008F6F93"/>
    <w:rsid w:val="00903042"/>
    <w:rsid w:val="00911894"/>
    <w:rsid w:val="00913C69"/>
    <w:rsid w:val="00914854"/>
    <w:rsid w:val="00922F17"/>
    <w:rsid w:val="00924631"/>
    <w:rsid w:val="00931505"/>
    <w:rsid w:val="00934171"/>
    <w:rsid w:val="00937A5C"/>
    <w:rsid w:val="00937E23"/>
    <w:rsid w:val="00941E5B"/>
    <w:rsid w:val="00945108"/>
    <w:rsid w:val="00950850"/>
    <w:rsid w:val="00975DEB"/>
    <w:rsid w:val="0098682A"/>
    <w:rsid w:val="009C25AD"/>
    <w:rsid w:val="009C3DA1"/>
    <w:rsid w:val="009D0426"/>
    <w:rsid w:val="009E36A4"/>
    <w:rsid w:val="009E51FF"/>
    <w:rsid w:val="009E7370"/>
    <w:rsid w:val="009F029B"/>
    <w:rsid w:val="00A01E82"/>
    <w:rsid w:val="00A140BD"/>
    <w:rsid w:val="00A15042"/>
    <w:rsid w:val="00A174B8"/>
    <w:rsid w:val="00A17FD7"/>
    <w:rsid w:val="00A22EB0"/>
    <w:rsid w:val="00A23BEA"/>
    <w:rsid w:val="00A23D16"/>
    <w:rsid w:val="00A3101F"/>
    <w:rsid w:val="00A35114"/>
    <w:rsid w:val="00A53246"/>
    <w:rsid w:val="00A53CBE"/>
    <w:rsid w:val="00A62D5E"/>
    <w:rsid w:val="00A70486"/>
    <w:rsid w:val="00A7233F"/>
    <w:rsid w:val="00A8031C"/>
    <w:rsid w:val="00A80406"/>
    <w:rsid w:val="00A837E4"/>
    <w:rsid w:val="00A83D6A"/>
    <w:rsid w:val="00A8755C"/>
    <w:rsid w:val="00A9294E"/>
    <w:rsid w:val="00A95DE9"/>
    <w:rsid w:val="00A97AF2"/>
    <w:rsid w:val="00AA05FB"/>
    <w:rsid w:val="00AA2A4A"/>
    <w:rsid w:val="00AA3CEB"/>
    <w:rsid w:val="00AB56CA"/>
    <w:rsid w:val="00AC070A"/>
    <w:rsid w:val="00AC21B3"/>
    <w:rsid w:val="00AC4E21"/>
    <w:rsid w:val="00AC65A4"/>
    <w:rsid w:val="00AC6D32"/>
    <w:rsid w:val="00AD2695"/>
    <w:rsid w:val="00AD2EE0"/>
    <w:rsid w:val="00AE29DD"/>
    <w:rsid w:val="00AE37C4"/>
    <w:rsid w:val="00AE4694"/>
    <w:rsid w:val="00AE6587"/>
    <w:rsid w:val="00B03E38"/>
    <w:rsid w:val="00B058A0"/>
    <w:rsid w:val="00B12091"/>
    <w:rsid w:val="00B15D75"/>
    <w:rsid w:val="00B20D5F"/>
    <w:rsid w:val="00B24006"/>
    <w:rsid w:val="00B24D2A"/>
    <w:rsid w:val="00B34424"/>
    <w:rsid w:val="00B420DA"/>
    <w:rsid w:val="00B43CD7"/>
    <w:rsid w:val="00B4528C"/>
    <w:rsid w:val="00B5008A"/>
    <w:rsid w:val="00B518B0"/>
    <w:rsid w:val="00B561C9"/>
    <w:rsid w:val="00B565D0"/>
    <w:rsid w:val="00B65C87"/>
    <w:rsid w:val="00B7154C"/>
    <w:rsid w:val="00B73512"/>
    <w:rsid w:val="00B806AC"/>
    <w:rsid w:val="00B8209D"/>
    <w:rsid w:val="00B820E5"/>
    <w:rsid w:val="00B8511B"/>
    <w:rsid w:val="00B86637"/>
    <w:rsid w:val="00B94DBF"/>
    <w:rsid w:val="00BA206F"/>
    <w:rsid w:val="00BA667B"/>
    <w:rsid w:val="00BA73E6"/>
    <w:rsid w:val="00BB1CFE"/>
    <w:rsid w:val="00BB720C"/>
    <w:rsid w:val="00BB781E"/>
    <w:rsid w:val="00BB7BDC"/>
    <w:rsid w:val="00BC0E24"/>
    <w:rsid w:val="00BC6442"/>
    <w:rsid w:val="00BD04B7"/>
    <w:rsid w:val="00BD3C68"/>
    <w:rsid w:val="00BE1588"/>
    <w:rsid w:val="00BE3016"/>
    <w:rsid w:val="00BE3364"/>
    <w:rsid w:val="00BE412F"/>
    <w:rsid w:val="00BF5614"/>
    <w:rsid w:val="00BF69A3"/>
    <w:rsid w:val="00C00A09"/>
    <w:rsid w:val="00C02B0A"/>
    <w:rsid w:val="00C0376B"/>
    <w:rsid w:val="00C1534B"/>
    <w:rsid w:val="00C35587"/>
    <w:rsid w:val="00C35C01"/>
    <w:rsid w:val="00C410AB"/>
    <w:rsid w:val="00C441D4"/>
    <w:rsid w:val="00C45429"/>
    <w:rsid w:val="00C515E5"/>
    <w:rsid w:val="00C5526F"/>
    <w:rsid w:val="00C55323"/>
    <w:rsid w:val="00C61521"/>
    <w:rsid w:val="00C61C0E"/>
    <w:rsid w:val="00C65C8C"/>
    <w:rsid w:val="00C701D0"/>
    <w:rsid w:val="00C706C1"/>
    <w:rsid w:val="00C732F2"/>
    <w:rsid w:val="00C91056"/>
    <w:rsid w:val="00CB1806"/>
    <w:rsid w:val="00CC0869"/>
    <w:rsid w:val="00CC3B50"/>
    <w:rsid w:val="00CC4A7D"/>
    <w:rsid w:val="00CC71DF"/>
    <w:rsid w:val="00CD5739"/>
    <w:rsid w:val="00CE0151"/>
    <w:rsid w:val="00CE7B18"/>
    <w:rsid w:val="00CF01D7"/>
    <w:rsid w:val="00CF3694"/>
    <w:rsid w:val="00CF4205"/>
    <w:rsid w:val="00CF6A7F"/>
    <w:rsid w:val="00D010AC"/>
    <w:rsid w:val="00D06814"/>
    <w:rsid w:val="00D23921"/>
    <w:rsid w:val="00D24BBA"/>
    <w:rsid w:val="00D26B26"/>
    <w:rsid w:val="00D307EA"/>
    <w:rsid w:val="00D31BBB"/>
    <w:rsid w:val="00D450E7"/>
    <w:rsid w:val="00D546F4"/>
    <w:rsid w:val="00D55CEC"/>
    <w:rsid w:val="00D62D21"/>
    <w:rsid w:val="00D70438"/>
    <w:rsid w:val="00D73F42"/>
    <w:rsid w:val="00D76194"/>
    <w:rsid w:val="00D81B72"/>
    <w:rsid w:val="00D81DB1"/>
    <w:rsid w:val="00D85123"/>
    <w:rsid w:val="00D870FD"/>
    <w:rsid w:val="00D87146"/>
    <w:rsid w:val="00D877AF"/>
    <w:rsid w:val="00D9352D"/>
    <w:rsid w:val="00DA5615"/>
    <w:rsid w:val="00DB10CB"/>
    <w:rsid w:val="00DB4DF3"/>
    <w:rsid w:val="00DC18F3"/>
    <w:rsid w:val="00DE1F64"/>
    <w:rsid w:val="00DE4DC2"/>
    <w:rsid w:val="00DF12B7"/>
    <w:rsid w:val="00DF6593"/>
    <w:rsid w:val="00E007BA"/>
    <w:rsid w:val="00E00831"/>
    <w:rsid w:val="00E02FC7"/>
    <w:rsid w:val="00E03240"/>
    <w:rsid w:val="00E07EC4"/>
    <w:rsid w:val="00E10587"/>
    <w:rsid w:val="00E14FA2"/>
    <w:rsid w:val="00E45716"/>
    <w:rsid w:val="00E463C8"/>
    <w:rsid w:val="00E54582"/>
    <w:rsid w:val="00E62700"/>
    <w:rsid w:val="00E6473A"/>
    <w:rsid w:val="00E66023"/>
    <w:rsid w:val="00E66F2D"/>
    <w:rsid w:val="00E73B5B"/>
    <w:rsid w:val="00E828CB"/>
    <w:rsid w:val="00E85BE8"/>
    <w:rsid w:val="00E95502"/>
    <w:rsid w:val="00E96312"/>
    <w:rsid w:val="00EA5617"/>
    <w:rsid w:val="00EB0062"/>
    <w:rsid w:val="00EB6214"/>
    <w:rsid w:val="00EC08A1"/>
    <w:rsid w:val="00EC2B5B"/>
    <w:rsid w:val="00EC6997"/>
    <w:rsid w:val="00ED3AD6"/>
    <w:rsid w:val="00EE33B9"/>
    <w:rsid w:val="00EE76C5"/>
    <w:rsid w:val="00F011F6"/>
    <w:rsid w:val="00F0175E"/>
    <w:rsid w:val="00F07EAF"/>
    <w:rsid w:val="00F17169"/>
    <w:rsid w:val="00F30A52"/>
    <w:rsid w:val="00F33C2C"/>
    <w:rsid w:val="00F35F27"/>
    <w:rsid w:val="00F451CD"/>
    <w:rsid w:val="00F516FA"/>
    <w:rsid w:val="00F54CA0"/>
    <w:rsid w:val="00F66298"/>
    <w:rsid w:val="00F73203"/>
    <w:rsid w:val="00F75287"/>
    <w:rsid w:val="00F96691"/>
    <w:rsid w:val="00F97C56"/>
    <w:rsid w:val="00FA2AB7"/>
    <w:rsid w:val="00FB24AD"/>
    <w:rsid w:val="00FB4F9B"/>
    <w:rsid w:val="00FC3D68"/>
    <w:rsid w:val="00FD2932"/>
    <w:rsid w:val="00FD2EE2"/>
    <w:rsid w:val="00FD2FFA"/>
    <w:rsid w:val="00FD5F47"/>
    <w:rsid w:val="00FD614E"/>
    <w:rsid w:val="00FF55A6"/>
    <w:rsid w:val="00FF62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052BF"/>
  <w15:chartTrackingRefBased/>
  <w15:docId w15:val="{A77CE7E7-46EC-478B-8BAA-86E855F88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36A"/>
    <w:pPr>
      <w:spacing w:after="200" w:line="276" w:lineRule="auto"/>
    </w:pPr>
    <w:rPr>
      <w:rFonts w:ascii="Arial" w:eastAsiaTheme="minorEastAsia" w:hAnsi="Arial"/>
      <w:kern w:val="0"/>
      <w:sz w:val="22"/>
      <w:szCs w:val="22"/>
      <w:lang w:val="en-US"/>
      <w14:ligatures w14:val="none"/>
    </w:rPr>
  </w:style>
  <w:style w:type="paragraph" w:styleId="Heading1">
    <w:name w:val="heading 1"/>
    <w:basedOn w:val="Normal"/>
    <w:next w:val="Normal"/>
    <w:link w:val="Heading1Char"/>
    <w:uiPriority w:val="9"/>
    <w:qFormat/>
    <w:rsid w:val="00370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0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0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36A"/>
    <w:rPr>
      <w:rFonts w:eastAsiaTheme="majorEastAsia" w:cstheme="majorBidi"/>
      <w:color w:val="272727" w:themeColor="text1" w:themeTint="D8"/>
    </w:rPr>
  </w:style>
  <w:style w:type="paragraph" w:styleId="Title">
    <w:name w:val="Title"/>
    <w:basedOn w:val="Normal"/>
    <w:next w:val="Normal"/>
    <w:link w:val="TitleChar"/>
    <w:uiPriority w:val="10"/>
    <w:qFormat/>
    <w:rsid w:val="00370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36A"/>
    <w:pPr>
      <w:spacing w:before="160"/>
      <w:jc w:val="center"/>
    </w:pPr>
    <w:rPr>
      <w:i/>
      <w:iCs/>
      <w:color w:val="404040" w:themeColor="text1" w:themeTint="BF"/>
    </w:rPr>
  </w:style>
  <w:style w:type="character" w:customStyle="1" w:styleId="QuoteChar">
    <w:name w:val="Quote Char"/>
    <w:basedOn w:val="DefaultParagraphFont"/>
    <w:link w:val="Quote"/>
    <w:uiPriority w:val="29"/>
    <w:rsid w:val="0037036A"/>
    <w:rPr>
      <w:i/>
      <w:iCs/>
      <w:color w:val="404040" w:themeColor="text1" w:themeTint="BF"/>
    </w:rPr>
  </w:style>
  <w:style w:type="paragraph" w:styleId="ListParagraph">
    <w:name w:val="List Paragraph"/>
    <w:basedOn w:val="Normal"/>
    <w:uiPriority w:val="34"/>
    <w:qFormat/>
    <w:rsid w:val="0037036A"/>
    <w:pPr>
      <w:ind w:left="720"/>
      <w:contextualSpacing/>
    </w:pPr>
  </w:style>
  <w:style w:type="character" w:styleId="IntenseEmphasis">
    <w:name w:val="Intense Emphasis"/>
    <w:basedOn w:val="DefaultParagraphFont"/>
    <w:uiPriority w:val="21"/>
    <w:qFormat/>
    <w:rsid w:val="0037036A"/>
    <w:rPr>
      <w:i/>
      <w:iCs/>
      <w:color w:val="0F4761" w:themeColor="accent1" w:themeShade="BF"/>
    </w:rPr>
  </w:style>
  <w:style w:type="paragraph" w:styleId="IntenseQuote">
    <w:name w:val="Intense Quote"/>
    <w:basedOn w:val="Normal"/>
    <w:next w:val="Normal"/>
    <w:link w:val="IntenseQuoteChar"/>
    <w:uiPriority w:val="30"/>
    <w:qFormat/>
    <w:rsid w:val="00370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36A"/>
    <w:rPr>
      <w:i/>
      <w:iCs/>
      <w:color w:val="0F4761" w:themeColor="accent1" w:themeShade="BF"/>
    </w:rPr>
  </w:style>
  <w:style w:type="character" w:styleId="IntenseReference">
    <w:name w:val="Intense Reference"/>
    <w:basedOn w:val="DefaultParagraphFont"/>
    <w:uiPriority w:val="32"/>
    <w:qFormat/>
    <w:rsid w:val="0037036A"/>
    <w:rPr>
      <w:b/>
      <w:bCs/>
      <w:smallCaps/>
      <w:color w:val="0F4761" w:themeColor="accent1" w:themeShade="BF"/>
      <w:spacing w:val="5"/>
    </w:rPr>
  </w:style>
  <w:style w:type="paragraph" w:styleId="Footer">
    <w:name w:val="footer"/>
    <w:basedOn w:val="Normal"/>
    <w:link w:val="FooterChar"/>
    <w:uiPriority w:val="99"/>
    <w:unhideWhenUsed/>
    <w:rsid w:val="00370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36A"/>
  </w:style>
  <w:style w:type="character" w:styleId="PageNumber">
    <w:name w:val="page number"/>
    <w:basedOn w:val="DefaultParagraphFont"/>
    <w:uiPriority w:val="99"/>
    <w:semiHidden/>
    <w:unhideWhenUsed/>
    <w:rsid w:val="0037036A"/>
  </w:style>
  <w:style w:type="paragraph" w:customStyle="1" w:styleId="p1">
    <w:name w:val="p1"/>
    <w:basedOn w:val="Normal"/>
    <w:rsid w:val="0037036A"/>
    <w:pPr>
      <w:spacing w:after="0" w:line="240" w:lineRule="auto"/>
    </w:pPr>
    <w:rPr>
      <w:rFonts w:eastAsia="Times New Roman" w:cs="Arial"/>
      <w:color w:val="000000"/>
      <w:sz w:val="17"/>
      <w:szCs w:val="17"/>
      <w:lang w:val="en-GB" w:eastAsia="en-GB"/>
    </w:rPr>
  </w:style>
  <w:style w:type="character" w:customStyle="1" w:styleId="apple-converted-space">
    <w:name w:val="apple-converted-space"/>
    <w:basedOn w:val="DefaultParagraphFont"/>
    <w:rsid w:val="0037036A"/>
  </w:style>
  <w:style w:type="paragraph" w:styleId="TOCHeading">
    <w:name w:val="TOC Heading"/>
    <w:basedOn w:val="Heading1"/>
    <w:next w:val="Normal"/>
    <w:uiPriority w:val="39"/>
    <w:unhideWhenUsed/>
    <w:qFormat/>
    <w:rsid w:val="003A7F68"/>
    <w:pPr>
      <w:spacing w:before="480" w:after="0"/>
      <w:outlineLvl w:val="9"/>
    </w:pPr>
    <w:rPr>
      <w:b/>
      <w:bCs/>
      <w:sz w:val="28"/>
      <w:szCs w:val="28"/>
    </w:rPr>
  </w:style>
  <w:style w:type="paragraph" w:styleId="TOC1">
    <w:name w:val="toc 1"/>
    <w:basedOn w:val="Normal"/>
    <w:next w:val="Normal"/>
    <w:autoRedefine/>
    <w:uiPriority w:val="39"/>
    <w:unhideWhenUsed/>
    <w:rsid w:val="003A7F68"/>
    <w:pPr>
      <w:pBdr>
        <w:between w:val="double" w:sz="6" w:space="0" w:color="auto"/>
      </w:pBdr>
      <w:spacing w:before="120" w:after="120"/>
      <w:jc w:val="center"/>
    </w:pPr>
    <w:rPr>
      <w:rFonts w:asciiTheme="minorHAnsi" w:hAnsiTheme="minorHAnsi"/>
      <w:b/>
      <w:bCs/>
      <w:i/>
      <w:iCs/>
      <w:sz w:val="24"/>
      <w:szCs w:val="24"/>
    </w:rPr>
  </w:style>
  <w:style w:type="character" w:styleId="Hyperlink">
    <w:name w:val="Hyperlink"/>
    <w:basedOn w:val="DefaultParagraphFont"/>
    <w:uiPriority w:val="99"/>
    <w:unhideWhenUsed/>
    <w:rsid w:val="003A7F68"/>
    <w:rPr>
      <w:color w:val="467886" w:themeColor="hyperlink"/>
      <w:u w:val="single"/>
    </w:rPr>
  </w:style>
  <w:style w:type="paragraph" w:styleId="TOC2">
    <w:name w:val="toc 2"/>
    <w:basedOn w:val="Normal"/>
    <w:next w:val="Normal"/>
    <w:autoRedefine/>
    <w:uiPriority w:val="39"/>
    <w:unhideWhenUsed/>
    <w:rsid w:val="003A7F68"/>
    <w:pPr>
      <w:pBdr>
        <w:between w:val="double" w:sz="6" w:space="0" w:color="auto"/>
      </w:pBdr>
      <w:spacing w:before="120" w:after="120"/>
      <w:jc w:val="center"/>
    </w:pPr>
    <w:rPr>
      <w:rFonts w:asciiTheme="minorHAnsi" w:hAnsiTheme="minorHAnsi"/>
      <w:i/>
      <w:iCs/>
      <w:sz w:val="20"/>
      <w:szCs w:val="20"/>
    </w:rPr>
  </w:style>
  <w:style w:type="paragraph" w:styleId="TOC3">
    <w:name w:val="toc 3"/>
    <w:basedOn w:val="Normal"/>
    <w:next w:val="Normal"/>
    <w:autoRedefine/>
    <w:uiPriority w:val="39"/>
    <w:unhideWhenUsed/>
    <w:rsid w:val="003A7F68"/>
    <w:pPr>
      <w:pBdr>
        <w:between w:val="double" w:sz="6" w:space="0" w:color="auto"/>
      </w:pBdr>
      <w:spacing w:before="120" w:after="120"/>
      <w:ind w:left="220"/>
      <w:jc w:val="center"/>
    </w:pPr>
    <w:rPr>
      <w:rFonts w:asciiTheme="minorHAnsi" w:hAnsiTheme="minorHAnsi"/>
      <w:sz w:val="20"/>
      <w:szCs w:val="20"/>
    </w:rPr>
  </w:style>
  <w:style w:type="paragraph" w:styleId="TOC4">
    <w:name w:val="toc 4"/>
    <w:basedOn w:val="Normal"/>
    <w:next w:val="Normal"/>
    <w:autoRedefine/>
    <w:uiPriority w:val="39"/>
    <w:semiHidden/>
    <w:unhideWhenUsed/>
    <w:rsid w:val="003A7F68"/>
    <w:pPr>
      <w:pBdr>
        <w:between w:val="double" w:sz="6" w:space="0" w:color="auto"/>
      </w:pBdr>
      <w:spacing w:before="120" w:after="120"/>
      <w:ind w:left="440"/>
      <w:jc w:val="center"/>
    </w:pPr>
    <w:rPr>
      <w:rFonts w:asciiTheme="minorHAnsi" w:hAnsiTheme="minorHAnsi"/>
      <w:sz w:val="20"/>
      <w:szCs w:val="20"/>
    </w:rPr>
  </w:style>
  <w:style w:type="paragraph" w:styleId="TOC5">
    <w:name w:val="toc 5"/>
    <w:basedOn w:val="Normal"/>
    <w:next w:val="Normal"/>
    <w:autoRedefine/>
    <w:uiPriority w:val="39"/>
    <w:semiHidden/>
    <w:unhideWhenUsed/>
    <w:rsid w:val="003A7F68"/>
    <w:pPr>
      <w:pBdr>
        <w:between w:val="double" w:sz="6" w:space="0" w:color="auto"/>
      </w:pBdr>
      <w:spacing w:before="120" w:after="120"/>
      <w:ind w:left="660"/>
      <w:jc w:val="center"/>
    </w:pPr>
    <w:rPr>
      <w:rFonts w:asciiTheme="minorHAnsi" w:hAnsiTheme="minorHAnsi"/>
      <w:sz w:val="20"/>
      <w:szCs w:val="20"/>
    </w:rPr>
  </w:style>
  <w:style w:type="paragraph" w:styleId="TOC6">
    <w:name w:val="toc 6"/>
    <w:basedOn w:val="Normal"/>
    <w:next w:val="Normal"/>
    <w:autoRedefine/>
    <w:uiPriority w:val="39"/>
    <w:semiHidden/>
    <w:unhideWhenUsed/>
    <w:rsid w:val="003A7F68"/>
    <w:pPr>
      <w:pBdr>
        <w:between w:val="double" w:sz="6" w:space="0" w:color="auto"/>
      </w:pBdr>
      <w:spacing w:before="120" w:after="120"/>
      <w:ind w:left="880"/>
      <w:jc w:val="center"/>
    </w:pPr>
    <w:rPr>
      <w:rFonts w:asciiTheme="minorHAnsi" w:hAnsiTheme="minorHAnsi"/>
      <w:sz w:val="20"/>
      <w:szCs w:val="20"/>
    </w:rPr>
  </w:style>
  <w:style w:type="paragraph" w:styleId="TOC7">
    <w:name w:val="toc 7"/>
    <w:basedOn w:val="Normal"/>
    <w:next w:val="Normal"/>
    <w:autoRedefine/>
    <w:uiPriority w:val="39"/>
    <w:semiHidden/>
    <w:unhideWhenUsed/>
    <w:rsid w:val="003A7F68"/>
    <w:pPr>
      <w:pBdr>
        <w:between w:val="double" w:sz="6" w:space="0" w:color="auto"/>
      </w:pBdr>
      <w:spacing w:before="120" w:after="120"/>
      <w:ind w:left="1100"/>
      <w:jc w:val="center"/>
    </w:pPr>
    <w:rPr>
      <w:rFonts w:asciiTheme="minorHAnsi" w:hAnsiTheme="minorHAnsi"/>
      <w:sz w:val="20"/>
      <w:szCs w:val="20"/>
    </w:rPr>
  </w:style>
  <w:style w:type="paragraph" w:styleId="TOC8">
    <w:name w:val="toc 8"/>
    <w:basedOn w:val="Normal"/>
    <w:next w:val="Normal"/>
    <w:autoRedefine/>
    <w:uiPriority w:val="39"/>
    <w:semiHidden/>
    <w:unhideWhenUsed/>
    <w:rsid w:val="003A7F68"/>
    <w:pPr>
      <w:pBdr>
        <w:between w:val="double" w:sz="6" w:space="0" w:color="auto"/>
      </w:pBdr>
      <w:spacing w:before="120" w:after="120"/>
      <w:ind w:left="1320"/>
      <w:jc w:val="center"/>
    </w:pPr>
    <w:rPr>
      <w:rFonts w:asciiTheme="minorHAnsi" w:hAnsiTheme="minorHAnsi"/>
      <w:sz w:val="20"/>
      <w:szCs w:val="20"/>
    </w:rPr>
  </w:style>
  <w:style w:type="paragraph" w:styleId="TOC9">
    <w:name w:val="toc 9"/>
    <w:basedOn w:val="Normal"/>
    <w:next w:val="Normal"/>
    <w:autoRedefine/>
    <w:uiPriority w:val="39"/>
    <w:semiHidden/>
    <w:unhideWhenUsed/>
    <w:rsid w:val="003A7F68"/>
    <w:pPr>
      <w:pBdr>
        <w:between w:val="double" w:sz="6" w:space="0" w:color="auto"/>
      </w:pBdr>
      <w:spacing w:before="120" w:after="120"/>
      <w:ind w:left="1540"/>
      <w:jc w:val="center"/>
    </w:pPr>
    <w:rPr>
      <w:rFonts w:asciiTheme="minorHAnsi" w:hAnsiTheme="minorHAnsi"/>
      <w:sz w:val="20"/>
      <w:szCs w:val="20"/>
    </w:rPr>
  </w:style>
  <w:style w:type="paragraph" w:customStyle="1" w:styleId="p2">
    <w:name w:val="p2"/>
    <w:basedOn w:val="Normal"/>
    <w:rsid w:val="000151D6"/>
    <w:pPr>
      <w:spacing w:after="0" w:line="240" w:lineRule="auto"/>
    </w:pPr>
    <w:rPr>
      <w:rFonts w:eastAsia="Times New Roman" w:cs="Arial"/>
      <w:color w:val="000000"/>
      <w:sz w:val="17"/>
      <w:szCs w:val="17"/>
      <w:lang w:val="en-GB" w:eastAsia="en-GB"/>
    </w:rPr>
  </w:style>
  <w:style w:type="paragraph" w:customStyle="1" w:styleId="p3">
    <w:name w:val="p3"/>
    <w:basedOn w:val="Normal"/>
    <w:rsid w:val="009E36A4"/>
    <w:pPr>
      <w:spacing w:after="0" w:line="240" w:lineRule="auto"/>
    </w:pPr>
    <w:rPr>
      <w:rFonts w:ascii="Helvetica" w:eastAsia="Times New Roman" w:hAnsi="Helvetica" w:cs="Times New Roman"/>
      <w:color w:val="000000"/>
      <w:sz w:val="18"/>
      <w:szCs w:val="18"/>
      <w:lang w:val="en-GB" w:eastAsia="en-GB"/>
    </w:rPr>
  </w:style>
  <w:style w:type="paragraph" w:customStyle="1" w:styleId="p4">
    <w:name w:val="p4"/>
    <w:basedOn w:val="Normal"/>
    <w:rsid w:val="009E36A4"/>
    <w:pPr>
      <w:spacing w:after="0" w:line="240" w:lineRule="auto"/>
    </w:pPr>
    <w:rPr>
      <w:rFonts w:eastAsia="Times New Roman" w:cs="Arial"/>
      <w:color w:val="FB0007"/>
      <w:sz w:val="17"/>
      <w:szCs w:val="17"/>
      <w:lang w:val="en-GB" w:eastAsia="en-GB"/>
    </w:rPr>
  </w:style>
  <w:style w:type="character" w:customStyle="1" w:styleId="s1">
    <w:name w:val="s1"/>
    <w:basedOn w:val="DefaultParagraphFont"/>
    <w:rsid w:val="009E36A4"/>
    <w:rPr>
      <w:rFonts w:ascii="Helvetica" w:hAnsi="Helvetica" w:hint="default"/>
      <w:sz w:val="18"/>
      <w:szCs w:val="18"/>
    </w:rPr>
  </w:style>
  <w:style w:type="character" w:customStyle="1" w:styleId="s2">
    <w:name w:val="s2"/>
    <w:basedOn w:val="DefaultParagraphFont"/>
    <w:rsid w:val="009E36A4"/>
    <w:rPr>
      <w:color w:val="000000"/>
    </w:rPr>
  </w:style>
  <w:style w:type="paragraph" w:styleId="Header">
    <w:name w:val="header"/>
    <w:basedOn w:val="Normal"/>
    <w:link w:val="HeaderChar"/>
    <w:uiPriority w:val="99"/>
    <w:unhideWhenUsed/>
    <w:rsid w:val="007D0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38A"/>
    <w:rPr>
      <w:rFonts w:ascii="Arial" w:eastAsiaTheme="minorEastAsia" w:hAnsi="Arial"/>
      <w:kern w:val="0"/>
      <w:sz w:val="22"/>
      <w:szCs w:val="22"/>
      <w:lang w:val="en-US"/>
      <w14:ligatures w14:val="none"/>
    </w:rPr>
  </w:style>
  <w:style w:type="paragraph" w:customStyle="1" w:styleId="TableParagraph">
    <w:name w:val="Table Paragraph"/>
    <w:basedOn w:val="Normal"/>
    <w:uiPriority w:val="1"/>
    <w:qFormat/>
    <w:rsid w:val="005E781F"/>
    <w:pPr>
      <w:widowControl w:val="0"/>
      <w:autoSpaceDE w:val="0"/>
      <w:autoSpaceDN w:val="0"/>
      <w:spacing w:after="0" w:line="240" w:lineRule="auto"/>
      <w:ind w:left="107"/>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B47D1-3DD2-C343-ACE6-3844DD5EFC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4613</Words>
  <Characters>30452</Characters>
  <Application>Microsoft Office Word</Application>
  <DocSecurity>0</DocSecurity>
  <Lines>647</Lines>
  <Paragraphs>171</Paragraphs>
  <ScaleCrop>false</ScaleCrop>
  <Company/>
  <LinksUpToDate>false</LinksUpToDate>
  <CharactersWithSpaces>34894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Rezai (2317544)</dc:creator>
  <cp:keywords/>
  <dc:description/>
  <cp:lastModifiedBy>Helen Rezai (2317544)</cp:lastModifiedBy>
  <cp:revision>2</cp:revision>
  <dcterms:created xsi:type="dcterms:W3CDTF">2026-04-28T12:48:00Z</dcterms:created>
  <dcterms:modified xsi:type="dcterms:W3CDTF">2026-04-28T12:48:00Z</dcterms:modified>
</cp:coreProperties>
</file>