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3D1EC" w14:textId="3ED06F8D" w:rsidR="00DD5969" w:rsidRPr="00476F6D" w:rsidRDefault="00DD5969" w:rsidP="00A20EC8">
      <w:pPr>
        <w:spacing w:before="212"/>
        <w:jc w:val="both"/>
        <w:rPr>
          <w:rFonts w:asciiTheme="minorBidi" w:hAnsiTheme="minorBidi"/>
          <w:b/>
          <w:sz w:val="56"/>
          <w:szCs w:val="56"/>
        </w:rPr>
      </w:pPr>
      <w:r w:rsidRPr="00476F6D">
        <w:rPr>
          <w:rFonts w:asciiTheme="minorBidi" w:hAnsiTheme="minorBidi"/>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Pr="00476F6D" w:rsidRDefault="00DD5969" w:rsidP="00A20EC8">
      <w:pPr>
        <w:spacing w:before="212"/>
        <w:jc w:val="both"/>
        <w:rPr>
          <w:rFonts w:asciiTheme="minorBidi" w:hAnsiTheme="minorBidi"/>
          <w:b/>
          <w:sz w:val="56"/>
        </w:rPr>
      </w:pPr>
    </w:p>
    <w:p w14:paraId="7EE9271E" w14:textId="1920826F" w:rsidR="00DD5969" w:rsidRPr="00476F6D" w:rsidRDefault="00DD5969" w:rsidP="00A20EC8">
      <w:pPr>
        <w:spacing w:before="212"/>
        <w:jc w:val="both"/>
        <w:rPr>
          <w:rFonts w:asciiTheme="minorBidi" w:hAnsiTheme="minorBidi"/>
          <w:b/>
          <w:sz w:val="40"/>
          <w:szCs w:val="40"/>
          <w:highlight w:val="yellow"/>
          <w:lang w:val="fr-FR"/>
        </w:rPr>
      </w:pPr>
      <w:r w:rsidRPr="00476F6D">
        <w:rPr>
          <w:rFonts w:asciiTheme="minorBidi" w:hAnsiTheme="minorBidi"/>
          <w:b/>
          <w:bCs/>
          <w:sz w:val="48"/>
          <w:szCs w:val="48"/>
          <w:lang w:val="fr-FR"/>
        </w:rPr>
        <w:t xml:space="preserve">MODULE </w:t>
      </w:r>
      <w:proofErr w:type="gramStart"/>
      <w:r w:rsidR="00587C07">
        <w:rPr>
          <w:rFonts w:asciiTheme="minorBidi" w:hAnsiTheme="minorBidi"/>
          <w:b/>
          <w:bCs/>
          <w:sz w:val="48"/>
          <w:szCs w:val="48"/>
          <w:lang w:val="fr-FR"/>
        </w:rPr>
        <w:t>C</w:t>
      </w:r>
      <w:r w:rsidR="00587C07" w:rsidRPr="00476F6D">
        <w:rPr>
          <w:rFonts w:asciiTheme="minorBidi" w:hAnsiTheme="minorBidi"/>
          <w:b/>
          <w:bCs/>
          <w:sz w:val="48"/>
          <w:szCs w:val="48"/>
          <w:lang w:val="fr-FR"/>
        </w:rPr>
        <w:t>ODE:</w:t>
      </w:r>
      <w:proofErr w:type="gramEnd"/>
      <w:r w:rsidR="00587C07">
        <w:rPr>
          <w:rFonts w:asciiTheme="minorBidi" w:hAnsiTheme="minorBidi"/>
          <w:b/>
          <w:bCs/>
          <w:sz w:val="48"/>
          <w:szCs w:val="48"/>
          <w:lang w:val="fr-FR"/>
        </w:rPr>
        <w:t xml:space="preserve"> </w:t>
      </w:r>
      <w:r w:rsidR="00C07A46" w:rsidRPr="00476F6D">
        <w:rPr>
          <w:rFonts w:asciiTheme="minorBidi" w:hAnsiTheme="minorBidi"/>
          <w:b/>
          <w:bCs/>
          <w:sz w:val="48"/>
          <w:szCs w:val="48"/>
          <w:lang w:val="fr-FR"/>
        </w:rPr>
        <w:t>ECPT6005</w:t>
      </w:r>
    </w:p>
    <w:p w14:paraId="5051A2D5" w14:textId="77777777" w:rsidR="00347EA1" w:rsidRPr="00476F6D" w:rsidRDefault="00347EA1" w:rsidP="00A20EC8">
      <w:pPr>
        <w:spacing w:before="212"/>
        <w:jc w:val="both"/>
        <w:rPr>
          <w:rFonts w:asciiTheme="minorBidi" w:hAnsiTheme="minorBidi"/>
          <w:b/>
          <w:sz w:val="48"/>
          <w:szCs w:val="48"/>
          <w:lang w:val="fr-FR"/>
        </w:rPr>
      </w:pPr>
    </w:p>
    <w:p w14:paraId="52D012F0" w14:textId="7BA04A98" w:rsidR="00347EA1" w:rsidRDefault="00347EA1" w:rsidP="00A20EC8">
      <w:pPr>
        <w:spacing w:before="212"/>
        <w:jc w:val="both"/>
        <w:rPr>
          <w:rFonts w:asciiTheme="minorBidi" w:hAnsiTheme="minorBidi"/>
          <w:b/>
          <w:bCs/>
          <w:sz w:val="48"/>
          <w:szCs w:val="48"/>
        </w:rPr>
      </w:pPr>
      <w:r w:rsidRPr="00476F6D">
        <w:rPr>
          <w:rFonts w:asciiTheme="minorBidi" w:hAnsiTheme="minorBidi"/>
          <w:b/>
          <w:sz w:val="48"/>
          <w:szCs w:val="48"/>
          <w:lang w:val="fr-FR"/>
        </w:rPr>
        <w:t>ASSESSMENT</w:t>
      </w:r>
      <w:r w:rsidR="00A34AF2">
        <w:rPr>
          <w:rFonts w:asciiTheme="minorBidi" w:hAnsiTheme="minorBidi"/>
          <w:b/>
          <w:sz w:val="48"/>
          <w:szCs w:val="48"/>
          <w:lang w:val="fr-FR"/>
        </w:rPr>
        <w:t xml:space="preserve"> </w:t>
      </w:r>
      <w:proofErr w:type="gramStart"/>
      <w:r w:rsidR="00587C07" w:rsidRPr="00476F6D">
        <w:rPr>
          <w:rFonts w:asciiTheme="minorBidi" w:hAnsiTheme="minorBidi"/>
          <w:b/>
          <w:sz w:val="48"/>
          <w:szCs w:val="48"/>
          <w:lang w:val="fr-FR"/>
        </w:rPr>
        <w:t>COMPONENT:</w:t>
      </w:r>
      <w:proofErr w:type="gramEnd"/>
      <w:r w:rsidR="77A4C21D" w:rsidRPr="00476F6D">
        <w:rPr>
          <w:rFonts w:asciiTheme="minorBidi" w:hAnsiTheme="minorBidi"/>
          <w:b/>
          <w:bCs/>
          <w:sz w:val="48"/>
          <w:szCs w:val="48"/>
          <w:lang w:val="fr-FR"/>
        </w:rPr>
        <w:t xml:space="preserve"> </w:t>
      </w:r>
      <w:r w:rsidR="00644CD6" w:rsidRPr="00476F6D">
        <w:rPr>
          <w:rFonts w:asciiTheme="minorBidi" w:hAnsiTheme="minorBidi"/>
          <w:b/>
          <w:bCs/>
          <w:sz w:val="48"/>
          <w:szCs w:val="48"/>
          <w:lang w:val="fr-FR"/>
        </w:rPr>
        <w:t xml:space="preserve">1 – </w:t>
      </w:r>
      <w:r w:rsidR="00644CD6" w:rsidRPr="00476F6D">
        <w:rPr>
          <w:rFonts w:asciiTheme="minorBidi" w:hAnsiTheme="minorBidi"/>
          <w:b/>
          <w:bCs/>
          <w:sz w:val="48"/>
          <w:szCs w:val="48"/>
        </w:rPr>
        <w:t>Reflective</w:t>
      </w:r>
      <w:r w:rsidR="00644CD6" w:rsidRPr="00476F6D">
        <w:rPr>
          <w:rFonts w:asciiTheme="minorBidi" w:hAnsiTheme="minorBidi"/>
          <w:b/>
          <w:bCs/>
          <w:sz w:val="48"/>
          <w:szCs w:val="48"/>
          <w:lang w:val="fr-FR"/>
        </w:rPr>
        <w:t xml:space="preserve"> </w:t>
      </w:r>
      <w:r w:rsidR="00644CD6" w:rsidRPr="00476F6D">
        <w:rPr>
          <w:rFonts w:asciiTheme="minorBidi" w:hAnsiTheme="minorBidi"/>
          <w:b/>
          <w:bCs/>
          <w:sz w:val="48"/>
          <w:szCs w:val="48"/>
        </w:rPr>
        <w:t>Assignment</w:t>
      </w:r>
    </w:p>
    <w:p w14:paraId="7D194B1C" w14:textId="77777777" w:rsidR="00587C07" w:rsidRPr="00476F6D" w:rsidRDefault="00587C07" w:rsidP="00A20EC8">
      <w:pPr>
        <w:spacing w:before="212"/>
        <w:jc w:val="both"/>
        <w:rPr>
          <w:rFonts w:asciiTheme="minorBidi" w:hAnsiTheme="minorBidi"/>
          <w:b/>
          <w:sz w:val="48"/>
          <w:szCs w:val="48"/>
          <w:lang w:val="fr-FR"/>
        </w:rPr>
      </w:pPr>
    </w:p>
    <w:p w14:paraId="6AA1A7DC" w14:textId="77777777" w:rsidR="00DD5969" w:rsidRPr="00476F6D" w:rsidRDefault="00DD5969" w:rsidP="00A20EC8">
      <w:pPr>
        <w:spacing w:before="7"/>
        <w:jc w:val="both"/>
        <w:rPr>
          <w:rFonts w:asciiTheme="minorBidi" w:hAnsiTheme="minorBidi"/>
          <w:b/>
          <w:sz w:val="44"/>
        </w:rPr>
      </w:pPr>
    </w:p>
    <w:p w14:paraId="7681432B" w14:textId="54608E06" w:rsidR="00DD5969" w:rsidRPr="00476F6D" w:rsidRDefault="00DD5969" w:rsidP="00A20EC8">
      <w:pPr>
        <w:spacing w:before="3"/>
        <w:jc w:val="both"/>
        <w:rPr>
          <w:rFonts w:asciiTheme="minorBidi" w:hAnsiTheme="minorBidi"/>
          <w:b/>
          <w:sz w:val="48"/>
          <w:szCs w:val="48"/>
        </w:rPr>
      </w:pPr>
      <w:r w:rsidRPr="00476F6D">
        <w:rPr>
          <w:rFonts w:asciiTheme="minorBidi" w:hAnsiTheme="minorBidi"/>
          <w:b/>
          <w:sz w:val="48"/>
          <w:szCs w:val="48"/>
        </w:rPr>
        <w:t>STUDENT NAME:</w:t>
      </w:r>
      <w:r w:rsidR="00587C07">
        <w:rPr>
          <w:rFonts w:asciiTheme="minorBidi" w:hAnsiTheme="minorBidi"/>
          <w:b/>
          <w:sz w:val="48"/>
          <w:szCs w:val="48"/>
        </w:rPr>
        <w:t xml:space="preserve"> </w:t>
      </w:r>
      <w:r w:rsidR="00A34AF2">
        <w:rPr>
          <w:rFonts w:asciiTheme="minorBidi" w:hAnsiTheme="minorBidi"/>
          <w:b/>
          <w:sz w:val="48"/>
          <w:szCs w:val="48"/>
        </w:rPr>
        <w:t xml:space="preserve">     </w:t>
      </w:r>
      <w:r w:rsidR="00587C07">
        <w:rPr>
          <w:rFonts w:asciiTheme="minorBidi" w:hAnsiTheme="minorBidi"/>
          <w:b/>
          <w:sz w:val="48"/>
          <w:szCs w:val="48"/>
        </w:rPr>
        <w:t>Elsayed Elhoshi</w:t>
      </w:r>
    </w:p>
    <w:p w14:paraId="0D16D138" w14:textId="77777777" w:rsidR="00DD5969" w:rsidRPr="00476F6D" w:rsidRDefault="00DD5969" w:rsidP="00A20EC8">
      <w:pPr>
        <w:spacing w:before="3"/>
        <w:jc w:val="both"/>
        <w:rPr>
          <w:rFonts w:asciiTheme="minorBidi" w:hAnsiTheme="minorBidi"/>
          <w:b/>
          <w:sz w:val="48"/>
          <w:szCs w:val="48"/>
        </w:rPr>
      </w:pPr>
    </w:p>
    <w:p w14:paraId="18107AFF" w14:textId="02BED2F7" w:rsidR="00DD5969" w:rsidRDefault="00DD5969" w:rsidP="00A20EC8">
      <w:pPr>
        <w:spacing w:before="3"/>
        <w:jc w:val="both"/>
        <w:rPr>
          <w:rFonts w:asciiTheme="minorBidi" w:hAnsiTheme="minorBidi"/>
          <w:b/>
          <w:sz w:val="48"/>
          <w:szCs w:val="48"/>
        </w:rPr>
      </w:pPr>
      <w:r w:rsidRPr="00476F6D">
        <w:rPr>
          <w:rFonts w:asciiTheme="minorBidi" w:hAnsiTheme="minorBidi"/>
          <w:b/>
          <w:sz w:val="48"/>
          <w:szCs w:val="48"/>
        </w:rPr>
        <w:t xml:space="preserve">STUDENT </w:t>
      </w:r>
      <w:r w:rsidR="007203C3" w:rsidRPr="00476F6D">
        <w:rPr>
          <w:rFonts w:asciiTheme="minorBidi" w:hAnsiTheme="minorBidi"/>
          <w:b/>
          <w:sz w:val="48"/>
          <w:szCs w:val="48"/>
        </w:rPr>
        <w:t>NUMBER</w:t>
      </w:r>
      <w:r w:rsidRPr="00476F6D">
        <w:rPr>
          <w:rFonts w:asciiTheme="minorBidi" w:hAnsiTheme="minorBidi"/>
          <w:b/>
          <w:sz w:val="48"/>
          <w:szCs w:val="48"/>
        </w:rPr>
        <w:t>:</w:t>
      </w:r>
      <w:r w:rsidR="00587C07">
        <w:rPr>
          <w:rFonts w:asciiTheme="minorBidi" w:hAnsiTheme="minorBidi"/>
          <w:b/>
          <w:sz w:val="48"/>
          <w:szCs w:val="48"/>
        </w:rPr>
        <w:t xml:space="preserve"> 2420482</w:t>
      </w:r>
    </w:p>
    <w:p w14:paraId="6DB00AF2" w14:textId="15A0CF1E" w:rsidR="00587C07" w:rsidRDefault="00587C07" w:rsidP="00A20EC8">
      <w:pPr>
        <w:spacing w:before="3"/>
        <w:jc w:val="both"/>
        <w:rPr>
          <w:rFonts w:asciiTheme="minorBidi" w:hAnsiTheme="minorBidi"/>
          <w:b/>
          <w:sz w:val="48"/>
          <w:szCs w:val="48"/>
        </w:rPr>
      </w:pPr>
    </w:p>
    <w:p w14:paraId="55367D5A" w14:textId="4F5A9AE2" w:rsidR="00587C07" w:rsidRPr="00476F6D" w:rsidRDefault="00587C07" w:rsidP="00A20EC8">
      <w:pPr>
        <w:spacing w:before="3"/>
        <w:jc w:val="both"/>
        <w:rPr>
          <w:rFonts w:asciiTheme="minorBidi" w:hAnsiTheme="minorBidi"/>
          <w:b/>
          <w:sz w:val="48"/>
          <w:szCs w:val="48"/>
        </w:rPr>
      </w:pPr>
      <w:r>
        <w:rPr>
          <w:rFonts w:asciiTheme="minorBidi" w:hAnsiTheme="minorBidi"/>
          <w:b/>
          <w:sz w:val="48"/>
          <w:szCs w:val="48"/>
        </w:rPr>
        <w:t>A</w:t>
      </w:r>
      <w:r w:rsidR="00A34AF2">
        <w:rPr>
          <w:rFonts w:asciiTheme="minorBidi" w:hAnsiTheme="minorBidi"/>
          <w:b/>
          <w:sz w:val="48"/>
          <w:szCs w:val="48"/>
        </w:rPr>
        <w:t>CADEMIC YEAR:</w:t>
      </w:r>
      <w:r>
        <w:rPr>
          <w:rFonts w:asciiTheme="minorBidi" w:hAnsiTheme="minorBidi"/>
          <w:b/>
          <w:sz w:val="48"/>
          <w:szCs w:val="48"/>
        </w:rPr>
        <w:t xml:space="preserve"> </w:t>
      </w:r>
      <w:r w:rsidR="00A34AF2">
        <w:rPr>
          <w:rFonts w:asciiTheme="minorBidi" w:hAnsiTheme="minorBidi"/>
          <w:b/>
          <w:sz w:val="48"/>
          <w:szCs w:val="48"/>
        </w:rPr>
        <w:t xml:space="preserve">   </w:t>
      </w:r>
      <w:r>
        <w:rPr>
          <w:rFonts w:asciiTheme="minorBidi" w:hAnsiTheme="minorBidi"/>
          <w:b/>
          <w:sz w:val="48"/>
          <w:szCs w:val="48"/>
        </w:rPr>
        <w:t>2024/</w:t>
      </w:r>
      <w:r w:rsidR="00A34AF2">
        <w:rPr>
          <w:rFonts w:asciiTheme="minorBidi" w:hAnsiTheme="minorBidi"/>
          <w:b/>
          <w:sz w:val="48"/>
          <w:szCs w:val="48"/>
        </w:rPr>
        <w:t>2</w:t>
      </w:r>
      <w:r>
        <w:rPr>
          <w:rFonts w:asciiTheme="minorBidi" w:hAnsiTheme="minorBidi"/>
          <w:b/>
          <w:sz w:val="48"/>
          <w:szCs w:val="48"/>
        </w:rPr>
        <w:t>025</w:t>
      </w:r>
    </w:p>
    <w:p w14:paraId="4FD52B0A" w14:textId="77777777" w:rsidR="00DD5969" w:rsidRPr="00476F6D" w:rsidRDefault="00DD5969" w:rsidP="00A20EC8">
      <w:pPr>
        <w:jc w:val="both"/>
        <w:rPr>
          <w:rFonts w:asciiTheme="minorBidi" w:hAnsiTheme="minorBidi"/>
          <w:b/>
          <w:sz w:val="47"/>
        </w:rPr>
      </w:pPr>
    </w:p>
    <w:p w14:paraId="6A6D4CC8" w14:textId="77777777" w:rsidR="00A34AF2" w:rsidRDefault="00A34AF2" w:rsidP="00A20EC8">
      <w:pPr>
        <w:spacing w:after="0" w:line="240" w:lineRule="auto"/>
        <w:jc w:val="both"/>
        <w:textAlignment w:val="baseline"/>
        <w:rPr>
          <w:rFonts w:asciiTheme="minorBidi" w:hAnsiTheme="minorBidi"/>
          <w:b/>
          <w:sz w:val="47"/>
        </w:rPr>
      </w:pPr>
    </w:p>
    <w:p w14:paraId="4C7E7083" w14:textId="77777777" w:rsidR="00A34AF2" w:rsidRDefault="00A34AF2" w:rsidP="00A20EC8">
      <w:pPr>
        <w:spacing w:after="0" w:line="240" w:lineRule="auto"/>
        <w:jc w:val="both"/>
        <w:textAlignment w:val="baseline"/>
        <w:rPr>
          <w:rFonts w:asciiTheme="minorBidi" w:eastAsia="Times New Roman" w:hAnsiTheme="minorBidi"/>
          <w:b/>
          <w:bCs/>
          <w:color w:val="000000"/>
          <w:kern w:val="0"/>
          <w14:ligatures w14:val="none"/>
        </w:rPr>
      </w:pPr>
    </w:p>
    <w:p w14:paraId="40166D27" w14:textId="77777777" w:rsidR="00A34AF2" w:rsidRDefault="00A34AF2" w:rsidP="00A20EC8">
      <w:pPr>
        <w:spacing w:after="0" w:line="240" w:lineRule="auto"/>
        <w:jc w:val="both"/>
        <w:textAlignment w:val="baseline"/>
        <w:rPr>
          <w:rFonts w:asciiTheme="minorBidi" w:eastAsia="Times New Roman" w:hAnsiTheme="minorBidi"/>
          <w:b/>
          <w:bCs/>
          <w:color w:val="000000"/>
          <w:kern w:val="0"/>
          <w14:ligatures w14:val="none"/>
        </w:rPr>
      </w:pPr>
    </w:p>
    <w:p w14:paraId="5A5D8F07" w14:textId="29AF2B21" w:rsidR="00164156" w:rsidRPr="00476F6D" w:rsidRDefault="00164156" w:rsidP="00A20EC8">
      <w:pPr>
        <w:spacing w:after="0" w:line="240" w:lineRule="auto"/>
        <w:jc w:val="both"/>
        <w:textAlignment w:val="baseline"/>
        <w:rPr>
          <w:rFonts w:asciiTheme="minorBidi" w:eastAsia="Times New Roman" w:hAnsiTheme="minorBidi"/>
          <w:color w:val="000000"/>
          <w:kern w:val="0"/>
          <w14:ligatures w14:val="none"/>
        </w:rPr>
      </w:pPr>
      <w:r w:rsidRPr="00476F6D">
        <w:rPr>
          <w:rFonts w:asciiTheme="minorBidi" w:eastAsia="Times New Roman" w:hAnsiTheme="minorBidi"/>
          <w:b/>
          <w:bCs/>
          <w:color w:val="000000"/>
          <w:kern w:val="0"/>
          <w14:ligatures w14:val="none"/>
        </w:rPr>
        <w:lastRenderedPageBreak/>
        <w:t>Use of Generative AI in Assessment</w:t>
      </w:r>
      <w:r w:rsidRPr="00476F6D">
        <w:rPr>
          <w:rFonts w:asciiTheme="minorBidi" w:eastAsia="Times New Roman" w:hAnsiTheme="minorBidi"/>
          <w:color w:val="000000"/>
          <w:kern w:val="0"/>
          <w14:ligatures w14:val="none"/>
        </w:rPr>
        <w:t> </w:t>
      </w:r>
    </w:p>
    <w:p w14:paraId="5492B16D"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6"/>
        <w:gridCol w:w="4898"/>
        <w:gridCol w:w="1306"/>
      </w:tblGrid>
      <w:tr w:rsidR="00164156" w:rsidRPr="00476F6D"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4F5FD200"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847630336"/>
                <w14:checkbox>
                  <w14:checked w14:val="1"/>
                  <w14:checkedState w14:val="2612" w14:font="MS Gothic"/>
                  <w14:uncheckedState w14:val="2610" w14:font="MS Gothic"/>
                </w14:checkbox>
              </w:sdtPr>
              <w:sdtEndPr/>
              <w:sdtContent>
                <w:r w:rsidR="00644CD6" w:rsidRPr="00476F6D">
                  <w:rPr>
                    <w:rFonts w:ascii="Segoe UI Symbol" w:eastAsia="MS Gothic" w:hAnsi="Segoe UI Symbol" w:cs="Segoe UI Symbol"/>
                    <w:color w:val="000000"/>
                    <w:kern w:val="0"/>
                    <w14:ligatures w14:val="none"/>
                  </w:rPr>
                  <w:t>☒</w:t>
                </w:r>
              </w:sdtContent>
            </w:sdt>
          </w:p>
          <w:p w14:paraId="10B29FE4"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2FACB802" w14:textId="0DB14D4C"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60912764"/>
                <w14:checkbox>
                  <w14:checked w14:val="0"/>
                  <w14:checkedState w14:val="2612" w14:font="MS Gothic"/>
                  <w14:uncheckedState w14:val="2610" w14:font="MS Gothic"/>
                </w14:checkbox>
              </w:sdtPr>
              <w:sdtEndPr/>
              <w:sdtContent>
                <w:r w:rsidR="00110DEC" w:rsidRPr="00476F6D">
                  <w:rPr>
                    <w:rFonts w:ascii="Segoe UI Symbol" w:eastAsia="MS Gothic" w:hAnsi="Segoe UI Symbol" w:cs="Segoe UI Symbol"/>
                    <w:color w:val="000000"/>
                    <w:kern w:val="0"/>
                    <w14:ligatures w14:val="none"/>
                  </w:rPr>
                  <w:t>☐</w:t>
                </w:r>
              </w:sdtContent>
            </w:sdt>
          </w:p>
        </w:tc>
      </w:tr>
      <w:tr w:rsidR="00164156" w:rsidRPr="00476F6D"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171FAC1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275852430"/>
                <w14:checkbox>
                  <w14:checked w14:val="1"/>
                  <w14:checkedState w14:val="2612" w14:font="MS Gothic"/>
                  <w14:uncheckedState w14:val="2610" w14:font="MS Gothic"/>
                </w14:checkbox>
              </w:sdtPr>
              <w:sdtEndPr/>
              <w:sdtContent>
                <w:r w:rsidR="00644CD6" w:rsidRPr="00476F6D">
                  <w:rPr>
                    <w:rFonts w:ascii="Segoe UI Symbol" w:eastAsia="MS Gothic" w:hAnsi="Segoe UI Symbol" w:cs="Segoe UI Symbol"/>
                    <w:color w:val="000000"/>
                    <w:kern w:val="0"/>
                    <w14:ligatures w14:val="none"/>
                  </w:rPr>
                  <w:t>☒</w:t>
                </w:r>
              </w:sdtContent>
            </w:sdt>
          </w:p>
          <w:p w14:paraId="38833C16"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39D397BD" w14:textId="1DA4F5E1" w:rsidR="00164156"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479833366"/>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tc>
      </w:tr>
      <w:tr w:rsidR="00164156" w:rsidRPr="00476F6D"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323D073E"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689367090"/>
                <w14:checkbox>
                  <w14:checked w14:val="1"/>
                  <w14:checkedState w14:val="2612" w14:font="MS Gothic"/>
                  <w14:uncheckedState w14:val="2610" w14:font="MS Gothic"/>
                </w14:checkbox>
              </w:sdtPr>
              <w:sdtEndPr/>
              <w:sdtContent>
                <w:r w:rsidR="00644CD6" w:rsidRPr="00476F6D">
                  <w:rPr>
                    <w:rFonts w:ascii="Segoe UI Symbol" w:eastAsia="MS Gothic" w:hAnsi="Segoe UI Symbol" w:cs="Segoe UI Symbol"/>
                    <w:color w:val="000000"/>
                    <w:kern w:val="0"/>
                    <w14:ligatures w14:val="none"/>
                  </w:rPr>
                  <w:t>☒</w:t>
                </w:r>
              </w:sdtContent>
            </w:sdt>
          </w:p>
          <w:p w14:paraId="58968DAC"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4383FAE8" w14:textId="22C5ECCF" w:rsidR="00164156"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2131775216"/>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tc>
      </w:tr>
      <w:tr w:rsidR="00164156" w:rsidRPr="00476F6D"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109736992"/>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p w14:paraId="19D7CEE6"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61EBE517" w14:textId="7442D813" w:rsidR="00164156"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222023032"/>
                <w14:checkbox>
                  <w14:checked w14:val="1"/>
                  <w14:checkedState w14:val="2612" w14:font="MS Gothic"/>
                  <w14:uncheckedState w14:val="2610" w14:font="MS Gothic"/>
                </w14:checkbox>
              </w:sdtPr>
              <w:sdtEndPr/>
              <w:sdtContent>
                <w:r w:rsidR="00644CD6" w:rsidRPr="00476F6D">
                  <w:rPr>
                    <w:rFonts w:ascii="Segoe UI Symbol" w:eastAsia="MS Gothic" w:hAnsi="Segoe UI Symbol" w:cs="Segoe UI Symbol"/>
                    <w:color w:val="000000"/>
                    <w:kern w:val="0"/>
                    <w14:ligatures w14:val="none"/>
                  </w:rPr>
                  <w:t>☒</w:t>
                </w:r>
              </w:sdtContent>
            </w:sdt>
          </w:p>
        </w:tc>
      </w:tr>
      <w:tr w:rsidR="00164156" w:rsidRPr="00476F6D"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2087532028"/>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p w14:paraId="7D99E8B3"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192B64FE" w14:textId="13F68AD1" w:rsidR="00164156"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815298599"/>
                <w14:checkbox>
                  <w14:checked w14:val="1"/>
                  <w14:checkedState w14:val="2612" w14:font="MS Gothic"/>
                  <w14:uncheckedState w14:val="2610" w14:font="MS Gothic"/>
                </w14:checkbox>
              </w:sdtPr>
              <w:sdtEndPr/>
              <w:sdtContent>
                <w:r w:rsidR="00644CD6" w:rsidRPr="00476F6D">
                  <w:rPr>
                    <w:rFonts w:ascii="Segoe UI Symbol" w:eastAsia="MS Gothic" w:hAnsi="Segoe UI Symbol" w:cs="Segoe UI Symbol"/>
                    <w:color w:val="000000"/>
                    <w:kern w:val="0"/>
                    <w14:ligatures w14:val="none"/>
                  </w:rPr>
                  <w:t>☒</w:t>
                </w:r>
              </w:sdtContent>
            </w:sdt>
          </w:p>
        </w:tc>
      </w:tr>
      <w:tr w:rsidR="00164156" w:rsidRPr="00476F6D"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1812363312"/>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p w14:paraId="166EE71E"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1CFE2096" w14:textId="37A536DA" w:rsidR="00164156"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781853610"/>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tc>
      </w:tr>
      <w:tr w:rsidR="00164156" w:rsidRPr="00476F6D"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07844210" w:rsidR="00164156" w:rsidRPr="00476F6D"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For this assessment, you are not allowed to use </w:t>
            </w:r>
            <w:r w:rsidRPr="00476F6D">
              <w:rPr>
                <w:rFonts w:asciiTheme="minorBidi" w:eastAsia="Times New Roman" w:hAnsiTheme="minorBidi"/>
                <w:b/>
                <w:bCs/>
                <w:color w:val="000000"/>
                <w:kern w:val="0"/>
                <w14:ligatures w14:val="none"/>
              </w:rPr>
              <w:t>any</w:t>
            </w:r>
            <w:r w:rsidRPr="00476F6D">
              <w:rPr>
                <w:rFonts w:asciiTheme="minorBidi" w:eastAsia="Times New Roman" w:hAnsiTheme="minorBidi"/>
                <w:color w:val="000000"/>
                <w:kern w:val="0"/>
                <w14:ligatures w14:val="none"/>
              </w:rPr>
              <w:t xml:space="preserve"> type of Generative AI support. This includes research support, structure support, writing/proofreading support</w:t>
            </w:r>
            <w:r w:rsidR="00587C07">
              <w:rPr>
                <w:rFonts w:asciiTheme="minorBidi" w:eastAsia="Times New Roman" w:hAnsiTheme="minorBidi"/>
                <w:color w:val="000000"/>
                <w:kern w:val="0"/>
                <w14:ligatures w14:val="none"/>
              </w:rPr>
              <w:t>,</w:t>
            </w:r>
            <w:r w:rsidRPr="00476F6D">
              <w:rPr>
                <w:rFonts w:asciiTheme="minorBidi" w:eastAsia="Times New Roman" w:hAnsiTheme="minorBidi"/>
                <w:color w:val="000000"/>
                <w:kern w:val="0"/>
                <w14:ligatures w14:val="none"/>
              </w:rPr>
              <w:t xml:space="preserve">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Yes  </w:t>
            </w:r>
            <w:sdt>
              <w:sdtPr>
                <w:rPr>
                  <w:rFonts w:asciiTheme="minorBidi" w:eastAsia="Times New Roman" w:hAnsiTheme="minorBidi"/>
                  <w:color w:val="000000"/>
                  <w:kern w:val="0"/>
                  <w14:ligatures w14:val="none"/>
                </w:rPr>
                <w:id w:val="-92322400"/>
                <w14:checkbox>
                  <w14:checked w14:val="0"/>
                  <w14:checkedState w14:val="2612" w14:font="MS Gothic"/>
                  <w14:uncheckedState w14:val="2610" w14:font="MS Gothic"/>
                </w14:checkbox>
              </w:sdtPr>
              <w:sdtEndPr/>
              <w:sdtContent>
                <w:r w:rsidRPr="00476F6D">
                  <w:rPr>
                    <w:rFonts w:ascii="Segoe UI Symbol" w:eastAsia="MS Gothic" w:hAnsi="Segoe UI Symbol" w:cs="Segoe UI Symbol"/>
                    <w:color w:val="000000"/>
                    <w:kern w:val="0"/>
                    <w14:ligatures w14:val="none"/>
                  </w:rPr>
                  <w:t>☐</w:t>
                </w:r>
              </w:sdtContent>
            </w:sdt>
          </w:p>
          <w:p w14:paraId="52A3BE94" w14:textId="77777777" w:rsidR="00110DEC"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w:t>
            </w:r>
          </w:p>
          <w:p w14:paraId="02C0DD63" w14:textId="2B82B29D" w:rsidR="00164156" w:rsidRPr="00476F6D" w:rsidRDefault="00110DEC"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color w:val="000000"/>
                <w:kern w:val="0"/>
                <w14:ligatures w14:val="none"/>
              </w:rPr>
              <w:t xml:space="preserve">No   </w:t>
            </w:r>
            <w:sdt>
              <w:sdtPr>
                <w:rPr>
                  <w:rFonts w:asciiTheme="minorBidi" w:eastAsia="Times New Roman" w:hAnsiTheme="minorBidi"/>
                  <w:color w:val="000000"/>
                  <w:kern w:val="0"/>
                  <w14:ligatures w14:val="none"/>
                </w:rPr>
                <w:id w:val="1538934146"/>
                <w14:checkbox>
                  <w14:checked w14:val="1"/>
                  <w14:checkedState w14:val="2612" w14:font="MS Gothic"/>
                  <w14:uncheckedState w14:val="2610" w14:font="MS Gothic"/>
                </w14:checkbox>
              </w:sdtPr>
              <w:sdtEndPr/>
              <w:sdtContent>
                <w:r w:rsidR="00644CD6" w:rsidRPr="00476F6D">
                  <w:rPr>
                    <w:rFonts w:ascii="Segoe UI Symbol" w:eastAsia="MS Gothic" w:hAnsi="Segoe UI Symbol" w:cs="Segoe UI Symbol"/>
                    <w:color w:val="000000"/>
                    <w:kern w:val="0"/>
                    <w14:ligatures w14:val="none"/>
                  </w:rPr>
                  <w:t>☒</w:t>
                </w:r>
              </w:sdtContent>
            </w:sdt>
          </w:p>
        </w:tc>
      </w:tr>
    </w:tbl>
    <w:p w14:paraId="1B4637CF" w14:textId="77777777" w:rsidR="00587C07" w:rsidRDefault="00164156"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eastAsia="Times New Roman" w:hAnsiTheme="minorBidi"/>
          <w:kern w:val="0"/>
          <w14:ligatures w14:val="none"/>
        </w:rPr>
        <w:t> </w:t>
      </w:r>
    </w:p>
    <w:p w14:paraId="28171F09" w14:textId="58785448" w:rsidR="00D33868" w:rsidRPr="00587C07" w:rsidRDefault="00B103B9" w:rsidP="00A20EC8">
      <w:pPr>
        <w:spacing w:after="0" w:line="240" w:lineRule="auto"/>
        <w:jc w:val="both"/>
        <w:textAlignment w:val="baseline"/>
        <w:rPr>
          <w:rFonts w:asciiTheme="minorBidi" w:eastAsia="Times New Roman" w:hAnsiTheme="minorBidi"/>
          <w:kern w:val="0"/>
          <w14:ligatures w14:val="none"/>
        </w:rPr>
      </w:pPr>
      <w:r w:rsidRPr="00476F6D">
        <w:rPr>
          <w:rFonts w:asciiTheme="minorBidi" w:hAnsiTheme="minorBidi"/>
          <w:b/>
          <w:bCs/>
          <w:u w:val="single"/>
        </w:rPr>
        <w:t>AI Acknowledgement</w:t>
      </w:r>
      <w:r w:rsidR="003A4B66" w:rsidRPr="00476F6D">
        <w:rPr>
          <w:rFonts w:asciiTheme="minorBidi" w:hAnsiTheme="minorBidi"/>
          <w:b/>
          <w:bCs/>
          <w:u w:val="single"/>
        </w:rPr>
        <w:t xml:space="preserve">  </w:t>
      </w:r>
    </w:p>
    <w:p w14:paraId="5A38292B" w14:textId="71A59523" w:rsidR="00B103B9" w:rsidRPr="00476F6D" w:rsidRDefault="00476F6D" w:rsidP="00A20EC8">
      <w:pPr>
        <w:jc w:val="both"/>
        <w:rPr>
          <w:rFonts w:asciiTheme="minorBidi" w:hAnsiTheme="minorBidi"/>
        </w:rPr>
      </w:pPr>
      <w:r>
        <w:rPr>
          <w:rFonts w:asciiTheme="minorBidi" w:hAnsiTheme="minorBidi"/>
          <w:b/>
          <w:bCs/>
        </w:rPr>
        <w:t>Either:</w:t>
      </w:r>
    </w:p>
    <w:p w14:paraId="4EE20A6B" w14:textId="77777777" w:rsidR="00E243A8" w:rsidRPr="00476F6D" w:rsidRDefault="00E243A8" w:rsidP="00A20EC8">
      <w:pPr>
        <w:jc w:val="both"/>
        <w:rPr>
          <w:rFonts w:asciiTheme="minorBidi" w:hAnsiTheme="minorBidi"/>
        </w:rPr>
      </w:pPr>
      <w:r w:rsidRPr="00476F6D">
        <w:rPr>
          <w:rFonts w:asciiTheme="minorBidi" w:hAnsiTheme="minorBidi"/>
        </w:rPr>
        <w:t xml:space="preserve">I confirm that I have not used any AI tools in the research and creation of this assignment. </w:t>
      </w:r>
    </w:p>
    <w:p w14:paraId="768557CB" w14:textId="1A027B50" w:rsidR="00C2550A" w:rsidRPr="00476F6D" w:rsidRDefault="00E243A8" w:rsidP="00A20EC8">
      <w:pPr>
        <w:jc w:val="both"/>
        <w:rPr>
          <w:rFonts w:asciiTheme="minorBidi" w:hAnsiTheme="minorBidi"/>
        </w:rPr>
      </w:pPr>
      <w:r w:rsidRPr="00476F6D">
        <w:rPr>
          <w:rFonts w:asciiTheme="minorBidi" w:hAnsiTheme="minorBidi"/>
        </w:rPr>
        <w:t xml:space="preserve">I confirm that I have not presented any </w:t>
      </w:r>
      <w:r w:rsidR="00587C07">
        <w:rPr>
          <w:rFonts w:asciiTheme="minorBidi" w:hAnsiTheme="minorBidi"/>
        </w:rPr>
        <w:t>AI-generated</w:t>
      </w:r>
      <w:r w:rsidRPr="00476F6D">
        <w:rPr>
          <w:rFonts w:asciiTheme="minorBidi" w:hAnsiTheme="minorBidi"/>
        </w:rPr>
        <w:t xml:space="preserve"> materials as my own work. </w:t>
      </w:r>
    </w:p>
    <w:p w14:paraId="10466C31" w14:textId="26C69718" w:rsidR="00E243A8" w:rsidRPr="00476F6D" w:rsidRDefault="00E243A8" w:rsidP="00A20EC8">
      <w:pPr>
        <w:jc w:val="both"/>
        <w:rPr>
          <w:rFonts w:asciiTheme="minorBidi" w:hAnsiTheme="minorBidi"/>
        </w:rPr>
      </w:pPr>
      <w:r w:rsidRPr="00476F6D">
        <w:rPr>
          <w:rFonts w:asciiTheme="minorBidi" w:hAnsiTheme="minorBidi"/>
        </w:rPr>
        <w:t xml:space="preserve">I confirm </w:t>
      </w:r>
      <w:r w:rsidR="00C2550A" w:rsidRPr="00476F6D">
        <w:rPr>
          <w:rFonts w:asciiTheme="minorBidi" w:hAnsiTheme="minorBidi"/>
        </w:rPr>
        <w:t xml:space="preserve">that </w:t>
      </w:r>
      <w:r w:rsidRPr="00476F6D">
        <w:rPr>
          <w:rFonts w:asciiTheme="minorBidi" w:hAnsiTheme="minorBidi"/>
        </w:rPr>
        <w:t xml:space="preserve">I have copies of my drafts, notes, and other resources I used, which I may be asked to provide </w:t>
      </w:r>
      <w:r w:rsidR="00587C07">
        <w:rPr>
          <w:rFonts w:asciiTheme="minorBidi" w:hAnsiTheme="minorBidi"/>
        </w:rPr>
        <w:t>as</w:t>
      </w:r>
      <w:r w:rsidRPr="00476F6D">
        <w:rPr>
          <w:rFonts w:asciiTheme="minorBidi" w:hAnsiTheme="minorBidi"/>
        </w:rPr>
        <w:t xml:space="preserve"> evidence.</w:t>
      </w:r>
    </w:p>
    <w:p w14:paraId="35F8404C" w14:textId="0981732A" w:rsidR="00E243A8" w:rsidRPr="00587C07" w:rsidRDefault="00E243A8" w:rsidP="00A20EC8">
      <w:pPr>
        <w:jc w:val="both"/>
        <w:rPr>
          <w:rFonts w:asciiTheme="minorBidi" w:hAnsiTheme="minorBidi"/>
          <w:b/>
          <w:bCs/>
        </w:rPr>
      </w:pPr>
      <w:r w:rsidRPr="00476F6D">
        <w:rPr>
          <w:rFonts w:asciiTheme="minorBidi" w:hAnsiTheme="minorBidi"/>
          <w:b/>
          <w:bCs/>
        </w:rPr>
        <w:t>OR:</w:t>
      </w:r>
    </w:p>
    <w:p w14:paraId="44C358F6" w14:textId="7622BDEF" w:rsidR="00DD5969" w:rsidRPr="00476F6D" w:rsidRDefault="00DD5969" w:rsidP="00A20EC8">
      <w:pPr>
        <w:jc w:val="both"/>
        <w:rPr>
          <w:rFonts w:asciiTheme="minorBidi" w:hAnsiTheme="minorBidi"/>
        </w:rPr>
      </w:pPr>
      <w:r w:rsidRPr="00476F6D">
        <w:rPr>
          <w:rFonts w:asciiTheme="minorBidi" w:hAnsiTheme="minorBidi"/>
        </w:rPr>
        <w:t xml:space="preserve">I acknowledge the use of [AI Tool] [(AI Tool </w:t>
      </w:r>
      <w:r w:rsidR="00587C07" w:rsidRPr="00476F6D">
        <w:rPr>
          <w:rFonts w:asciiTheme="minorBidi" w:hAnsiTheme="minorBidi"/>
        </w:rPr>
        <w:t>URL</w:t>
      </w:r>
      <w:r w:rsidRPr="00476F6D">
        <w:rPr>
          <w:rFonts w:asciiTheme="minorBidi" w:hAnsiTheme="minorBidi"/>
        </w:rPr>
        <w:t xml:space="preserve">)] on [Date] to [Purpose </w:t>
      </w:r>
      <w:r w:rsidR="00587C07">
        <w:rPr>
          <w:rFonts w:asciiTheme="minorBidi" w:hAnsiTheme="minorBidi"/>
        </w:rPr>
        <w:t xml:space="preserve">of </w:t>
      </w:r>
      <w:r w:rsidRPr="00476F6D">
        <w:rPr>
          <w:rFonts w:asciiTheme="minorBidi" w:hAnsiTheme="minorBidi"/>
        </w:rPr>
        <w:t xml:space="preserve">my work]. I used the prompt(s): </w:t>
      </w:r>
    </w:p>
    <w:p w14:paraId="7D0CA806" w14:textId="77777777" w:rsidR="00A34AF2" w:rsidRDefault="00DD5969" w:rsidP="00A20EC8">
      <w:pPr>
        <w:jc w:val="both"/>
        <w:rPr>
          <w:rFonts w:asciiTheme="minorBidi" w:hAnsiTheme="minorBidi"/>
        </w:rPr>
      </w:pPr>
      <w:r w:rsidRPr="00476F6D">
        <w:rPr>
          <w:rFonts w:asciiTheme="minorBidi" w:hAnsiTheme="minorBidi"/>
        </w:rPr>
        <w:t xml:space="preserve">1. [Prompt] </w:t>
      </w:r>
    </w:p>
    <w:p w14:paraId="3847D137" w14:textId="66FFC3EF" w:rsidR="00DD5969" w:rsidRPr="00476F6D" w:rsidRDefault="00DD5969" w:rsidP="00A20EC8">
      <w:pPr>
        <w:jc w:val="both"/>
        <w:rPr>
          <w:rFonts w:asciiTheme="minorBidi" w:hAnsiTheme="minorBidi"/>
        </w:rPr>
      </w:pPr>
      <w:r w:rsidRPr="00476F6D">
        <w:rPr>
          <w:rFonts w:asciiTheme="minorBidi" w:hAnsiTheme="minorBidi"/>
        </w:rPr>
        <w:t xml:space="preserve">2. [Prompt] </w:t>
      </w:r>
    </w:p>
    <w:p w14:paraId="35F2F4DA" w14:textId="0FC78372" w:rsidR="00DD5969" w:rsidRPr="00476F6D" w:rsidRDefault="00DD5969" w:rsidP="00A20EC8">
      <w:pPr>
        <w:jc w:val="both"/>
        <w:rPr>
          <w:rFonts w:asciiTheme="minorBidi" w:hAnsiTheme="minorBidi"/>
        </w:rPr>
      </w:pPr>
      <w:r w:rsidRPr="00476F6D">
        <w:rPr>
          <w:rFonts w:asciiTheme="minorBidi" w:hAnsiTheme="minorBidi"/>
        </w:rPr>
        <w:t xml:space="preserve">3. [Prompt] </w:t>
      </w:r>
    </w:p>
    <w:p w14:paraId="4008D193" w14:textId="64741CBE" w:rsidR="00E243A8" w:rsidRPr="00476F6D" w:rsidRDefault="00DD5969" w:rsidP="00A20EC8">
      <w:pPr>
        <w:jc w:val="both"/>
        <w:rPr>
          <w:rFonts w:asciiTheme="minorBidi" w:hAnsiTheme="minorBidi"/>
        </w:rPr>
      </w:pPr>
      <w:r w:rsidRPr="00476F6D">
        <w:rPr>
          <w:rFonts w:asciiTheme="minorBidi" w:hAnsiTheme="minorBidi"/>
        </w:rPr>
        <w:t xml:space="preserve">I confirm that I have not presented any </w:t>
      </w:r>
      <w:r w:rsidR="00587C07">
        <w:rPr>
          <w:rFonts w:asciiTheme="minorBidi" w:hAnsiTheme="minorBidi"/>
        </w:rPr>
        <w:t>AI-generated</w:t>
      </w:r>
      <w:r w:rsidRPr="00476F6D">
        <w:rPr>
          <w:rFonts w:asciiTheme="minorBidi" w:hAnsiTheme="minorBidi"/>
        </w:rPr>
        <w:t xml:space="preserve"> text as my work. </w:t>
      </w:r>
    </w:p>
    <w:p w14:paraId="31507470" w14:textId="589F4457" w:rsidR="00C2550A" w:rsidRPr="00476F6D" w:rsidRDefault="00DD5969" w:rsidP="00A20EC8">
      <w:pPr>
        <w:jc w:val="both"/>
        <w:rPr>
          <w:rFonts w:asciiTheme="minorBidi" w:hAnsiTheme="minorBidi"/>
        </w:rPr>
      </w:pPr>
      <w:r w:rsidRPr="00476F6D">
        <w:rPr>
          <w:rFonts w:asciiTheme="minorBidi" w:hAnsiTheme="minorBidi"/>
        </w:rPr>
        <w:t xml:space="preserve">I confirm </w:t>
      </w:r>
      <w:r w:rsidR="00E243A8" w:rsidRPr="00476F6D">
        <w:rPr>
          <w:rFonts w:asciiTheme="minorBidi" w:hAnsiTheme="minorBidi"/>
        </w:rPr>
        <w:t xml:space="preserve">that </w:t>
      </w:r>
      <w:r w:rsidRPr="00476F6D">
        <w:rPr>
          <w:rFonts w:asciiTheme="minorBidi" w:hAnsiTheme="minorBidi"/>
        </w:rPr>
        <w:t xml:space="preserve">I have copies of my drafts, notes, and other resources </w:t>
      </w:r>
      <w:r w:rsidR="00587C07">
        <w:rPr>
          <w:rFonts w:asciiTheme="minorBidi" w:hAnsiTheme="minorBidi"/>
        </w:rPr>
        <w:t>that I used before and after using AI tools, which I may be asked to provide as</w:t>
      </w:r>
      <w:r w:rsidRPr="00476F6D">
        <w:rPr>
          <w:rFonts w:asciiTheme="minorBidi" w:hAnsiTheme="minorBidi"/>
        </w:rPr>
        <w:t xml:space="preserve"> evidence. </w:t>
      </w:r>
    </w:p>
    <w:p w14:paraId="3DED3071" w14:textId="7E5C4BDE" w:rsidR="00E10797" w:rsidRPr="00476F6D" w:rsidRDefault="00B724BB" w:rsidP="00A20EC8">
      <w:pPr>
        <w:jc w:val="both"/>
        <w:rPr>
          <w:rFonts w:asciiTheme="minorBidi" w:hAnsiTheme="minorBidi"/>
        </w:rPr>
      </w:pPr>
      <w:r w:rsidRPr="00476F6D">
        <w:rPr>
          <w:rFonts w:asciiTheme="minorBidi" w:hAnsiTheme="minorBidi"/>
        </w:rPr>
        <w:t>Please r</w:t>
      </w:r>
      <w:r w:rsidR="00E10797" w:rsidRPr="00476F6D">
        <w:rPr>
          <w:rFonts w:asciiTheme="minorBidi" w:hAnsiTheme="minorBidi"/>
        </w:rPr>
        <w:t>efer to the next page for examples.</w:t>
      </w:r>
    </w:p>
    <w:p w14:paraId="4F6824F5" w14:textId="3938F1C1" w:rsidR="00E10797" w:rsidRPr="00476F6D" w:rsidRDefault="00587C07" w:rsidP="00A20EC8">
      <w:pPr>
        <w:jc w:val="both"/>
        <w:rPr>
          <w:rFonts w:asciiTheme="minorBidi" w:hAnsiTheme="minorBidi"/>
        </w:rPr>
      </w:pPr>
      <w:r>
        <w:rPr>
          <w:rFonts w:asciiTheme="minorBidi" w:hAnsiTheme="minorBidi"/>
        </w:rPr>
        <w:t>Before</w:t>
      </w:r>
      <w:r w:rsidR="00E10797" w:rsidRPr="00476F6D">
        <w:rPr>
          <w:rFonts w:asciiTheme="minorBidi" w:hAnsiTheme="minorBidi"/>
        </w:rPr>
        <w:t xml:space="preserve"> submission of your assignment, please delete any information</w:t>
      </w:r>
      <w:r w:rsidR="000C541C" w:rsidRPr="00476F6D">
        <w:rPr>
          <w:rFonts w:asciiTheme="minorBidi" w:hAnsiTheme="minorBidi"/>
        </w:rPr>
        <w:t xml:space="preserve"> on these pages</w:t>
      </w:r>
      <w:r w:rsidR="00E10797" w:rsidRPr="00476F6D">
        <w:rPr>
          <w:rFonts w:asciiTheme="minorBidi" w:hAnsiTheme="minorBidi"/>
        </w:rPr>
        <w:t xml:space="preserve"> that is not relevant to your submission</w:t>
      </w:r>
      <w:r w:rsidR="000C541C" w:rsidRPr="00476F6D">
        <w:rPr>
          <w:rFonts w:asciiTheme="minorBidi" w:hAnsiTheme="minorBidi"/>
        </w:rPr>
        <w:t>, including the examples given below.</w:t>
      </w:r>
    </w:p>
    <w:p w14:paraId="726ED8E7" w14:textId="10811E89" w:rsidR="00B103B9" w:rsidRPr="00476F6D" w:rsidRDefault="00E10797" w:rsidP="00A20EC8">
      <w:pPr>
        <w:jc w:val="both"/>
        <w:rPr>
          <w:rFonts w:asciiTheme="minorBidi" w:hAnsiTheme="minorBidi"/>
          <w:b/>
          <w:bCs/>
          <w:u w:val="single"/>
        </w:rPr>
      </w:pPr>
      <w:r w:rsidRPr="00476F6D">
        <w:rPr>
          <w:rFonts w:asciiTheme="minorBidi" w:hAnsiTheme="minorBidi"/>
          <w:b/>
          <w:bCs/>
          <w:u w:val="single"/>
        </w:rPr>
        <w:t>Examples of AI statements</w:t>
      </w:r>
    </w:p>
    <w:p w14:paraId="023DEFD1" w14:textId="77777777" w:rsidR="00DD5969" w:rsidRPr="00476F6D" w:rsidRDefault="00DD5969" w:rsidP="00A20EC8">
      <w:pPr>
        <w:jc w:val="both"/>
        <w:rPr>
          <w:rFonts w:asciiTheme="minorBidi" w:hAnsiTheme="minorBidi"/>
        </w:rPr>
      </w:pPr>
      <w:r w:rsidRPr="00476F6D">
        <w:rPr>
          <w:rFonts w:asciiTheme="minorBidi" w:hAnsiTheme="minorBidi"/>
          <w:b/>
          <w:bCs/>
        </w:rPr>
        <w:t xml:space="preserve">Example 1: </w:t>
      </w:r>
    </w:p>
    <w:p w14:paraId="1D25D3D5" w14:textId="77777777" w:rsidR="00DD5969" w:rsidRPr="00476F6D" w:rsidRDefault="00DD5969" w:rsidP="00A20EC8">
      <w:pPr>
        <w:jc w:val="both"/>
        <w:rPr>
          <w:rFonts w:asciiTheme="minorBidi" w:hAnsiTheme="minorBidi"/>
        </w:rPr>
      </w:pPr>
      <w:r w:rsidRPr="00476F6D">
        <w:rPr>
          <w:rFonts w:asciiTheme="minorBidi" w:hAnsiTheme="minorBidi"/>
        </w:rPr>
        <w:t xml:space="preserve">I acknowledge the use of Grammarly (https://www.grammarly.com/) on 10 February 2024 to check my work using the prompt(s): </w:t>
      </w:r>
    </w:p>
    <w:p w14:paraId="5A615C6B" w14:textId="7CA411BC" w:rsidR="00DD5969" w:rsidRPr="00476F6D" w:rsidRDefault="00DD5969" w:rsidP="00A20EC8">
      <w:pPr>
        <w:jc w:val="both"/>
        <w:rPr>
          <w:rFonts w:asciiTheme="minorBidi" w:hAnsiTheme="minorBidi"/>
        </w:rPr>
      </w:pPr>
      <w:r w:rsidRPr="00476F6D">
        <w:rPr>
          <w:rFonts w:asciiTheme="minorBidi" w:hAnsiTheme="minorBidi"/>
        </w:rPr>
        <w:t>1. Please check the following text for readability, grammar</w:t>
      </w:r>
      <w:r w:rsidR="00587C07">
        <w:rPr>
          <w:rFonts w:asciiTheme="minorBidi" w:hAnsiTheme="minorBidi"/>
        </w:rPr>
        <w:t>,</w:t>
      </w:r>
      <w:r w:rsidRPr="00476F6D">
        <w:rPr>
          <w:rFonts w:asciiTheme="minorBidi" w:hAnsiTheme="minorBidi"/>
        </w:rPr>
        <w:t xml:space="preserve"> and syntax. </w:t>
      </w:r>
    </w:p>
    <w:p w14:paraId="6423498A" w14:textId="71778CF7" w:rsidR="00DD5969" w:rsidRPr="00476F6D" w:rsidRDefault="00DD5969" w:rsidP="00A20EC8">
      <w:pPr>
        <w:jc w:val="both"/>
        <w:rPr>
          <w:rFonts w:asciiTheme="minorBidi" w:hAnsiTheme="minorBidi"/>
        </w:rPr>
      </w:pPr>
      <w:r w:rsidRPr="00476F6D">
        <w:rPr>
          <w:rFonts w:asciiTheme="minorBidi" w:hAnsiTheme="minorBidi"/>
        </w:rPr>
        <w:t xml:space="preserve">I confirm that I have not presented any </w:t>
      </w:r>
      <w:r w:rsidR="00587C07">
        <w:rPr>
          <w:rFonts w:asciiTheme="minorBidi" w:hAnsiTheme="minorBidi"/>
        </w:rPr>
        <w:t>AI-generated</w:t>
      </w:r>
      <w:r w:rsidRPr="00476F6D">
        <w:rPr>
          <w:rFonts w:asciiTheme="minorBidi" w:hAnsiTheme="minorBidi"/>
        </w:rPr>
        <w:t xml:space="preserve"> text as my own work. I confirm</w:t>
      </w:r>
      <w:r w:rsidR="00D24ADF" w:rsidRPr="00476F6D">
        <w:rPr>
          <w:rFonts w:asciiTheme="minorBidi" w:hAnsiTheme="minorBidi"/>
        </w:rPr>
        <w:t xml:space="preserve"> that</w:t>
      </w:r>
      <w:r w:rsidRPr="00476F6D">
        <w:rPr>
          <w:rFonts w:asciiTheme="minorBidi" w:hAnsiTheme="minorBidi"/>
        </w:rPr>
        <w:t xml:space="preserve"> I have copies of my drafts, notes, and other resources I used before and after the use of AI tools</w:t>
      </w:r>
      <w:r w:rsidR="00587C07">
        <w:rPr>
          <w:rFonts w:asciiTheme="minorBidi" w:hAnsiTheme="minorBidi"/>
        </w:rPr>
        <w:t>,</w:t>
      </w:r>
      <w:r w:rsidRPr="00476F6D">
        <w:rPr>
          <w:rFonts w:asciiTheme="minorBidi" w:hAnsiTheme="minorBidi"/>
        </w:rPr>
        <w:t xml:space="preserve"> which I may be asked to provide </w:t>
      </w:r>
      <w:r w:rsidR="00587C07">
        <w:rPr>
          <w:rFonts w:asciiTheme="minorBidi" w:hAnsiTheme="minorBidi"/>
        </w:rPr>
        <w:t>as</w:t>
      </w:r>
      <w:r w:rsidRPr="00476F6D">
        <w:rPr>
          <w:rFonts w:asciiTheme="minorBidi" w:hAnsiTheme="minorBidi"/>
        </w:rPr>
        <w:t xml:space="preserve"> evidence. </w:t>
      </w:r>
    </w:p>
    <w:p w14:paraId="38C916B7" w14:textId="77777777" w:rsidR="00DD5969" w:rsidRPr="00476F6D" w:rsidRDefault="00DD5969" w:rsidP="00A20EC8">
      <w:pPr>
        <w:jc w:val="both"/>
        <w:rPr>
          <w:rFonts w:asciiTheme="minorBidi" w:hAnsiTheme="minorBidi"/>
        </w:rPr>
      </w:pPr>
      <w:r w:rsidRPr="00476F6D">
        <w:rPr>
          <w:rFonts w:asciiTheme="minorBidi" w:hAnsiTheme="minorBidi"/>
          <w:b/>
          <w:bCs/>
        </w:rPr>
        <w:t xml:space="preserve">Example 2: </w:t>
      </w:r>
    </w:p>
    <w:p w14:paraId="15792D52" w14:textId="77777777" w:rsidR="00DD5969" w:rsidRPr="00476F6D" w:rsidRDefault="00DD5969" w:rsidP="00A20EC8">
      <w:pPr>
        <w:jc w:val="both"/>
        <w:rPr>
          <w:rFonts w:asciiTheme="minorBidi" w:hAnsiTheme="minorBidi"/>
        </w:rPr>
      </w:pPr>
      <w:r w:rsidRPr="00476F6D">
        <w:rPr>
          <w:rFonts w:asciiTheme="minorBidi" w:hAnsiTheme="minorBidi"/>
        </w:rPr>
        <w:t xml:space="preserve">I acknowledge the use of </w:t>
      </w:r>
      <w:proofErr w:type="spellStart"/>
      <w:r w:rsidRPr="00476F6D">
        <w:rPr>
          <w:rFonts w:asciiTheme="minorBidi" w:hAnsiTheme="minorBidi"/>
        </w:rPr>
        <w:t>SciSpace</w:t>
      </w:r>
      <w:proofErr w:type="spellEnd"/>
      <w:r w:rsidRPr="00476F6D">
        <w:rPr>
          <w:rFonts w:asciiTheme="minorBidi" w:hAnsiTheme="minorBidi"/>
        </w:rPr>
        <w:t xml:space="preserve"> (https://typeset.io/) on 7 March 2024 to support my research using the prompt(s): </w:t>
      </w:r>
    </w:p>
    <w:p w14:paraId="64CC5729" w14:textId="77777777" w:rsidR="00DD5969" w:rsidRPr="00476F6D" w:rsidRDefault="00DD5969" w:rsidP="00A20EC8">
      <w:pPr>
        <w:jc w:val="both"/>
        <w:rPr>
          <w:rFonts w:asciiTheme="minorBidi" w:hAnsiTheme="minorBidi"/>
        </w:rPr>
      </w:pPr>
      <w:r w:rsidRPr="00476F6D">
        <w:rPr>
          <w:rFonts w:asciiTheme="minorBidi" w:hAnsiTheme="minorBidi"/>
        </w:rPr>
        <w:t xml:space="preserve">1. Please provide me with materials on the biology of the liver. </w:t>
      </w:r>
    </w:p>
    <w:p w14:paraId="31FD72F4" w14:textId="78F2D584" w:rsidR="00DD5969" w:rsidRPr="00476F6D" w:rsidRDefault="00DD5969" w:rsidP="00A20EC8">
      <w:pPr>
        <w:jc w:val="both"/>
        <w:rPr>
          <w:rFonts w:asciiTheme="minorBidi" w:hAnsiTheme="minorBidi"/>
        </w:rPr>
      </w:pPr>
      <w:r w:rsidRPr="00476F6D">
        <w:rPr>
          <w:rFonts w:asciiTheme="minorBidi" w:hAnsiTheme="minorBidi"/>
        </w:rPr>
        <w:t xml:space="preserve">2. Please provide me with materials on liver cells. </w:t>
      </w:r>
    </w:p>
    <w:p w14:paraId="632FCD5C" w14:textId="224A6378" w:rsidR="00DD5969" w:rsidRPr="00476F6D" w:rsidRDefault="00DD5969" w:rsidP="00A20EC8">
      <w:pPr>
        <w:jc w:val="both"/>
        <w:rPr>
          <w:rFonts w:asciiTheme="minorBidi" w:hAnsiTheme="minorBidi"/>
        </w:rPr>
      </w:pPr>
      <w:r w:rsidRPr="00476F6D">
        <w:rPr>
          <w:rFonts w:asciiTheme="minorBidi" w:hAnsiTheme="minorBidi"/>
        </w:rPr>
        <w:t>I confirm that I have not presented any AI generated text as my own work. I confirm</w:t>
      </w:r>
      <w:r w:rsidR="00D24ADF" w:rsidRPr="00476F6D">
        <w:rPr>
          <w:rFonts w:asciiTheme="minorBidi" w:hAnsiTheme="minorBidi"/>
        </w:rPr>
        <w:t xml:space="preserve"> that</w:t>
      </w:r>
      <w:r w:rsidRPr="00476F6D">
        <w:rPr>
          <w:rFonts w:asciiTheme="minorBidi" w:hAnsiTheme="minorBidi"/>
        </w:rPr>
        <w:t xml:space="preserve"> I have copies of my drafts, notes, and other resources I used before, and after the use of AI tools which I may be asked to provide in evidence. </w:t>
      </w:r>
    </w:p>
    <w:p w14:paraId="3BE630A4" w14:textId="77777777" w:rsidR="00DD5969" w:rsidRPr="00476F6D" w:rsidRDefault="00DD5969" w:rsidP="00A20EC8">
      <w:pPr>
        <w:jc w:val="both"/>
        <w:rPr>
          <w:rFonts w:asciiTheme="minorBidi" w:hAnsiTheme="minorBidi"/>
        </w:rPr>
      </w:pPr>
      <w:r w:rsidRPr="00476F6D">
        <w:rPr>
          <w:rFonts w:asciiTheme="minorBidi" w:hAnsiTheme="minorBidi"/>
          <w:b/>
          <w:bCs/>
        </w:rPr>
        <w:t xml:space="preserve">Example 3: </w:t>
      </w:r>
    </w:p>
    <w:p w14:paraId="502BB6BD" w14:textId="77777777" w:rsidR="00DD5969" w:rsidRPr="00476F6D" w:rsidRDefault="00DD5969" w:rsidP="00A20EC8">
      <w:pPr>
        <w:jc w:val="both"/>
        <w:rPr>
          <w:rFonts w:asciiTheme="minorBidi" w:hAnsiTheme="minorBidi"/>
        </w:rPr>
      </w:pPr>
      <w:r w:rsidRPr="00476F6D">
        <w:rPr>
          <w:rFonts w:asciiTheme="minorBidi" w:hAnsiTheme="minorBidi"/>
        </w:rPr>
        <w:t xml:space="preserve">I acknowledge the use of ChatGPT (https://chatgpt.com/) on 13 April 2024 to write my notes into submission format using the prompt(s): </w:t>
      </w:r>
    </w:p>
    <w:p w14:paraId="19552AC4" w14:textId="16F62590" w:rsidR="00DD5969" w:rsidRPr="00476F6D" w:rsidRDefault="00DD5969" w:rsidP="00A20EC8">
      <w:pPr>
        <w:jc w:val="both"/>
        <w:rPr>
          <w:rFonts w:asciiTheme="minorBidi" w:hAnsiTheme="minorBidi"/>
        </w:rPr>
      </w:pPr>
      <w:r w:rsidRPr="00476F6D">
        <w:rPr>
          <w:rFonts w:asciiTheme="minorBidi" w:hAnsiTheme="minorBidi"/>
        </w:rPr>
        <w:t xml:space="preserve">1. Please write up these bullet points as an essay paragraph at university level. </w:t>
      </w:r>
    </w:p>
    <w:p w14:paraId="7C7CBB7A" w14:textId="77777777" w:rsidR="00A34AF2" w:rsidRDefault="00DD5969" w:rsidP="00A20EC8">
      <w:pPr>
        <w:jc w:val="both"/>
        <w:rPr>
          <w:rFonts w:asciiTheme="minorBidi" w:hAnsiTheme="minorBidi"/>
        </w:rPr>
      </w:pPr>
      <w:r w:rsidRPr="00476F6D">
        <w:rPr>
          <w:rFonts w:asciiTheme="minorBidi" w:hAnsiTheme="minorBidi"/>
        </w:rPr>
        <w:t>I confirm that I have not presented any AI generated text as my own work. I confirm</w:t>
      </w:r>
      <w:r w:rsidR="00D24ADF" w:rsidRPr="00476F6D">
        <w:rPr>
          <w:rFonts w:asciiTheme="minorBidi" w:hAnsiTheme="minorBidi"/>
        </w:rPr>
        <w:t xml:space="preserve"> that</w:t>
      </w:r>
      <w:r w:rsidRPr="00476F6D">
        <w:rPr>
          <w:rFonts w:asciiTheme="minorBidi" w:hAnsiTheme="minorBidi"/>
        </w:rPr>
        <w:t xml:space="preserve"> I have copies of my drafts, notes, and other resources I used before, and after the use of AI tools which I may be asked to provide in evidence. </w:t>
      </w:r>
    </w:p>
    <w:p w14:paraId="6FD347F7" w14:textId="77777777" w:rsidR="00A34AF2" w:rsidRDefault="00A34AF2" w:rsidP="00A20EC8">
      <w:pPr>
        <w:jc w:val="both"/>
        <w:rPr>
          <w:rFonts w:asciiTheme="minorBidi" w:hAnsiTheme="minorBidi"/>
          <w:b/>
          <w:bCs/>
        </w:rPr>
      </w:pPr>
    </w:p>
    <w:p w14:paraId="25670EAF" w14:textId="77777777" w:rsidR="00A34AF2" w:rsidRDefault="00A34AF2" w:rsidP="00A20EC8">
      <w:pPr>
        <w:jc w:val="both"/>
        <w:rPr>
          <w:rFonts w:asciiTheme="minorBidi" w:hAnsiTheme="minorBidi"/>
          <w:b/>
          <w:bCs/>
        </w:rPr>
      </w:pPr>
    </w:p>
    <w:p w14:paraId="149D1B72" w14:textId="177CAF8A" w:rsidR="00DD5969" w:rsidRPr="00A34AF2" w:rsidRDefault="00DD5969" w:rsidP="00A20EC8">
      <w:pPr>
        <w:jc w:val="both"/>
        <w:rPr>
          <w:rFonts w:asciiTheme="minorBidi" w:hAnsiTheme="minorBidi"/>
        </w:rPr>
      </w:pPr>
      <w:r w:rsidRPr="00476F6D">
        <w:rPr>
          <w:rFonts w:asciiTheme="minorBidi" w:hAnsiTheme="minorBidi"/>
          <w:b/>
          <w:bCs/>
        </w:rPr>
        <w:t>Example 4</w:t>
      </w:r>
      <w:r w:rsidR="002F243A" w:rsidRPr="00476F6D">
        <w:rPr>
          <w:rFonts w:asciiTheme="minorBidi" w:hAnsiTheme="minorBidi"/>
          <w:b/>
          <w:bCs/>
        </w:rPr>
        <w:t xml:space="preserve"> -</w:t>
      </w:r>
      <w:r w:rsidRPr="00476F6D">
        <w:rPr>
          <w:rFonts w:asciiTheme="minorBidi" w:hAnsiTheme="minorBidi"/>
          <w:b/>
          <w:bCs/>
        </w:rPr>
        <w:t xml:space="preserve"> </w:t>
      </w:r>
      <w:r w:rsidR="002F243A" w:rsidRPr="00476F6D">
        <w:rPr>
          <w:rFonts w:asciiTheme="minorBidi" w:hAnsiTheme="minorBidi"/>
          <w:b/>
          <w:bCs/>
        </w:rPr>
        <w:t>acknowledgement of the use of multiple AI tools</w:t>
      </w:r>
      <w:r w:rsidR="00E10797" w:rsidRPr="00476F6D">
        <w:rPr>
          <w:rFonts w:asciiTheme="minorBidi" w:hAnsiTheme="minorBidi"/>
          <w:b/>
          <w:bCs/>
        </w:rPr>
        <w:t>:</w:t>
      </w:r>
      <w:r w:rsidR="002F243A" w:rsidRPr="00476F6D">
        <w:rPr>
          <w:rFonts w:asciiTheme="minorBidi" w:hAnsiTheme="minorBidi"/>
          <w:b/>
          <w:bCs/>
          <w:u w:val="single"/>
        </w:rPr>
        <w:t xml:space="preserve"> </w:t>
      </w:r>
    </w:p>
    <w:p w14:paraId="6A329497" w14:textId="77777777" w:rsidR="00DD5969" w:rsidRPr="00476F6D" w:rsidRDefault="00DD5969" w:rsidP="00A20EC8">
      <w:pPr>
        <w:jc w:val="both"/>
        <w:rPr>
          <w:rFonts w:asciiTheme="minorBidi" w:hAnsiTheme="minorBidi"/>
        </w:rPr>
      </w:pPr>
      <w:r w:rsidRPr="00476F6D">
        <w:rPr>
          <w:rFonts w:asciiTheme="minorBidi" w:hAnsiTheme="minorBidi"/>
        </w:rPr>
        <w:t xml:space="preserve">I acknowledge the use of </w:t>
      </w:r>
      <w:proofErr w:type="spellStart"/>
      <w:r w:rsidRPr="00476F6D">
        <w:rPr>
          <w:rFonts w:asciiTheme="minorBidi" w:hAnsiTheme="minorBidi"/>
        </w:rPr>
        <w:t>SciSpace</w:t>
      </w:r>
      <w:proofErr w:type="spellEnd"/>
      <w:r w:rsidRPr="00476F6D">
        <w:rPr>
          <w:rFonts w:asciiTheme="minorBidi" w:hAnsiTheme="minorBidi"/>
        </w:rPr>
        <w:t xml:space="preserve"> (https://typeset.io/) on 28 June 2024 to support my research using the prompt(s): </w:t>
      </w:r>
    </w:p>
    <w:p w14:paraId="317B5D31" w14:textId="77777777" w:rsidR="00DD5969" w:rsidRPr="00476F6D" w:rsidRDefault="00DD5969" w:rsidP="00A20EC8">
      <w:pPr>
        <w:jc w:val="both"/>
        <w:rPr>
          <w:rFonts w:asciiTheme="minorBidi" w:hAnsiTheme="minorBidi"/>
        </w:rPr>
      </w:pPr>
      <w:r w:rsidRPr="00476F6D">
        <w:rPr>
          <w:rFonts w:asciiTheme="minorBidi" w:hAnsiTheme="minorBidi"/>
        </w:rPr>
        <w:t xml:space="preserve">1. Please provide me with materials on the American Civil War. </w:t>
      </w:r>
    </w:p>
    <w:p w14:paraId="3FA28A22" w14:textId="69246A66" w:rsidR="00DD5969" w:rsidRPr="00476F6D" w:rsidRDefault="00DD5969" w:rsidP="00A20EC8">
      <w:pPr>
        <w:jc w:val="both"/>
        <w:rPr>
          <w:rFonts w:asciiTheme="minorBidi" w:hAnsiTheme="minorBidi"/>
        </w:rPr>
      </w:pPr>
      <w:r w:rsidRPr="00476F6D">
        <w:rPr>
          <w:rFonts w:asciiTheme="minorBidi" w:hAnsiTheme="minorBidi"/>
        </w:rPr>
        <w:t xml:space="preserve">2. Please provide me with materials on the reception of Gone with the Wind. </w:t>
      </w:r>
    </w:p>
    <w:p w14:paraId="599A079A" w14:textId="19F46A57" w:rsidR="00DD5969" w:rsidRPr="00476F6D" w:rsidRDefault="00DD5969" w:rsidP="00A20EC8">
      <w:pPr>
        <w:jc w:val="both"/>
        <w:rPr>
          <w:rFonts w:asciiTheme="minorBidi" w:hAnsiTheme="minorBidi"/>
        </w:rPr>
      </w:pPr>
      <w:r w:rsidRPr="00476F6D">
        <w:rPr>
          <w:rFonts w:asciiTheme="minorBidi" w:hAnsiTheme="minorBidi"/>
        </w:rPr>
        <w:t xml:space="preserve">I confirm that I have not presented any </w:t>
      </w:r>
      <w:r w:rsidR="00A34AF2">
        <w:rPr>
          <w:rFonts w:asciiTheme="minorBidi" w:hAnsiTheme="minorBidi"/>
        </w:rPr>
        <w:t>AI-generated</w:t>
      </w:r>
      <w:r w:rsidRPr="00476F6D">
        <w:rPr>
          <w:rFonts w:asciiTheme="minorBidi" w:hAnsiTheme="minorBidi"/>
        </w:rPr>
        <w:t xml:space="preserve"> text as my own work. I confirm </w:t>
      </w:r>
      <w:r w:rsidR="00D24ADF" w:rsidRPr="00476F6D">
        <w:rPr>
          <w:rFonts w:asciiTheme="minorBidi" w:hAnsiTheme="minorBidi"/>
        </w:rPr>
        <w:t xml:space="preserve">that </w:t>
      </w:r>
      <w:r w:rsidRPr="00476F6D">
        <w:rPr>
          <w:rFonts w:asciiTheme="minorBidi" w:hAnsiTheme="minorBidi"/>
        </w:rPr>
        <w:t>I have copies of my drafts, notes, and other resources I used before and after the use of AI tools</w:t>
      </w:r>
      <w:r w:rsidR="00A34AF2">
        <w:rPr>
          <w:rFonts w:asciiTheme="minorBidi" w:hAnsiTheme="minorBidi"/>
        </w:rPr>
        <w:t>,</w:t>
      </w:r>
      <w:r w:rsidRPr="00476F6D">
        <w:rPr>
          <w:rFonts w:asciiTheme="minorBidi" w:hAnsiTheme="minorBidi"/>
        </w:rPr>
        <w:t xml:space="preserve"> which I may be asked to provide in evidence. </w:t>
      </w:r>
    </w:p>
    <w:p w14:paraId="05228334" w14:textId="77777777" w:rsidR="00DD5969" w:rsidRPr="00476F6D" w:rsidRDefault="00DD5969" w:rsidP="00A20EC8">
      <w:pPr>
        <w:jc w:val="both"/>
        <w:rPr>
          <w:rFonts w:asciiTheme="minorBidi" w:hAnsiTheme="minorBidi"/>
        </w:rPr>
      </w:pPr>
      <w:r w:rsidRPr="00476F6D">
        <w:rPr>
          <w:rFonts w:asciiTheme="minorBidi" w:hAnsiTheme="minorBidi"/>
        </w:rPr>
        <w:t xml:space="preserve">I acknowledge the use of Adobe Express (https://www.adobe.com/express/) on 24 June 2024 to edit photographic material: </w:t>
      </w:r>
    </w:p>
    <w:p w14:paraId="3C44467E" w14:textId="460B1DC1" w:rsidR="00DD5969" w:rsidRPr="00476F6D" w:rsidRDefault="00DD5969" w:rsidP="00A20EC8">
      <w:pPr>
        <w:jc w:val="both"/>
        <w:rPr>
          <w:rFonts w:asciiTheme="minorBidi" w:hAnsiTheme="minorBidi"/>
        </w:rPr>
      </w:pPr>
      <w:r w:rsidRPr="00476F6D">
        <w:rPr>
          <w:rFonts w:asciiTheme="minorBidi" w:hAnsiTheme="minorBidi"/>
        </w:rPr>
        <w:t xml:space="preserve">1. Remove </w:t>
      </w:r>
      <w:r w:rsidR="00A34AF2">
        <w:rPr>
          <w:rFonts w:asciiTheme="minorBidi" w:hAnsiTheme="minorBidi"/>
        </w:rPr>
        <w:t xml:space="preserve">the </w:t>
      </w:r>
      <w:r w:rsidRPr="00476F6D">
        <w:rPr>
          <w:rFonts w:asciiTheme="minorBidi" w:hAnsiTheme="minorBidi"/>
        </w:rPr>
        <w:t xml:space="preserve">background from Figure 1. </w:t>
      </w:r>
    </w:p>
    <w:p w14:paraId="22512BB6" w14:textId="2EF00F6D" w:rsidR="00DD5969" w:rsidRPr="00476F6D" w:rsidRDefault="00DD5969" w:rsidP="00A20EC8">
      <w:pPr>
        <w:jc w:val="both"/>
        <w:rPr>
          <w:rFonts w:asciiTheme="minorBidi" w:hAnsiTheme="minorBidi"/>
        </w:rPr>
      </w:pPr>
      <w:r w:rsidRPr="00476F6D">
        <w:rPr>
          <w:rFonts w:asciiTheme="minorBidi" w:hAnsiTheme="minorBidi"/>
        </w:rPr>
        <w:t xml:space="preserve">I confirm that I have not presented any </w:t>
      </w:r>
      <w:r w:rsidR="00A34AF2">
        <w:rPr>
          <w:rFonts w:asciiTheme="minorBidi" w:hAnsiTheme="minorBidi"/>
        </w:rPr>
        <w:t>AI-generated</w:t>
      </w:r>
      <w:r w:rsidRPr="00476F6D">
        <w:rPr>
          <w:rFonts w:asciiTheme="minorBidi" w:hAnsiTheme="minorBidi"/>
        </w:rPr>
        <w:t xml:space="preserve"> materials as my work. I confirm</w:t>
      </w:r>
      <w:r w:rsidR="00D24ADF" w:rsidRPr="00476F6D">
        <w:rPr>
          <w:rFonts w:asciiTheme="minorBidi" w:hAnsiTheme="minorBidi"/>
        </w:rPr>
        <w:t xml:space="preserve"> that</w:t>
      </w:r>
      <w:r w:rsidRPr="00476F6D">
        <w:rPr>
          <w:rFonts w:asciiTheme="minorBidi" w:hAnsiTheme="minorBidi"/>
        </w:rPr>
        <w:t xml:space="preserve"> I have copies of my drafts, notes, and other resources </w:t>
      </w:r>
      <w:r w:rsidR="00A34AF2">
        <w:rPr>
          <w:rFonts w:asciiTheme="minorBidi" w:hAnsiTheme="minorBidi"/>
        </w:rPr>
        <w:t>that I used before and after using AI tools, which I may be asked to provide as</w:t>
      </w:r>
      <w:r w:rsidRPr="00476F6D">
        <w:rPr>
          <w:rFonts w:asciiTheme="minorBidi" w:hAnsiTheme="minorBidi"/>
        </w:rPr>
        <w:t xml:space="preserve"> evidence. </w:t>
      </w:r>
    </w:p>
    <w:p w14:paraId="4DF22479" w14:textId="77777777" w:rsidR="000C541C" w:rsidRPr="00476F6D" w:rsidRDefault="000C541C" w:rsidP="00A20EC8">
      <w:pPr>
        <w:jc w:val="both"/>
      </w:pPr>
    </w:p>
    <w:p w14:paraId="6204DAEB" w14:textId="77777777" w:rsidR="000C541C" w:rsidRPr="00476F6D" w:rsidRDefault="000C541C" w:rsidP="00A20EC8">
      <w:pPr>
        <w:jc w:val="both"/>
      </w:pPr>
    </w:p>
    <w:p w14:paraId="5144E418" w14:textId="77777777" w:rsidR="000C541C" w:rsidRPr="00476F6D" w:rsidRDefault="000C541C" w:rsidP="00A20EC8">
      <w:pPr>
        <w:jc w:val="both"/>
      </w:pPr>
    </w:p>
    <w:p w14:paraId="2AE1CF9A" w14:textId="2CB175AC" w:rsidR="000C541C" w:rsidRDefault="000C541C" w:rsidP="00A20EC8">
      <w:pPr>
        <w:jc w:val="both"/>
      </w:pPr>
    </w:p>
    <w:p w14:paraId="2EFC0A2C" w14:textId="161F06CA" w:rsidR="00D5355C" w:rsidRDefault="00D5355C" w:rsidP="00A20EC8">
      <w:pPr>
        <w:jc w:val="both"/>
      </w:pPr>
    </w:p>
    <w:p w14:paraId="3F542DD4" w14:textId="1B6EEB92" w:rsidR="00D5355C" w:rsidRDefault="00D5355C" w:rsidP="00A20EC8">
      <w:pPr>
        <w:jc w:val="both"/>
      </w:pPr>
    </w:p>
    <w:p w14:paraId="094FF372" w14:textId="5B3B00C1" w:rsidR="00D5355C" w:rsidRDefault="00D5355C" w:rsidP="00A20EC8">
      <w:pPr>
        <w:jc w:val="both"/>
      </w:pPr>
    </w:p>
    <w:p w14:paraId="0198C9A1" w14:textId="5D7BCCF9" w:rsidR="00D5355C" w:rsidRDefault="00D5355C" w:rsidP="00A20EC8">
      <w:pPr>
        <w:jc w:val="both"/>
      </w:pPr>
    </w:p>
    <w:p w14:paraId="71736218" w14:textId="72871EC3" w:rsidR="00D5355C" w:rsidRDefault="00D5355C" w:rsidP="00A20EC8">
      <w:pPr>
        <w:jc w:val="both"/>
      </w:pPr>
    </w:p>
    <w:p w14:paraId="44B41C58" w14:textId="4CB03F66" w:rsidR="00D5355C" w:rsidRDefault="00D5355C" w:rsidP="00A20EC8">
      <w:pPr>
        <w:jc w:val="both"/>
      </w:pPr>
    </w:p>
    <w:p w14:paraId="207D0752" w14:textId="778E9167" w:rsidR="00D5355C" w:rsidRDefault="00D5355C" w:rsidP="00A20EC8">
      <w:pPr>
        <w:jc w:val="both"/>
      </w:pPr>
    </w:p>
    <w:p w14:paraId="336D1A99" w14:textId="7BA234EC" w:rsidR="00D5355C" w:rsidRDefault="00D5355C" w:rsidP="00A20EC8">
      <w:pPr>
        <w:jc w:val="both"/>
      </w:pPr>
    </w:p>
    <w:p w14:paraId="18D53DAB" w14:textId="47AB8D61" w:rsidR="00D5355C" w:rsidRDefault="00D5355C" w:rsidP="00A20EC8">
      <w:pPr>
        <w:jc w:val="both"/>
      </w:pPr>
    </w:p>
    <w:p w14:paraId="1B5BAE4A" w14:textId="2739FD83" w:rsidR="00D5355C" w:rsidRDefault="00D5355C" w:rsidP="00A20EC8">
      <w:pPr>
        <w:jc w:val="both"/>
      </w:pPr>
    </w:p>
    <w:p w14:paraId="76BF6001" w14:textId="26D30944" w:rsidR="00D5355C" w:rsidRDefault="00D5355C" w:rsidP="00A20EC8">
      <w:pPr>
        <w:jc w:val="both"/>
      </w:pPr>
    </w:p>
    <w:p w14:paraId="441BC53E" w14:textId="786AC4DF" w:rsidR="00D5355C" w:rsidRDefault="00D5355C" w:rsidP="00A20EC8">
      <w:pPr>
        <w:jc w:val="both"/>
      </w:pPr>
    </w:p>
    <w:p w14:paraId="623609FC" w14:textId="30F0BA00" w:rsidR="00D5355C" w:rsidRPr="00D5355C" w:rsidRDefault="00D5355C" w:rsidP="00A20EC8">
      <w:pPr>
        <w:spacing w:after="0" w:line="480" w:lineRule="auto"/>
        <w:jc w:val="center"/>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Managing Behaviour and Supporting Effective Engagement in Post-16 Education: Theoretical and Legislative Perspectives</w:t>
      </w:r>
    </w:p>
    <w:p w14:paraId="4E29FBA3"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1.  Introduction</w:t>
      </w:r>
      <w:r w:rsidRPr="00D5355C">
        <w:rPr>
          <w:rFonts w:ascii="Times New Roman" w:eastAsia="Calibri" w:hAnsi="Times New Roman" w:cs="Times New Roman"/>
          <w:color w:val="000000"/>
          <w:kern w:val="0"/>
          <w:lang w:eastAsia="en-US"/>
          <w14:ligatures w14:val="none"/>
        </w:rPr>
        <w:t xml:space="preserve">  </w:t>
      </w:r>
    </w:p>
    <w:p w14:paraId="3BA7760E" w14:textId="3DDCE20D" w:rsidR="00D5355C" w:rsidRPr="00D5355C" w:rsidRDefault="00D5355C" w:rsidP="00A20EC8">
      <w:pPr>
        <w:spacing w:after="0" w:line="480" w:lineRule="auto"/>
        <w:jc w:val="both"/>
        <w:rPr>
          <w:rFonts w:ascii="Times New Roman" w:eastAsia="Calibri" w:hAnsi="Times New Roman" w:cs="Times New Roman"/>
          <w:color w:val="000000"/>
          <w:kern w:val="0"/>
          <w:shd w:val="clear" w:color="auto" w:fill="FFFFFF"/>
          <w:lang w:eastAsia="en-US"/>
          <w14:ligatures w14:val="none"/>
        </w:rPr>
      </w:pPr>
      <w:r w:rsidRPr="00D5355C">
        <w:rPr>
          <w:rFonts w:ascii="Times New Roman" w:eastAsia="Calibri" w:hAnsi="Times New Roman" w:cs="Times New Roman"/>
          <w:color w:val="000000"/>
          <w:kern w:val="0"/>
          <w:shd w:val="clear" w:color="auto" w:fill="FFFFFF"/>
          <w:lang w:eastAsia="en-US"/>
          <w14:ligatures w14:val="none"/>
        </w:rPr>
        <w:t>In recent years, post-16 education has expanded to encompass a diverse range of learners. These include adults returning to education and younger students who have just completed compulsory schooling. This mix of learners creates specific challenges related to behaviour and engagement, which require thoughtful teaching methods. Lebor (2017) explored these challenges by gathering views from key individuals involved in education, such as disruptive students, teachers, and managers. The study highlighted several issues, including difficulties with classroom entry, misuse of technology, classroom violence, and ineffective assessment practices. It also proposed potential solutions to these problems. Managing behaviour and maintaining learner engagement in this context requires strategies that consider the specific needs of adult learners, legal responsibilities, and social and economic factors. This essay will examine current methods for managing behaviour and promoting engagement, assessing the effectiveness of these strategies alongside their associated challenges and limitations, drawing on both academic research and legal perspectives.</w:t>
      </w:r>
    </w:p>
    <w:p w14:paraId="2268C8C3"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2. Theoretical Foundations of Adult Learner Engagement  </w:t>
      </w:r>
    </w:p>
    <w:p w14:paraId="28EA93DE"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2.1 Andragogy and Self-Directed Learning  </w:t>
      </w:r>
    </w:p>
    <w:p w14:paraId="4A3779E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Andragogy, which means "the art and science of helping adults learn," became an important concept for those who wanted to define adult education as a field separate from other types of education (Merriam, 2001).</w:t>
      </w:r>
    </w:p>
    <w:p w14:paraId="4D4B522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According to Malcolm Knowles’ andragogy model (1980), there are five main ideas about how adults learn: self-concept, experience, readiness to learn, orientation to learning, and motivation. Unlike children, adults tend to direct their learning, use their past experiences, and prefer learning that they can apply right away. These ideas suggest that teaching strategies should focus on giving learners more independence, making learning relevant to their lives, and using real-world problems as the basis for learning.</w:t>
      </w:r>
    </w:p>
    <w:p w14:paraId="5D9A87F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Self-directed learning (SDL) is an important part of adult education. It involves learners taking responsibility for identifying what they need to learn, setting their own goals, and assessing their progress. Scott-Muenter (2022) studied SDL in call centre employees and found that they scored highly on SDL measures. This suggests that SDL can lead to deeper learning, as adults often prefer to have control over their learning process.</w:t>
      </w:r>
    </w:p>
    <w:p w14:paraId="0C5EEF9E"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2.2 Transformative Learning  </w:t>
      </w:r>
    </w:p>
    <w:p w14:paraId="311B2E8E"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Jack Mezirow, who developed transformative learning theory, highlighted the importance of critical reflection in adult learning. He theorised that adults bring valuable experiences to the learning process, which can be used to support teaching and learning. Mezirow also found that when adults reflect deeply on their experiences, it can change how they understand the world. Teachers can support this by creating learning environments that encourage questioning and reflection, which can help learners become more engaged. For instance, adult learners of English often go through changes in how they see themselves and their cultural identity as a result of transformative learning (Western Governors University, 2020).</w:t>
      </w:r>
    </w:p>
    <w:p w14:paraId="7AD5D33A"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3. Legislative and Policy Frameworks  </w:t>
      </w:r>
    </w:p>
    <w:p w14:paraId="78154982"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3.1 Funding and Accessibility  </w:t>
      </w:r>
    </w:p>
    <w:p w14:paraId="63B200BA"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The Lifelong Learning Entitlement, which will be available across the UK from 2027, is designed to make it easier for adults to access funding for short, flexible courses. This gives people more opportunities to learn new skills. In Wales, this is supported by Personal Learning Accounts (PLAs), which help adults train for jobs in areas where workers are needed (Welsh Government, 2022). However, despite these efforts, cuts in public spending have led to ongoing funding problems. As a result, many adult learners still face challenges such as financial stress and lack of time (Estyn, 2023).</w:t>
      </w:r>
    </w:p>
    <w:p w14:paraId="3ED2CD3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In Wales, adult education focuses on lifelong learning and aims to improve employability, well-being, and social inclusion, especially for disadvantaged learners. Unlike England, where funding is managed locally, Wales uses a single, joined-up system through Community Learning Grants and the Working Wales programmes. This approach helps provide equal access to learning and supports the development of skills needed in different parts of the country (Welsh Government, 2023).</w:t>
      </w:r>
    </w:p>
    <w:p w14:paraId="3816A0AD"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3.2 Inclusive Practices  </w:t>
      </w:r>
    </w:p>
    <w:p w14:paraId="571ED873" w14:textId="77777777" w:rsidR="00D5355C" w:rsidRPr="00D5355C" w:rsidRDefault="00D5355C" w:rsidP="00A20EC8">
      <w:pPr>
        <w:spacing w:after="0" w:line="480" w:lineRule="auto"/>
        <w:jc w:val="both"/>
        <w:rPr>
          <w:rFonts w:ascii="Times New Roman" w:eastAsia="Times New Roman" w:hAnsi="Times New Roman" w:cs="Times New Roman"/>
          <w:color w:val="000000"/>
          <w:kern w:val="0"/>
          <w:lang w:eastAsia="en-GB"/>
          <w14:ligatures w14:val="none"/>
        </w:rPr>
      </w:pPr>
      <w:r w:rsidRPr="00D5355C">
        <w:rPr>
          <w:rFonts w:ascii="Times New Roman" w:eastAsia="Times New Roman" w:hAnsi="Times New Roman" w:cs="Times New Roman"/>
          <w:color w:val="000000"/>
          <w:kern w:val="0"/>
          <w:lang w:eastAsia="en-GB"/>
          <w14:ligatures w14:val="none"/>
        </w:rPr>
        <w:t>According to Owusu-Agyeman (2019), adult education plays a crucial role around the world and looks at how adults learn in different ways. However, there are still few studies that explore the theories that explain who adult learners are and how to support inclusive and effective adult education. The ontological perspective focuses on the idea that people continue to learn throughout their lives, both in and outside of formal education.</w:t>
      </w:r>
    </w:p>
    <w:p w14:paraId="5562982E"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4. Strategies for Behaviour Management and Engagement  </w:t>
      </w:r>
    </w:p>
    <w:p w14:paraId="427505D6"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4.1 Learner-Centred Approaches</w:t>
      </w:r>
    </w:p>
    <w:p w14:paraId="1E6DB684"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One of the key principles for modern education in the 21st century is putting learners at the centre of the learning process (Dumont et al., 2010).</w:t>
      </w:r>
    </w:p>
    <w:p w14:paraId="71FF9C46" w14:textId="3C9E8793" w:rsid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There are many ways to build and improve student motivation, such as using active and cooperative learning methods. These include activities like Think-Pair-Share (where students first think about a question on their own, then discuss it with a partner), creating examples, drawing concept maps, making predictions, building tables or graphs, summarising in pairs, jigsaw tasks, debates, and project work. </w:t>
      </w:r>
      <w:proofErr w:type="spellStart"/>
      <w:r w:rsidRPr="00D5355C">
        <w:rPr>
          <w:rFonts w:ascii="Times New Roman" w:eastAsia="Calibri" w:hAnsi="Times New Roman" w:cs="Times New Roman"/>
          <w:color w:val="000000"/>
          <w:kern w:val="0"/>
          <w:lang w:eastAsia="en-US"/>
          <w14:ligatures w14:val="none"/>
        </w:rPr>
        <w:t>Markina</w:t>
      </w:r>
      <w:proofErr w:type="spellEnd"/>
      <w:r w:rsidRPr="00D5355C">
        <w:rPr>
          <w:rFonts w:ascii="Times New Roman" w:eastAsia="Calibri" w:hAnsi="Times New Roman" w:cs="Times New Roman"/>
          <w:color w:val="000000"/>
          <w:kern w:val="0"/>
          <w:lang w:eastAsia="en-US"/>
          <w14:ligatures w14:val="none"/>
        </w:rPr>
        <w:t xml:space="preserve"> and Garcia </w:t>
      </w:r>
      <w:proofErr w:type="spellStart"/>
      <w:r w:rsidRPr="00D5355C">
        <w:rPr>
          <w:rFonts w:ascii="Times New Roman" w:eastAsia="Calibri" w:hAnsi="Times New Roman" w:cs="Times New Roman"/>
          <w:color w:val="000000"/>
          <w:kern w:val="0"/>
          <w:lang w:eastAsia="en-US"/>
          <w14:ligatures w14:val="none"/>
        </w:rPr>
        <w:t>Mollá</w:t>
      </w:r>
      <w:proofErr w:type="spellEnd"/>
      <w:r w:rsidRPr="00D5355C">
        <w:rPr>
          <w:rFonts w:ascii="Times New Roman" w:eastAsia="Calibri" w:hAnsi="Times New Roman" w:cs="Times New Roman"/>
          <w:color w:val="000000"/>
          <w:kern w:val="0"/>
          <w:lang w:eastAsia="en-US"/>
          <w14:ligatures w14:val="none"/>
        </w:rPr>
        <w:t xml:space="preserve"> (2022) explain that switching between teacher-led and student-led approaches can have a strong effect on how much students take part in these interactive activities.</w:t>
      </w:r>
    </w:p>
    <w:p w14:paraId="28C3E919" w14:textId="7ED21DA0" w:rsidR="00603976" w:rsidRDefault="00603976" w:rsidP="00A20EC8">
      <w:pPr>
        <w:spacing w:after="0" w:line="480" w:lineRule="auto"/>
        <w:jc w:val="both"/>
        <w:rPr>
          <w:rFonts w:ascii="Times New Roman" w:eastAsia="Calibri" w:hAnsi="Times New Roman" w:cs="Times New Roman"/>
          <w:color w:val="000000"/>
          <w:kern w:val="0"/>
          <w:lang w:eastAsia="en-US"/>
          <w14:ligatures w14:val="none"/>
        </w:rPr>
      </w:pPr>
    </w:p>
    <w:p w14:paraId="5DC77025" w14:textId="77777777" w:rsidR="00603976" w:rsidRPr="00D5355C" w:rsidRDefault="00603976" w:rsidP="00A20EC8">
      <w:pPr>
        <w:spacing w:after="0" w:line="480" w:lineRule="auto"/>
        <w:jc w:val="both"/>
        <w:rPr>
          <w:rFonts w:ascii="Times New Roman" w:eastAsia="Calibri" w:hAnsi="Times New Roman" w:cs="Times New Roman"/>
          <w:color w:val="000000"/>
          <w:kern w:val="0"/>
          <w:lang w:eastAsia="en-US"/>
          <w14:ligatures w14:val="none"/>
        </w:rPr>
      </w:pPr>
      <w:bookmarkStart w:id="0" w:name="_GoBack"/>
      <w:bookmarkEnd w:id="0"/>
    </w:p>
    <w:p w14:paraId="761B1DB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4.2 Active and Problem-Based Learning  </w:t>
      </w:r>
    </w:p>
    <w:p w14:paraId="094FF21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It is said that many adult learners prefer learning that focuses on real-life problems. Problem-based learning (PBL) is a useful method for this, but it may not work well if it is not used the way it was originally intended. When this happens, students may lose engagement, which can negatively affect their learning experience and results. One way to improve this is by encouraging students to assess their progress during PBL activities. Self-assessment can enable learners to take control of their learning and develop their learning behaviours (</w:t>
      </w:r>
      <w:proofErr w:type="spellStart"/>
      <w:r w:rsidRPr="00D5355C">
        <w:rPr>
          <w:rFonts w:ascii="Times New Roman" w:eastAsia="Calibri" w:hAnsi="Times New Roman" w:cs="Times New Roman"/>
          <w:color w:val="000000"/>
          <w:kern w:val="0"/>
          <w:lang w:eastAsia="en-US"/>
          <w14:ligatures w14:val="none"/>
        </w:rPr>
        <w:t>Khoiriyah</w:t>
      </w:r>
      <w:proofErr w:type="spellEnd"/>
      <w:r w:rsidRPr="00D5355C">
        <w:rPr>
          <w:rFonts w:ascii="Times New Roman" w:eastAsia="Calibri" w:hAnsi="Times New Roman" w:cs="Times New Roman"/>
          <w:color w:val="000000"/>
          <w:kern w:val="0"/>
          <w:lang w:eastAsia="en-US"/>
          <w14:ligatures w14:val="none"/>
        </w:rPr>
        <w:t xml:space="preserve"> et al., 2015).</w:t>
      </w:r>
    </w:p>
    <w:p w14:paraId="5B07128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4.3 Reflective Thinking Skills Strategies</w:t>
      </w:r>
    </w:p>
    <w:p w14:paraId="395EAB65"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Encouraging learners to reflect on their learning, or what is called self-reflection, helps them understand their progress and make changes to improve. Feedback from both teachers and classmates is important for supporting this growth. Ku and Ho (2010) found that learners who are strong critical thinkers often use metacognitive strategies, such as planning and reviewing their thinking. They also stressed that knowing how we think (metacognitive knowledge) is key to managing and improving how we learn.</w:t>
      </w:r>
    </w:p>
    <w:p w14:paraId="7FE2202C"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4.4 Proactive Behaviour Management Methods</w:t>
      </w:r>
    </w:p>
    <w:p w14:paraId="20F93A1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Proactive strategies, such as anticipating issues and giving specific praise for good behaviour, reinforce and encourage positive conduct actions. These methods, based on the Multi-Tiered Systems of Support (MTSS) framework, can also work well with adult learners. Alberstadt, Kennedy, and Hampshire (2025) highlight that tools like the Readiness Behavioural Strategies flowchart can help teachers review their teaching and classroom setup to use simple, proactive strategies that support student success.</w:t>
      </w:r>
    </w:p>
    <w:p w14:paraId="143537E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4.5 Flexible Delivery Models</w:t>
      </w:r>
    </w:p>
    <w:p w14:paraId="58AD71D4"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In a tertiary education environment, where teaching includes face-to-face, flexible, and online hybrid methods, language and students’ previous achievement levels are important for encouraging critical engagement. Research by Adams (2012) shows that well-designed hybrid flexible delivery programs can successfully support and improve students’ critical engagement.</w:t>
      </w:r>
    </w:p>
    <w:p w14:paraId="10F4A99C"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According to Linderman (2021), online and hybrid learning can work well for adult learners who are managing work and family duties. However, to address challenges like low digital skills and the risk of feeling isolated, structured support systems such as cohort-based block scheduling, used in some academic universities such as the City University of New York (CUNY) through its Accelerated Study in Associate Programs (ASAP), are essential.</w:t>
      </w:r>
    </w:p>
    <w:p w14:paraId="151B861D"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5. Challenges and Limitations  </w:t>
      </w:r>
    </w:p>
    <w:p w14:paraId="5BF4C21A"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In her 2023 study, Crabtree examines the many barriers that limit student engagement in higher education, highlighting how these challenges can prevent adult learners from fully taking part in their learning. One key barrier is the difficulty students face when adjusting to university life, as new academic and social expectations can lead to feelings of disconnection. Financial pressures are also important, with many students needing to work while studying, often placing work ahead of their education. Cultural factors can add to this problem, especially for students from diverse backgrounds who may feel excluded or unsupported by the institution. Crabtree also emphasizes that staff involvement is crucial; efforts to improve student engagement are unlikely to succeed unless academic and support staff are well-prepared, committed, and able to create inclusive environments. Crabtree highlights the need to recognize and address these barriers by using a more holistic, inclusive, and understanding approach to student engagement. She supports changes in institutions, better support systems, and personalized interventions that work together to improve the overall student experience (Crabtree, 2023).</w:t>
      </w:r>
    </w:p>
    <w:p w14:paraId="57C748CB"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6. Conclusion  </w:t>
      </w:r>
    </w:p>
    <w:p w14:paraId="13407C6D"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In conclusion, managing behaviour and supporting engagement in post-16 education requires a combination of learner-centred strategies, flexible delivery models, and proactive support systems that consider the diverse needs of adult learners. While theoretical frameworks and legislative policies provide important guidance, challenges such as financial pressures, cultural barriers, and staff readiness must be addressed through inclusive and holistic approaches. By fostering supportive environments and personalised interventions, educators can better promote student success and meaningful engagement in higher education.</w:t>
      </w:r>
    </w:p>
    <w:p w14:paraId="2BF20B8F" w14:textId="77777777" w:rsidR="00D5355C" w:rsidRPr="00D5355C" w:rsidRDefault="00D5355C" w:rsidP="00A20EC8">
      <w:pPr>
        <w:spacing w:after="0" w:line="480" w:lineRule="auto"/>
        <w:jc w:val="both"/>
        <w:rPr>
          <w:rFonts w:ascii="Times New Roman" w:eastAsia="Calibri" w:hAnsi="Times New Roman" w:cs="Times New Roman"/>
          <w:b/>
          <w:bCs/>
          <w:color w:val="000000"/>
          <w:kern w:val="0"/>
          <w:lang w:eastAsia="en-US"/>
          <w14:ligatures w14:val="none"/>
        </w:rPr>
      </w:pPr>
      <w:bookmarkStart w:id="1" w:name="_Hlk198897364"/>
      <w:r w:rsidRPr="00D5355C">
        <w:rPr>
          <w:rFonts w:ascii="Times New Roman" w:eastAsia="Calibri" w:hAnsi="Times New Roman" w:cs="Times New Roman"/>
          <w:b/>
          <w:bCs/>
          <w:color w:val="000000"/>
          <w:kern w:val="0"/>
          <w:lang w:eastAsia="en-US"/>
          <w14:ligatures w14:val="none"/>
        </w:rPr>
        <w:t>7. Reflective Accounts</w:t>
      </w:r>
    </w:p>
    <w:p w14:paraId="7FB23BFF"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7.1 Observation 1 </w:t>
      </w:r>
    </w:p>
    <w:p w14:paraId="73B497AD"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Date: 14th May 2025</w:t>
      </w:r>
    </w:p>
    <w:p w14:paraId="722BB35E"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Lesson Topic: -Transportation (review) - How often (activities &amp; food)</w:t>
      </w:r>
    </w:p>
    <w:p w14:paraId="118D102B"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Duration: 60 minutes</w:t>
      </w:r>
    </w:p>
    <w:p w14:paraId="6BB1EE33"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bCs/>
          <w:color w:val="000000"/>
          <w:kern w:val="0"/>
          <w:lang w:eastAsia="en-US"/>
          <w14:ligatures w14:val="none"/>
        </w:rPr>
        <w:t>Level: ESOL Pre-Entry 1–2</w:t>
      </w:r>
    </w:p>
    <w:p w14:paraId="240C1DA7"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Teacher: Ruth</w:t>
      </w:r>
      <w:bookmarkEnd w:id="1"/>
    </w:p>
    <w:p w14:paraId="7FDA64B5" w14:textId="77777777" w:rsidR="00D5355C" w:rsidRPr="00D5355C" w:rsidRDefault="00D5355C" w:rsidP="00A20EC8">
      <w:pPr>
        <w:spacing w:after="0" w:line="480" w:lineRule="auto"/>
        <w:jc w:val="both"/>
        <w:rPr>
          <w:rFonts w:ascii="Times New Roman" w:eastAsia="Calibri" w:hAnsi="Times New Roman" w:cs="Times New Roman"/>
          <w:bCs/>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During my classroom observation, the teacher effectively and skilfully used the entire lesson time to keep students actively engaged, involved, and motivated to participate. One could argue that when teachers are aware of the observation’s purpose, they are more likely to try their best to demonstrate teaching strategies that align with the observation's goal.</w:t>
      </w:r>
    </w:p>
    <w:p w14:paraId="78567A2C"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Observing Ruth’s lesson with a Pre-Entry English group showed the use of several effective strategies that align with evidence-based pedagogy. The lesson, which focused on transportation and routines, demonstrated how using different types of instruction, ongoing assessment, and student-centred differentiation can help engage learners at a low level. In the following section, I reflect critically on these strategies and their implications for my future teaching practice.</w:t>
      </w:r>
    </w:p>
    <w:p w14:paraId="2899E518" w14:textId="77777777" w:rsidR="00D5355C" w:rsidRPr="00D5355C" w:rsidRDefault="00D5355C" w:rsidP="00A20EC8">
      <w:pPr>
        <w:spacing w:after="0" w:line="480" w:lineRule="auto"/>
        <w:jc w:val="both"/>
        <w:rPr>
          <w:rFonts w:ascii="Times New Roman" w:eastAsia="Calibri" w:hAnsi="Times New Roman" w:cs="Times New Roman"/>
          <w:b/>
          <w:bCs/>
          <w:color w:val="000000"/>
          <w:kern w:val="0"/>
          <w:lang w:eastAsia="en-US"/>
          <w14:ligatures w14:val="none"/>
        </w:rPr>
      </w:pPr>
      <w:r w:rsidRPr="00D5355C">
        <w:rPr>
          <w:rFonts w:ascii="Times New Roman" w:eastAsia="Calibri" w:hAnsi="Times New Roman" w:cs="Times New Roman"/>
          <w:b/>
          <w:bCs/>
          <w:color w:val="000000"/>
          <w:kern w:val="0"/>
          <w:lang w:eastAsia="en-US"/>
          <w14:ligatures w14:val="none"/>
        </w:rPr>
        <w:t>7.1.1 Strengths of the Observed Strategies</w:t>
      </w:r>
    </w:p>
    <w:p w14:paraId="32F68DFB"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Ruth supported students in linking new learning to what they had already studied by reviewing homework and referring to a story discussed earlier in the term. This approach created a sense of continuity and made it easier for students to build on their knowledge and learn more effectively, as supported by research in cognitive science (Willingham, 2009). Ruth also used mini whiteboards to collect quick responses from students. This simple strategy encouraged quieter learners to participate and allowed her to give immediate feedback, which reflects the principles of formative assessment described by Black and </w:t>
      </w:r>
      <w:proofErr w:type="spellStart"/>
      <w:r w:rsidRPr="00D5355C">
        <w:rPr>
          <w:rFonts w:ascii="Times New Roman" w:eastAsia="Calibri" w:hAnsi="Times New Roman" w:cs="Times New Roman"/>
          <w:color w:val="000000"/>
          <w:kern w:val="0"/>
          <w:lang w:eastAsia="en-US"/>
          <w14:ligatures w14:val="none"/>
        </w:rPr>
        <w:t>Wiliam</w:t>
      </w:r>
      <w:proofErr w:type="spellEnd"/>
      <w:r w:rsidRPr="00D5355C">
        <w:rPr>
          <w:rFonts w:ascii="Times New Roman" w:eastAsia="Calibri" w:hAnsi="Times New Roman" w:cs="Times New Roman"/>
          <w:color w:val="000000"/>
          <w:kern w:val="0"/>
          <w:lang w:eastAsia="en-US"/>
          <w14:ligatures w14:val="none"/>
        </w:rPr>
        <w:t xml:space="preserve"> (1998).</w:t>
      </w:r>
    </w:p>
    <w:p w14:paraId="37B19BDE"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During the lesson, Ruth used different formats such as worksheets, an interactive whiteboard, and videos to support the varied ways students learn. This approach reflects the principles of Universal Design for Learning (CAST, 2018). For instance, using pictures to help students complete missing words, along with group activities, supports both the language and emotional needs of learners who are studying English as an additional language. Ruth also asked open-ended questions like "How do you come to college?", which encouraged students to think more deeply and relate the lesson to their own lives. This aligns with Freire's (2020) idea of teaching through dialogue and connecting learning to real-life experiences.</w:t>
      </w:r>
    </w:p>
    <w:p w14:paraId="51C8EAFF" w14:textId="77777777" w:rsidR="00D5355C" w:rsidRPr="00D5355C" w:rsidRDefault="00D5355C" w:rsidP="00A20EC8">
      <w:pPr>
        <w:spacing w:after="0" w:line="480" w:lineRule="auto"/>
        <w:jc w:val="both"/>
        <w:rPr>
          <w:rFonts w:ascii="Times New Roman" w:eastAsia="Calibri" w:hAnsi="Times New Roman" w:cs="Times New Roman"/>
          <w:b/>
          <w:bCs/>
          <w:color w:val="000000"/>
          <w:kern w:val="0"/>
          <w:lang w:eastAsia="en-US"/>
          <w14:ligatures w14:val="none"/>
        </w:rPr>
      </w:pPr>
      <w:r w:rsidRPr="00D5355C">
        <w:rPr>
          <w:rFonts w:ascii="Times New Roman" w:eastAsia="Calibri" w:hAnsi="Times New Roman" w:cs="Times New Roman"/>
          <w:b/>
          <w:bCs/>
          <w:color w:val="000000"/>
          <w:kern w:val="0"/>
          <w:lang w:eastAsia="en-US"/>
          <w14:ligatures w14:val="none"/>
        </w:rPr>
        <w:t>7.1.2 Areas for Critical Analysis</w:t>
      </w:r>
    </w:p>
    <w:p w14:paraId="23EC152D" w14:textId="3E330BC0" w:rsid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Ruth’s use of praise for correct answers helped to motivate students. However, this might be improved by also recognising students’ effort, not just their accuracy, as suggested by Dweck’s (2006) growth mindset theory. For example, praising how a student used a learning strategy, such as saying “You used the picture clues well,” can help build confidence, especially in students who struggle and find learning difficult. Ruth also responded calmly to students who were not fully focused, such as when they used their phones. This raises the question of how digital tools can either distract from or support learning. Giving students clear instructions on how to use technology in the lesson, like saying “Search for one answer, then put your phone away,” could help them stay focused while still encouraging some independence.</w:t>
      </w:r>
    </w:p>
    <w:p w14:paraId="475694EC" w14:textId="5F9C0935" w:rsidR="00603976" w:rsidRDefault="00603976" w:rsidP="00A20EC8">
      <w:pPr>
        <w:spacing w:after="0" w:line="480" w:lineRule="auto"/>
        <w:jc w:val="both"/>
        <w:rPr>
          <w:rFonts w:ascii="Times New Roman" w:eastAsia="Calibri" w:hAnsi="Times New Roman" w:cs="Times New Roman"/>
          <w:color w:val="000000"/>
          <w:kern w:val="0"/>
          <w:lang w:eastAsia="en-US"/>
          <w14:ligatures w14:val="none"/>
        </w:rPr>
      </w:pPr>
    </w:p>
    <w:p w14:paraId="001A308B" w14:textId="07C4E265" w:rsidR="00603976" w:rsidRDefault="00603976" w:rsidP="00A20EC8">
      <w:pPr>
        <w:spacing w:after="0" w:line="480" w:lineRule="auto"/>
        <w:jc w:val="both"/>
        <w:rPr>
          <w:rFonts w:ascii="Times New Roman" w:eastAsia="Calibri" w:hAnsi="Times New Roman" w:cs="Times New Roman"/>
          <w:color w:val="000000"/>
          <w:kern w:val="0"/>
          <w:lang w:eastAsia="en-US"/>
          <w14:ligatures w14:val="none"/>
        </w:rPr>
      </w:pPr>
    </w:p>
    <w:p w14:paraId="272E0261" w14:textId="77777777" w:rsidR="00603976" w:rsidRPr="00D5355C" w:rsidRDefault="00603976" w:rsidP="00A20EC8">
      <w:pPr>
        <w:spacing w:after="0" w:line="480" w:lineRule="auto"/>
        <w:jc w:val="both"/>
        <w:rPr>
          <w:rFonts w:ascii="Times New Roman" w:eastAsia="Calibri" w:hAnsi="Times New Roman" w:cs="Times New Roman"/>
          <w:color w:val="000000"/>
          <w:kern w:val="0"/>
          <w:lang w:eastAsia="en-US"/>
          <w14:ligatures w14:val="none"/>
        </w:rPr>
      </w:pPr>
    </w:p>
    <w:p w14:paraId="32F51F56" w14:textId="77777777" w:rsidR="00D5355C" w:rsidRPr="00D5355C" w:rsidRDefault="00D5355C" w:rsidP="00A20EC8">
      <w:pPr>
        <w:spacing w:after="0" w:line="480" w:lineRule="auto"/>
        <w:jc w:val="both"/>
        <w:rPr>
          <w:rFonts w:ascii="Times New Roman" w:eastAsia="Calibri" w:hAnsi="Times New Roman" w:cs="Times New Roman"/>
          <w:b/>
          <w:bCs/>
          <w:color w:val="000000"/>
          <w:kern w:val="0"/>
          <w:lang w:eastAsia="en-US"/>
          <w14:ligatures w14:val="none"/>
        </w:rPr>
      </w:pPr>
      <w:r w:rsidRPr="00D5355C">
        <w:rPr>
          <w:rFonts w:ascii="Times New Roman" w:eastAsia="Calibri" w:hAnsi="Times New Roman" w:cs="Times New Roman"/>
          <w:b/>
          <w:bCs/>
          <w:color w:val="000000"/>
          <w:kern w:val="0"/>
          <w:lang w:eastAsia="en-US"/>
          <w14:ligatures w14:val="none"/>
        </w:rPr>
        <w:t>7.1.3 Targets for My Future Teaching Practice</w:t>
      </w:r>
    </w:p>
    <w:p w14:paraId="00C004BB" w14:textId="77777777" w:rsidR="00D5355C" w:rsidRPr="00D5355C" w:rsidRDefault="00D5355C" w:rsidP="00A20EC8">
      <w:pPr>
        <w:spacing w:after="0" w:line="480" w:lineRule="auto"/>
        <w:jc w:val="both"/>
        <w:rPr>
          <w:rFonts w:ascii="Times New Roman" w:eastAsia="Calibri" w:hAnsi="Times New Roman" w:cs="Times New Roman"/>
          <w:bCs/>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To improve my teaching, I will:</w:t>
      </w:r>
    </w:p>
    <w:p w14:paraId="61822F48" w14:textId="77777777" w:rsidR="00D5355C" w:rsidRPr="00D5355C" w:rsidRDefault="00D5355C" w:rsidP="00A20EC8">
      <w:pPr>
        <w:numPr>
          <w:ilvl w:val="0"/>
          <w:numId w:val="1"/>
        </w:numPr>
        <w:spacing w:after="0" w:line="480" w:lineRule="auto"/>
        <w:jc w:val="both"/>
        <w:rPr>
          <w:rFonts w:ascii="Times New Roman" w:eastAsia="Calibri" w:hAnsi="Times New Roman" w:cs="Times New Roman"/>
          <w:bCs/>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Start each lesson with short review activities that help students remember what they learned in previous lessons.</w:t>
      </w:r>
    </w:p>
    <w:p w14:paraId="5A5CC395" w14:textId="77777777" w:rsidR="00D5355C" w:rsidRPr="00D5355C" w:rsidRDefault="00D5355C" w:rsidP="00A20EC8">
      <w:pPr>
        <w:numPr>
          <w:ilvl w:val="0"/>
          <w:numId w:val="1"/>
        </w:numPr>
        <w:spacing w:after="0" w:line="480" w:lineRule="auto"/>
        <w:jc w:val="both"/>
        <w:rPr>
          <w:rFonts w:ascii="Times New Roman" w:eastAsia="Calibri" w:hAnsi="Times New Roman" w:cs="Times New Roman"/>
          <w:bCs/>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Support group work by giving each student a clear role, such as someone who asks questions or someone who takes notes, so that everyone takes part fairly.</w:t>
      </w:r>
    </w:p>
    <w:p w14:paraId="33C81C0C" w14:textId="77777777" w:rsidR="00D5355C" w:rsidRPr="00D5355C" w:rsidRDefault="00D5355C" w:rsidP="00A20EC8">
      <w:pPr>
        <w:numPr>
          <w:ilvl w:val="0"/>
          <w:numId w:val="1"/>
        </w:numPr>
        <w:spacing w:after="0" w:line="480" w:lineRule="auto"/>
        <w:jc w:val="both"/>
        <w:rPr>
          <w:rFonts w:ascii="Times New Roman" w:eastAsia="Calibri" w:hAnsi="Times New Roman" w:cs="Times New Roman"/>
          <w:bCs/>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Use quick feedback tools, like mini whiteboards and exit tickets, to understand how each student is doing.</w:t>
      </w:r>
    </w:p>
    <w:p w14:paraId="1EE8C7F0" w14:textId="77777777" w:rsidR="00D5355C" w:rsidRPr="00D5355C" w:rsidRDefault="00D5355C" w:rsidP="00A20EC8">
      <w:pPr>
        <w:numPr>
          <w:ilvl w:val="0"/>
          <w:numId w:val="1"/>
        </w:numPr>
        <w:spacing w:after="0" w:line="480" w:lineRule="auto"/>
        <w:jc w:val="both"/>
        <w:rPr>
          <w:rFonts w:ascii="Times New Roman" w:eastAsia="Calibri" w:hAnsi="Times New Roman" w:cs="Times New Roman"/>
          <w:bCs/>
          <w:color w:val="000000"/>
          <w:kern w:val="0"/>
          <w:lang w:eastAsia="en-US"/>
          <w14:ligatures w14:val="none"/>
        </w:rPr>
      </w:pPr>
      <w:r w:rsidRPr="00D5355C">
        <w:rPr>
          <w:rFonts w:ascii="Times New Roman" w:eastAsia="Calibri" w:hAnsi="Times New Roman" w:cs="Times New Roman"/>
          <w:bCs/>
          <w:color w:val="000000"/>
          <w:kern w:val="0"/>
          <w:lang w:eastAsia="en-US"/>
          <w14:ligatures w14:val="none"/>
        </w:rPr>
        <w:t>Give praise that focuses on the effort students make and the strategies they use to help them develop a positive attitude toward learning.</w:t>
      </w:r>
    </w:p>
    <w:p w14:paraId="634AF1EA" w14:textId="77777777" w:rsidR="00D5355C" w:rsidRPr="00D5355C" w:rsidRDefault="00D5355C" w:rsidP="00A20EC8">
      <w:pPr>
        <w:spacing w:after="0" w:line="480" w:lineRule="auto"/>
        <w:jc w:val="both"/>
        <w:rPr>
          <w:rFonts w:ascii="Times New Roman" w:eastAsia="Calibri" w:hAnsi="Times New Roman" w:cs="Times New Roman"/>
          <w:b/>
          <w:bCs/>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7.2 Observation 2 </w:t>
      </w:r>
    </w:p>
    <w:p w14:paraId="4D2F92E5"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bookmarkStart w:id="2" w:name="_Hlk199166411"/>
      <w:r w:rsidRPr="00D5355C">
        <w:rPr>
          <w:rFonts w:ascii="Times New Roman" w:eastAsia="Calibri" w:hAnsi="Times New Roman" w:cs="Times New Roman"/>
          <w:b/>
          <w:color w:val="000000"/>
          <w:kern w:val="0"/>
          <w:lang w:eastAsia="en-US"/>
          <w14:ligatures w14:val="none"/>
        </w:rPr>
        <w:t>Date: 16th May 2025</w:t>
      </w:r>
    </w:p>
    <w:p w14:paraId="352342D1"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Lesson Topic: - </w:t>
      </w:r>
      <w:r w:rsidRPr="00D5355C">
        <w:rPr>
          <w:rFonts w:ascii="Times New Roman" w:eastAsia="Times New Roman" w:hAnsi="Times New Roman" w:cs="Times New Roman"/>
          <w:b/>
          <w:color w:val="000000"/>
          <w:kern w:val="0"/>
          <w:lang w:val="en-US" w:eastAsia="en-US"/>
          <w14:ligatures w14:val="none"/>
        </w:rPr>
        <w:t>What is the weather like? – Nouns and Adjectives</w:t>
      </w:r>
    </w:p>
    <w:p w14:paraId="24C72DC9"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Duration: 60 minutes</w:t>
      </w:r>
    </w:p>
    <w:p w14:paraId="0834340A"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bCs/>
          <w:color w:val="000000"/>
          <w:kern w:val="0"/>
          <w:lang w:eastAsia="en-US"/>
          <w14:ligatures w14:val="none"/>
        </w:rPr>
        <w:t>Level: ESOL Pre-Entry 3-4</w:t>
      </w:r>
    </w:p>
    <w:p w14:paraId="55BD2A1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Teacher: Geraint</w:t>
      </w:r>
    </w:p>
    <w:bookmarkEnd w:id="2"/>
    <w:p w14:paraId="55039E2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Based on my previous observation experience, I found that informing the teacher in advance about the purpose and focus of the observation is important and beneficial for the observer. I explained the aim of the observation to the teacher, and as a result, the teacher made a strong effort to demonstrate how student engagement is promoted during the lesson. </w:t>
      </w:r>
    </w:p>
    <w:p w14:paraId="06D60433"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Observing Geraint's lesson with a Pre-Entry English group showed how effective multisensory instruction, supported listening tasks, and culturally responsive feedback can be in teaching weather-related vocabulary. The lesson illustrated how using structured repetition, interactive activities, and personalised assessment can meet the varied needs of learners and support their engagement. Below, I critically analyse these approaches and what they mean for my own teaching practice.</w:t>
      </w:r>
    </w:p>
    <w:p w14:paraId="527548EA"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7.2.1 Effective Pedagogical Strategies and Theoretical Justifications</w:t>
      </w:r>
    </w:p>
    <w:p w14:paraId="787B094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Geraint’s use of visual aids (such as matching words with pictures) and real-life tasks (like linking clothing to seasons) supports vocabulary learning through Dual Coding Theory (</w:t>
      </w:r>
      <w:proofErr w:type="spellStart"/>
      <w:r w:rsidRPr="00D5355C">
        <w:rPr>
          <w:rFonts w:ascii="Times New Roman" w:eastAsia="Calibri" w:hAnsi="Times New Roman" w:cs="Times New Roman"/>
          <w:color w:val="000000"/>
          <w:kern w:val="0"/>
          <w:lang w:eastAsia="en-US"/>
          <w14:ligatures w14:val="none"/>
        </w:rPr>
        <w:t>Paivio</w:t>
      </w:r>
      <w:proofErr w:type="spellEnd"/>
      <w:r w:rsidRPr="00D5355C">
        <w:rPr>
          <w:rFonts w:ascii="Times New Roman" w:eastAsia="Calibri" w:hAnsi="Times New Roman" w:cs="Times New Roman"/>
          <w:color w:val="000000"/>
          <w:kern w:val="0"/>
          <w:lang w:eastAsia="en-US"/>
          <w14:ligatures w14:val="none"/>
        </w:rPr>
        <w:t xml:space="preserve"> and Clark, 2006), which explains that using both visual and verbal information helps memory. The structured listening tasks in the lesson also reflect Vandergrift's (2004) ideas about supporting second-language listening. For example, playing the audio three times and using shout-out word recognition activities helped learners build understanding step by step. This gradual approach supports listening development through guided practice. In addition, Geraint organised the whiteboard using the four cardinal directions, which provided students with a clear visual structure and supported memory, aligning with Cognitive Load Theory (</w:t>
      </w:r>
      <w:proofErr w:type="spellStart"/>
      <w:r w:rsidRPr="00D5355C">
        <w:rPr>
          <w:rFonts w:ascii="Times New Roman" w:eastAsia="Calibri" w:hAnsi="Times New Roman" w:cs="Times New Roman"/>
          <w:color w:val="000000"/>
          <w:kern w:val="0"/>
          <w:lang w:eastAsia="en-US"/>
          <w14:ligatures w14:val="none"/>
        </w:rPr>
        <w:t>Sweller</w:t>
      </w:r>
      <w:proofErr w:type="spellEnd"/>
      <w:r w:rsidRPr="00D5355C">
        <w:rPr>
          <w:rFonts w:ascii="Times New Roman" w:eastAsia="Calibri" w:hAnsi="Times New Roman" w:cs="Times New Roman"/>
          <w:color w:val="000000"/>
          <w:kern w:val="0"/>
          <w:lang w:eastAsia="en-US"/>
          <w14:ligatures w14:val="none"/>
        </w:rPr>
        <w:t>, 1988).</w:t>
      </w:r>
    </w:p>
    <w:p w14:paraId="231EF10F"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The student-centred parts of the lesson were especially effective. Asking a learner to take on the role of "teacher" encouraged peer-led learning and helped build confidence and self-awareness, which reflects Vygotsky's (1978) ideas about learning through social interaction. In the same way, discussions about the weather in students' home countries recognised and valued their backgrounds, which is an important part of inclusive teaching (Gay, 2010). Geraint also gave individual feedback on spelling and grammar, which helped address each student's specific needs and reflected the principles of formative assessment described by Black and </w:t>
      </w:r>
      <w:proofErr w:type="spellStart"/>
      <w:r w:rsidRPr="00D5355C">
        <w:rPr>
          <w:rFonts w:ascii="Times New Roman" w:eastAsia="Calibri" w:hAnsi="Times New Roman" w:cs="Times New Roman"/>
          <w:color w:val="000000"/>
          <w:kern w:val="0"/>
          <w:lang w:eastAsia="en-US"/>
          <w14:ligatures w14:val="none"/>
        </w:rPr>
        <w:t>Wiliam</w:t>
      </w:r>
      <w:proofErr w:type="spellEnd"/>
      <w:r w:rsidRPr="00D5355C">
        <w:rPr>
          <w:rFonts w:ascii="Times New Roman" w:eastAsia="Calibri" w:hAnsi="Times New Roman" w:cs="Times New Roman"/>
          <w:color w:val="000000"/>
          <w:kern w:val="0"/>
          <w:lang w:eastAsia="en-US"/>
          <w14:ligatures w14:val="none"/>
        </w:rPr>
        <w:t xml:space="preserve"> (1998).</w:t>
      </w:r>
    </w:p>
    <w:p w14:paraId="75129C65"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7.2.2 Critical Considerations  </w:t>
      </w:r>
    </w:p>
    <w:p w14:paraId="6606C7A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Although repeating the audio helped students understand the content, I wondered if using more pre-listening strategies, such as predicting the topic using pictures, could have reduced the mental effort required. The gap-fill activity was useful, but it might have been improved by offering different versions, such as adding word banks for students who needed extra support. Geraint placed a strong emphasis on accuracy, including correct spelling and capitalisation, which was effective. However, adding peer feedback could have encouraged shared learning and helped students correct mistakes together, which aligns with Hattie's (2009) ideas on visible learning.</w:t>
      </w:r>
    </w:p>
    <w:p w14:paraId="2D25258F"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7.2.3 Development Targets for My Future Teaching</w:t>
      </w:r>
    </w:p>
    <w:p w14:paraId="051EB00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To improve my teaching based on the strategies above, I plan to:</w:t>
      </w:r>
    </w:p>
    <w:p w14:paraId="05539E3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1. Use pre-listening questions such as “What weather words might you hear?” to help students think about the topic and feel more prepared.</w:t>
      </w:r>
    </w:p>
    <w:p w14:paraId="73E86044"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2. Adjust gap-fill activities by giving extra support, like word banks, to help learners at different levels.</w:t>
      </w:r>
    </w:p>
    <w:p w14:paraId="34C1FFD3"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3. Combine feedback on accuracy with peer review so students can learn from each other and work together to correct mistakes.</w:t>
      </w:r>
    </w:p>
    <w:p w14:paraId="11800384"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4. Include more culturally relevant activities, such as comparing seasonal clothing in different countries, to make lessons more interesting and meaningful for all students.</w:t>
      </w:r>
    </w:p>
    <w:p w14:paraId="349DF44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 xml:space="preserve">7.3 Critical Reflection on My Own Teaching Practice Session </w:t>
      </w:r>
    </w:p>
    <w:p w14:paraId="2AB01C5C"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Date: 21</w:t>
      </w:r>
      <w:r w:rsidRPr="00D5355C">
        <w:rPr>
          <w:rFonts w:ascii="Times New Roman" w:eastAsia="Calibri" w:hAnsi="Times New Roman" w:cs="Times New Roman"/>
          <w:b/>
          <w:color w:val="000000"/>
          <w:kern w:val="0"/>
          <w:vertAlign w:val="superscript"/>
          <w:lang w:eastAsia="en-US"/>
          <w14:ligatures w14:val="none"/>
        </w:rPr>
        <w:t>st</w:t>
      </w:r>
      <w:r w:rsidRPr="00D5355C">
        <w:rPr>
          <w:rFonts w:ascii="Times New Roman" w:eastAsia="Calibri" w:hAnsi="Times New Roman" w:cs="Times New Roman"/>
          <w:b/>
          <w:color w:val="000000"/>
          <w:kern w:val="0"/>
          <w:lang w:eastAsia="en-US"/>
          <w14:ligatures w14:val="none"/>
        </w:rPr>
        <w:t xml:space="preserve"> May 2025</w:t>
      </w:r>
    </w:p>
    <w:p w14:paraId="413CB87C"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Lesson Topic: Past Simple Verbs: Explanation and Practice</w:t>
      </w:r>
    </w:p>
    <w:p w14:paraId="517E3653"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Duration: 60 minutes</w:t>
      </w:r>
    </w:p>
    <w:p w14:paraId="71F700B7"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bCs/>
          <w:color w:val="000000"/>
          <w:kern w:val="0"/>
          <w:lang w:eastAsia="en-US"/>
          <w14:ligatures w14:val="none"/>
        </w:rPr>
        <w:t>Level: ESOL Entry Levels</w:t>
      </w:r>
    </w:p>
    <w:p w14:paraId="2BE36245"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Teacher: Elsayed Elhoshi</w:t>
      </w:r>
    </w:p>
    <w:p w14:paraId="4D3DB939"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7.3.1 Teaching and Learning Approaches</w:t>
      </w:r>
    </w:p>
    <w:p w14:paraId="53F79679"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Teaching grammar, especially the past simple tense, to Entry Level learners had both successes and difficulties, particularly in managing behaviour and keeping students engaged. These challenges were made more complex by the mixed ability levels in the group and the informal setting. Most learners were working at Entry Level 1 or 2, but some were at a higher level, while others were complete beginners. Students also had different levels of reading and writing skills, and some found it hard to stay focused during the lesson. These difficulties and challenges were largely influenced by the nature of the learning environment, as the session took place at a charity called the Ethnic Youth Support Team (EYST), which supports asylum seekers and refugees who have recently arrived in the UK and are learning English for a range of personal and professional reasons.</w:t>
      </w:r>
    </w:p>
    <w:p w14:paraId="5C5486D5"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The lesson was planned clearly and visually. I started by explaining English tenses on the whiteboard, focusing on the past simple tense. I also talked about different types of tenses, and the difference between regular and irregular verbs, and wrote some examples on the whiteboard. Then I gave students handouts and worksheets to check their understanding.</w:t>
      </w:r>
    </w:p>
    <w:p w14:paraId="31C58248"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 used real-life examples, such as King Charles visiting France, and asked personal questions to make the lesson more meaningful. Repetition and sentence completion exercises using slides helped reinforce learning and engagement, which is important for entry-level learners.</w:t>
      </w:r>
    </w:p>
    <w:p w14:paraId="0123C306"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Following a clear explanation of how to form and respond to questions in the past tense, the students were divided into two groups. One group was assigned the task of asking questions using the past tense, while the other group was instructed to respond in the same tense.</w:t>
      </w:r>
    </w:p>
    <w:p w14:paraId="53FD7FDD"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However, not all students stayed focused. Some joined in and tried making sentences, while others lost interest during more grammar-heavy parts of the lesson. This showed me that I need to include more interactive tasks, like role-play or short quizzes, to keep everyone engaged.</w:t>
      </w:r>
    </w:p>
    <w:p w14:paraId="3F1F3474"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7.3.2 Behaviour Management</w:t>
      </w:r>
    </w:p>
    <w:p w14:paraId="2B2C0C0D"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To manage behaviour, I used simple strategies such as asking students to write their names on paper and display them in front of them. This helped me address learners personally, move around the room to maintain a presence, and offer praise for correct answers. These techniques were effective for managing minor disruptions. However, when some students were unwilling to or became distracted by side conversations, it became clear to me that more structured behaviour management strategies were needed. On reflection, I recognise the importance of setting clear expectations from the beginning. In future sessions, I plan to give more explicit instructions, assign group roles to encourage responsibility and adapt the seating arrangement to support focus. I also believe that using visual prompts, timers, and allowing short breaks could help learners who struggle with concentration remain engaged throughout the lesson.</w:t>
      </w:r>
    </w:p>
    <w:p w14:paraId="53D71441"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7.3.3 Looking Ahead: Plans for My Teaching Practice</w:t>
      </w:r>
    </w:p>
    <w:p w14:paraId="7D30F10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Research shows that entry-level learners do best with interactive lessons and clear expectations (Crabtree, 2023). It’s also important to make the classroom a safe space where students feel confident to try and make mistakes.</w:t>
      </w:r>
    </w:p>
    <w:p w14:paraId="599B9D9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In future lessons, I will:</w:t>
      </w:r>
    </w:p>
    <w:p w14:paraId="41F89F9D"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1. Use more active tasks like role-playing.</w:t>
      </w:r>
    </w:p>
    <w:p w14:paraId="7A101F0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2. Check understanding with simple tools like exit tickets.</w:t>
      </w:r>
    </w:p>
    <w:p w14:paraId="57824274"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3. Add movement activities to keep energy levels up.</w:t>
      </w:r>
    </w:p>
    <w:p w14:paraId="3B3C34EE"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4. Give extra support to students who need it.</w:t>
      </w:r>
    </w:p>
    <w:p w14:paraId="0FC771AB"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5. Use visual aids to remind learners of rules and routines.</w:t>
      </w:r>
    </w:p>
    <w:p w14:paraId="7160737A" w14:textId="77777777" w:rsidR="00D5355C" w:rsidRPr="00D5355C" w:rsidRDefault="00D5355C" w:rsidP="00A20EC8">
      <w:pPr>
        <w:spacing w:after="0" w:line="480" w:lineRule="auto"/>
        <w:jc w:val="both"/>
        <w:rPr>
          <w:rFonts w:ascii="Times New Roman" w:eastAsia="Calibri" w:hAnsi="Times New Roman" w:cs="Times New Roman"/>
          <w:b/>
          <w:color w:val="000000"/>
          <w:kern w:val="0"/>
          <w:lang w:eastAsia="en-US"/>
          <w14:ligatures w14:val="none"/>
        </w:rPr>
      </w:pPr>
      <w:r w:rsidRPr="00D5355C">
        <w:rPr>
          <w:rFonts w:ascii="Times New Roman" w:eastAsia="Calibri" w:hAnsi="Times New Roman" w:cs="Times New Roman"/>
          <w:b/>
          <w:color w:val="000000"/>
          <w:kern w:val="0"/>
          <w:lang w:eastAsia="en-US"/>
          <w14:ligatures w14:val="none"/>
        </w:rPr>
        <w:t>7.4 Conclusion</w:t>
      </w:r>
    </w:p>
    <w:p w14:paraId="3D9C9F78" w14:textId="77777777" w:rsidR="00603976" w:rsidRDefault="00D5355C" w:rsidP="00603976">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By observing experienced teachers of English for adult learners, I have understood the importance of informing the teacher being observed about the focus of the observation in advance. This is particularly useful when the observation is aimed at specific teaching skills, such as classroom management or promoting student engagement and participation. Providing this information beforehand allows the teacher to demonstrate these skills more clearly and effectively. Based on this understanding, I plan to inform my students of the lesson topic in advance in future classes. This will help them come prepared, increase their engagement, and allow them to gain greater benefit from the learning experience.</w:t>
      </w:r>
    </w:p>
    <w:p w14:paraId="1E48969A" w14:textId="3948EC43" w:rsidR="00D5355C" w:rsidRPr="00603976" w:rsidRDefault="00D5355C" w:rsidP="00603976">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Times New Roman" w:hAnsi="Times New Roman" w:cs="Times New Roman"/>
          <w:b/>
          <w:bCs/>
          <w:color w:val="404040"/>
          <w:kern w:val="0"/>
          <w:lang w:eastAsia="en-GB"/>
          <w14:ligatures w14:val="none"/>
        </w:rPr>
        <w:t>8. References</w:t>
      </w:r>
    </w:p>
    <w:p w14:paraId="61C6596D"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Adams, C.A. (2012) </w:t>
      </w:r>
      <w:r w:rsidRPr="00D5355C">
        <w:rPr>
          <w:rFonts w:ascii="Times New Roman" w:eastAsia="Calibri" w:hAnsi="Times New Roman" w:cs="Times New Roman"/>
          <w:i/>
          <w:iCs/>
          <w:color w:val="000000"/>
          <w:kern w:val="0"/>
          <w:lang w:eastAsia="en-US"/>
          <w14:ligatures w14:val="none"/>
        </w:rPr>
        <w:t>What is the relationship between hybrid flexible delivery and the level of critical engagement in tertiary education?</w:t>
      </w:r>
      <w:r w:rsidRPr="00D5355C">
        <w:rPr>
          <w:rFonts w:ascii="Times New Roman" w:eastAsia="Calibri" w:hAnsi="Times New Roman" w:cs="Times New Roman"/>
          <w:color w:val="000000"/>
          <w:kern w:val="0"/>
          <w:lang w:eastAsia="en-US"/>
          <w14:ligatures w14:val="none"/>
        </w:rPr>
        <w:t> Doctoral thesis, University of Tasmania.</w:t>
      </w:r>
    </w:p>
    <w:p w14:paraId="11618F6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Alberstadt Kennedy, A. and Hampshire, P.K. (2025) ‘Readiness Framework for Behavioural Strategies: Assessing Low-Intensity Approaches Before High-Intensity Interventions’, </w:t>
      </w:r>
      <w:r w:rsidRPr="00D5355C">
        <w:rPr>
          <w:rFonts w:ascii="Times New Roman" w:eastAsia="Calibri" w:hAnsi="Times New Roman" w:cs="Times New Roman"/>
          <w:i/>
          <w:iCs/>
          <w:color w:val="000000"/>
          <w:kern w:val="0"/>
          <w:lang w:eastAsia="en-US"/>
          <w14:ligatures w14:val="none"/>
        </w:rPr>
        <w:t>Intervention in School and Clinic</w:t>
      </w:r>
      <w:r w:rsidRPr="00D5355C">
        <w:rPr>
          <w:rFonts w:ascii="Times New Roman" w:eastAsia="Calibri" w:hAnsi="Times New Roman" w:cs="Times New Roman"/>
          <w:color w:val="000000"/>
          <w:kern w:val="0"/>
          <w:lang w:eastAsia="en-US"/>
          <w14:ligatures w14:val="none"/>
        </w:rPr>
        <w:t>, 60(3), p. 176.</w:t>
      </w:r>
    </w:p>
    <w:p w14:paraId="66C63B7A"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Black, P. and </w:t>
      </w:r>
      <w:proofErr w:type="spellStart"/>
      <w:r w:rsidRPr="00D5355C">
        <w:rPr>
          <w:rFonts w:ascii="Times New Roman" w:eastAsia="Calibri" w:hAnsi="Times New Roman" w:cs="Times New Roman"/>
          <w:color w:val="000000"/>
          <w:kern w:val="0"/>
          <w:lang w:eastAsia="en-US"/>
          <w14:ligatures w14:val="none"/>
        </w:rPr>
        <w:t>Wiliam</w:t>
      </w:r>
      <w:proofErr w:type="spellEnd"/>
      <w:r w:rsidRPr="00D5355C">
        <w:rPr>
          <w:rFonts w:ascii="Times New Roman" w:eastAsia="Calibri" w:hAnsi="Times New Roman" w:cs="Times New Roman"/>
          <w:color w:val="000000"/>
          <w:kern w:val="0"/>
          <w:lang w:eastAsia="en-US"/>
          <w14:ligatures w14:val="none"/>
        </w:rPr>
        <w:t>, D. (1998) </w:t>
      </w:r>
      <w:r w:rsidRPr="00D5355C">
        <w:rPr>
          <w:rFonts w:ascii="Times New Roman" w:eastAsia="Calibri" w:hAnsi="Times New Roman" w:cs="Times New Roman"/>
          <w:i/>
          <w:iCs/>
          <w:color w:val="000000"/>
          <w:kern w:val="0"/>
          <w:lang w:eastAsia="en-US"/>
          <w14:ligatures w14:val="none"/>
        </w:rPr>
        <w:t>Inside the black box: Raising standards through classroom assessment</w:t>
      </w:r>
      <w:r w:rsidRPr="00D5355C">
        <w:rPr>
          <w:rFonts w:ascii="Times New Roman" w:eastAsia="Calibri" w:hAnsi="Times New Roman" w:cs="Times New Roman"/>
          <w:color w:val="000000"/>
          <w:kern w:val="0"/>
          <w:lang w:eastAsia="en-US"/>
          <w14:ligatures w14:val="none"/>
        </w:rPr>
        <w:t>. London: King’s College London School of Education.</w:t>
      </w:r>
    </w:p>
    <w:p w14:paraId="5DE49CD9"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Black, P. and </w:t>
      </w:r>
      <w:proofErr w:type="spellStart"/>
      <w:r w:rsidRPr="00D5355C">
        <w:rPr>
          <w:rFonts w:ascii="Times New Roman" w:eastAsia="Calibri" w:hAnsi="Times New Roman" w:cs="Times New Roman"/>
          <w:color w:val="000000"/>
          <w:kern w:val="0"/>
          <w:lang w:eastAsia="en-US"/>
          <w14:ligatures w14:val="none"/>
        </w:rPr>
        <w:t>Wiliam</w:t>
      </w:r>
      <w:proofErr w:type="spellEnd"/>
      <w:r w:rsidRPr="00D5355C">
        <w:rPr>
          <w:rFonts w:ascii="Times New Roman" w:eastAsia="Calibri" w:hAnsi="Times New Roman" w:cs="Times New Roman"/>
          <w:color w:val="000000"/>
          <w:kern w:val="0"/>
          <w:lang w:eastAsia="en-US"/>
          <w14:ligatures w14:val="none"/>
        </w:rPr>
        <w:t>, D. (1998) ‘Assessment and classroom learning’, </w:t>
      </w:r>
      <w:r w:rsidRPr="00D5355C">
        <w:rPr>
          <w:rFonts w:ascii="Times New Roman" w:eastAsia="Calibri" w:hAnsi="Times New Roman" w:cs="Times New Roman"/>
          <w:i/>
          <w:iCs/>
          <w:color w:val="000000"/>
          <w:kern w:val="0"/>
          <w:lang w:eastAsia="en-US"/>
          <w14:ligatures w14:val="none"/>
        </w:rPr>
        <w:t>Assessment in Education: Principles, Policy &amp; Practice</w:t>
      </w:r>
      <w:r w:rsidRPr="00D5355C">
        <w:rPr>
          <w:rFonts w:ascii="Times New Roman" w:eastAsia="Calibri" w:hAnsi="Times New Roman" w:cs="Times New Roman"/>
          <w:color w:val="000000"/>
          <w:kern w:val="0"/>
          <w:lang w:eastAsia="en-US"/>
          <w14:ligatures w14:val="none"/>
        </w:rPr>
        <w:t>, 5(1), pp. 7–74.</w:t>
      </w:r>
    </w:p>
    <w:p w14:paraId="26620F65"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CAST (2018) </w:t>
      </w:r>
      <w:r w:rsidRPr="00D5355C">
        <w:rPr>
          <w:rFonts w:ascii="Times New Roman" w:eastAsia="Calibri" w:hAnsi="Times New Roman" w:cs="Times New Roman"/>
          <w:i/>
          <w:iCs/>
          <w:color w:val="000000"/>
          <w:kern w:val="0"/>
          <w:lang w:eastAsia="en-US"/>
          <w14:ligatures w14:val="none"/>
        </w:rPr>
        <w:t>Universal Design for Learning Guidelines version 2.2</w:t>
      </w:r>
      <w:r w:rsidRPr="00D5355C">
        <w:rPr>
          <w:rFonts w:ascii="Times New Roman" w:eastAsia="Calibri" w:hAnsi="Times New Roman" w:cs="Times New Roman"/>
          <w:color w:val="000000"/>
          <w:kern w:val="0"/>
          <w:lang w:eastAsia="en-US"/>
          <w14:ligatures w14:val="none"/>
        </w:rPr>
        <w:t>. Wakefield, MA: CAST. Available at: </w:t>
      </w:r>
      <w:hyperlink r:id="rId6" w:tgtFrame="_blank" w:history="1">
        <w:r w:rsidRPr="00D5355C">
          <w:rPr>
            <w:rFonts w:ascii="Times New Roman" w:eastAsia="Calibri" w:hAnsi="Times New Roman" w:cs="Times New Roman"/>
            <w:color w:val="0000FF"/>
            <w:kern w:val="0"/>
            <w:u w:val="single"/>
            <w:lang w:eastAsia="en-US"/>
            <w14:ligatures w14:val="none"/>
          </w:rPr>
          <w:t>https://udlguidelines.cast.org/</w:t>
        </w:r>
      </w:hyperlink>
      <w:r w:rsidRPr="00D5355C">
        <w:rPr>
          <w:rFonts w:ascii="Times New Roman" w:eastAsia="Calibri" w:hAnsi="Times New Roman" w:cs="Times New Roman"/>
          <w:color w:val="000000"/>
          <w:kern w:val="0"/>
          <w:lang w:eastAsia="en-US"/>
          <w14:ligatures w14:val="none"/>
        </w:rPr>
        <w:t> (Accessed: 27 May 2025).</w:t>
      </w:r>
    </w:p>
    <w:p w14:paraId="1AF55203"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Crabtree, R. (2023) ‘Barriers to Student Engagement: Why Don’t University Students Engage?’, </w:t>
      </w:r>
      <w:r w:rsidRPr="00D5355C">
        <w:rPr>
          <w:rFonts w:ascii="Times New Roman" w:eastAsia="Calibri" w:hAnsi="Times New Roman" w:cs="Times New Roman"/>
          <w:i/>
          <w:iCs/>
          <w:color w:val="000000"/>
          <w:kern w:val="0"/>
          <w:lang w:eastAsia="en-US"/>
          <w14:ligatures w14:val="none"/>
        </w:rPr>
        <w:t>Student Engagement in Higher Education Journal</w:t>
      </w:r>
      <w:r w:rsidRPr="00D5355C">
        <w:rPr>
          <w:rFonts w:ascii="Times New Roman" w:eastAsia="Calibri" w:hAnsi="Times New Roman" w:cs="Times New Roman"/>
          <w:color w:val="000000"/>
          <w:kern w:val="0"/>
          <w:lang w:eastAsia="en-US"/>
          <w14:ligatures w14:val="none"/>
        </w:rPr>
        <w:t>, 4(3), pp. 28–47. Available at: </w:t>
      </w:r>
      <w:hyperlink r:id="rId7" w:tgtFrame="_blank" w:history="1">
        <w:r w:rsidRPr="00D5355C">
          <w:rPr>
            <w:rFonts w:ascii="Times New Roman" w:eastAsia="Calibri" w:hAnsi="Times New Roman" w:cs="Times New Roman"/>
            <w:color w:val="0000FF"/>
            <w:kern w:val="0"/>
            <w:u w:val="single"/>
            <w:lang w:eastAsia="en-US"/>
            <w14:ligatures w14:val="none"/>
          </w:rPr>
          <w:t>https://sehej.raise-network.com/raise/article/view/1156</w:t>
        </w:r>
      </w:hyperlink>
      <w:r w:rsidRPr="00D5355C">
        <w:rPr>
          <w:rFonts w:ascii="Times New Roman" w:eastAsia="Calibri" w:hAnsi="Times New Roman" w:cs="Times New Roman"/>
          <w:color w:val="000000"/>
          <w:kern w:val="0"/>
          <w:lang w:eastAsia="en-US"/>
          <w14:ligatures w14:val="none"/>
        </w:rPr>
        <w:t> (Accessed: 27 May 2025).</w:t>
      </w:r>
    </w:p>
    <w:p w14:paraId="5057F908"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 xml:space="preserve">Dumont, H., </w:t>
      </w:r>
      <w:proofErr w:type="spellStart"/>
      <w:r w:rsidRPr="00D5355C">
        <w:rPr>
          <w:rFonts w:ascii="Times New Roman" w:eastAsia="Calibri" w:hAnsi="Times New Roman" w:cs="Times New Roman"/>
          <w:color w:val="000000"/>
          <w:kern w:val="0"/>
          <w:lang w:eastAsia="en-US"/>
          <w14:ligatures w14:val="none"/>
        </w:rPr>
        <w:t>Istance</w:t>
      </w:r>
      <w:proofErr w:type="spellEnd"/>
      <w:r w:rsidRPr="00D5355C">
        <w:rPr>
          <w:rFonts w:ascii="Times New Roman" w:eastAsia="Calibri" w:hAnsi="Times New Roman" w:cs="Times New Roman"/>
          <w:color w:val="000000"/>
          <w:kern w:val="0"/>
          <w:lang w:eastAsia="en-US"/>
          <w14:ligatures w14:val="none"/>
        </w:rPr>
        <w:t>, D. and Benavides, F. (eds.) (2010) </w:t>
      </w:r>
      <w:r w:rsidRPr="00D5355C">
        <w:rPr>
          <w:rFonts w:ascii="Times New Roman" w:eastAsia="Calibri" w:hAnsi="Times New Roman" w:cs="Times New Roman"/>
          <w:i/>
          <w:iCs/>
          <w:color w:val="000000"/>
          <w:kern w:val="0"/>
          <w:lang w:eastAsia="en-US"/>
          <w14:ligatures w14:val="none"/>
        </w:rPr>
        <w:t>The nature of learning: Using research to inspire practice</w:t>
      </w:r>
      <w:r w:rsidRPr="00D5355C">
        <w:rPr>
          <w:rFonts w:ascii="Times New Roman" w:eastAsia="Calibri" w:hAnsi="Times New Roman" w:cs="Times New Roman"/>
          <w:color w:val="000000"/>
          <w:kern w:val="0"/>
          <w:lang w:eastAsia="en-US"/>
          <w14:ligatures w14:val="none"/>
        </w:rPr>
        <w:t>. Paris: OECD Publications. Available at: </w:t>
      </w:r>
      <w:hyperlink r:id="rId8" w:tgtFrame="_blank" w:history="1">
        <w:r w:rsidRPr="00D5355C">
          <w:rPr>
            <w:rFonts w:ascii="Times New Roman" w:eastAsia="Calibri" w:hAnsi="Times New Roman" w:cs="Times New Roman"/>
            <w:color w:val="0000FF"/>
            <w:kern w:val="0"/>
            <w:u w:val="single"/>
            <w:lang w:eastAsia="en-US"/>
            <w14:ligatures w14:val="none"/>
          </w:rPr>
          <w:t>https://www.oecd.org/education/ceri/50300814.pdf</w:t>
        </w:r>
      </w:hyperlink>
      <w:r w:rsidRPr="00D5355C">
        <w:rPr>
          <w:rFonts w:ascii="Times New Roman" w:eastAsia="Calibri" w:hAnsi="Times New Roman" w:cs="Times New Roman"/>
          <w:color w:val="000000"/>
          <w:kern w:val="0"/>
          <w:lang w:eastAsia="en-US"/>
          <w14:ligatures w14:val="none"/>
        </w:rPr>
        <w:t> (Accessed: 7 May 2025).</w:t>
      </w:r>
    </w:p>
    <w:p w14:paraId="59F98DBC"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Dweck, C.S. (2006) </w:t>
      </w:r>
      <w:r w:rsidRPr="00D5355C">
        <w:rPr>
          <w:rFonts w:ascii="Times New Roman" w:eastAsia="Calibri" w:hAnsi="Times New Roman" w:cs="Times New Roman"/>
          <w:i/>
          <w:iCs/>
          <w:color w:val="000000"/>
          <w:kern w:val="0"/>
          <w:lang w:eastAsia="en-US"/>
          <w14:ligatures w14:val="none"/>
        </w:rPr>
        <w:t>Mindset: The new psychology of success</w:t>
      </w:r>
      <w:r w:rsidRPr="00D5355C">
        <w:rPr>
          <w:rFonts w:ascii="Times New Roman" w:eastAsia="Calibri" w:hAnsi="Times New Roman" w:cs="Times New Roman"/>
          <w:color w:val="000000"/>
          <w:kern w:val="0"/>
          <w:lang w:eastAsia="en-US"/>
          <w14:ligatures w14:val="none"/>
        </w:rPr>
        <w:t>. New York: Random House.</w:t>
      </w:r>
    </w:p>
    <w:p w14:paraId="55BF395E"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Estyn (2023) </w:t>
      </w:r>
      <w:r w:rsidRPr="00D5355C">
        <w:rPr>
          <w:rFonts w:ascii="Times New Roman" w:eastAsia="Calibri" w:hAnsi="Times New Roman" w:cs="Times New Roman"/>
          <w:i/>
          <w:iCs/>
          <w:color w:val="000000"/>
          <w:kern w:val="0"/>
          <w:lang w:eastAsia="en-US"/>
          <w14:ligatures w14:val="none"/>
        </w:rPr>
        <w:t>Adult community learning in Wales</w:t>
      </w:r>
      <w:r w:rsidRPr="00D5355C">
        <w:rPr>
          <w:rFonts w:ascii="Times New Roman" w:eastAsia="Calibri" w:hAnsi="Times New Roman" w:cs="Times New Roman"/>
          <w:color w:val="000000"/>
          <w:kern w:val="0"/>
          <w:lang w:eastAsia="en-US"/>
          <w14:ligatures w14:val="none"/>
        </w:rPr>
        <w:t>. Cardiff: Estyn. Available at: </w:t>
      </w:r>
      <w:hyperlink r:id="rId9" w:tgtFrame="_blank" w:history="1">
        <w:r w:rsidRPr="00D5355C">
          <w:rPr>
            <w:rFonts w:ascii="Times New Roman" w:eastAsia="Calibri" w:hAnsi="Times New Roman" w:cs="Times New Roman"/>
            <w:color w:val="0000FF"/>
            <w:kern w:val="0"/>
            <w:u w:val="single"/>
            <w:lang w:eastAsia="en-US"/>
            <w14:ligatures w14:val="none"/>
          </w:rPr>
          <w:t>https://www.estyn.gov.wales</w:t>
        </w:r>
      </w:hyperlink>
      <w:r w:rsidRPr="00D5355C">
        <w:rPr>
          <w:rFonts w:ascii="Times New Roman" w:eastAsia="Calibri" w:hAnsi="Times New Roman" w:cs="Times New Roman"/>
          <w:color w:val="000000"/>
          <w:kern w:val="0"/>
          <w:lang w:eastAsia="en-US"/>
          <w14:ligatures w14:val="none"/>
        </w:rPr>
        <w:t> (Accessed: 6 May 2025).</w:t>
      </w:r>
    </w:p>
    <w:p w14:paraId="24089D59"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Freire, P. (2020) ‘Pedagogy of the Oppressed’, in </w:t>
      </w:r>
      <w:r w:rsidRPr="00D5355C">
        <w:rPr>
          <w:rFonts w:ascii="Times New Roman" w:eastAsia="Calibri" w:hAnsi="Times New Roman" w:cs="Times New Roman"/>
          <w:i/>
          <w:iCs/>
          <w:color w:val="000000"/>
          <w:kern w:val="0"/>
          <w:lang w:eastAsia="en-US"/>
          <w14:ligatures w14:val="none"/>
        </w:rPr>
        <w:t>Toward a Sociology of Education</w:t>
      </w:r>
      <w:r w:rsidRPr="00D5355C">
        <w:rPr>
          <w:rFonts w:ascii="Times New Roman" w:eastAsia="Calibri" w:hAnsi="Times New Roman" w:cs="Times New Roman"/>
          <w:color w:val="000000"/>
          <w:kern w:val="0"/>
          <w:lang w:eastAsia="en-US"/>
          <w14:ligatures w14:val="none"/>
        </w:rPr>
        <w:t>. Abingdon: Routledge, pp. 374–386.</w:t>
      </w:r>
    </w:p>
    <w:p w14:paraId="79891CC5"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Gay, G. (2018) </w:t>
      </w:r>
      <w:r w:rsidRPr="00D5355C">
        <w:rPr>
          <w:rFonts w:ascii="Times New Roman" w:eastAsia="Calibri" w:hAnsi="Times New Roman" w:cs="Times New Roman"/>
          <w:i/>
          <w:iCs/>
          <w:color w:val="000000"/>
          <w:kern w:val="0"/>
          <w:lang w:eastAsia="en-US"/>
          <w14:ligatures w14:val="none"/>
        </w:rPr>
        <w:t>Culturally responsive teaching: Theory, research, and practice</w:t>
      </w:r>
      <w:r w:rsidRPr="00D5355C">
        <w:rPr>
          <w:rFonts w:ascii="Times New Roman" w:eastAsia="Calibri" w:hAnsi="Times New Roman" w:cs="Times New Roman"/>
          <w:color w:val="000000"/>
          <w:kern w:val="0"/>
          <w:lang w:eastAsia="en-US"/>
          <w14:ligatures w14:val="none"/>
        </w:rPr>
        <w:t xml:space="preserve">. 3rd </w:t>
      </w:r>
      <w:proofErr w:type="spellStart"/>
      <w:r w:rsidRPr="00D5355C">
        <w:rPr>
          <w:rFonts w:ascii="Times New Roman" w:eastAsia="Calibri" w:hAnsi="Times New Roman" w:cs="Times New Roman"/>
          <w:color w:val="000000"/>
          <w:kern w:val="0"/>
          <w:lang w:eastAsia="en-US"/>
          <w14:ligatures w14:val="none"/>
        </w:rPr>
        <w:t>edn</w:t>
      </w:r>
      <w:proofErr w:type="spellEnd"/>
      <w:r w:rsidRPr="00D5355C">
        <w:rPr>
          <w:rFonts w:ascii="Times New Roman" w:eastAsia="Calibri" w:hAnsi="Times New Roman" w:cs="Times New Roman"/>
          <w:color w:val="000000"/>
          <w:kern w:val="0"/>
          <w:lang w:eastAsia="en-US"/>
          <w14:ligatures w14:val="none"/>
        </w:rPr>
        <w:t>. New York: Teachers College Press.</w:t>
      </w:r>
    </w:p>
    <w:p w14:paraId="1C21AFAC"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Hattie, J. (2009) *Visible learning: A synthesis of over 800 meta-analyses relating to achievement*. London: Routledge.</w:t>
      </w:r>
    </w:p>
    <w:p w14:paraId="535D27EF"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proofErr w:type="spellStart"/>
      <w:r w:rsidRPr="00D5355C">
        <w:rPr>
          <w:rFonts w:ascii="Times New Roman" w:eastAsia="Calibri" w:hAnsi="Times New Roman" w:cs="Times New Roman"/>
          <w:color w:val="000000"/>
          <w:kern w:val="0"/>
          <w:lang w:eastAsia="en-US"/>
          <w14:ligatures w14:val="none"/>
        </w:rPr>
        <w:t>Khoiriyah</w:t>
      </w:r>
      <w:proofErr w:type="spellEnd"/>
      <w:r w:rsidRPr="00D5355C">
        <w:rPr>
          <w:rFonts w:ascii="Times New Roman" w:eastAsia="Calibri" w:hAnsi="Times New Roman" w:cs="Times New Roman"/>
          <w:color w:val="000000"/>
          <w:kern w:val="0"/>
          <w:lang w:eastAsia="en-US"/>
          <w14:ligatures w14:val="none"/>
        </w:rPr>
        <w:t xml:space="preserve">, U., Roberts, C., </w:t>
      </w:r>
      <w:proofErr w:type="spellStart"/>
      <w:r w:rsidRPr="00D5355C">
        <w:rPr>
          <w:rFonts w:ascii="Times New Roman" w:eastAsia="Calibri" w:hAnsi="Times New Roman" w:cs="Times New Roman"/>
          <w:color w:val="000000"/>
          <w:kern w:val="0"/>
          <w:lang w:eastAsia="en-US"/>
          <w14:ligatures w14:val="none"/>
        </w:rPr>
        <w:t>Jorm</w:t>
      </w:r>
      <w:proofErr w:type="spellEnd"/>
      <w:r w:rsidRPr="00D5355C">
        <w:rPr>
          <w:rFonts w:ascii="Times New Roman" w:eastAsia="Calibri" w:hAnsi="Times New Roman" w:cs="Times New Roman"/>
          <w:color w:val="000000"/>
          <w:kern w:val="0"/>
          <w:lang w:eastAsia="en-US"/>
          <w14:ligatures w14:val="none"/>
        </w:rPr>
        <w:t>, C. and Van der Vleuten, C.P.M. (2015) ‘Enhancing students’ learning in problem-based learning: Validation of a self-assessment scale for active learning and critical thinking’, </w:t>
      </w:r>
      <w:r w:rsidRPr="00D5355C">
        <w:rPr>
          <w:rFonts w:ascii="Times New Roman" w:eastAsia="Calibri" w:hAnsi="Times New Roman" w:cs="Times New Roman"/>
          <w:i/>
          <w:iCs/>
          <w:color w:val="000000"/>
          <w:kern w:val="0"/>
          <w:lang w:eastAsia="en-US"/>
          <w14:ligatures w14:val="none"/>
        </w:rPr>
        <w:t>BMC Medical Education</w:t>
      </w:r>
      <w:r w:rsidRPr="00D5355C">
        <w:rPr>
          <w:rFonts w:ascii="Times New Roman" w:eastAsia="Calibri" w:hAnsi="Times New Roman" w:cs="Times New Roman"/>
          <w:color w:val="000000"/>
          <w:kern w:val="0"/>
          <w:lang w:eastAsia="en-US"/>
          <w14:ligatures w14:val="none"/>
        </w:rPr>
        <w:t>, 15, pp. 1–8.</w:t>
      </w:r>
    </w:p>
    <w:p w14:paraId="37D1DC7C"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Knowles, M.S. (1980) ‘From pedagogy to andragogy’, </w:t>
      </w:r>
      <w:r w:rsidRPr="00D5355C">
        <w:rPr>
          <w:rFonts w:ascii="Times New Roman" w:eastAsia="Calibri" w:hAnsi="Times New Roman" w:cs="Times New Roman"/>
          <w:i/>
          <w:iCs/>
          <w:color w:val="000000"/>
          <w:kern w:val="0"/>
          <w:lang w:eastAsia="en-US"/>
          <w14:ligatures w14:val="none"/>
        </w:rPr>
        <w:t>Religious Education</w:t>
      </w:r>
      <w:r w:rsidRPr="00D5355C">
        <w:rPr>
          <w:rFonts w:ascii="Times New Roman" w:eastAsia="Calibri" w:hAnsi="Times New Roman" w:cs="Times New Roman"/>
          <w:color w:val="000000"/>
          <w:kern w:val="0"/>
          <w:lang w:eastAsia="en-US"/>
          <w14:ligatures w14:val="none"/>
        </w:rPr>
        <w:t>, 75(4), pp. 202–211.</w:t>
      </w:r>
    </w:p>
    <w:p w14:paraId="090440AA"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Ku, K.Y. and Ho, I.T. (2010) ‘Metacognitive strategies that enhance critical thinking’, </w:t>
      </w:r>
      <w:r w:rsidRPr="00D5355C">
        <w:rPr>
          <w:rFonts w:ascii="Times New Roman" w:eastAsia="Calibri" w:hAnsi="Times New Roman" w:cs="Times New Roman"/>
          <w:i/>
          <w:iCs/>
          <w:color w:val="000000"/>
          <w:kern w:val="0"/>
          <w:lang w:eastAsia="en-US"/>
          <w14:ligatures w14:val="none"/>
        </w:rPr>
        <w:t>Metacognition and Learning</w:t>
      </w:r>
      <w:r w:rsidRPr="00D5355C">
        <w:rPr>
          <w:rFonts w:ascii="Times New Roman" w:eastAsia="Calibri" w:hAnsi="Times New Roman" w:cs="Times New Roman"/>
          <w:color w:val="000000"/>
          <w:kern w:val="0"/>
          <w:lang w:eastAsia="en-US"/>
          <w14:ligatures w14:val="none"/>
        </w:rPr>
        <w:t>, 5, pp. 251–267.</w:t>
      </w:r>
    </w:p>
    <w:p w14:paraId="03317568"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Lebor, M. (2017) </w:t>
      </w:r>
      <w:r w:rsidRPr="00D5355C">
        <w:rPr>
          <w:rFonts w:ascii="Times New Roman" w:eastAsia="Calibri" w:hAnsi="Times New Roman" w:cs="Times New Roman"/>
          <w:i/>
          <w:iCs/>
          <w:color w:val="000000"/>
          <w:kern w:val="0"/>
          <w:lang w:eastAsia="en-US"/>
          <w14:ligatures w14:val="none"/>
        </w:rPr>
        <w:t>Classroom behaviour management in the post-school sector</w:t>
      </w:r>
      <w:r w:rsidRPr="00D5355C">
        <w:rPr>
          <w:rFonts w:ascii="Times New Roman" w:eastAsia="Calibri" w:hAnsi="Times New Roman" w:cs="Times New Roman"/>
          <w:color w:val="000000"/>
          <w:kern w:val="0"/>
          <w:lang w:eastAsia="en-US"/>
          <w14:ligatures w14:val="none"/>
        </w:rPr>
        <w:t>. London: Palgrave Macmillan.</w:t>
      </w:r>
    </w:p>
    <w:p w14:paraId="1B71BA6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Linderman, D. (2021) </w:t>
      </w:r>
      <w:r w:rsidRPr="00D5355C">
        <w:rPr>
          <w:rFonts w:ascii="Times New Roman" w:eastAsia="Calibri" w:hAnsi="Times New Roman" w:cs="Times New Roman"/>
          <w:i/>
          <w:iCs/>
          <w:color w:val="000000"/>
          <w:kern w:val="0"/>
          <w:lang w:eastAsia="en-US"/>
          <w14:ligatures w14:val="none"/>
        </w:rPr>
        <w:t>Improving student outcomes via comprehensive supports: Three-year outcomes from CUNY’s Accelerated Study in Associate Programs (ASAP)</w:t>
      </w:r>
      <w:r w:rsidRPr="00D5355C">
        <w:rPr>
          <w:rFonts w:ascii="Times New Roman" w:eastAsia="Calibri" w:hAnsi="Times New Roman" w:cs="Times New Roman"/>
          <w:color w:val="000000"/>
          <w:kern w:val="0"/>
          <w:lang w:eastAsia="en-US"/>
          <w14:ligatures w14:val="none"/>
        </w:rPr>
        <w:t>. Available at: </w:t>
      </w:r>
      <w:hyperlink r:id="rId10" w:tgtFrame="_blank" w:history="1">
        <w:r w:rsidRPr="00D5355C">
          <w:rPr>
            <w:rFonts w:ascii="Times New Roman" w:eastAsia="Calibri" w:hAnsi="Times New Roman" w:cs="Times New Roman"/>
            <w:color w:val="0000FF"/>
            <w:kern w:val="0"/>
            <w:u w:val="single"/>
            <w:lang w:eastAsia="en-US"/>
            <w14:ligatures w14:val="none"/>
          </w:rPr>
          <w:t>https://www.academia.edu/51363052/</w:t>
        </w:r>
      </w:hyperlink>
      <w:r w:rsidRPr="00D5355C">
        <w:rPr>
          <w:rFonts w:ascii="Times New Roman" w:eastAsia="Calibri" w:hAnsi="Times New Roman" w:cs="Times New Roman"/>
          <w:color w:val="000000"/>
          <w:kern w:val="0"/>
          <w:lang w:eastAsia="en-US"/>
          <w14:ligatures w14:val="none"/>
        </w:rPr>
        <w:t> (Accessed: 20 May 2025).</w:t>
      </w:r>
    </w:p>
    <w:p w14:paraId="7507B31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proofErr w:type="spellStart"/>
      <w:r w:rsidRPr="00D5355C">
        <w:rPr>
          <w:rFonts w:ascii="Times New Roman" w:eastAsia="Calibri" w:hAnsi="Times New Roman" w:cs="Times New Roman"/>
          <w:color w:val="000000"/>
          <w:kern w:val="0"/>
          <w:lang w:eastAsia="en-US"/>
          <w14:ligatures w14:val="none"/>
        </w:rPr>
        <w:t>Markina</w:t>
      </w:r>
      <w:proofErr w:type="spellEnd"/>
      <w:r w:rsidRPr="00D5355C">
        <w:rPr>
          <w:rFonts w:ascii="Times New Roman" w:eastAsia="Calibri" w:hAnsi="Times New Roman" w:cs="Times New Roman"/>
          <w:color w:val="000000"/>
          <w:kern w:val="0"/>
          <w:lang w:eastAsia="en-US"/>
          <w14:ligatures w14:val="none"/>
        </w:rPr>
        <w:t xml:space="preserve">, E. and Garcia </w:t>
      </w:r>
      <w:proofErr w:type="spellStart"/>
      <w:r w:rsidRPr="00D5355C">
        <w:rPr>
          <w:rFonts w:ascii="Times New Roman" w:eastAsia="Calibri" w:hAnsi="Times New Roman" w:cs="Times New Roman"/>
          <w:color w:val="000000"/>
          <w:kern w:val="0"/>
          <w:lang w:eastAsia="en-US"/>
          <w14:ligatures w14:val="none"/>
        </w:rPr>
        <w:t>Mollá</w:t>
      </w:r>
      <w:proofErr w:type="spellEnd"/>
      <w:r w:rsidRPr="00D5355C">
        <w:rPr>
          <w:rFonts w:ascii="Times New Roman" w:eastAsia="Calibri" w:hAnsi="Times New Roman" w:cs="Times New Roman"/>
          <w:color w:val="000000"/>
          <w:kern w:val="0"/>
          <w:lang w:eastAsia="en-US"/>
          <w14:ligatures w14:val="none"/>
        </w:rPr>
        <w:t>, A. (2022) ‘The effect of a teacher-centred and learner-centred approach on students’ participation in the English classroom’, </w:t>
      </w:r>
      <w:proofErr w:type="spellStart"/>
      <w:r w:rsidRPr="00D5355C">
        <w:rPr>
          <w:rFonts w:ascii="Times New Roman" w:eastAsia="Calibri" w:hAnsi="Times New Roman" w:cs="Times New Roman"/>
          <w:i/>
          <w:iCs/>
          <w:color w:val="000000"/>
          <w:kern w:val="0"/>
          <w:lang w:eastAsia="en-US"/>
          <w14:ligatures w14:val="none"/>
        </w:rPr>
        <w:t>Bellaterra</w:t>
      </w:r>
      <w:proofErr w:type="spellEnd"/>
      <w:r w:rsidRPr="00D5355C">
        <w:rPr>
          <w:rFonts w:ascii="Times New Roman" w:eastAsia="Calibri" w:hAnsi="Times New Roman" w:cs="Times New Roman"/>
          <w:i/>
          <w:iCs/>
          <w:color w:val="000000"/>
          <w:kern w:val="0"/>
          <w:lang w:eastAsia="en-US"/>
          <w14:ligatures w14:val="none"/>
        </w:rPr>
        <w:t xml:space="preserve"> Journal of Teaching and Learning Language and Literature</w:t>
      </w:r>
      <w:r w:rsidRPr="00D5355C">
        <w:rPr>
          <w:rFonts w:ascii="Times New Roman" w:eastAsia="Calibri" w:hAnsi="Times New Roman" w:cs="Times New Roman"/>
          <w:color w:val="000000"/>
          <w:kern w:val="0"/>
          <w:lang w:eastAsia="en-US"/>
          <w14:ligatures w14:val="none"/>
        </w:rPr>
        <w:t>, 15(3), pp. e0005–e1007.</w:t>
      </w:r>
    </w:p>
    <w:p w14:paraId="436D7AE0"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Merriam, S.B. (2001) ‘Andragogy and self-directed learning: Pillars of adult learning theory’, </w:t>
      </w:r>
      <w:r w:rsidRPr="00D5355C">
        <w:rPr>
          <w:rFonts w:ascii="Times New Roman" w:eastAsia="Calibri" w:hAnsi="Times New Roman" w:cs="Times New Roman"/>
          <w:i/>
          <w:iCs/>
          <w:color w:val="000000"/>
          <w:kern w:val="0"/>
          <w:lang w:eastAsia="en-US"/>
          <w14:ligatures w14:val="none"/>
        </w:rPr>
        <w:t>New Directions for Adult and Continuing Education</w:t>
      </w:r>
      <w:r w:rsidRPr="00D5355C">
        <w:rPr>
          <w:rFonts w:ascii="Times New Roman" w:eastAsia="Calibri" w:hAnsi="Times New Roman" w:cs="Times New Roman"/>
          <w:color w:val="000000"/>
          <w:kern w:val="0"/>
          <w:lang w:eastAsia="en-US"/>
          <w14:ligatures w14:val="none"/>
        </w:rPr>
        <w:t>, 2001(89), p. 5.</w:t>
      </w:r>
    </w:p>
    <w:p w14:paraId="5A0FCC33"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Owusu-Agyeman, Y. (2019) ‘An analysis of theoretical perspectives that define adult learners for effective and inclusive adult education policies’, </w:t>
      </w:r>
      <w:r w:rsidRPr="00D5355C">
        <w:rPr>
          <w:rFonts w:ascii="Times New Roman" w:eastAsia="Calibri" w:hAnsi="Times New Roman" w:cs="Times New Roman"/>
          <w:i/>
          <w:iCs/>
          <w:color w:val="000000"/>
          <w:kern w:val="0"/>
          <w:lang w:eastAsia="en-US"/>
          <w14:ligatures w14:val="none"/>
        </w:rPr>
        <w:t>International Review of Education</w:t>
      </w:r>
      <w:r w:rsidRPr="00D5355C">
        <w:rPr>
          <w:rFonts w:ascii="Times New Roman" w:eastAsia="Calibri" w:hAnsi="Times New Roman" w:cs="Times New Roman"/>
          <w:color w:val="000000"/>
          <w:kern w:val="0"/>
          <w:lang w:eastAsia="en-US"/>
          <w14:ligatures w14:val="none"/>
        </w:rPr>
        <w:t>, 65(6), pp. 929–953.</w:t>
      </w:r>
    </w:p>
    <w:p w14:paraId="2B199ECA"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proofErr w:type="spellStart"/>
      <w:r w:rsidRPr="00D5355C">
        <w:rPr>
          <w:rFonts w:ascii="Times New Roman" w:eastAsia="Calibri" w:hAnsi="Times New Roman" w:cs="Times New Roman"/>
          <w:color w:val="000000"/>
          <w:kern w:val="0"/>
          <w:lang w:eastAsia="en-US"/>
          <w14:ligatures w14:val="none"/>
        </w:rPr>
        <w:t>Paivio</w:t>
      </w:r>
      <w:proofErr w:type="spellEnd"/>
      <w:r w:rsidRPr="00D5355C">
        <w:rPr>
          <w:rFonts w:ascii="Times New Roman" w:eastAsia="Calibri" w:hAnsi="Times New Roman" w:cs="Times New Roman"/>
          <w:color w:val="000000"/>
          <w:kern w:val="0"/>
          <w:lang w:eastAsia="en-US"/>
          <w14:ligatures w14:val="none"/>
        </w:rPr>
        <w:t>, A. and Clark, J.M. (2006) ‘Dual coding theory and education’, </w:t>
      </w:r>
      <w:r w:rsidRPr="00D5355C">
        <w:rPr>
          <w:rFonts w:ascii="Times New Roman" w:eastAsia="Calibri" w:hAnsi="Times New Roman" w:cs="Times New Roman"/>
          <w:i/>
          <w:iCs/>
          <w:color w:val="000000"/>
          <w:kern w:val="0"/>
          <w:lang w:eastAsia="en-US"/>
          <w14:ligatures w14:val="none"/>
        </w:rPr>
        <w:t>Pathways to Literacy Achievement for High Poverty Children</w:t>
      </w:r>
      <w:r w:rsidRPr="00D5355C">
        <w:rPr>
          <w:rFonts w:ascii="Times New Roman" w:eastAsia="Calibri" w:hAnsi="Times New Roman" w:cs="Times New Roman"/>
          <w:color w:val="000000"/>
          <w:kern w:val="0"/>
          <w:lang w:eastAsia="en-US"/>
          <w14:ligatures w14:val="none"/>
        </w:rPr>
        <w:t>, 1, pp. 3–4.</w:t>
      </w:r>
    </w:p>
    <w:p w14:paraId="10ED723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Scott-Muenter, M.S. (2022) </w:t>
      </w:r>
      <w:r w:rsidRPr="00D5355C">
        <w:rPr>
          <w:rFonts w:ascii="Times New Roman" w:eastAsia="Calibri" w:hAnsi="Times New Roman" w:cs="Times New Roman"/>
          <w:i/>
          <w:iCs/>
          <w:color w:val="000000"/>
          <w:kern w:val="0"/>
          <w:lang w:eastAsia="en-US"/>
          <w14:ligatures w14:val="none"/>
        </w:rPr>
        <w:t>Investigating Self-Directed Learning and Adult Learner Readiness Attributes in a Call Centre Environment</w:t>
      </w:r>
      <w:r w:rsidRPr="00D5355C">
        <w:rPr>
          <w:rFonts w:ascii="Times New Roman" w:eastAsia="Calibri" w:hAnsi="Times New Roman" w:cs="Times New Roman"/>
          <w:color w:val="000000"/>
          <w:kern w:val="0"/>
          <w:lang w:eastAsia="en-US"/>
          <w14:ligatures w14:val="none"/>
        </w:rPr>
        <w:t>. Doctoral dissertation, Lindenwood University.</w:t>
      </w:r>
    </w:p>
    <w:p w14:paraId="00428E3B"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proofErr w:type="spellStart"/>
      <w:r w:rsidRPr="00D5355C">
        <w:rPr>
          <w:rFonts w:ascii="Times New Roman" w:eastAsia="Calibri" w:hAnsi="Times New Roman" w:cs="Times New Roman"/>
          <w:color w:val="000000"/>
          <w:kern w:val="0"/>
          <w:lang w:eastAsia="en-US"/>
          <w14:ligatures w14:val="none"/>
        </w:rPr>
        <w:t>Sweller</w:t>
      </w:r>
      <w:proofErr w:type="spellEnd"/>
      <w:r w:rsidRPr="00D5355C">
        <w:rPr>
          <w:rFonts w:ascii="Times New Roman" w:eastAsia="Calibri" w:hAnsi="Times New Roman" w:cs="Times New Roman"/>
          <w:color w:val="000000"/>
          <w:kern w:val="0"/>
          <w:lang w:eastAsia="en-US"/>
          <w14:ligatures w14:val="none"/>
        </w:rPr>
        <w:t>, J. (1988) ‘Cognitive load during problem-solving: Effects on learning’, </w:t>
      </w:r>
      <w:r w:rsidRPr="00D5355C">
        <w:rPr>
          <w:rFonts w:ascii="Times New Roman" w:eastAsia="Calibri" w:hAnsi="Times New Roman" w:cs="Times New Roman"/>
          <w:i/>
          <w:iCs/>
          <w:color w:val="000000"/>
          <w:kern w:val="0"/>
          <w:lang w:eastAsia="en-US"/>
          <w14:ligatures w14:val="none"/>
        </w:rPr>
        <w:t>Cognitive Science</w:t>
      </w:r>
      <w:r w:rsidRPr="00D5355C">
        <w:rPr>
          <w:rFonts w:ascii="Times New Roman" w:eastAsia="Calibri" w:hAnsi="Times New Roman" w:cs="Times New Roman"/>
          <w:color w:val="000000"/>
          <w:kern w:val="0"/>
          <w:lang w:eastAsia="en-US"/>
          <w14:ligatures w14:val="none"/>
        </w:rPr>
        <w:t>, 12(2), pp. 257–285.</w:t>
      </w:r>
    </w:p>
    <w:p w14:paraId="14572B6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Vandergrift, L. (2004) ‘Listening to learn or learning to listen?’, </w:t>
      </w:r>
      <w:r w:rsidRPr="00D5355C">
        <w:rPr>
          <w:rFonts w:ascii="Times New Roman" w:eastAsia="Calibri" w:hAnsi="Times New Roman" w:cs="Times New Roman"/>
          <w:i/>
          <w:iCs/>
          <w:color w:val="000000"/>
          <w:kern w:val="0"/>
          <w:lang w:eastAsia="en-US"/>
          <w14:ligatures w14:val="none"/>
        </w:rPr>
        <w:t>Annual Review of Applied Linguistics</w:t>
      </w:r>
      <w:r w:rsidRPr="00D5355C">
        <w:rPr>
          <w:rFonts w:ascii="Times New Roman" w:eastAsia="Calibri" w:hAnsi="Times New Roman" w:cs="Times New Roman"/>
          <w:color w:val="000000"/>
          <w:kern w:val="0"/>
          <w:lang w:eastAsia="en-US"/>
          <w14:ligatures w14:val="none"/>
        </w:rPr>
        <w:t>, 24, pp. 3–25.</w:t>
      </w:r>
    </w:p>
    <w:p w14:paraId="6F28CA36"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Vygotsky, L.S. and Cole, M. (1978) </w:t>
      </w:r>
      <w:r w:rsidRPr="00D5355C">
        <w:rPr>
          <w:rFonts w:ascii="Times New Roman" w:eastAsia="Calibri" w:hAnsi="Times New Roman" w:cs="Times New Roman"/>
          <w:i/>
          <w:iCs/>
          <w:color w:val="000000"/>
          <w:kern w:val="0"/>
          <w:lang w:eastAsia="en-US"/>
          <w14:ligatures w14:val="none"/>
        </w:rPr>
        <w:t>Mind in society: The development of higher psychological processes</w:t>
      </w:r>
      <w:r w:rsidRPr="00D5355C">
        <w:rPr>
          <w:rFonts w:ascii="Times New Roman" w:eastAsia="Calibri" w:hAnsi="Times New Roman" w:cs="Times New Roman"/>
          <w:color w:val="000000"/>
          <w:kern w:val="0"/>
          <w:lang w:eastAsia="en-US"/>
          <w14:ligatures w14:val="none"/>
        </w:rPr>
        <w:t>. Cambridge, MA: Harvard University Press.</w:t>
      </w:r>
    </w:p>
    <w:p w14:paraId="0AE25FE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Welsh Government (2022) </w:t>
      </w:r>
      <w:r w:rsidRPr="00D5355C">
        <w:rPr>
          <w:rFonts w:ascii="Times New Roman" w:eastAsia="Calibri" w:hAnsi="Times New Roman" w:cs="Times New Roman"/>
          <w:i/>
          <w:iCs/>
          <w:color w:val="000000"/>
          <w:kern w:val="0"/>
          <w:lang w:eastAsia="en-US"/>
          <w14:ligatures w14:val="none"/>
        </w:rPr>
        <w:t>Personal Learning Accounts: Policy guidance</w:t>
      </w:r>
      <w:r w:rsidRPr="00D5355C">
        <w:rPr>
          <w:rFonts w:ascii="Times New Roman" w:eastAsia="Calibri" w:hAnsi="Times New Roman" w:cs="Times New Roman"/>
          <w:color w:val="000000"/>
          <w:kern w:val="0"/>
          <w:lang w:eastAsia="en-US"/>
          <w14:ligatures w14:val="none"/>
        </w:rPr>
        <w:t>. Cardiff: Welsh Government. Available at: </w:t>
      </w:r>
      <w:hyperlink r:id="rId11" w:tgtFrame="_blank" w:history="1">
        <w:r w:rsidRPr="00D5355C">
          <w:rPr>
            <w:rFonts w:ascii="Times New Roman" w:eastAsia="Calibri" w:hAnsi="Times New Roman" w:cs="Times New Roman"/>
            <w:color w:val="0000FF"/>
            <w:kern w:val="0"/>
            <w:u w:val="single"/>
            <w:lang w:eastAsia="en-US"/>
            <w14:ligatures w14:val="none"/>
          </w:rPr>
          <w:t>https://gov.wales/personal-learning-accounts-policy-guidance</w:t>
        </w:r>
      </w:hyperlink>
      <w:r w:rsidRPr="00D5355C">
        <w:rPr>
          <w:rFonts w:ascii="Times New Roman" w:eastAsia="Calibri" w:hAnsi="Times New Roman" w:cs="Times New Roman"/>
          <w:color w:val="000000"/>
          <w:kern w:val="0"/>
          <w:lang w:eastAsia="en-US"/>
          <w14:ligatures w14:val="none"/>
        </w:rPr>
        <w:t> (Accessed: 6 May 2025).</w:t>
      </w:r>
    </w:p>
    <w:p w14:paraId="2984F3C3"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Welsh Government (2023) </w:t>
      </w:r>
      <w:r w:rsidRPr="00D5355C">
        <w:rPr>
          <w:rFonts w:ascii="Times New Roman" w:eastAsia="Calibri" w:hAnsi="Times New Roman" w:cs="Times New Roman"/>
          <w:i/>
          <w:iCs/>
          <w:color w:val="000000"/>
          <w:kern w:val="0"/>
          <w:lang w:eastAsia="en-US"/>
          <w14:ligatures w14:val="none"/>
        </w:rPr>
        <w:t>Working Wales: Skills and employability plan</w:t>
      </w:r>
      <w:r w:rsidRPr="00D5355C">
        <w:rPr>
          <w:rFonts w:ascii="Times New Roman" w:eastAsia="Calibri" w:hAnsi="Times New Roman" w:cs="Times New Roman"/>
          <w:color w:val="000000"/>
          <w:kern w:val="0"/>
          <w:lang w:eastAsia="en-US"/>
          <w14:ligatures w14:val="none"/>
        </w:rPr>
        <w:t>. Cardiff: Welsh Government. Available at: </w:t>
      </w:r>
      <w:hyperlink r:id="rId12" w:tgtFrame="_blank" w:history="1">
        <w:r w:rsidRPr="00D5355C">
          <w:rPr>
            <w:rFonts w:ascii="Times New Roman" w:eastAsia="Calibri" w:hAnsi="Times New Roman" w:cs="Times New Roman"/>
            <w:color w:val="0000FF"/>
            <w:kern w:val="0"/>
            <w:u w:val="single"/>
            <w:lang w:eastAsia="en-US"/>
            <w14:ligatures w14:val="none"/>
          </w:rPr>
          <w:t>https://gov.wales/working-wales-skills-and-employability-plan</w:t>
        </w:r>
      </w:hyperlink>
      <w:r w:rsidRPr="00D5355C">
        <w:rPr>
          <w:rFonts w:ascii="Times New Roman" w:eastAsia="Calibri" w:hAnsi="Times New Roman" w:cs="Times New Roman"/>
          <w:color w:val="000000"/>
          <w:kern w:val="0"/>
          <w:lang w:eastAsia="en-US"/>
          <w14:ligatures w14:val="none"/>
        </w:rPr>
        <w:t> (Accessed: 6 May 2025).</w:t>
      </w:r>
    </w:p>
    <w:p w14:paraId="6C883C14"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Western Governors University (2020) </w:t>
      </w:r>
      <w:r w:rsidRPr="00D5355C">
        <w:rPr>
          <w:rFonts w:ascii="Times New Roman" w:eastAsia="Calibri" w:hAnsi="Times New Roman" w:cs="Times New Roman"/>
          <w:i/>
          <w:iCs/>
          <w:color w:val="000000"/>
          <w:kern w:val="0"/>
          <w:lang w:eastAsia="en-US"/>
          <w14:ligatures w14:val="none"/>
        </w:rPr>
        <w:t>What is transformative learning theory?</w:t>
      </w:r>
      <w:r w:rsidRPr="00D5355C">
        <w:rPr>
          <w:rFonts w:ascii="Times New Roman" w:eastAsia="Calibri" w:hAnsi="Times New Roman" w:cs="Times New Roman"/>
          <w:color w:val="000000"/>
          <w:kern w:val="0"/>
          <w:lang w:eastAsia="en-US"/>
          <w14:ligatures w14:val="none"/>
        </w:rPr>
        <w:t> Available at: </w:t>
      </w:r>
      <w:hyperlink r:id="rId13" w:tgtFrame="_blank" w:history="1">
        <w:r w:rsidRPr="00D5355C">
          <w:rPr>
            <w:rFonts w:ascii="Times New Roman" w:eastAsia="Calibri" w:hAnsi="Times New Roman" w:cs="Times New Roman"/>
            <w:color w:val="0000FF"/>
            <w:kern w:val="0"/>
            <w:u w:val="single"/>
            <w:lang w:eastAsia="en-US"/>
            <w14:ligatures w14:val="none"/>
          </w:rPr>
          <w:t>https://www.wgu.edu/blog/what-transformative-learning-theory2007.html</w:t>
        </w:r>
      </w:hyperlink>
      <w:r w:rsidRPr="00D5355C">
        <w:rPr>
          <w:rFonts w:ascii="Times New Roman" w:eastAsia="Calibri" w:hAnsi="Times New Roman" w:cs="Times New Roman"/>
          <w:color w:val="000000"/>
          <w:kern w:val="0"/>
          <w:lang w:eastAsia="en-US"/>
          <w14:ligatures w14:val="none"/>
        </w:rPr>
        <w:t> (Accessed: 5 May 2025).</w:t>
      </w:r>
    </w:p>
    <w:p w14:paraId="4175CCF7"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r w:rsidRPr="00D5355C">
        <w:rPr>
          <w:rFonts w:ascii="Times New Roman" w:eastAsia="Calibri" w:hAnsi="Times New Roman" w:cs="Times New Roman"/>
          <w:color w:val="000000"/>
          <w:kern w:val="0"/>
          <w:lang w:eastAsia="en-US"/>
          <w14:ligatures w14:val="none"/>
        </w:rPr>
        <w:t>Willingham, D.T. (2009) </w:t>
      </w:r>
      <w:r w:rsidRPr="00D5355C">
        <w:rPr>
          <w:rFonts w:ascii="Times New Roman" w:eastAsia="Calibri" w:hAnsi="Times New Roman" w:cs="Times New Roman"/>
          <w:i/>
          <w:iCs/>
          <w:color w:val="000000"/>
          <w:kern w:val="0"/>
          <w:lang w:eastAsia="en-US"/>
          <w14:ligatures w14:val="none"/>
        </w:rPr>
        <w:t>Why don’t students like school? A cognitive scientist answers questions about how the mind works and what it means for the classroom</w:t>
      </w:r>
      <w:r w:rsidRPr="00D5355C">
        <w:rPr>
          <w:rFonts w:ascii="Times New Roman" w:eastAsia="Calibri" w:hAnsi="Times New Roman" w:cs="Times New Roman"/>
          <w:color w:val="000000"/>
          <w:kern w:val="0"/>
          <w:lang w:eastAsia="en-US"/>
          <w14:ligatures w14:val="none"/>
        </w:rPr>
        <w:t>. San Francisco: Jossey-Bass.</w:t>
      </w:r>
    </w:p>
    <w:p w14:paraId="5F4509C1" w14:textId="77777777" w:rsidR="00D5355C" w:rsidRPr="00D5355C" w:rsidRDefault="00D5355C" w:rsidP="00A20EC8">
      <w:pPr>
        <w:spacing w:after="0" w:line="480" w:lineRule="auto"/>
        <w:jc w:val="both"/>
        <w:rPr>
          <w:rFonts w:ascii="Times New Roman" w:eastAsia="Calibri" w:hAnsi="Times New Roman" w:cs="Times New Roman"/>
          <w:color w:val="000000"/>
          <w:kern w:val="0"/>
          <w:lang w:eastAsia="en-US"/>
          <w14:ligatures w14:val="none"/>
        </w:rPr>
      </w:pPr>
    </w:p>
    <w:p w14:paraId="330F87B0" w14:textId="77777777" w:rsidR="00D5355C" w:rsidRPr="00476F6D" w:rsidRDefault="00D5355C" w:rsidP="00A20EC8">
      <w:pPr>
        <w:spacing w:after="0" w:line="480" w:lineRule="auto"/>
        <w:jc w:val="both"/>
      </w:pPr>
    </w:p>
    <w:sectPr w:rsidR="00D5355C" w:rsidRPr="00476F6D" w:rsidSect="00A20E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00000287" w:usb1="08070000" w:usb2="00000010" w:usb3="00000000" w:csb0="000200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9B49C6"/>
    <w:multiLevelType w:val="multilevel"/>
    <w:tmpl w:val="E1A4F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85B11"/>
    <w:rsid w:val="003A4B66"/>
    <w:rsid w:val="003A709B"/>
    <w:rsid w:val="003D223A"/>
    <w:rsid w:val="00417AB6"/>
    <w:rsid w:val="00476F6D"/>
    <w:rsid w:val="004D474C"/>
    <w:rsid w:val="0053246E"/>
    <w:rsid w:val="00536CFB"/>
    <w:rsid w:val="00543F5E"/>
    <w:rsid w:val="00584970"/>
    <w:rsid w:val="00587C07"/>
    <w:rsid w:val="005B783A"/>
    <w:rsid w:val="005F42D0"/>
    <w:rsid w:val="005F7C42"/>
    <w:rsid w:val="00603976"/>
    <w:rsid w:val="0062310A"/>
    <w:rsid w:val="00644CD6"/>
    <w:rsid w:val="00664B16"/>
    <w:rsid w:val="006B52C3"/>
    <w:rsid w:val="007203C3"/>
    <w:rsid w:val="007352C0"/>
    <w:rsid w:val="00743752"/>
    <w:rsid w:val="007D3AE1"/>
    <w:rsid w:val="007D777F"/>
    <w:rsid w:val="007E01E0"/>
    <w:rsid w:val="00803155"/>
    <w:rsid w:val="00840BEE"/>
    <w:rsid w:val="00851EDB"/>
    <w:rsid w:val="008D7180"/>
    <w:rsid w:val="008F1086"/>
    <w:rsid w:val="009060A0"/>
    <w:rsid w:val="0091355A"/>
    <w:rsid w:val="00917008"/>
    <w:rsid w:val="00935B8D"/>
    <w:rsid w:val="009B164A"/>
    <w:rsid w:val="00A20EC8"/>
    <w:rsid w:val="00A23D6E"/>
    <w:rsid w:val="00A34AF2"/>
    <w:rsid w:val="00A476E3"/>
    <w:rsid w:val="00AD7313"/>
    <w:rsid w:val="00AE2AA9"/>
    <w:rsid w:val="00AE3307"/>
    <w:rsid w:val="00B028A8"/>
    <w:rsid w:val="00B103B9"/>
    <w:rsid w:val="00B42784"/>
    <w:rsid w:val="00B51B61"/>
    <w:rsid w:val="00B724BB"/>
    <w:rsid w:val="00BE2A35"/>
    <w:rsid w:val="00BE3554"/>
    <w:rsid w:val="00C07A46"/>
    <w:rsid w:val="00C129B8"/>
    <w:rsid w:val="00C24461"/>
    <w:rsid w:val="00C2550A"/>
    <w:rsid w:val="00C4699D"/>
    <w:rsid w:val="00CF32AC"/>
    <w:rsid w:val="00D24ADF"/>
    <w:rsid w:val="00D26517"/>
    <w:rsid w:val="00D33868"/>
    <w:rsid w:val="00D5355C"/>
    <w:rsid w:val="00DC55F3"/>
    <w:rsid w:val="00DD5969"/>
    <w:rsid w:val="00E10797"/>
    <w:rsid w:val="00E243A8"/>
    <w:rsid w:val="00E6747C"/>
    <w:rsid w:val="00EA0B9A"/>
    <w:rsid w:val="00EA15D1"/>
    <w:rsid w:val="00EA6220"/>
    <w:rsid w:val="00EC1771"/>
    <w:rsid w:val="00F8089C"/>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education/ceri/50300814.pdf" TargetMode="External"/><Relationship Id="rId13" Type="http://schemas.openxmlformats.org/officeDocument/2006/relationships/hyperlink" Target="https://www.wgu.edu/blog/what-transformative-learning-theory2007.html" TargetMode="External"/><Relationship Id="rId3" Type="http://schemas.openxmlformats.org/officeDocument/2006/relationships/settings" Target="settings.xml"/><Relationship Id="rId7" Type="http://schemas.openxmlformats.org/officeDocument/2006/relationships/hyperlink" Target="https://sehej.raise-network.com/raise/article/view/1156" TargetMode="External"/><Relationship Id="rId12" Type="http://schemas.openxmlformats.org/officeDocument/2006/relationships/hyperlink" Target="https://gov.wales/working-wales-skills-and-employability-pl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dlguidelines.cast.org/" TargetMode="External"/><Relationship Id="rId11" Type="http://schemas.openxmlformats.org/officeDocument/2006/relationships/hyperlink" Target="https://gov.wales/personal-learning-accounts-policy-guidanc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academia.edu/51363052/" TargetMode="External"/><Relationship Id="rId4" Type="http://schemas.openxmlformats.org/officeDocument/2006/relationships/webSettings" Target="webSettings.xml"/><Relationship Id="rId9" Type="http://schemas.openxmlformats.org/officeDocument/2006/relationships/hyperlink" Target="https://www.estyn.gov.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19</Pages>
  <Words>4850</Words>
  <Characters>27845</Characters>
  <Application>Microsoft Office Word</Application>
  <DocSecurity>0</DocSecurity>
  <Lines>535</Lines>
  <Paragraphs>235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8. References</vt:lpstr>
    </vt:vector>
  </TitlesOfParts>
  <Company/>
  <LinksUpToDate>false</LinksUpToDate>
  <CharactersWithSpaces>32460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Elsayed Elhoshi</cp:lastModifiedBy>
  <cp:revision>19</cp:revision>
  <dcterms:created xsi:type="dcterms:W3CDTF">2024-11-14T00:39:00Z</dcterms:created>
  <dcterms:modified xsi:type="dcterms:W3CDTF">2025-05-30T14:33:00Z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b7a7b425-b283-4bee-afbb-db67c2514208</vt:lpwstr>
  </property>
</Properties>
</file>