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ajorEastAsia" w:hAnsi="Arial" w:cs="Arial"/>
          <w:sz w:val="24"/>
          <w:szCs w:val="24"/>
          <w:lang w:val="en-GB"/>
        </w:rPr>
        <w:id w:val="264040766"/>
        <w:docPartObj>
          <w:docPartGallery w:val="Cover Pages"/>
          <w:docPartUnique/>
        </w:docPartObj>
      </w:sdtPr>
      <w:sdtEndPr>
        <w:rPr>
          <w:rFonts w:eastAsia="Arial"/>
        </w:rPr>
      </w:sdtEndPr>
      <w:sdtContent>
        <w:p w:rsidR="00043C96" w:rsidRPr="008D5105" w:rsidRDefault="004220EB" w:rsidP="008D5105">
          <w:pPr>
            <w:pStyle w:val="NoSpacing"/>
            <w:rPr>
              <w:rFonts w:ascii="Arial" w:eastAsiaTheme="majorEastAsia" w:hAnsi="Arial" w:cs="Arial"/>
              <w:sz w:val="24"/>
              <w:szCs w:val="24"/>
            </w:rPr>
          </w:pPr>
          <w:r>
            <w:rPr>
              <w:rFonts w:ascii="Arial" w:eastAsiaTheme="majorEastAsia" w:hAnsi="Arial" w:cs="Arial"/>
              <w:noProof/>
              <w:sz w:val="24"/>
              <w:szCs w:val="24"/>
              <w:lang w:eastAsia="zh-TW"/>
            </w:rPr>
            <mc:AlternateContent>
              <mc:Choice Requires="wps">
                <w:drawing>
                  <wp:anchor distT="0" distB="0" distL="114300" distR="114300" simplePos="0" relativeHeight="251660288" behindDoc="0" locked="0" layoutInCell="0" allowOverlap="1">
                    <wp:simplePos x="0" y="0"/>
                    <wp:positionH relativeFrom="page">
                      <wp:align>center</wp:align>
                    </wp:positionH>
                    <wp:positionV relativeFrom="page">
                      <wp:align>bottom</wp:align>
                    </wp:positionV>
                    <wp:extent cx="8150225" cy="812800"/>
                    <wp:effectExtent l="0" t="0" r="0" b="0"/>
                    <wp:wrapNone/>
                    <wp:docPr id="5" nam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8150225" cy="812800"/>
                            </a:xfrm>
                            <a:prstGeom prst="rect">
                              <a:avLst/>
                            </a:prstGeom>
                            <a:solidFill>
                              <a:schemeClr val="accent5">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79F5639B" id=" 2" o:spid="_x0000_s1026" style="position:absolute;margin-left:0;margin-top:0;width:641.75pt;height:64pt;z-index:251660288;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" o:allowincell="f" fillcolor="#4bacc6 [3208]" strokecolor="#31849b [2408]">
                    <v:path arrowok="t"/>
                    <w10:wrap anchorx="page" anchory="page"/>
                  </v:rect>
                </w:pict>
              </mc:Fallback>
            </mc:AlternateContent>
          </w:r>
          <w:r>
            <w:rPr>
              <w:rFonts w:ascii="Arial" w:eastAsiaTheme="majorEastAsia" w:hAnsi="Arial" w:cs="Arial"/>
              <w:noProof/>
              <w:sz w:val="24"/>
              <w:szCs w:val="24"/>
              <w:lang w:eastAsia="zh-TW"/>
            </w:rPr>
            <mc:AlternateContent>
              <mc:Choice Requires="wps">
                <w:drawing>
                  <wp:anchor distT="0" distB="0" distL="114300" distR="114300" simplePos="0" relativeHeight="251663360" behindDoc="0" locked="0" layoutInCell="0" allowOverlap="1">
                    <wp:simplePos x="0" y="0"/>
                    <wp:positionH relativeFrom="leftMargin">
                      <wp:align>center</wp:align>
                    </wp:positionH>
                    <wp:positionV relativeFrom="page">
                      <wp:align>center</wp:align>
                    </wp:positionV>
                    <wp:extent cx="90805" cy="10550525"/>
                    <wp:effectExtent l="0" t="0" r="4445" b="0"/>
                    <wp:wrapNone/>
                    <wp:docPr id="4" nam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0805" cy="10550525"/>
                            </a:xfrm>
                            <a:prstGeom prst="rect">
                              <a:avLst/>
                            </a:prstGeom>
                            <a:solidFill>
                              <a:schemeClr val="bg1">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6BEE89E6" id=" 5" o:spid="_x0000_s1026" style="position:absolute;margin-left:0;margin-top:0;width:7.15pt;height:830.75pt;z-index:251663360;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" o:allowincell="f" fillcolor="white [3212]" strokecolor="#31849b [2408]">
                    <v:path arrowok="t"/>
                    <w10:wrap anchorx="margin" anchory="page"/>
                  </v:rect>
                </w:pict>
              </mc:Fallback>
            </mc:AlternateContent>
          </w:r>
          <w:r>
            <w:rPr>
              <w:rFonts w:ascii="Arial" w:eastAsiaTheme="majorEastAsia" w:hAnsi="Arial" w:cs="Arial"/>
              <w:noProof/>
              <w:sz w:val="24"/>
              <w:szCs w:val="24"/>
              <w:lang w:eastAsia="zh-TW"/>
            </w:rPr>
            <mc:AlternateContent>
              <mc:Choice Requires="wps">
                <w:drawing>
                  <wp:anchor distT="0" distB="0" distL="114300" distR="114300" simplePos="0" relativeHeight="251662336" behindDoc="0" locked="0" layoutInCell="0" allowOverlap="1">
                    <wp:simplePos x="0" y="0"/>
                    <wp:positionH relativeFrom="rightMargin">
                      <wp:align>center</wp:align>
                    </wp:positionH>
                    <wp:positionV relativeFrom="page">
                      <wp:align>center</wp:align>
                    </wp:positionV>
                    <wp:extent cx="90805" cy="10550525"/>
                    <wp:effectExtent l="0" t="0" r="4445" b="0"/>
                    <wp:wrapNone/>
                    <wp:docPr id="3" nam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0805" cy="10550525"/>
                            </a:xfrm>
                            <a:prstGeom prst="rect">
                              <a:avLst/>
                            </a:prstGeom>
                            <a:solidFill>
                              <a:schemeClr val="bg1">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085181D4" id=" 4" o:spid="_x0000_s1026" style="position:absolute;margin-left:0;margin-top:0;width:7.15pt;height:830.75pt;z-index:251662336;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" o:allowincell="f" fillcolor="white [3212]" strokecolor="#31849b [2408]">
                    <v:path arrowok="t"/>
                    <w10:wrap anchorx="margin" anchory="page"/>
                  </v:rect>
                </w:pict>
              </mc:Fallback>
            </mc:AlternateContent>
          </w:r>
          <w:r>
            <w:rPr>
              <w:rFonts w:ascii="Arial" w:eastAsiaTheme="majorEastAsia" w:hAnsi="Arial" w:cs="Arial"/>
              <w:noProof/>
              <w:sz w:val="24"/>
              <w:szCs w:val="24"/>
              <w:lang w:eastAsia="zh-TW"/>
            </w:rPr>
            <mc:AlternateContent>
              <mc:Choice Requires="wps">
                <w:drawing>
                  <wp:anchor distT="0" distB="0" distL="114300" distR="114300" simplePos="0" relativeHeight="251661312" behindDoc="0" locked="0" layoutInCell="0" allowOverlap="1">
                    <wp:simplePos x="0" y="0"/>
                    <wp:positionH relativeFrom="page">
                      <wp:align>center</wp:align>
                    </wp:positionH>
                    <wp:positionV relativeFrom="topMargin">
                      <wp:align>top</wp:align>
                    </wp:positionV>
                    <wp:extent cx="8150225" cy="812800"/>
                    <wp:effectExtent l="0" t="0" r="0" b="0"/>
                    <wp:wrapNone/>
                    <wp:docPr id="2" nam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8150225" cy="812800"/>
                            </a:xfrm>
                            <a:prstGeom prst="rect">
                              <a:avLst/>
                            </a:prstGeom>
                            <a:solidFill>
                              <a:schemeClr val="accent5">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5E819695" id=" 3" o:spid="_x0000_s1026" style="position:absolute;margin-left:0;margin-top:0;width:641.75pt;height:64pt;z-index:251661312;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" o:allowincell="f" fillcolor="#4bacc6 [3208]" strokecolor="#31849b [2408]">
                    <v:path arrowok="t"/>
                    <w10:wrap anchorx="page" anchory="margin"/>
                  </v:rect>
                </w:pict>
              </mc:Fallback>
            </mc:AlternateContent>
          </w:r>
          <w:r w:rsidR="008D5105">
            <w:rPr>
              <w:rFonts w:ascii="Arial" w:hAnsi="Arial"/>
              <w:noProof/>
              <w:szCs w:val="24"/>
            </w:rPr>
            <w:drawing>
              <wp:inline distT="0" distB="0" distL="0" distR="0">
                <wp:extent cx="5943600" cy="3303419"/>
                <wp:effectExtent l="19050" t="0" r="0" b="0"/>
                <wp:docPr id="1" name="Picture 1" descr="C:\Users\user\Desktop\Logo\university-of-wales-trinity-saint-david-logo-vecto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Logo\university-of-wales-trinity-saint-david-logo-vector.png"/>
                        <pic:cNvPicPr>
                          <a:picLocks noChangeAspect="1" noChangeArrowheads="1"/>
                        </pic:cNvPicPr>
                      </pic:nvPicPr>
                      <pic:blipFill>
                        <a:blip r:embed="rId5"/>
                        <a:srcRect/>
                        <a:stretch>
                          <a:fillRect/>
                        </a:stretch>
                      </pic:blipFill>
                      <pic:spPr bwMode="auto">
                        <a:xfrm>
                          <a:off x="0" y="0"/>
                          <a:ext cx="5943600" cy="3303419"/>
                        </a:xfrm>
                        <a:prstGeom prst="rect">
                          <a:avLst/>
                        </a:prstGeom>
                        <a:noFill/>
                        <a:ln w="9525">
                          <a:noFill/>
                          <a:miter lim="800000"/>
                          <a:headEnd/>
                          <a:tailEnd/>
                        </a:ln>
                      </pic:spPr>
                    </pic:pic>
                  </a:graphicData>
                </a:graphic>
              </wp:inline>
            </w:drawing>
          </w:r>
        </w:p>
        <w:p w:rsidR="00043C96" w:rsidRPr="00043C96" w:rsidRDefault="00043C96" w:rsidP="00043C96">
          <w:pPr>
            <w:spacing w:after="200" w:line="276" w:lineRule="auto"/>
            <w:jc w:val="center"/>
            <w:rPr>
              <w:rFonts w:ascii="Arial" w:hAnsi="Arial"/>
              <w:szCs w:val="24"/>
            </w:rPr>
          </w:pPr>
        </w:p>
        <w:p w:rsidR="00043C96" w:rsidRPr="008D5105" w:rsidRDefault="00043C96" w:rsidP="00043C96">
          <w:pPr>
            <w:spacing w:after="200" w:line="276" w:lineRule="auto"/>
            <w:jc w:val="center"/>
            <w:rPr>
              <w:rFonts w:ascii="Arial" w:hAnsi="Arial"/>
              <w:b/>
              <w:sz w:val="40"/>
              <w:szCs w:val="40"/>
            </w:rPr>
          </w:pPr>
          <w:r w:rsidRPr="008D5105">
            <w:rPr>
              <w:rFonts w:ascii="Arial" w:hAnsi="Arial"/>
              <w:b/>
              <w:sz w:val="40"/>
              <w:szCs w:val="40"/>
            </w:rPr>
            <w:t>Common Law</w:t>
          </w:r>
        </w:p>
        <w:p w:rsidR="00043C96" w:rsidRPr="00043C96" w:rsidRDefault="00043C96" w:rsidP="00043C96">
          <w:pPr>
            <w:spacing w:after="200" w:line="276" w:lineRule="auto"/>
            <w:jc w:val="center"/>
            <w:rPr>
              <w:rFonts w:ascii="Arial" w:hAnsi="Arial"/>
              <w:szCs w:val="24"/>
            </w:rPr>
          </w:pPr>
        </w:p>
        <w:p w:rsidR="008D5105" w:rsidRDefault="008D5105" w:rsidP="00043C96">
          <w:pPr>
            <w:spacing w:after="200" w:line="276" w:lineRule="auto"/>
            <w:jc w:val="center"/>
            <w:rPr>
              <w:rFonts w:ascii="Arial" w:hAnsi="Arial"/>
              <w:i/>
              <w:szCs w:val="24"/>
            </w:rPr>
          </w:pPr>
        </w:p>
        <w:p w:rsidR="00043C96" w:rsidRPr="00386CBF" w:rsidRDefault="00043C96" w:rsidP="00043C96">
          <w:pPr>
            <w:spacing w:after="200" w:line="276" w:lineRule="auto"/>
            <w:jc w:val="center"/>
            <w:rPr>
              <w:rFonts w:ascii="Arial" w:hAnsi="Arial"/>
              <w:b/>
              <w:bCs/>
              <w:i/>
              <w:szCs w:val="24"/>
            </w:rPr>
          </w:pPr>
          <w:r w:rsidRPr="00043C96">
            <w:rPr>
              <w:rFonts w:ascii="Arial" w:hAnsi="Arial"/>
              <w:i/>
              <w:szCs w:val="24"/>
            </w:rPr>
            <w:t xml:space="preserve">Name: </w:t>
          </w:r>
          <w:r w:rsidR="00386CBF">
            <w:rPr>
              <w:rFonts w:ascii="Arial" w:hAnsi="Arial"/>
              <w:i/>
              <w:szCs w:val="24"/>
            </w:rPr>
            <w:t xml:space="preserve">Daniel </w:t>
          </w:r>
          <w:proofErr w:type="spellStart"/>
          <w:r w:rsidR="00386CBF">
            <w:rPr>
              <w:rFonts w:ascii="Arial" w:hAnsi="Arial"/>
              <w:i/>
              <w:szCs w:val="24"/>
            </w:rPr>
            <w:t>Ionut</w:t>
          </w:r>
          <w:proofErr w:type="spellEnd"/>
          <w:r w:rsidR="00386CBF">
            <w:rPr>
              <w:rFonts w:ascii="Arial" w:hAnsi="Arial"/>
              <w:i/>
              <w:szCs w:val="24"/>
            </w:rPr>
            <w:t xml:space="preserve"> </w:t>
          </w:r>
          <w:proofErr w:type="spellStart"/>
          <w:r w:rsidR="00386CBF">
            <w:rPr>
              <w:rFonts w:ascii="Arial" w:hAnsi="Arial"/>
              <w:i/>
              <w:szCs w:val="24"/>
            </w:rPr>
            <w:t>Anghel</w:t>
          </w:r>
          <w:proofErr w:type="spellEnd"/>
        </w:p>
        <w:p w:rsidR="00CC276A" w:rsidRDefault="00043C96" w:rsidP="00043C96">
          <w:pPr>
            <w:spacing w:after="200" w:line="276" w:lineRule="auto"/>
            <w:jc w:val="center"/>
            <w:rPr>
              <w:rFonts w:ascii="Arial" w:hAnsi="Arial"/>
              <w:i/>
              <w:szCs w:val="24"/>
            </w:rPr>
          </w:pPr>
          <w:r w:rsidRPr="00043C96">
            <w:rPr>
              <w:rFonts w:ascii="Arial" w:hAnsi="Arial"/>
              <w:i/>
              <w:szCs w:val="24"/>
            </w:rPr>
            <w:t>ID:</w:t>
          </w:r>
          <w:r w:rsidR="004517AD">
            <w:rPr>
              <w:rFonts w:ascii="Arial" w:hAnsi="Arial"/>
              <w:i/>
              <w:szCs w:val="24"/>
            </w:rPr>
            <w:t>2224081</w:t>
          </w:r>
        </w:p>
        <w:p w:rsidR="00043C96" w:rsidRPr="00043C96" w:rsidRDefault="00CC276A" w:rsidP="00043C96">
          <w:pPr>
            <w:spacing w:after="200" w:line="276" w:lineRule="auto"/>
            <w:jc w:val="center"/>
            <w:rPr>
              <w:rFonts w:ascii="Arial" w:hAnsi="Arial"/>
              <w:szCs w:val="24"/>
            </w:rPr>
          </w:pPr>
          <w:r>
            <w:rPr>
              <w:rFonts w:ascii="Arial" w:hAnsi="Arial"/>
              <w:i/>
              <w:szCs w:val="24"/>
            </w:rPr>
            <w:t>Word Count: 1,539</w:t>
          </w:r>
          <w:r w:rsidR="00043C96" w:rsidRPr="00043C96">
            <w:rPr>
              <w:rFonts w:ascii="Arial" w:hAnsi="Arial"/>
              <w:szCs w:val="24"/>
            </w:rPr>
            <w:br w:type="page"/>
          </w:r>
        </w:p>
      </w:sdtContent>
    </w:sdt>
    <w:sdt>
      <w:sdtPr>
        <w:rPr>
          <w:rFonts w:ascii="Arial" w:eastAsia="Arial" w:hAnsi="Arial" w:cs="Arial"/>
          <w:b w:val="0"/>
          <w:bCs w:val="0"/>
          <w:color w:val="auto"/>
          <w:sz w:val="24"/>
          <w:szCs w:val="24"/>
          <w:lang w:val="en-GB"/>
        </w:rPr>
        <w:id w:val="264040773"/>
        <w:docPartObj>
          <w:docPartGallery w:val="Table of Contents"/>
          <w:docPartUnique/>
        </w:docPartObj>
      </w:sdtPr>
      <w:sdtContent>
        <w:p w:rsidR="00043C96" w:rsidRPr="00043C96" w:rsidRDefault="00043C96" w:rsidP="00043C96">
          <w:pPr>
            <w:pStyle w:val="TOCHeading"/>
            <w:jc w:val="center"/>
            <w:rPr>
              <w:rFonts w:ascii="Arial" w:hAnsi="Arial" w:cs="Arial"/>
              <w:color w:val="auto"/>
              <w:sz w:val="24"/>
              <w:szCs w:val="24"/>
            </w:rPr>
          </w:pPr>
          <w:r w:rsidRPr="00043C96">
            <w:rPr>
              <w:rFonts w:ascii="Arial" w:hAnsi="Arial" w:cs="Arial"/>
              <w:color w:val="auto"/>
              <w:sz w:val="24"/>
              <w:szCs w:val="24"/>
            </w:rPr>
            <w:t>Table of Contents</w:t>
          </w:r>
        </w:p>
        <w:p w:rsidR="008D5105" w:rsidRDefault="006C54F2">
          <w:pPr>
            <w:pStyle w:val="TOC1"/>
            <w:tabs>
              <w:tab w:val="right" w:leader="dot" w:pos="9350"/>
            </w:tabs>
            <w:rPr>
              <w:rFonts w:asciiTheme="minorHAnsi" w:eastAsiaTheme="minorEastAsia" w:hAnsiTheme="minorHAnsi" w:cstheme="minorBidi"/>
              <w:noProof/>
              <w:sz w:val="22"/>
              <w:lang w:val="en-US"/>
            </w:rPr>
          </w:pPr>
          <w:r w:rsidRPr="00043C96">
            <w:rPr>
              <w:rFonts w:ascii="Arial" w:hAnsi="Arial"/>
              <w:szCs w:val="24"/>
            </w:rPr>
            <w:fldChar w:fldCharType="begin"/>
          </w:r>
          <w:r w:rsidR="00043C96" w:rsidRPr="00043C96">
            <w:rPr>
              <w:rFonts w:ascii="Arial" w:hAnsi="Arial"/>
              <w:szCs w:val="24"/>
            </w:rPr>
            <w:instrText xml:space="preserve"> TOC \o "1-3" \h \z \u </w:instrText>
          </w:r>
          <w:r w:rsidRPr="00043C96">
            <w:rPr>
              <w:rFonts w:ascii="Arial" w:hAnsi="Arial"/>
              <w:szCs w:val="24"/>
            </w:rPr>
            <w:fldChar w:fldCharType="separate"/>
          </w:r>
          <w:hyperlink w:anchor="_Toc128671508" w:history="1">
            <w:r w:rsidR="008D5105" w:rsidRPr="003727C4">
              <w:rPr>
                <w:rStyle w:val="Hyperlink"/>
                <w:rFonts w:ascii="Arial" w:hAnsi="Arial"/>
                <w:noProof/>
              </w:rPr>
              <w:t>Introduction</w:t>
            </w:r>
            <w:r w:rsidR="008D5105">
              <w:rPr>
                <w:noProof/>
                <w:webHidden/>
              </w:rPr>
              <w:tab/>
            </w:r>
            <w:r w:rsidR="008D5105">
              <w:rPr>
                <w:noProof/>
                <w:webHidden/>
              </w:rPr>
              <w:fldChar w:fldCharType="begin"/>
            </w:r>
            <w:r w:rsidR="008D5105">
              <w:rPr>
                <w:noProof/>
                <w:webHidden/>
              </w:rPr>
              <w:instrText xml:space="preserve"> PAGEREF _Toc128671508 \h </w:instrText>
            </w:r>
            <w:r w:rsidR="008D5105">
              <w:rPr>
                <w:noProof/>
                <w:webHidden/>
              </w:rPr>
            </w:r>
            <w:r w:rsidR="008D5105">
              <w:rPr>
                <w:noProof/>
                <w:webHidden/>
              </w:rPr>
              <w:fldChar w:fldCharType="separate"/>
            </w:r>
            <w:r w:rsidR="008D5105">
              <w:rPr>
                <w:noProof/>
                <w:webHidden/>
              </w:rPr>
              <w:t>3</w:t>
            </w:r>
            <w:r w:rsidR="008D5105">
              <w:rPr>
                <w:noProof/>
                <w:webHidden/>
              </w:rPr>
              <w:fldChar w:fldCharType="end"/>
            </w:r>
          </w:hyperlink>
        </w:p>
        <w:p w:rsidR="008D5105" w:rsidRDefault="00000000">
          <w:pPr>
            <w:pStyle w:val="TOC1"/>
            <w:tabs>
              <w:tab w:val="right" w:leader="dot" w:pos="9350"/>
            </w:tabs>
            <w:rPr>
              <w:rFonts w:asciiTheme="minorHAnsi" w:eastAsiaTheme="minorEastAsia" w:hAnsiTheme="minorHAnsi" w:cstheme="minorBidi"/>
              <w:noProof/>
              <w:sz w:val="22"/>
              <w:lang w:val="en-US"/>
            </w:rPr>
          </w:pPr>
          <w:hyperlink w:anchor="_Toc128671509" w:history="1">
            <w:r w:rsidR="008D5105" w:rsidRPr="003727C4">
              <w:rPr>
                <w:rStyle w:val="Hyperlink"/>
                <w:rFonts w:ascii="Arial" w:hAnsi="Arial"/>
                <w:noProof/>
              </w:rPr>
              <w:t>Main Body</w:t>
            </w:r>
            <w:r w:rsidR="008D5105">
              <w:rPr>
                <w:noProof/>
                <w:webHidden/>
              </w:rPr>
              <w:tab/>
            </w:r>
            <w:r w:rsidR="008D5105">
              <w:rPr>
                <w:noProof/>
                <w:webHidden/>
              </w:rPr>
              <w:fldChar w:fldCharType="begin"/>
            </w:r>
            <w:r w:rsidR="008D5105">
              <w:rPr>
                <w:noProof/>
                <w:webHidden/>
              </w:rPr>
              <w:instrText xml:space="preserve"> PAGEREF _Toc128671509 \h </w:instrText>
            </w:r>
            <w:r w:rsidR="008D5105">
              <w:rPr>
                <w:noProof/>
                <w:webHidden/>
              </w:rPr>
            </w:r>
            <w:r w:rsidR="008D5105">
              <w:rPr>
                <w:noProof/>
                <w:webHidden/>
              </w:rPr>
              <w:fldChar w:fldCharType="separate"/>
            </w:r>
            <w:r w:rsidR="008D5105">
              <w:rPr>
                <w:noProof/>
                <w:webHidden/>
              </w:rPr>
              <w:t>3</w:t>
            </w:r>
            <w:r w:rsidR="008D5105">
              <w:rPr>
                <w:noProof/>
                <w:webHidden/>
              </w:rPr>
              <w:fldChar w:fldCharType="end"/>
            </w:r>
          </w:hyperlink>
        </w:p>
        <w:p w:rsidR="008D5105" w:rsidRDefault="00000000">
          <w:pPr>
            <w:pStyle w:val="TOC1"/>
            <w:tabs>
              <w:tab w:val="right" w:leader="dot" w:pos="9350"/>
            </w:tabs>
            <w:rPr>
              <w:rFonts w:asciiTheme="minorHAnsi" w:eastAsiaTheme="minorEastAsia" w:hAnsiTheme="minorHAnsi" w:cstheme="minorBidi"/>
              <w:noProof/>
              <w:sz w:val="22"/>
              <w:lang w:val="en-US"/>
            </w:rPr>
          </w:pPr>
          <w:hyperlink w:anchor="_Toc128671510" w:history="1">
            <w:r w:rsidR="008D5105" w:rsidRPr="003727C4">
              <w:rPr>
                <w:rStyle w:val="Hyperlink"/>
                <w:rFonts w:ascii="Arial" w:hAnsi="Arial"/>
                <w:noProof/>
              </w:rPr>
              <w:t>Conclusion</w:t>
            </w:r>
            <w:r w:rsidR="008D5105">
              <w:rPr>
                <w:noProof/>
                <w:webHidden/>
              </w:rPr>
              <w:tab/>
            </w:r>
            <w:r w:rsidR="008D5105">
              <w:rPr>
                <w:noProof/>
                <w:webHidden/>
              </w:rPr>
              <w:fldChar w:fldCharType="begin"/>
            </w:r>
            <w:r w:rsidR="008D5105">
              <w:rPr>
                <w:noProof/>
                <w:webHidden/>
              </w:rPr>
              <w:instrText xml:space="preserve"> PAGEREF _Toc128671510 \h </w:instrText>
            </w:r>
            <w:r w:rsidR="008D5105">
              <w:rPr>
                <w:noProof/>
                <w:webHidden/>
              </w:rPr>
            </w:r>
            <w:r w:rsidR="008D5105">
              <w:rPr>
                <w:noProof/>
                <w:webHidden/>
              </w:rPr>
              <w:fldChar w:fldCharType="separate"/>
            </w:r>
            <w:r w:rsidR="008D5105">
              <w:rPr>
                <w:noProof/>
                <w:webHidden/>
              </w:rPr>
              <w:t>6</w:t>
            </w:r>
            <w:r w:rsidR="008D5105">
              <w:rPr>
                <w:noProof/>
                <w:webHidden/>
              </w:rPr>
              <w:fldChar w:fldCharType="end"/>
            </w:r>
          </w:hyperlink>
        </w:p>
        <w:p w:rsidR="008D5105" w:rsidRDefault="00000000">
          <w:pPr>
            <w:pStyle w:val="TOC1"/>
            <w:tabs>
              <w:tab w:val="right" w:leader="dot" w:pos="9350"/>
            </w:tabs>
            <w:rPr>
              <w:rFonts w:asciiTheme="minorHAnsi" w:eastAsiaTheme="minorEastAsia" w:hAnsiTheme="minorHAnsi" w:cstheme="minorBidi"/>
              <w:noProof/>
              <w:sz w:val="22"/>
              <w:lang w:val="en-US"/>
            </w:rPr>
          </w:pPr>
          <w:hyperlink w:anchor="_Toc128671511" w:history="1">
            <w:r w:rsidR="008D5105" w:rsidRPr="003727C4">
              <w:rPr>
                <w:rStyle w:val="Hyperlink"/>
                <w:rFonts w:ascii="Arial" w:hAnsi="Arial"/>
                <w:noProof/>
              </w:rPr>
              <w:t>References</w:t>
            </w:r>
            <w:r w:rsidR="008D5105">
              <w:rPr>
                <w:noProof/>
                <w:webHidden/>
              </w:rPr>
              <w:tab/>
            </w:r>
            <w:r w:rsidR="008D5105">
              <w:rPr>
                <w:noProof/>
                <w:webHidden/>
              </w:rPr>
              <w:fldChar w:fldCharType="begin"/>
            </w:r>
            <w:r w:rsidR="008D5105">
              <w:rPr>
                <w:noProof/>
                <w:webHidden/>
              </w:rPr>
              <w:instrText xml:space="preserve"> PAGEREF _Toc128671511 \h </w:instrText>
            </w:r>
            <w:r w:rsidR="008D5105">
              <w:rPr>
                <w:noProof/>
                <w:webHidden/>
              </w:rPr>
            </w:r>
            <w:r w:rsidR="008D5105">
              <w:rPr>
                <w:noProof/>
                <w:webHidden/>
              </w:rPr>
              <w:fldChar w:fldCharType="separate"/>
            </w:r>
            <w:r w:rsidR="008D5105">
              <w:rPr>
                <w:noProof/>
                <w:webHidden/>
              </w:rPr>
              <w:t>8</w:t>
            </w:r>
            <w:r w:rsidR="008D5105">
              <w:rPr>
                <w:noProof/>
                <w:webHidden/>
              </w:rPr>
              <w:fldChar w:fldCharType="end"/>
            </w:r>
          </w:hyperlink>
        </w:p>
        <w:p w:rsidR="00043C96" w:rsidRPr="00043C96" w:rsidRDefault="006C54F2">
          <w:pPr>
            <w:rPr>
              <w:rFonts w:ascii="Arial" w:hAnsi="Arial"/>
              <w:szCs w:val="24"/>
            </w:rPr>
          </w:pPr>
          <w:r w:rsidRPr="00043C96">
            <w:rPr>
              <w:rFonts w:ascii="Arial" w:hAnsi="Arial"/>
              <w:szCs w:val="24"/>
            </w:rPr>
            <w:fldChar w:fldCharType="end"/>
          </w:r>
        </w:p>
      </w:sdtContent>
    </w:sdt>
    <w:p w:rsidR="00043C96" w:rsidRPr="00043C96" w:rsidRDefault="00043C96" w:rsidP="00043C96">
      <w:pPr>
        <w:spacing w:after="200" w:line="276" w:lineRule="auto"/>
        <w:rPr>
          <w:rFonts w:ascii="Arial" w:eastAsiaTheme="majorEastAsia" w:hAnsi="Arial"/>
          <w:b/>
          <w:bCs/>
          <w:szCs w:val="24"/>
        </w:rPr>
      </w:pPr>
      <w:r w:rsidRPr="00043C96">
        <w:rPr>
          <w:rFonts w:ascii="Arial" w:hAnsi="Arial"/>
          <w:szCs w:val="24"/>
        </w:rPr>
        <w:br w:type="page"/>
      </w:r>
    </w:p>
    <w:p w:rsidR="00A2397F" w:rsidRPr="00043C96" w:rsidRDefault="00C52CFD" w:rsidP="008B1E7E">
      <w:pPr>
        <w:pStyle w:val="Heading1"/>
        <w:rPr>
          <w:rFonts w:ascii="Arial" w:hAnsi="Arial" w:cs="Arial"/>
          <w:szCs w:val="24"/>
        </w:rPr>
      </w:pPr>
      <w:bookmarkStart w:id="0" w:name="_Toc128671508"/>
      <w:r w:rsidRPr="00043C96">
        <w:rPr>
          <w:rFonts w:ascii="Arial" w:hAnsi="Arial" w:cs="Arial"/>
          <w:szCs w:val="24"/>
        </w:rPr>
        <w:lastRenderedPageBreak/>
        <w:t>Introduction</w:t>
      </w:r>
      <w:bookmarkEnd w:id="0"/>
      <w:r w:rsidRPr="00043C96">
        <w:rPr>
          <w:rFonts w:ascii="Arial" w:hAnsi="Arial" w:cs="Arial"/>
          <w:szCs w:val="24"/>
        </w:rPr>
        <w:t xml:space="preserve"> </w:t>
      </w:r>
    </w:p>
    <w:p w:rsidR="00E46C78" w:rsidRPr="00043C96" w:rsidRDefault="00C52CFD" w:rsidP="00E46C78">
      <w:pPr>
        <w:rPr>
          <w:rFonts w:ascii="Arial" w:hAnsi="Arial"/>
          <w:szCs w:val="24"/>
        </w:rPr>
      </w:pPr>
      <w:r w:rsidRPr="00043C96">
        <w:rPr>
          <w:rFonts w:ascii="Arial" w:hAnsi="Arial"/>
          <w:szCs w:val="24"/>
        </w:rPr>
        <w:t>The assessment will be aimed to demonstrate knowledge and understanding of legislative practices generated in England through the lens of discussing common and civil laws for accelerating the understanding. Additionally, the research will be explained common law along with judging its principles. Relatively, an assessment will justify civil laws incorporated in the jurisdiction of the UK and compare it with the common laws for acknowledging the efficacy of both laws and its derivation to the existing legal practices.</w:t>
      </w:r>
      <w:r w:rsidR="00F50293" w:rsidRPr="00043C96">
        <w:rPr>
          <w:rFonts w:ascii="Arial" w:hAnsi="Arial"/>
          <w:szCs w:val="24"/>
        </w:rPr>
        <w:t xml:space="preserve"> In nexus to this, the assessment will construct its context by interpreting the real-time evidence suggesting the practice of common laws and civil laws in recent cases.</w:t>
      </w:r>
      <w:r w:rsidRPr="00043C96">
        <w:rPr>
          <w:rFonts w:ascii="Arial" w:hAnsi="Arial"/>
          <w:szCs w:val="24"/>
        </w:rPr>
        <w:t xml:space="preserve">  </w:t>
      </w:r>
    </w:p>
    <w:p w:rsidR="008B1E7E" w:rsidRPr="00043C96" w:rsidRDefault="00C52CFD" w:rsidP="008B1E7E">
      <w:pPr>
        <w:pStyle w:val="Heading1"/>
        <w:rPr>
          <w:rFonts w:ascii="Arial" w:hAnsi="Arial" w:cs="Arial"/>
          <w:szCs w:val="24"/>
        </w:rPr>
      </w:pPr>
      <w:bookmarkStart w:id="1" w:name="_Toc128671509"/>
      <w:r w:rsidRPr="00043C96">
        <w:rPr>
          <w:rFonts w:ascii="Arial" w:hAnsi="Arial" w:cs="Arial"/>
          <w:szCs w:val="24"/>
        </w:rPr>
        <w:t>Main Body</w:t>
      </w:r>
      <w:bookmarkEnd w:id="1"/>
      <w:r w:rsidR="00101D47" w:rsidRPr="00043C96">
        <w:rPr>
          <w:rFonts w:ascii="Arial" w:hAnsi="Arial" w:cs="Arial"/>
          <w:szCs w:val="24"/>
        </w:rPr>
        <w:t xml:space="preserve"> </w:t>
      </w:r>
    </w:p>
    <w:p w:rsidR="008B1E7E" w:rsidRPr="00043C96" w:rsidRDefault="00C52CFD">
      <w:pPr>
        <w:rPr>
          <w:rFonts w:ascii="Arial" w:hAnsi="Arial"/>
          <w:b/>
          <w:i/>
          <w:szCs w:val="24"/>
        </w:rPr>
      </w:pPr>
      <w:r w:rsidRPr="00043C96">
        <w:rPr>
          <w:rFonts w:ascii="Arial" w:hAnsi="Arial"/>
          <w:b/>
          <w:i/>
          <w:szCs w:val="24"/>
        </w:rPr>
        <w:t>Explaining common law</w:t>
      </w:r>
      <w:r w:rsidR="00101D47" w:rsidRPr="00043C96">
        <w:rPr>
          <w:rFonts w:ascii="Arial" w:hAnsi="Arial"/>
          <w:b/>
          <w:i/>
          <w:szCs w:val="24"/>
        </w:rPr>
        <w:t xml:space="preserve"> </w:t>
      </w:r>
    </w:p>
    <w:p w:rsidR="00101D47" w:rsidRPr="00043C96" w:rsidRDefault="00C52CFD">
      <w:pPr>
        <w:rPr>
          <w:rFonts w:ascii="Arial" w:hAnsi="Arial"/>
          <w:szCs w:val="24"/>
        </w:rPr>
      </w:pPr>
      <w:r w:rsidRPr="00043C96">
        <w:rPr>
          <w:rFonts w:ascii="Arial" w:hAnsi="Arial"/>
          <w:szCs w:val="24"/>
        </w:rPr>
        <w:t xml:space="preserve">In the legal system, common law has supposed to explain judgments </w:t>
      </w:r>
      <w:r w:rsidR="00686255" w:rsidRPr="00043C96">
        <w:rPr>
          <w:rFonts w:ascii="Arial" w:hAnsi="Arial"/>
          <w:szCs w:val="24"/>
        </w:rPr>
        <w:t>that have</w:t>
      </w:r>
      <w:r w:rsidRPr="00043C96">
        <w:rPr>
          <w:rFonts w:ascii="Arial" w:hAnsi="Arial"/>
          <w:szCs w:val="24"/>
        </w:rPr>
        <w:t xml:space="preserve"> been made by </w:t>
      </w:r>
      <w:r w:rsidR="00686255" w:rsidRPr="00043C96">
        <w:rPr>
          <w:rFonts w:ascii="Arial" w:hAnsi="Arial"/>
          <w:szCs w:val="24"/>
        </w:rPr>
        <w:t>judicial precedents in the past</w:t>
      </w:r>
      <w:r w:rsidR="00E81E88" w:rsidRPr="00043C96">
        <w:rPr>
          <w:rFonts w:ascii="Arial" w:hAnsi="Arial"/>
          <w:szCs w:val="24"/>
        </w:rPr>
        <w:t xml:space="preserve">, for instance, it is suggested as </w:t>
      </w:r>
      <w:r w:rsidR="00E81E88" w:rsidRPr="00043C96">
        <w:rPr>
          <w:rFonts w:ascii="Arial" w:hAnsi="Arial"/>
          <w:i/>
          <w:szCs w:val="24"/>
        </w:rPr>
        <w:t>uncodified laws</w:t>
      </w:r>
      <w:r w:rsidR="00686255" w:rsidRPr="00043C96">
        <w:rPr>
          <w:rFonts w:ascii="Arial" w:hAnsi="Arial"/>
          <w:szCs w:val="24"/>
        </w:rPr>
        <w:t xml:space="preserve">. Additionally, historical evidence has accelerated judges' insight and efficiency in anticipating the judgments </w:t>
      </w:r>
      <w:r w:rsidR="00A67D63" w:rsidRPr="00043C96">
        <w:rPr>
          <w:rFonts w:ascii="Arial" w:hAnsi="Arial"/>
          <w:szCs w:val="24"/>
        </w:rPr>
        <w:t xml:space="preserve">in present and future </w:t>
      </w:r>
      <w:r w:rsidR="00686255" w:rsidRPr="00043C96">
        <w:rPr>
          <w:rFonts w:ascii="Arial" w:hAnsi="Arial"/>
          <w:szCs w:val="24"/>
        </w:rPr>
        <w:t xml:space="preserve">through the lens of common law and its </w:t>
      </w:r>
      <w:r w:rsidR="00A67D63" w:rsidRPr="00043C96">
        <w:rPr>
          <w:rFonts w:ascii="Arial" w:hAnsi="Arial"/>
          <w:szCs w:val="24"/>
        </w:rPr>
        <w:t>principles</w:t>
      </w:r>
      <w:r w:rsidR="00686255" w:rsidRPr="00043C96">
        <w:rPr>
          <w:rFonts w:ascii="Arial" w:hAnsi="Arial"/>
          <w:szCs w:val="24"/>
        </w:rPr>
        <w:t>.</w:t>
      </w:r>
      <w:r w:rsidR="00A67D63" w:rsidRPr="00043C96">
        <w:rPr>
          <w:rFonts w:ascii="Arial" w:hAnsi="Arial"/>
          <w:szCs w:val="24"/>
        </w:rPr>
        <w:t xml:space="preserve"> The author of an academic jo</w:t>
      </w:r>
      <w:r w:rsidR="00E721E1" w:rsidRPr="00043C96">
        <w:rPr>
          <w:rFonts w:ascii="Arial" w:hAnsi="Arial"/>
          <w:szCs w:val="24"/>
        </w:rPr>
        <w:t xml:space="preserve">urnal </w:t>
      </w:r>
      <w:r w:rsidR="00E721E1" w:rsidRPr="00043C96">
        <w:rPr>
          <w:rFonts w:ascii="Arial" w:hAnsi="Arial"/>
          <w:szCs w:val="24"/>
          <w:lang w:val="en-US"/>
        </w:rPr>
        <w:t>Chen (2023</w:t>
      </w:r>
      <w:r w:rsidR="00A67D63" w:rsidRPr="00043C96">
        <w:rPr>
          <w:rFonts w:ascii="Arial" w:hAnsi="Arial"/>
          <w:szCs w:val="24"/>
        </w:rPr>
        <w:t xml:space="preserve">), suggested that common law has influenced the decision-making process of unusual cases happen in the present and made a legal judgment, which is </w:t>
      </w:r>
      <w:r w:rsidR="00F0280E" w:rsidRPr="00043C96">
        <w:rPr>
          <w:rFonts w:ascii="Arial" w:hAnsi="Arial"/>
          <w:szCs w:val="24"/>
        </w:rPr>
        <w:t>derived from the common laws</w:t>
      </w:r>
      <w:r w:rsidR="00A67D63" w:rsidRPr="00043C96">
        <w:rPr>
          <w:rFonts w:ascii="Arial" w:hAnsi="Arial"/>
          <w:szCs w:val="24"/>
        </w:rPr>
        <w:t xml:space="preserve"> for extraordinary cases.</w:t>
      </w:r>
      <w:r w:rsidR="002009AC" w:rsidRPr="00043C96">
        <w:rPr>
          <w:rFonts w:ascii="Arial" w:hAnsi="Arial"/>
          <w:szCs w:val="24"/>
        </w:rPr>
        <w:t xml:space="preserve"> It has been obtained that common law includes </w:t>
      </w:r>
      <w:r w:rsidR="0025754D" w:rsidRPr="00043C96">
        <w:rPr>
          <w:rFonts w:ascii="Arial" w:hAnsi="Arial"/>
          <w:szCs w:val="24"/>
        </w:rPr>
        <w:t xml:space="preserve">both </w:t>
      </w:r>
      <w:r w:rsidR="0025754D" w:rsidRPr="00043C96">
        <w:rPr>
          <w:rFonts w:ascii="Arial" w:hAnsi="Arial"/>
          <w:i/>
          <w:szCs w:val="24"/>
        </w:rPr>
        <w:t xml:space="preserve">substantive rules such as the offence of murder and procedural ones </w:t>
      </w:r>
      <w:r w:rsidR="0025754D" w:rsidRPr="00043C96">
        <w:rPr>
          <w:rFonts w:ascii="Arial" w:hAnsi="Arial"/>
          <w:szCs w:val="24"/>
        </w:rPr>
        <w:t>that can be determined as relevant for covering a broader aspect of unusual cases.</w:t>
      </w:r>
      <w:r w:rsidR="00AE08AE" w:rsidRPr="00043C96">
        <w:rPr>
          <w:rFonts w:ascii="Arial" w:hAnsi="Arial"/>
          <w:szCs w:val="24"/>
        </w:rPr>
        <w:t xml:space="preserve"> Moreover, a key principle of common law </w:t>
      </w:r>
      <w:r w:rsidR="002426BD" w:rsidRPr="00043C96">
        <w:rPr>
          <w:rFonts w:ascii="Arial" w:hAnsi="Arial"/>
          <w:szCs w:val="24"/>
        </w:rPr>
        <w:t xml:space="preserve">in the English legal system </w:t>
      </w:r>
      <w:r w:rsidR="00AE08AE" w:rsidRPr="00043C96">
        <w:rPr>
          <w:rFonts w:ascii="Arial" w:hAnsi="Arial"/>
          <w:szCs w:val="24"/>
        </w:rPr>
        <w:t xml:space="preserve">is </w:t>
      </w:r>
      <w:r w:rsidR="00AE08AE" w:rsidRPr="00043C96">
        <w:rPr>
          <w:rFonts w:ascii="Arial" w:hAnsi="Arial"/>
          <w:b/>
          <w:i/>
          <w:szCs w:val="24"/>
        </w:rPr>
        <w:t>‘freedom to contact’</w:t>
      </w:r>
      <w:r w:rsidR="00AE08AE" w:rsidRPr="00043C96">
        <w:rPr>
          <w:rFonts w:ascii="Arial" w:hAnsi="Arial"/>
          <w:szCs w:val="24"/>
        </w:rPr>
        <w:t xml:space="preserve">, which demonstrated liberty to the parties for using the </w:t>
      </w:r>
      <w:r w:rsidR="00670967" w:rsidRPr="00043C96">
        <w:rPr>
          <w:rFonts w:ascii="Arial" w:hAnsi="Arial"/>
          <w:szCs w:val="24"/>
        </w:rPr>
        <w:t>legal decision made in the past.</w:t>
      </w:r>
      <w:r w:rsidR="00FC7FE5" w:rsidRPr="00043C96">
        <w:rPr>
          <w:rFonts w:ascii="Arial" w:hAnsi="Arial"/>
          <w:szCs w:val="24"/>
        </w:rPr>
        <w:t xml:space="preserve"> In the English legal system, common law can be used for treating murder, common assault and manslaughter happens in the present even verifying the adversity of cases</w:t>
      </w:r>
      <w:r w:rsidR="00F32DAE" w:rsidRPr="00043C96">
        <w:rPr>
          <w:rFonts w:ascii="Arial" w:hAnsi="Arial"/>
          <w:szCs w:val="24"/>
        </w:rPr>
        <w:t xml:space="preserve"> (</w:t>
      </w:r>
      <w:r w:rsidR="00F32DAE" w:rsidRPr="00043C96">
        <w:rPr>
          <w:rFonts w:ascii="Arial" w:hAnsi="Arial"/>
          <w:szCs w:val="24"/>
          <w:lang w:val="en-US"/>
        </w:rPr>
        <w:t>Incorporated Council of Law Reporting, 2018</w:t>
      </w:r>
      <w:r w:rsidR="00F32DAE" w:rsidRPr="00043C96">
        <w:rPr>
          <w:rFonts w:ascii="Arial" w:hAnsi="Arial"/>
          <w:szCs w:val="24"/>
        </w:rPr>
        <w:t>)</w:t>
      </w:r>
      <w:r w:rsidR="00FC7FE5" w:rsidRPr="00043C96">
        <w:rPr>
          <w:rFonts w:ascii="Arial" w:hAnsi="Arial"/>
          <w:szCs w:val="24"/>
        </w:rPr>
        <w:t>.</w:t>
      </w:r>
      <w:r w:rsidR="005531CE" w:rsidRPr="00043C96">
        <w:rPr>
          <w:rFonts w:ascii="Arial" w:hAnsi="Arial"/>
          <w:szCs w:val="24"/>
        </w:rPr>
        <w:t xml:space="preserve"> In the context of designing judgment, judges need to consider modern needs while applying common laws hence parliament has consumed rights for modifying, replace with a statutory offence or abolishment.</w:t>
      </w:r>
      <w:r w:rsidR="00AE08AE" w:rsidRPr="00043C96">
        <w:rPr>
          <w:rFonts w:ascii="Arial" w:hAnsi="Arial"/>
          <w:szCs w:val="24"/>
        </w:rPr>
        <w:t xml:space="preserve">  </w:t>
      </w:r>
    </w:p>
    <w:p w:rsidR="008B1E7E" w:rsidRPr="00043C96" w:rsidRDefault="00C52CFD">
      <w:pPr>
        <w:rPr>
          <w:rFonts w:ascii="Arial" w:hAnsi="Arial"/>
          <w:b/>
          <w:i/>
          <w:szCs w:val="24"/>
        </w:rPr>
      </w:pPr>
      <w:r w:rsidRPr="00043C96">
        <w:rPr>
          <w:rFonts w:ascii="Arial" w:hAnsi="Arial"/>
          <w:b/>
          <w:i/>
          <w:szCs w:val="24"/>
        </w:rPr>
        <w:t>Describing civil law</w:t>
      </w:r>
      <w:r w:rsidR="00101D47" w:rsidRPr="00043C96">
        <w:rPr>
          <w:rFonts w:ascii="Arial" w:hAnsi="Arial"/>
          <w:b/>
          <w:i/>
          <w:szCs w:val="24"/>
        </w:rPr>
        <w:t xml:space="preserve"> </w:t>
      </w:r>
    </w:p>
    <w:p w:rsidR="00E81E88" w:rsidRPr="00043C96" w:rsidRDefault="00C52CFD">
      <w:pPr>
        <w:rPr>
          <w:rFonts w:ascii="Arial" w:hAnsi="Arial"/>
          <w:szCs w:val="24"/>
        </w:rPr>
      </w:pPr>
      <w:r w:rsidRPr="00043C96">
        <w:rPr>
          <w:rFonts w:ascii="Arial" w:hAnsi="Arial"/>
          <w:szCs w:val="24"/>
        </w:rPr>
        <w:lastRenderedPageBreak/>
        <w:t xml:space="preserve">The civil law system has described a comprehensive system of rules and principles in the legal scheme, which has been arranged by codes that can be easily accessible to citizens and jurists. Additionally, civil laws have demonstrated clear expression of rights, legislative practices and duties that aided judges in following the existing rules and regulations. As deduced by </w:t>
      </w:r>
      <w:r w:rsidR="00D04064" w:rsidRPr="00043C96">
        <w:rPr>
          <w:rFonts w:ascii="Arial" w:hAnsi="Arial"/>
          <w:szCs w:val="24"/>
        </w:rPr>
        <w:t xml:space="preserve">Chouaibi </w:t>
      </w:r>
      <w:r w:rsidR="00D04064" w:rsidRPr="00043C96">
        <w:rPr>
          <w:rFonts w:ascii="Arial" w:hAnsi="Arial"/>
          <w:i/>
          <w:szCs w:val="24"/>
        </w:rPr>
        <w:t xml:space="preserve">et al. </w:t>
      </w:r>
      <w:r w:rsidRPr="00043C96">
        <w:rPr>
          <w:rFonts w:ascii="Arial" w:hAnsi="Arial"/>
          <w:szCs w:val="24"/>
        </w:rPr>
        <w:t>(</w:t>
      </w:r>
      <w:r w:rsidR="00D04064" w:rsidRPr="00043C96">
        <w:rPr>
          <w:rFonts w:ascii="Arial" w:hAnsi="Arial"/>
          <w:szCs w:val="24"/>
        </w:rPr>
        <w:t>2022</w:t>
      </w:r>
      <w:r w:rsidRPr="00043C96">
        <w:rPr>
          <w:rFonts w:ascii="Arial" w:hAnsi="Arial"/>
          <w:szCs w:val="24"/>
        </w:rPr>
        <w:t xml:space="preserve">), civil </w:t>
      </w:r>
      <w:r w:rsidR="00F04EBB" w:rsidRPr="00043C96">
        <w:rPr>
          <w:rFonts w:ascii="Arial" w:hAnsi="Arial"/>
          <w:szCs w:val="24"/>
        </w:rPr>
        <w:t xml:space="preserve">legal </w:t>
      </w:r>
      <w:r w:rsidRPr="00043C96">
        <w:rPr>
          <w:rFonts w:ascii="Arial" w:hAnsi="Arial"/>
          <w:szCs w:val="24"/>
        </w:rPr>
        <w:t>practices</w:t>
      </w:r>
      <w:r w:rsidR="00F04EBB" w:rsidRPr="00043C96">
        <w:rPr>
          <w:rFonts w:ascii="Arial" w:hAnsi="Arial"/>
          <w:szCs w:val="24"/>
        </w:rPr>
        <w:t xml:space="preserve"> </w:t>
      </w:r>
      <w:r w:rsidR="00081F1B" w:rsidRPr="00043C96">
        <w:rPr>
          <w:rFonts w:ascii="Arial" w:hAnsi="Arial"/>
          <w:szCs w:val="24"/>
        </w:rPr>
        <w:t>have</w:t>
      </w:r>
      <w:r w:rsidR="00F04EBB" w:rsidRPr="00043C96">
        <w:rPr>
          <w:rFonts w:ascii="Arial" w:hAnsi="Arial"/>
          <w:szCs w:val="24"/>
        </w:rPr>
        <w:t xml:space="preserve"> </w:t>
      </w:r>
      <w:r w:rsidR="00081F1B" w:rsidRPr="00043C96">
        <w:rPr>
          <w:rFonts w:ascii="Arial" w:hAnsi="Arial"/>
          <w:szCs w:val="24"/>
        </w:rPr>
        <w:t>expressed rules and regulations that emphasis</w:t>
      </w:r>
      <w:r w:rsidR="00F04EBB" w:rsidRPr="00043C96">
        <w:rPr>
          <w:rFonts w:ascii="Arial" w:hAnsi="Arial"/>
          <w:szCs w:val="24"/>
        </w:rPr>
        <w:t>e the businesses for evaluating Environmental, Social and Governance scores, and assessing financial performances for incorporating green practices in the work environment for steering sustainability.</w:t>
      </w:r>
      <w:r w:rsidR="00E8399D" w:rsidRPr="00043C96">
        <w:rPr>
          <w:rFonts w:ascii="Arial" w:hAnsi="Arial"/>
          <w:szCs w:val="24"/>
        </w:rPr>
        <w:t xml:space="preserve"> </w:t>
      </w:r>
      <w:r w:rsidR="001F5225" w:rsidRPr="00043C96">
        <w:rPr>
          <w:rFonts w:ascii="Arial" w:hAnsi="Arial"/>
          <w:szCs w:val="24"/>
        </w:rPr>
        <w:t>Relatively, a written constitution based on codified legal practices has supposed to deal with the land contract that suggests an interpretation of written or oral agreements, demonstrating companies legal practices, assessing disputes across taxes and duties and suggesting rights for protecting the intellectual properties of businesses. In nexus with this</w:t>
      </w:r>
      <w:r w:rsidR="00E8399D" w:rsidRPr="00043C96">
        <w:rPr>
          <w:rFonts w:ascii="Arial" w:hAnsi="Arial"/>
          <w:szCs w:val="24"/>
        </w:rPr>
        <w:t xml:space="preserve">, civil laws are expressed as a </w:t>
      </w:r>
      <w:r w:rsidR="00E8399D" w:rsidRPr="00043C96">
        <w:rPr>
          <w:rFonts w:ascii="Arial" w:hAnsi="Arial"/>
          <w:i/>
          <w:szCs w:val="24"/>
        </w:rPr>
        <w:t>codified</w:t>
      </w:r>
      <w:r w:rsidR="00E8399D" w:rsidRPr="00043C96">
        <w:rPr>
          <w:rFonts w:ascii="Arial" w:hAnsi="Arial"/>
          <w:szCs w:val="24"/>
        </w:rPr>
        <w:t xml:space="preserve"> form in the legal system that consists of a wider range of general rules relevant to forming legislative practices</w:t>
      </w:r>
      <w:r w:rsidR="00395D50" w:rsidRPr="00043C96">
        <w:rPr>
          <w:rFonts w:ascii="Arial" w:hAnsi="Arial"/>
          <w:szCs w:val="24"/>
        </w:rPr>
        <w:t xml:space="preserve"> (</w:t>
      </w:r>
      <w:r w:rsidR="007B7128" w:rsidRPr="00043C96">
        <w:rPr>
          <w:rFonts w:ascii="Arial" w:hAnsi="Arial"/>
          <w:szCs w:val="24"/>
          <w:lang w:val="en-US"/>
        </w:rPr>
        <w:t>The World Bank, 2022</w:t>
      </w:r>
      <w:r w:rsidR="00395D50" w:rsidRPr="00043C96">
        <w:rPr>
          <w:rFonts w:ascii="Arial" w:hAnsi="Arial"/>
          <w:szCs w:val="24"/>
        </w:rPr>
        <w:t>)</w:t>
      </w:r>
      <w:r w:rsidR="0083486D" w:rsidRPr="00043C96">
        <w:rPr>
          <w:rFonts w:ascii="Arial" w:hAnsi="Arial"/>
          <w:szCs w:val="24"/>
        </w:rPr>
        <w:t>. For instance, contract, tort, company law, revenue law, media and communication law, intellectual property and family law are placed under the umbrella of civil laws</w:t>
      </w:r>
      <w:r w:rsidR="00C72CCD" w:rsidRPr="00043C96">
        <w:rPr>
          <w:rFonts w:ascii="Arial" w:hAnsi="Arial"/>
          <w:szCs w:val="24"/>
        </w:rPr>
        <w:t>.</w:t>
      </w:r>
      <w:r w:rsidR="00B72914" w:rsidRPr="00043C96">
        <w:rPr>
          <w:rFonts w:ascii="Arial" w:hAnsi="Arial"/>
          <w:szCs w:val="24"/>
        </w:rPr>
        <w:t xml:space="preserve"> </w:t>
      </w:r>
    </w:p>
    <w:p w:rsidR="008B1E7E" w:rsidRPr="00043C96" w:rsidRDefault="00C52CFD">
      <w:pPr>
        <w:rPr>
          <w:rFonts w:ascii="Arial" w:hAnsi="Arial"/>
          <w:b/>
          <w:i/>
          <w:szCs w:val="24"/>
        </w:rPr>
      </w:pPr>
      <w:r w:rsidRPr="00043C96">
        <w:rPr>
          <w:rFonts w:ascii="Arial" w:hAnsi="Arial"/>
          <w:b/>
          <w:i/>
          <w:szCs w:val="24"/>
        </w:rPr>
        <w:t>Framing a contrast of two systems</w:t>
      </w:r>
      <w:r w:rsidR="00101D47" w:rsidRPr="00043C96">
        <w:rPr>
          <w:rFonts w:ascii="Arial" w:hAnsi="Arial"/>
          <w:b/>
          <w:i/>
          <w:szCs w:val="24"/>
        </w:rPr>
        <w:t xml:space="preserve"> </w:t>
      </w:r>
    </w:p>
    <w:p w:rsidR="006B3790" w:rsidRPr="00043C96" w:rsidRDefault="00C52CFD" w:rsidP="009A6040">
      <w:pPr>
        <w:spacing w:after="240"/>
        <w:rPr>
          <w:rFonts w:ascii="Arial" w:hAnsi="Arial"/>
          <w:szCs w:val="24"/>
        </w:rPr>
      </w:pPr>
      <w:r w:rsidRPr="00043C96">
        <w:rPr>
          <w:rFonts w:ascii="Arial" w:hAnsi="Arial"/>
          <w:szCs w:val="24"/>
        </w:rPr>
        <w:t xml:space="preserve">In the legal </w:t>
      </w:r>
      <w:r w:rsidR="00CD11A1" w:rsidRPr="00043C96">
        <w:rPr>
          <w:rFonts w:ascii="Arial" w:hAnsi="Arial"/>
          <w:szCs w:val="24"/>
        </w:rPr>
        <w:t>system</w:t>
      </w:r>
      <w:r w:rsidRPr="00043C96">
        <w:rPr>
          <w:rFonts w:ascii="Arial" w:hAnsi="Arial"/>
          <w:szCs w:val="24"/>
        </w:rPr>
        <w:t xml:space="preserve">, common laws are supposed to describe the judgments that have been made by judges in the past </w:t>
      </w:r>
      <w:r w:rsidR="00CD11A1" w:rsidRPr="00043C96">
        <w:rPr>
          <w:rFonts w:ascii="Arial" w:hAnsi="Arial"/>
          <w:szCs w:val="24"/>
        </w:rPr>
        <w:t>applying in</w:t>
      </w:r>
      <w:r w:rsidRPr="00043C96">
        <w:rPr>
          <w:rFonts w:ascii="Arial" w:hAnsi="Arial"/>
          <w:szCs w:val="24"/>
        </w:rPr>
        <w:t xml:space="preserve"> unusual cases judgment and this is an uncodified form in legal practices. On the contrary, it can be argued that civil laws are suggested as codified forms in the legal system that contained laws, rules and legislative practices.</w:t>
      </w:r>
      <w:r w:rsidR="00087DB5" w:rsidRPr="00043C96">
        <w:rPr>
          <w:rFonts w:ascii="Arial" w:hAnsi="Arial"/>
          <w:szCs w:val="24"/>
        </w:rPr>
        <w:t xml:space="preserve"> The author of an academic journal </w:t>
      </w:r>
      <w:r w:rsidR="00BD7719" w:rsidRPr="00043C96">
        <w:rPr>
          <w:rFonts w:ascii="Arial" w:hAnsi="Arial"/>
          <w:szCs w:val="24"/>
          <w:lang w:val="en-US"/>
        </w:rPr>
        <w:t>Trust (2021</w:t>
      </w:r>
      <w:r w:rsidR="00BD7719" w:rsidRPr="00043C96">
        <w:rPr>
          <w:rFonts w:ascii="Arial" w:hAnsi="Arial"/>
          <w:szCs w:val="24"/>
        </w:rPr>
        <w:t xml:space="preserve">), </w:t>
      </w:r>
      <w:r w:rsidR="00087DB5" w:rsidRPr="00043C96">
        <w:rPr>
          <w:rFonts w:ascii="Arial" w:hAnsi="Arial"/>
          <w:szCs w:val="24"/>
        </w:rPr>
        <w:t>opines that civil law codes are supposed to be more constructive instead of common laws and encompass a full spectrum of civil and criminal matters that may need adjudicating the court while common laws are less structured and legislative statutes tend not to be as comprehensive as civil laws.</w:t>
      </w:r>
      <w:r w:rsidR="00385811" w:rsidRPr="00043C96">
        <w:rPr>
          <w:rFonts w:ascii="Arial" w:hAnsi="Arial"/>
          <w:szCs w:val="24"/>
        </w:rPr>
        <w:t xml:space="preserve"> </w:t>
      </w:r>
      <w:r w:rsidR="009127CD" w:rsidRPr="00043C96">
        <w:rPr>
          <w:rFonts w:ascii="Arial" w:hAnsi="Arial"/>
          <w:szCs w:val="24"/>
        </w:rPr>
        <w:t>It has been evidenced that western democracies have transcended ethnic elements and national barriers that encourage politicians for ignoring social schisms (</w:t>
      </w:r>
      <w:r w:rsidR="0017102D" w:rsidRPr="00043C96">
        <w:rPr>
          <w:rFonts w:ascii="Arial" w:hAnsi="Arial"/>
          <w:szCs w:val="24"/>
        </w:rPr>
        <w:t>Tamir, 2019</w:t>
      </w:r>
      <w:r w:rsidR="009127CD" w:rsidRPr="00043C96">
        <w:rPr>
          <w:rFonts w:ascii="Arial" w:hAnsi="Arial"/>
          <w:szCs w:val="24"/>
        </w:rPr>
        <w:t xml:space="preserve">). </w:t>
      </w:r>
      <w:r w:rsidR="00385811" w:rsidRPr="00043C96">
        <w:rPr>
          <w:rFonts w:ascii="Arial" w:hAnsi="Arial"/>
          <w:szCs w:val="24"/>
        </w:rPr>
        <w:t xml:space="preserve">However, jurisdiction in such countries aims to follow the common laws in common cases while few jurisdictions are strictly followed civil law practices for instance evidence lightens that the British or English legal system has been influenced by </w:t>
      </w:r>
      <w:r w:rsidR="00CD11A1" w:rsidRPr="00043C96">
        <w:rPr>
          <w:rFonts w:ascii="Arial" w:hAnsi="Arial"/>
          <w:szCs w:val="24"/>
        </w:rPr>
        <w:t>common</w:t>
      </w:r>
      <w:r w:rsidR="00385811" w:rsidRPr="00043C96">
        <w:rPr>
          <w:rFonts w:ascii="Arial" w:hAnsi="Arial"/>
          <w:szCs w:val="24"/>
        </w:rPr>
        <w:t xml:space="preserve"> laws while sentencing any judgments.</w:t>
      </w:r>
    </w:p>
    <w:p w:rsidR="0017102D" w:rsidRPr="00043C96" w:rsidRDefault="00C52CFD" w:rsidP="009A6040">
      <w:pPr>
        <w:spacing w:after="240"/>
        <w:rPr>
          <w:rFonts w:ascii="Arial" w:hAnsi="Arial"/>
          <w:szCs w:val="24"/>
        </w:rPr>
      </w:pPr>
      <w:r w:rsidRPr="00043C96">
        <w:rPr>
          <w:rFonts w:ascii="Arial" w:hAnsi="Arial"/>
          <w:szCs w:val="24"/>
        </w:rPr>
        <w:lastRenderedPageBreak/>
        <w:t xml:space="preserve">Common laws </w:t>
      </w:r>
      <w:r w:rsidR="004043DD" w:rsidRPr="00043C96">
        <w:rPr>
          <w:rFonts w:ascii="Arial" w:hAnsi="Arial"/>
          <w:szCs w:val="24"/>
        </w:rPr>
        <w:t>have</w:t>
      </w:r>
      <w:r w:rsidRPr="00043C96">
        <w:rPr>
          <w:rFonts w:ascii="Arial" w:hAnsi="Arial"/>
          <w:szCs w:val="24"/>
        </w:rPr>
        <w:t xml:space="preserve"> been originated in England while civil law </w:t>
      </w:r>
      <w:r w:rsidR="009A6040" w:rsidRPr="00043C96">
        <w:rPr>
          <w:rFonts w:ascii="Arial" w:hAnsi="Arial"/>
          <w:szCs w:val="24"/>
        </w:rPr>
        <w:t>developed</w:t>
      </w:r>
      <w:r w:rsidRPr="00043C96">
        <w:rPr>
          <w:rFonts w:ascii="Arial" w:hAnsi="Arial"/>
          <w:szCs w:val="24"/>
        </w:rPr>
        <w:t xml:space="preserve"> in Ancient Rome. </w:t>
      </w:r>
      <w:r w:rsidR="007D765B" w:rsidRPr="00043C96">
        <w:rPr>
          <w:rFonts w:ascii="Arial" w:hAnsi="Arial"/>
          <w:szCs w:val="24"/>
        </w:rPr>
        <w:t xml:space="preserve">As referred by </w:t>
      </w:r>
      <w:r w:rsidR="007D765B" w:rsidRPr="00043C96">
        <w:rPr>
          <w:rFonts w:ascii="Arial" w:hAnsi="Arial"/>
          <w:szCs w:val="24"/>
          <w:lang w:val="en-US"/>
        </w:rPr>
        <w:t>Ferguson (2017</w:t>
      </w:r>
      <w:r w:rsidR="007D765B" w:rsidRPr="00043C96">
        <w:rPr>
          <w:rFonts w:ascii="Arial" w:hAnsi="Arial"/>
          <w:szCs w:val="24"/>
        </w:rPr>
        <w:t>)</w:t>
      </w:r>
      <w:r w:rsidRPr="00043C96">
        <w:rPr>
          <w:rFonts w:ascii="Arial" w:hAnsi="Arial"/>
          <w:szCs w:val="24"/>
        </w:rPr>
        <w:t>,</w:t>
      </w:r>
      <w:r w:rsidR="009A6040" w:rsidRPr="00043C96">
        <w:rPr>
          <w:rFonts w:ascii="Arial" w:hAnsi="Arial"/>
          <w:szCs w:val="24"/>
        </w:rPr>
        <w:t xml:space="preserve"> the use of common laws and civil laws for judgment can be dependent on the judges' decision and the severity of the unusual incidents. Relatively, in the civil law system, emphasis is put on the legislation while </w:t>
      </w:r>
      <w:r w:rsidR="00CD11A1" w:rsidRPr="00043C96">
        <w:rPr>
          <w:rFonts w:ascii="Arial" w:hAnsi="Arial"/>
          <w:szCs w:val="24"/>
        </w:rPr>
        <w:t>lawyers approach a case and judges insight</w:t>
      </w:r>
      <w:r w:rsidR="00A368BE" w:rsidRPr="00043C96">
        <w:rPr>
          <w:rFonts w:ascii="Arial" w:hAnsi="Arial"/>
          <w:szCs w:val="24"/>
        </w:rPr>
        <w:t xml:space="preserve"> has played</w:t>
      </w:r>
      <w:r w:rsidR="009A6040" w:rsidRPr="00043C96">
        <w:rPr>
          <w:rFonts w:ascii="Arial" w:hAnsi="Arial"/>
          <w:szCs w:val="24"/>
        </w:rPr>
        <w:t xml:space="preserve"> an active role in applying common laws in the decision.</w:t>
      </w:r>
      <w:r w:rsidR="00DB3766" w:rsidRPr="00043C96">
        <w:rPr>
          <w:rFonts w:ascii="Arial" w:hAnsi="Arial"/>
          <w:szCs w:val="24"/>
        </w:rPr>
        <w:t xml:space="preserve"> The evidence has supported that Succession to tenancies has regulated by a system of different rights in land, which determined the duration of tenant’s interest. </w:t>
      </w:r>
      <w:r w:rsidR="00C6792C" w:rsidRPr="00043C96">
        <w:rPr>
          <w:rFonts w:ascii="Arial" w:hAnsi="Arial"/>
          <w:szCs w:val="24"/>
        </w:rPr>
        <w:t>In nexus to this</w:t>
      </w:r>
      <w:r w:rsidR="00DB3766" w:rsidRPr="00043C96">
        <w:rPr>
          <w:rFonts w:ascii="Arial" w:hAnsi="Arial"/>
          <w:szCs w:val="24"/>
        </w:rPr>
        <w:t>, in the 13</w:t>
      </w:r>
      <w:r w:rsidR="00DB3766" w:rsidRPr="00043C96">
        <w:rPr>
          <w:rFonts w:ascii="Arial" w:hAnsi="Arial"/>
          <w:szCs w:val="24"/>
          <w:vertAlign w:val="superscript"/>
        </w:rPr>
        <w:t>th</w:t>
      </w:r>
      <w:r w:rsidR="00DB3766" w:rsidRPr="00043C96">
        <w:rPr>
          <w:rFonts w:ascii="Arial" w:hAnsi="Arial"/>
          <w:szCs w:val="24"/>
        </w:rPr>
        <w:t xml:space="preserve"> century, the pace of change led to the passage of statutes for regulating matters of detail and alongside it has been evidenced that the Succession would be forbidden while life tenants damaged the property or </w:t>
      </w:r>
      <w:r w:rsidR="0034379F" w:rsidRPr="00043C96">
        <w:rPr>
          <w:rFonts w:ascii="Arial" w:hAnsi="Arial"/>
          <w:szCs w:val="24"/>
        </w:rPr>
        <w:t>revealed the cause of deteriorating</w:t>
      </w:r>
      <w:r w:rsidR="002A5E19" w:rsidRPr="00043C96">
        <w:rPr>
          <w:rFonts w:ascii="Arial" w:hAnsi="Arial"/>
          <w:szCs w:val="24"/>
        </w:rPr>
        <w:t xml:space="preserve"> (</w:t>
      </w:r>
      <w:r w:rsidR="002A5E19" w:rsidRPr="00043C96">
        <w:rPr>
          <w:rFonts w:ascii="Arial" w:hAnsi="Arial"/>
          <w:szCs w:val="24"/>
          <w:lang w:val="en-US"/>
        </w:rPr>
        <w:t xml:space="preserve">Glendon </w:t>
      </w:r>
      <w:r w:rsidR="002A5E19" w:rsidRPr="00043C96">
        <w:rPr>
          <w:rFonts w:ascii="Arial" w:hAnsi="Arial"/>
          <w:i/>
          <w:iCs/>
          <w:szCs w:val="24"/>
          <w:lang w:val="en-US"/>
        </w:rPr>
        <w:t>et al.</w:t>
      </w:r>
      <w:r w:rsidR="004763B7" w:rsidRPr="00043C96">
        <w:rPr>
          <w:rFonts w:ascii="Arial" w:hAnsi="Arial"/>
          <w:szCs w:val="24"/>
          <w:lang w:val="en-US"/>
        </w:rPr>
        <w:t>, 2023</w:t>
      </w:r>
      <w:r w:rsidR="002A5E19" w:rsidRPr="00043C96">
        <w:rPr>
          <w:rFonts w:ascii="Arial" w:hAnsi="Arial"/>
          <w:szCs w:val="24"/>
        </w:rPr>
        <w:t>)</w:t>
      </w:r>
      <w:r w:rsidR="0034379F" w:rsidRPr="00043C96">
        <w:rPr>
          <w:rFonts w:ascii="Arial" w:hAnsi="Arial"/>
          <w:szCs w:val="24"/>
        </w:rPr>
        <w:t>.</w:t>
      </w:r>
      <w:r w:rsidR="002A5E19" w:rsidRPr="00043C96">
        <w:rPr>
          <w:rFonts w:ascii="Arial" w:hAnsi="Arial"/>
          <w:szCs w:val="24"/>
        </w:rPr>
        <w:t xml:space="preserve"> This has been evidenced by common laws used since the 13</w:t>
      </w:r>
      <w:r w:rsidR="002A5E19" w:rsidRPr="00043C96">
        <w:rPr>
          <w:rFonts w:ascii="Arial" w:hAnsi="Arial"/>
          <w:szCs w:val="24"/>
          <w:vertAlign w:val="superscript"/>
        </w:rPr>
        <w:t>th</w:t>
      </w:r>
      <w:r w:rsidR="002A5E19" w:rsidRPr="00043C96">
        <w:rPr>
          <w:rFonts w:ascii="Arial" w:hAnsi="Arial"/>
          <w:szCs w:val="24"/>
        </w:rPr>
        <w:t xml:space="preserve"> century.</w:t>
      </w:r>
      <w:r w:rsidR="000557DF" w:rsidRPr="00043C96">
        <w:rPr>
          <w:rFonts w:ascii="Arial" w:hAnsi="Arial"/>
          <w:szCs w:val="24"/>
        </w:rPr>
        <w:t xml:space="preserve"> On the contrary, civil laws have associated with design corporate or civil practices such as the employer has a duty of care towards the employees for instance, if employees are injured in the workplace then a personal injury solicitor is appointed to charge the employers in the case of negligence on care. </w:t>
      </w:r>
      <w:r w:rsidR="002A5E19" w:rsidRPr="00043C96">
        <w:rPr>
          <w:rFonts w:ascii="Arial" w:hAnsi="Arial"/>
          <w:szCs w:val="24"/>
        </w:rPr>
        <w:t xml:space="preserve"> </w:t>
      </w:r>
      <w:r w:rsidR="00DB3766" w:rsidRPr="00043C96">
        <w:rPr>
          <w:rFonts w:ascii="Arial" w:hAnsi="Arial"/>
          <w:szCs w:val="24"/>
        </w:rPr>
        <w:t xml:space="preserve">    </w:t>
      </w:r>
      <w:r w:rsidR="009A6040" w:rsidRPr="00043C96">
        <w:rPr>
          <w:rFonts w:ascii="Arial" w:hAnsi="Arial"/>
          <w:szCs w:val="24"/>
        </w:rPr>
        <w:t xml:space="preserve">  </w:t>
      </w:r>
      <w:r w:rsidRPr="00043C96">
        <w:rPr>
          <w:rFonts w:ascii="Arial" w:hAnsi="Arial"/>
          <w:szCs w:val="24"/>
        </w:rPr>
        <w:t xml:space="preserve">    </w:t>
      </w:r>
    </w:p>
    <w:p w:rsidR="008B1E7E" w:rsidRPr="00043C96" w:rsidRDefault="00C52CFD">
      <w:pPr>
        <w:rPr>
          <w:rFonts w:ascii="Arial" w:hAnsi="Arial"/>
          <w:b/>
          <w:i/>
          <w:szCs w:val="24"/>
        </w:rPr>
      </w:pPr>
      <w:r w:rsidRPr="00043C96">
        <w:rPr>
          <w:rFonts w:ascii="Arial" w:hAnsi="Arial"/>
          <w:b/>
          <w:i/>
          <w:szCs w:val="24"/>
        </w:rPr>
        <w:t>Outlining the history of common law</w:t>
      </w:r>
      <w:r w:rsidR="00101D47" w:rsidRPr="00043C96">
        <w:rPr>
          <w:rFonts w:ascii="Arial" w:hAnsi="Arial"/>
          <w:b/>
          <w:i/>
          <w:szCs w:val="24"/>
        </w:rPr>
        <w:t xml:space="preserve"> </w:t>
      </w:r>
    </w:p>
    <w:p w:rsidR="00CD11A1" w:rsidRPr="00043C96" w:rsidRDefault="00C52CFD">
      <w:pPr>
        <w:rPr>
          <w:rFonts w:ascii="Arial" w:hAnsi="Arial"/>
          <w:szCs w:val="24"/>
        </w:rPr>
      </w:pPr>
      <w:r w:rsidRPr="00043C96">
        <w:rPr>
          <w:rFonts w:ascii="Arial" w:hAnsi="Arial"/>
          <w:szCs w:val="24"/>
        </w:rPr>
        <w:t>The English common law has been originated in the early Middle Ages in the King’s court (Curia Regis), a single court has been set up for the country England at Westminster, near London. Additionally, the common law of England has created in the period nexus to the Norman Conquest of 1066</w:t>
      </w:r>
      <w:r w:rsidR="00C86106" w:rsidRPr="00043C96">
        <w:rPr>
          <w:rFonts w:ascii="Arial" w:hAnsi="Arial"/>
          <w:szCs w:val="24"/>
        </w:rPr>
        <w:t>. In n</w:t>
      </w:r>
      <w:r>
        <w:rPr>
          <w:rFonts w:ascii="Arial" w:hAnsi="Arial"/>
          <w:szCs w:val="24"/>
        </w:rPr>
        <w:t xml:space="preserve">exus to this, the Anglo-Saxons, </w:t>
      </w:r>
      <w:r w:rsidR="00C86106" w:rsidRPr="00043C96">
        <w:rPr>
          <w:rFonts w:ascii="Arial" w:hAnsi="Arial"/>
          <w:szCs w:val="24"/>
        </w:rPr>
        <w:t>historically described as a member of Germanic people belonged from the 5</w:t>
      </w:r>
      <w:r w:rsidR="00C86106" w:rsidRPr="00043C96">
        <w:rPr>
          <w:rFonts w:ascii="Arial" w:hAnsi="Arial"/>
          <w:szCs w:val="24"/>
          <w:vertAlign w:val="superscript"/>
        </w:rPr>
        <w:t>th</w:t>
      </w:r>
      <w:r w:rsidR="00C86106" w:rsidRPr="00043C96">
        <w:rPr>
          <w:rFonts w:ascii="Arial" w:hAnsi="Arial"/>
          <w:szCs w:val="24"/>
        </w:rPr>
        <w:t xml:space="preserve"> century and present during the sphere of the Norman Conquest</w:t>
      </w:r>
      <w:r w:rsidR="00B37A91" w:rsidRPr="00043C96">
        <w:rPr>
          <w:rFonts w:ascii="Arial" w:hAnsi="Arial"/>
          <w:szCs w:val="24"/>
        </w:rPr>
        <w:t xml:space="preserve"> (</w:t>
      </w:r>
      <w:r w:rsidR="00B37A91" w:rsidRPr="00043C96">
        <w:rPr>
          <w:rFonts w:ascii="Arial" w:hAnsi="Arial"/>
          <w:szCs w:val="24"/>
          <w:lang w:val="en-US"/>
        </w:rPr>
        <w:t>Pleaders, 2018</w:t>
      </w:r>
      <w:r w:rsidR="00B37A91" w:rsidRPr="00043C96">
        <w:rPr>
          <w:rFonts w:ascii="Arial" w:hAnsi="Arial"/>
          <w:szCs w:val="24"/>
        </w:rPr>
        <w:t>)</w:t>
      </w:r>
      <w:r w:rsidR="00C86106" w:rsidRPr="00043C96">
        <w:rPr>
          <w:rFonts w:ascii="Arial" w:hAnsi="Arial"/>
          <w:szCs w:val="24"/>
        </w:rPr>
        <w:t xml:space="preserve">. This Anglo-Saxons formed a body of rules for the Germanic peoples in northern Europe where local customs mattered most and the church played a vital role in framing legislative practices. </w:t>
      </w:r>
      <w:r w:rsidR="000A0CF5" w:rsidRPr="00043C96">
        <w:rPr>
          <w:rFonts w:ascii="Arial" w:hAnsi="Arial"/>
          <w:szCs w:val="24"/>
        </w:rPr>
        <w:t>Besides, Norman Conquest has not generated an immediate end to Anglo-Saxon law yet indicating a period that suggested changes happened by mainly Norman conquerors. In nexus to this</w:t>
      </w:r>
      <w:r w:rsidR="00C86106" w:rsidRPr="00043C96">
        <w:rPr>
          <w:rFonts w:ascii="Arial" w:hAnsi="Arial"/>
          <w:szCs w:val="24"/>
        </w:rPr>
        <w:t>, a single royal justice system expanded in the late 1100s and norms are named 'Common laws'.</w:t>
      </w:r>
    </w:p>
    <w:p w:rsidR="008B1E7E" w:rsidRPr="00043C96" w:rsidRDefault="00C52CFD">
      <w:pPr>
        <w:rPr>
          <w:rFonts w:ascii="Arial" w:hAnsi="Arial"/>
          <w:b/>
          <w:i/>
          <w:szCs w:val="24"/>
        </w:rPr>
      </w:pPr>
      <w:r w:rsidRPr="00043C96">
        <w:rPr>
          <w:rFonts w:ascii="Arial" w:hAnsi="Arial"/>
          <w:b/>
          <w:i/>
          <w:szCs w:val="24"/>
        </w:rPr>
        <w:t>Analysing examples of common law working in practices</w:t>
      </w:r>
      <w:r w:rsidR="00101D47" w:rsidRPr="00043C96">
        <w:rPr>
          <w:rFonts w:ascii="Arial" w:hAnsi="Arial"/>
          <w:b/>
          <w:i/>
          <w:szCs w:val="24"/>
        </w:rPr>
        <w:t xml:space="preserve"> </w:t>
      </w:r>
    </w:p>
    <w:p w:rsidR="002413CC" w:rsidRPr="00043C96" w:rsidRDefault="00C52CFD">
      <w:pPr>
        <w:rPr>
          <w:rFonts w:ascii="Arial" w:hAnsi="Arial"/>
          <w:szCs w:val="24"/>
        </w:rPr>
      </w:pPr>
      <w:r w:rsidRPr="00043C96">
        <w:rPr>
          <w:rFonts w:ascii="Arial" w:hAnsi="Arial"/>
          <w:szCs w:val="24"/>
        </w:rPr>
        <w:t xml:space="preserve">The existing legal practices have been designed through the hands of judging past judgments made by the judges and considered the judgment relevant for sentencing </w:t>
      </w:r>
      <w:r w:rsidRPr="00043C96">
        <w:rPr>
          <w:rFonts w:ascii="Arial" w:hAnsi="Arial"/>
          <w:szCs w:val="24"/>
        </w:rPr>
        <w:lastRenderedPageBreak/>
        <w:t xml:space="preserve">recent unusual cases adequately. For instance, it has been evidenced that </w:t>
      </w:r>
      <w:r w:rsidR="00150807" w:rsidRPr="00043C96">
        <w:rPr>
          <w:rFonts w:ascii="Arial" w:hAnsi="Arial"/>
          <w:szCs w:val="24"/>
        </w:rPr>
        <w:t xml:space="preserve">an individual has the right to individual liberty and through this practice, a person who has been </w:t>
      </w:r>
      <w:r w:rsidR="00E84F72" w:rsidRPr="00043C96">
        <w:rPr>
          <w:rFonts w:ascii="Arial" w:hAnsi="Arial"/>
          <w:szCs w:val="24"/>
        </w:rPr>
        <w:t>detained</w:t>
      </w:r>
      <w:r w:rsidR="00150807" w:rsidRPr="00043C96">
        <w:rPr>
          <w:rFonts w:ascii="Arial" w:hAnsi="Arial"/>
          <w:szCs w:val="24"/>
        </w:rPr>
        <w:t xml:space="preserve"> by the state can be launched a legal report to the court for reviewing the detention made by the state (</w:t>
      </w:r>
      <w:r w:rsidR="00703DBB" w:rsidRPr="00043C96">
        <w:rPr>
          <w:rFonts w:ascii="Arial" w:hAnsi="Arial"/>
          <w:szCs w:val="24"/>
          <w:lang w:val="en-US"/>
        </w:rPr>
        <w:t>Rab, 2022</w:t>
      </w:r>
      <w:r w:rsidR="00150807" w:rsidRPr="00043C96">
        <w:rPr>
          <w:rFonts w:ascii="Arial" w:hAnsi="Arial"/>
          <w:szCs w:val="24"/>
        </w:rPr>
        <w:t xml:space="preserve">). This principle has originated by the common law and in the recent sphere this right of liberty is contained in </w:t>
      </w:r>
      <w:r w:rsidR="00150807" w:rsidRPr="00043C96">
        <w:rPr>
          <w:rFonts w:ascii="Arial" w:hAnsi="Arial"/>
          <w:b/>
          <w:i/>
          <w:szCs w:val="24"/>
        </w:rPr>
        <w:t>Article 5 of the European Convention on Human Rights (ECHR)</w:t>
      </w:r>
      <w:r w:rsidR="00150807" w:rsidRPr="00043C96">
        <w:rPr>
          <w:rFonts w:ascii="Arial" w:hAnsi="Arial"/>
          <w:szCs w:val="24"/>
        </w:rPr>
        <w:t>, a new form of UK law pursuant to the Human Rights Act 1998.</w:t>
      </w:r>
      <w:r w:rsidR="00D13D58" w:rsidRPr="00043C96">
        <w:rPr>
          <w:rFonts w:ascii="Arial" w:hAnsi="Arial"/>
          <w:szCs w:val="24"/>
        </w:rPr>
        <w:t xml:space="preserve"> In </w:t>
      </w:r>
      <w:r w:rsidR="00B56F63" w:rsidRPr="00043C96">
        <w:rPr>
          <w:rFonts w:ascii="Arial" w:hAnsi="Arial"/>
          <w:szCs w:val="24"/>
        </w:rPr>
        <w:t>nexus to this, the right</w:t>
      </w:r>
      <w:r w:rsidR="00D13D58" w:rsidRPr="00043C96">
        <w:rPr>
          <w:rFonts w:ascii="Arial" w:hAnsi="Arial"/>
          <w:szCs w:val="24"/>
        </w:rPr>
        <w:t xml:space="preserve"> to a fair hearing has even originated through common law, which is included in </w:t>
      </w:r>
      <w:r w:rsidR="00D13D58" w:rsidRPr="00043C96">
        <w:rPr>
          <w:rFonts w:ascii="Arial" w:hAnsi="Arial"/>
          <w:b/>
          <w:i/>
          <w:szCs w:val="24"/>
        </w:rPr>
        <w:t>Article 6, under ECHR</w:t>
      </w:r>
      <w:r w:rsidR="00D13D58" w:rsidRPr="00043C96">
        <w:rPr>
          <w:rFonts w:ascii="Arial" w:hAnsi="Arial"/>
          <w:szCs w:val="24"/>
        </w:rPr>
        <w:t>.</w:t>
      </w:r>
      <w:r w:rsidR="005146FE" w:rsidRPr="00043C96">
        <w:rPr>
          <w:rFonts w:ascii="Arial" w:hAnsi="Arial"/>
          <w:szCs w:val="24"/>
        </w:rPr>
        <w:t xml:space="preserve"> Additionally, the offence of theft has been judged by using principle of the old common law offence of larceny and recent UK government has governed this old law into the legal practice </w:t>
      </w:r>
      <w:r w:rsidR="005146FE" w:rsidRPr="00043C96">
        <w:rPr>
          <w:rFonts w:ascii="Arial" w:hAnsi="Arial"/>
          <w:b/>
          <w:i/>
          <w:szCs w:val="24"/>
        </w:rPr>
        <w:t>Theft Acts 1968, 1978</w:t>
      </w:r>
      <w:r w:rsidR="008D5105">
        <w:rPr>
          <w:rFonts w:ascii="Arial" w:hAnsi="Arial"/>
          <w:b/>
          <w:i/>
          <w:szCs w:val="24"/>
        </w:rPr>
        <w:t xml:space="preserve">. </w:t>
      </w:r>
      <w:r w:rsidR="008D5105">
        <w:rPr>
          <w:rFonts w:ascii="Arial" w:hAnsi="Arial"/>
          <w:szCs w:val="24"/>
        </w:rPr>
        <w:t>O</w:t>
      </w:r>
      <w:r w:rsidR="005146FE" w:rsidRPr="00043C96">
        <w:rPr>
          <w:rFonts w:ascii="Arial" w:hAnsi="Arial"/>
          <w:szCs w:val="24"/>
        </w:rPr>
        <w:t xml:space="preserve">riginal penalties for murders have replaced by </w:t>
      </w:r>
      <w:r w:rsidR="005146FE" w:rsidRPr="00043C96">
        <w:rPr>
          <w:rFonts w:ascii="Arial" w:hAnsi="Arial"/>
          <w:i/>
          <w:szCs w:val="24"/>
        </w:rPr>
        <w:t>statutes Homicide Act 1957</w:t>
      </w:r>
      <w:r w:rsidR="005146FE" w:rsidRPr="00043C96">
        <w:rPr>
          <w:rFonts w:ascii="Arial" w:hAnsi="Arial"/>
          <w:szCs w:val="24"/>
        </w:rPr>
        <w:t>, which has evidenced the use and revisit the common laws by judges in the jurisdiction of England</w:t>
      </w:r>
      <w:r w:rsidR="005B06E2" w:rsidRPr="00043C96">
        <w:rPr>
          <w:rFonts w:ascii="Arial" w:hAnsi="Arial"/>
          <w:szCs w:val="24"/>
        </w:rPr>
        <w:t xml:space="preserve"> (</w:t>
      </w:r>
      <w:r w:rsidR="00D550A8" w:rsidRPr="00043C96">
        <w:rPr>
          <w:rFonts w:ascii="Arial" w:hAnsi="Arial"/>
          <w:szCs w:val="24"/>
          <w:lang w:val="en-US"/>
        </w:rPr>
        <w:t>Incorporated Council of Law Reporting, 2018</w:t>
      </w:r>
      <w:r w:rsidR="005B06E2" w:rsidRPr="00043C96">
        <w:rPr>
          <w:rFonts w:ascii="Arial" w:hAnsi="Arial"/>
          <w:szCs w:val="24"/>
        </w:rPr>
        <w:t>)</w:t>
      </w:r>
      <w:r w:rsidR="005146FE" w:rsidRPr="00043C96">
        <w:rPr>
          <w:rFonts w:ascii="Arial" w:hAnsi="Arial"/>
          <w:szCs w:val="24"/>
        </w:rPr>
        <w:t xml:space="preserve">. </w:t>
      </w:r>
      <w:r w:rsidR="00D13D58" w:rsidRPr="00043C96">
        <w:rPr>
          <w:rFonts w:ascii="Arial" w:hAnsi="Arial"/>
          <w:szCs w:val="24"/>
        </w:rPr>
        <w:t xml:space="preserve"> </w:t>
      </w:r>
    </w:p>
    <w:p w:rsidR="002E5FCE" w:rsidRPr="00043C96" w:rsidRDefault="00C52CFD">
      <w:pPr>
        <w:rPr>
          <w:rFonts w:ascii="Arial" w:hAnsi="Arial"/>
          <w:szCs w:val="24"/>
        </w:rPr>
      </w:pPr>
      <w:r w:rsidRPr="00043C96">
        <w:rPr>
          <w:rFonts w:ascii="Arial" w:hAnsi="Arial"/>
          <w:szCs w:val="24"/>
        </w:rPr>
        <w:t xml:space="preserve">The use of common law has instigated parliament's ability for evaluating the actions generated in the English legal system and restricting the invalid ones for maintaining authenticity in the jurisdiction. As </w:t>
      </w:r>
      <w:r w:rsidR="001779FE" w:rsidRPr="00043C96">
        <w:rPr>
          <w:rFonts w:ascii="Arial" w:hAnsi="Arial"/>
          <w:szCs w:val="24"/>
        </w:rPr>
        <w:t>opined by Ashworth (2019</w:t>
      </w:r>
      <w:r w:rsidRPr="00043C96">
        <w:rPr>
          <w:rFonts w:ascii="Arial" w:hAnsi="Arial"/>
          <w:szCs w:val="24"/>
        </w:rPr>
        <w:t>), victims' rights and defendants rights in the criminal procedure have been evaluated before formulating any judgment by judges. Additionally,</w:t>
      </w:r>
      <w:r w:rsidR="00ED0EE4" w:rsidRPr="00043C96">
        <w:rPr>
          <w:rFonts w:ascii="Arial" w:hAnsi="Arial"/>
          <w:szCs w:val="24"/>
        </w:rPr>
        <w:t xml:space="preserve"> it has been assessed that common law has instigated the parliament's practice of scrutinising the actions, which has been followed by the enactment of the </w:t>
      </w:r>
      <w:r w:rsidR="00ED0EE4" w:rsidRPr="00043C96">
        <w:rPr>
          <w:rFonts w:ascii="Arial" w:hAnsi="Arial"/>
          <w:b/>
          <w:i/>
          <w:szCs w:val="24"/>
        </w:rPr>
        <w:t>Constitutional Reform and Governance Act 2010</w:t>
      </w:r>
      <w:r w:rsidR="00ED0EE4" w:rsidRPr="00043C96">
        <w:rPr>
          <w:rFonts w:ascii="Arial" w:hAnsi="Arial"/>
          <w:szCs w:val="24"/>
        </w:rPr>
        <w:t>, another evidence of practising common laws</w:t>
      </w:r>
      <w:r w:rsidR="00337ACC" w:rsidRPr="00043C96">
        <w:rPr>
          <w:rFonts w:ascii="Arial" w:hAnsi="Arial"/>
          <w:szCs w:val="24"/>
        </w:rPr>
        <w:t xml:space="preserve"> in the English legal system</w:t>
      </w:r>
      <w:r w:rsidR="00ED0EE4" w:rsidRPr="00043C96">
        <w:rPr>
          <w:rFonts w:ascii="Arial" w:hAnsi="Arial"/>
          <w:szCs w:val="24"/>
        </w:rPr>
        <w:t>.</w:t>
      </w:r>
      <w:r w:rsidRPr="00043C96">
        <w:rPr>
          <w:rFonts w:ascii="Arial" w:hAnsi="Arial"/>
          <w:szCs w:val="24"/>
        </w:rPr>
        <w:t xml:space="preserve">  </w:t>
      </w:r>
    </w:p>
    <w:p w:rsidR="008B1E7E" w:rsidRPr="00043C96" w:rsidRDefault="00C52CFD" w:rsidP="008B1E7E">
      <w:pPr>
        <w:pStyle w:val="Heading1"/>
        <w:rPr>
          <w:rFonts w:ascii="Arial" w:hAnsi="Arial" w:cs="Arial"/>
          <w:szCs w:val="24"/>
        </w:rPr>
      </w:pPr>
      <w:bookmarkStart w:id="2" w:name="_Toc128671510"/>
      <w:r w:rsidRPr="00043C96">
        <w:rPr>
          <w:rFonts w:ascii="Arial" w:hAnsi="Arial" w:cs="Arial"/>
          <w:szCs w:val="24"/>
        </w:rPr>
        <w:t>Conclusion</w:t>
      </w:r>
      <w:bookmarkEnd w:id="2"/>
      <w:r w:rsidRPr="00043C96">
        <w:rPr>
          <w:rFonts w:ascii="Arial" w:hAnsi="Arial" w:cs="Arial"/>
          <w:szCs w:val="24"/>
        </w:rPr>
        <w:t xml:space="preserve"> </w:t>
      </w:r>
    </w:p>
    <w:p w:rsidR="005A2BAB" w:rsidRPr="00043C96" w:rsidRDefault="00C52CFD" w:rsidP="005A2BAB">
      <w:pPr>
        <w:rPr>
          <w:rFonts w:ascii="Arial" w:hAnsi="Arial"/>
          <w:szCs w:val="24"/>
        </w:rPr>
      </w:pPr>
      <w:r w:rsidRPr="00043C96">
        <w:rPr>
          <w:rFonts w:ascii="Arial" w:hAnsi="Arial"/>
          <w:szCs w:val="24"/>
        </w:rPr>
        <w:t>A conclusion can be drawn by assessing that common law is a traditional legal format practised by judges in unusual cases that happens in the recent sphere. On the contrary, civil laws are experienced as the codified format of practices, which contained legal rules, and regulations associated to corporate firms, land, family matters and many more. Moreover,</w:t>
      </w:r>
      <w:r w:rsidR="00266B64" w:rsidRPr="00043C96">
        <w:rPr>
          <w:rFonts w:ascii="Arial" w:hAnsi="Arial"/>
          <w:szCs w:val="24"/>
        </w:rPr>
        <w:t xml:space="preserve"> Succession to tenancies has been used in recent sphere for the tenants' rights yet it has been evidenced that this law can be forbidden while tenants have hampered the properties or </w:t>
      </w:r>
      <w:r w:rsidR="00133607" w:rsidRPr="00043C96">
        <w:rPr>
          <w:rFonts w:ascii="Arial" w:hAnsi="Arial"/>
          <w:szCs w:val="24"/>
        </w:rPr>
        <w:t>are responsible for deteriorating the property consciously</w:t>
      </w:r>
      <w:r w:rsidR="0083011A" w:rsidRPr="00043C96">
        <w:rPr>
          <w:rFonts w:ascii="Arial" w:hAnsi="Arial"/>
          <w:szCs w:val="24"/>
        </w:rPr>
        <w:t xml:space="preserve">, supposed to </w:t>
      </w:r>
      <w:r w:rsidR="0083011A" w:rsidRPr="00043C96">
        <w:rPr>
          <w:rFonts w:ascii="Arial" w:hAnsi="Arial"/>
          <w:szCs w:val="24"/>
        </w:rPr>
        <w:lastRenderedPageBreak/>
        <w:t>be a common law</w:t>
      </w:r>
      <w:r w:rsidR="00133607" w:rsidRPr="00043C96">
        <w:rPr>
          <w:rFonts w:ascii="Arial" w:hAnsi="Arial"/>
          <w:szCs w:val="24"/>
        </w:rPr>
        <w:t>.</w:t>
      </w:r>
      <w:r w:rsidR="0083011A" w:rsidRPr="00043C96">
        <w:rPr>
          <w:rFonts w:ascii="Arial" w:hAnsi="Arial"/>
          <w:szCs w:val="24"/>
        </w:rPr>
        <w:t xml:space="preserve"> In nexus to this, history of common law has been discussed in this assessment. </w:t>
      </w:r>
      <w:r w:rsidR="00133607" w:rsidRPr="00043C96">
        <w:rPr>
          <w:rFonts w:ascii="Arial" w:hAnsi="Arial"/>
          <w:szCs w:val="24"/>
        </w:rPr>
        <w:t xml:space="preserve">  </w:t>
      </w:r>
      <w:r w:rsidRPr="00043C96">
        <w:rPr>
          <w:rFonts w:ascii="Arial" w:hAnsi="Arial"/>
          <w:szCs w:val="24"/>
        </w:rPr>
        <w:t xml:space="preserve">  </w:t>
      </w:r>
    </w:p>
    <w:p w:rsidR="00BD6E6F" w:rsidRPr="00043C96" w:rsidRDefault="00C52CFD">
      <w:pPr>
        <w:spacing w:after="200" w:line="276" w:lineRule="auto"/>
        <w:jc w:val="left"/>
        <w:rPr>
          <w:rFonts w:ascii="Arial" w:eastAsiaTheme="majorEastAsia" w:hAnsi="Arial"/>
          <w:b/>
          <w:bCs/>
          <w:szCs w:val="24"/>
        </w:rPr>
      </w:pPr>
      <w:r w:rsidRPr="00043C96">
        <w:rPr>
          <w:rFonts w:ascii="Arial" w:hAnsi="Arial"/>
          <w:szCs w:val="24"/>
        </w:rPr>
        <w:br w:type="page"/>
      </w:r>
    </w:p>
    <w:p w:rsidR="00CC276A" w:rsidRPr="00B708B0" w:rsidRDefault="00C52CFD" w:rsidP="00B708B0">
      <w:pPr>
        <w:pStyle w:val="Heading1"/>
        <w:rPr>
          <w:rFonts w:ascii="Arial" w:hAnsi="Arial" w:cs="Arial"/>
          <w:szCs w:val="24"/>
        </w:rPr>
      </w:pPr>
      <w:bookmarkStart w:id="3" w:name="_Toc128671511"/>
      <w:r w:rsidRPr="00043C96">
        <w:rPr>
          <w:rFonts w:ascii="Arial" w:hAnsi="Arial" w:cs="Arial"/>
          <w:szCs w:val="24"/>
        </w:rPr>
        <w:lastRenderedPageBreak/>
        <w:t>References</w:t>
      </w:r>
      <w:bookmarkEnd w:id="3"/>
      <w:r w:rsidRPr="00043C96">
        <w:rPr>
          <w:rFonts w:ascii="Arial" w:hAnsi="Arial" w:cs="Arial"/>
          <w:szCs w:val="24"/>
        </w:rPr>
        <w:t xml:space="preserve"> </w:t>
      </w:r>
    </w:p>
    <w:p w:rsidR="008D5105" w:rsidRPr="00043C96" w:rsidRDefault="008D5105" w:rsidP="00703DBB">
      <w:pPr>
        <w:spacing w:after="240"/>
        <w:rPr>
          <w:rFonts w:ascii="Arial" w:hAnsi="Arial"/>
          <w:szCs w:val="24"/>
          <w:lang w:val="en-US"/>
        </w:rPr>
      </w:pPr>
      <w:r w:rsidRPr="00043C96">
        <w:rPr>
          <w:rFonts w:ascii="Arial" w:hAnsi="Arial"/>
          <w:szCs w:val="24"/>
        </w:rPr>
        <w:t>Ashworth, A., (2019). Victims’ rights, defendants’ rights and criminal procedure. In </w:t>
      </w:r>
      <w:r w:rsidRPr="00043C96">
        <w:rPr>
          <w:rFonts w:ascii="Arial" w:hAnsi="Arial"/>
          <w:i/>
          <w:iCs/>
          <w:szCs w:val="24"/>
        </w:rPr>
        <w:t>Integrating a victim perspective within criminal justice</w:t>
      </w:r>
      <w:r w:rsidRPr="00043C96">
        <w:rPr>
          <w:rFonts w:ascii="Arial" w:hAnsi="Arial"/>
          <w:szCs w:val="24"/>
        </w:rPr>
        <w:t> (pp. 185-204). Routledge.</w:t>
      </w:r>
    </w:p>
    <w:p w:rsidR="008D5105" w:rsidRPr="00043C96" w:rsidRDefault="008D5105" w:rsidP="00D04064">
      <w:pPr>
        <w:spacing w:after="240"/>
        <w:rPr>
          <w:rFonts w:ascii="Arial" w:hAnsi="Arial"/>
          <w:szCs w:val="24"/>
          <w:lang w:val="en-US"/>
        </w:rPr>
      </w:pPr>
      <w:r w:rsidRPr="00043C96">
        <w:rPr>
          <w:rFonts w:ascii="Arial" w:hAnsi="Arial"/>
          <w:szCs w:val="24"/>
          <w:lang w:val="en-US"/>
        </w:rPr>
        <w:t xml:space="preserve">Chen, J. (2023) </w:t>
      </w:r>
      <w:r w:rsidRPr="00043C96">
        <w:rPr>
          <w:rFonts w:ascii="Arial" w:hAnsi="Arial"/>
          <w:i/>
          <w:iCs/>
          <w:szCs w:val="24"/>
          <w:lang w:val="en-US"/>
        </w:rPr>
        <w:t>Common law: What it is, how it's used, and how it differs from civil law</w:t>
      </w:r>
      <w:r w:rsidRPr="00043C96">
        <w:rPr>
          <w:rFonts w:ascii="Arial" w:hAnsi="Arial"/>
          <w:szCs w:val="24"/>
          <w:lang w:val="en-US"/>
        </w:rPr>
        <w:t xml:space="preserve">, </w:t>
      </w:r>
      <w:r w:rsidRPr="00043C96">
        <w:rPr>
          <w:rFonts w:ascii="Arial" w:hAnsi="Arial"/>
          <w:i/>
          <w:iCs/>
          <w:szCs w:val="24"/>
          <w:lang w:val="en-US"/>
        </w:rPr>
        <w:t>Investopedia</w:t>
      </w:r>
      <w:r w:rsidRPr="00043C96">
        <w:rPr>
          <w:rFonts w:ascii="Arial" w:hAnsi="Arial"/>
          <w:szCs w:val="24"/>
          <w:lang w:val="en-US"/>
        </w:rPr>
        <w:t xml:space="preserve">. Investopedia. Available at: https://www.investopedia.com/terms/c/common-law.asp (Accessed: March 2, 2023). </w:t>
      </w:r>
    </w:p>
    <w:p w:rsidR="008D5105" w:rsidRPr="00043C96" w:rsidRDefault="008D5105" w:rsidP="00D04064">
      <w:pPr>
        <w:spacing w:after="240"/>
        <w:rPr>
          <w:rFonts w:ascii="Arial" w:hAnsi="Arial"/>
          <w:szCs w:val="24"/>
        </w:rPr>
      </w:pPr>
      <w:r w:rsidRPr="00043C96">
        <w:rPr>
          <w:rFonts w:ascii="Arial" w:hAnsi="Arial"/>
          <w:szCs w:val="24"/>
        </w:rPr>
        <w:t>Chouaibi, S., Chouaibi, J. and Rossi, M., (2022). ESG and corporate financial performance: The mediating role of green innovation: UK common law versus Germany civil law. </w:t>
      </w:r>
      <w:r w:rsidRPr="00043C96">
        <w:rPr>
          <w:rFonts w:ascii="Arial" w:hAnsi="Arial"/>
          <w:i/>
          <w:iCs/>
          <w:szCs w:val="24"/>
        </w:rPr>
        <w:t>EuroMed Journal of Business</w:t>
      </w:r>
      <w:r w:rsidRPr="00043C96">
        <w:rPr>
          <w:rFonts w:ascii="Arial" w:hAnsi="Arial"/>
          <w:szCs w:val="24"/>
        </w:rPr>
        <w:t>, </w:t>
      </w:r>
      <w:r w:rsidRPr="00043C96">
        <w:rPr>
          <w:rFonts w:ascii="Arial" w:hAnsi="Arial"/>
          <w:i/>
          <w:iCs/>
          <w:szCs w:val="24"/>
        </w:rPr>
        <w:t>17</w:t>
      </w:r>
      <w:r w:rsidRPr="00043C96">
        <w:rPr>
          <w:rFonts w:ascii="Arial" w:hAnsi="Arial"/>
          <w:szCs w:val="24"/>
        </w:rPr>
        <w:t>(1), pp.46-71.</w:t>
      </w:r>
    </w:p>
    <w:p w:rsidR="008D5105" w:rsidRPr="00043C96" w:rsidRDefault="008D5105" w:rsidP="00A368BE">
      <w:pPr>
        <w:spacing w:after="240"/>
        <w:rPr>
          <w:rFonts w:ascii="Arial" w:hAnsi="Arial"/>
          <w:szCs w:val="24"/>
          <w:lang w:val="en-US"/>
        </w:rPr>
      </w:pPr>
      <w:r w:rsidRPr="00043C96">
        <w:rPr>
          <w:rFonts w:ascii="Arial" w:hAnsi="Arial"/>
          <w:szCs w:val="24"/>
          <w:lang w:val="en-US"/>
        </w:rPr>
        <w:t xml:space="preserve">Ferguson, K. (2017) </w:t>
      </w:r>
      <w:r w:rsidRPr="00043C96">
        <w:rPr>
          <w:rFonts w:ascii="Arial" w:hAnsi="Arial"/>
          <w:i/>
          <w:iCs/>
          <w:szCs w:val="24"/>
          <w:lang w:val="en-US"/>
        </w:rPr>
        <w:t>Common law vs. civil law: A rough guide for your business - contracts and commercial law - UK</w:t>
      </w:r>
      <w:r w:rsidRPr="00043C96">
        <w:rPr>
          <w:rFonts w:ascii="Arial" w:hAnsi="Arial"/>
          <w:szCs w:val="24"/>
          <w:lang w:val="en-US"/>
        </w:rPr>
        <w:t xml:space="preserve">, </w:t>
      </w:r>
      <w:r w:rsidRPr="00043C96">
        <w:rPr>
          <w:rFonts w:ascii="Arial" w:hAnsi="Arial"/>
          <w:i/>
          <w:iCs/>
          <w:szCs w:val="24"/>
          <w:lang w:val="en-US"/>
        </w:rPr>
        <w:t>Common Law vs. Civil Law: A Rough Guide For Your Business - Contracts and Commercial Law - UK</w:t>
      </w:r>
      <w:r w:rsidRPr="00043C96">
        <w:rPr>
          <w:rFonts w:ascii="Arial" w:hAnsi="Arial"/>
          <w:szCs w:val="24"/>
          <w:lang w:val="en-US"/>
        </w:rPr>
        <w:t xml:space="preserve">. Vistra. Available at: https://www.mondaq.com/uk/contracts-and-commercial-law/598694/common-law-vs-civil-law-a-rough-guide-for-your-business (Accessed: March 2, 2023). </w:t>
      </w:r>
    </w:p>
    <w:p w:rsidR="008D5105" w:rsidRPr="00043C96" w:rsidRDefault="008D5105" w:rsidP="00C6792C">
      <w:pPr>
        <w:spacing w:after="240"/>
        <w:rPr>
          <w:rFonts w:ascii="Arial" w:hAnsi="Arial"/>
          <w:szCs w:val="24"/>
          <w:lang w:val="en-US"/>
        </w:rPr>
      </w:pPr>
      <w:r w:rsidRPr="00043C96">
        <w:rPr>
          <w:rFonts w:ascii="Arial" w:hAnsi="Arial"/>
          <w:szCs w:val="24"/>
          <w:lang w:val="en-US"/>
        </w:rPr>
        <w:t xml:space="preserve">Glendon, M.A. </w:t>
      </w:r>
      <w:r w:rsidRPr="00043C96">
        <w:rPr>
          <w:rFonts w:ascii="Arial" w:hAnsi="Arial"/>
          <w:i/>
          <w:iCs/>
          <w:szCs w:val="24"/>
          <w:lang w:val="en-US"/>
        </w:rPr>
        <w:t>et al.</w:t>
      </w:r>
      <w:r w:rsidRPr="00043C96">
        <w:rPr>
          <w:rFonts w:ascii="Arial" w:hAnsi="Arial"/>
          <w:szCs w:val="24"/>
          <w:lang w:val="en-US"/>
        </w:rPr>
        <w:t xml:space="preserve"> (2023) </w:t>
      </w:r>
      <w:r w:rsidRPr="00043C96">
        <w:rPr>
          <w:rFonts w:ascii="Arial" w:hAnsi="Arial"/>
          <w:i/>
          <w:iCs/>
          <w:szCs w:val="24"/>
          <w:lang w:val="en-US"/>
        </w:rPr>
        <w:t>Common law</w:t>
      </w:r>
      <w:r w:rsidRPr="00043C96">
        <w:rPr>
          <w:rFonts w:ascii="Arial" w:hAnsi="Arial"/>
          <w:szCs w:val="24"/>
          <w:lang w:val="en-US"/>
        </w:rPr>
        <w:t xml:space="preserve">, </w:t>
      </w:r>
      <w:r w:rsidRPr="00043C96">
        <w:rPr>
          <w:rFonts w:ascii="Arial" w:hAnsi="Arial"/>
          <w:i/>
          <w:iCs/>
          <w:szCs w:val="24"/>
          <w:lang w:val="en-US"/>
        </w:rPr>
        <w:t>Encyclopædia Britannica</w:t>
      </w:r>
      <w:r w:rsidRPr="00043C96">
        <w:rPr>
          <w:rFonts w:ascii="Arial" w:hAnsi="Arial"/>
          <w:szCs w:val="24"/>
          <w:lang w:val="en-US"/>
        </w:rPr>
        <w:t xml:space="preserve">. Encyclopædia Britannica, inc. Available at: https://www.britannica.com/topic/common-law (Accessed: March 2, 2023). </w:t>
      </w:r>
    </w:p>
    <w:p w:rsidR="008D5105" w:rsidRPr="00043C96" w:rsidRDefault="008D5105" w:rsidP="00D04064">
      <w:pPr>
        <w:spacing w:after="240"/>
        <w:rPr>
          <w:rFonts w:ascii="Arial" w:hAnsi="Arial"/>
          <w:szCs w:val="24"/>
          <w:lang w:val="en-US"/>
        </w:rPr>
      </w:pPr>
      <w:r w:rsidRPr="00043C96">
        <w:rPr>
          <w:rFonts w:ascii="Arial" w:hAnsi="Arial"/>
          <w:szCs w:val="24"/>
          <w:lang w:val="en-US"/>
        </w:rPr>
        <w:t xml:space="preserve">Incorporated Council of Law Reporting (2018) </w:t>
      </w:r>
      <w:r w:rsidRPr="00043C96">
        <w:rPr>
          <w:rFonts w:ascii="Arial" w:hAnsi="Arial"/>
          <w:i/>
          <w:iCs/>
          <w:szCs w:val="24"/>
          <w:lang w:val="en-US"/>
        </w:rPr>
        <w:t>The English legal system</w:t>
      </w:r>
      <w:r w:rsidRPr="00043C96">
        <w:rPr>
          <w:rFonts w:ascii="Arial" w:hAnsi="Arial"/>
          <w:szCs w:val="24"/>
          <w:lang w:val="en-US"/>
        </w:rPr>
        <w:t xml:space="preserve">, </w:t>
      </w:r>
      <w:r w:rsidRPr="00043C96">
        <w:rPr>
          <w:rFonts w:ascii="Arial" w:hAnsi="Arial"/>
          <w:i/>
          <w:iCs/>
          <w:szCs w:val="24"/>
          <w:lang w:val="en-US"/>
        </w:rPr>
        <w:t>ICLR</w:t>
      </w:r>
      <w:r w:rsidRPr="00043C96">
        <w:rPr>
          <w:rFonts w:ascii="Arial" w:hAnsi="Arial"/>
          <w:szCs w:val="24"/>
          <w:lang w:val="en-US"/>
        </w:rPr>
        <w:t xml:space="preserve">. Available at: https://www.iclr.co.uk/knowledge/topics/the-english-legal-system/ (Accessed: March 2, 2023). </w:t>
      </w:r>
    </w:p>
    <w:p w:rsidR="008D5105" w:rsidRPr="00043C96" w:rsidRDefault="008D5105" w:rsidP="00B37A91">
      <w:pPr>
        <w:spacing w:after="240"/>
        <w:rPr>
          <w:rFonts w:ascii="Arial" w:hAnsi="Arial"/>
          <w:szCs w:val="24"/>
          <w:lang w:val="en-US"/>
        </w:rPr>
      </w:pPr>
      <w:r w:rsidRPr="00043C96">
        <w:rPr>
          <w:rFonts w:ascii="Arial" w:hAnsi="Arial"/>
          <w:szCs w:val="24"/>
          <w:lang w:val="en-US"/>
        </w:rPr>
        <w:t xml:space="preserve">Pleaders (2018) </w:t>
      </w:r>
      <w:r w:rsidRPr="00043C96">
        <w:rPr>
          <w:rFonts w:ascii="Arial" w:hAnsi="Arial"/>
          <w:i/>
          <w:iCs/>
          <w:szCs w:val="24"/>
          <w:lang w:val="en-US"/>
        </w:rPr>
        <w:t>Development of common law in England - 1066 to 19th century</w:t>
      </w:r>
      <w:r w:rsidRPr="00043C96">
        <w:rPr>
          <w:rFonts w:ascii="Arial" w:hAnsi="Arial"/>
          <w:szCs w:val="24"/>
          <w:lang w:val="en-US"/>
        </w:rPr>
        <w:t xml:space="preserve">, </w:t>
      </w:r>
      <w:r w:rsidRPr="00043C96">
        <w:rPr>
          <w:rFonts w:ascii="Arial" w:hAnsi="Arial"/>
          <w:i/>
          <w:iCs/>
          <w:szCs w:val="24"/>
          <w:lang w:val="en-US"/>
        </w:rPr>
        <w:t>iPleaders</w:t>
      </w:r>
      <w:r w:rsidRPr="00043C96">
        <w:rPr>
          <w:rFonts w:ascii="Arial" w:hAnsi="Arial"/>
          <w:szCs w:val="24"/>
          <w:lang w:val="en-US"/>
        </w:rPr>
        <w:t xml:space="preserve">. Available at: https://blog.ipleaders.in/development-of-common-law-in-england/ (Accessed: March 2, 2023). </w:t>
      </w:r>
    </w:p>
    <w:p w:rsidR="008D5105" w:rsidRPr="00043C96" w:rsidRDefault="008D5105" w:rsidP="00703DBB">
      <w:pPr>
        <w:spacing w:after="240"/>
        <w:rPr>
          <w:rFonts w:ascii="Arial" w:hAnsi="Arial"/>
          <w:szCs w:val="24"/>
          <w:lang w:val="en-US"/>
        </w:rPr>
      </w:pPr>
      <w:r w:rsidRPr="00043C96">
        <w:rPr>
          <w:rFonts w:ascii="Arial" w:hAnsi="Arial"/>
          <w:szCs w:val="24"/>
          <w:lang w:val="en-US"/>
        </w:rPr>
        <w:t xml:space="preserve">Rab, S. (2022) </w:t>
      </w:r>
      <w:r w:rsidRPr="00043C96">
        <w:rPr>
          <w:rFonts w:ascii="Arial" w:hAnsi="Arial"/>
          <w:i/>
          <w:iCs/>
          <w:szCs w:val="24"/>
          <w:lang w:val="en-US"/>
        </w:rPr>
        <w:t>Legal systems in the UK (England and Wales): Overview</w:t>
      </w:r>
      <w:r w:rsidRPr="00043C96">
        <w:rPr>
          <w:rFonts w:ascii="Arial" w:hAnsi="Arial"/>
          <w:szCs w:val="24"/>
          <w:lang w:val="en-US"/>
        </w:rPr>
        <w:t xml:space="preserve">. Available at: https://uk.practicallaw.thomsonreuters.com/5-636-2498?contextData=(sc.Default) (Accessed: March 2, 2023). </w:t>
      </w:r>
    </w:p>
    <w:p w:rsidR="008D5105" w:rsidRPr="00043C96" w:rsidRDefault="008D5105" w:rsidP="00BD7719">
      <w:pPr>
        <w:spacing w:after="240"/>
        <w:rPr>
          <w:rFonts w:ascii="Arial" w:hAnsi="Arial"/>
          <w:szCs w:val="24"/>
        </w:rPr>
      </w:pPr>
      <w:r w:rsidRPr="00043C96">
        <w:rPr>
          <w:rFonts w:ascii="Arial" w:hAnsi="Arial"/>
          <w:szCs w:val="24"/>
        </w:rPr>
        <w:lastRenderedPageBreak/>
        <w:t>Tamir, Y., (2019). Not so civic: Is there a difference between ethnic and civic nationalism?. </w:t>
      </w:r>
      <w:r w:rsidRPr="00043C96">
        <w:rPr>
          <w:rFonts w:ascii="Arial" w:hAnsi="Arial"/>
          <w:i/>
          <w:iCs/>
          <w:szCs w:val="24"/>
        </w:rPr>
        <w:t>Annual Review of Political Science</w:t>
      </w:r>
      <w:r w:rsidRPr="00043C96">
        <w:rPr>
          <w:rFonts w:ascii="Arial" w:hAnsi="Arial"/>
          <w:szCs w:val="24"/>
        </w:rPr>
        <w:t>, </w:t>
      </w:r>
      <w:r w:rsidRPr="00043C96">
        <w:rPr>
          <w:rFonts w:ascii="Arial" w:hAnsi="Arial"/>
          <w:i/>
          <w:iCs/>
          <w:szCs w:val="24"/>
        </w:rPr>
        <w:t>22</w:t>
      </w:r>
      <w:r w:rsidRPr="00043C96">
        <w:rPr>
          <w:rFonts w:ascii="Arial" w:hAnsi="Arial"/>
          <w:szCs w:val="24"/>
        </w:rPr>
        <w:t>, pp.419-434.</w:t>
      </w:r>
    </w:p>
    <w:p w:rsidR="008D5105" w:rsidRPr="00043C96" w:rsidRDefault="008D5105" w:rsidP="007B7128">
      <w:pPr>
        <w:spacing w:after="240"/>
        <w:rPr>
          <w:rFonts w:ascii="Arial" w:hAnsi="Arial"/>
          <w:szCs w:val="24"/>
          <w:lang w:val="en-US"/>
        </w:rPr>
      </w:pPr>
      <w:r w:rsidRPr="00043C96">
        <w:rPr>
          <w:rFonts w:ascii="Arial" w:hAnsi="Arial"/>
          <w:szCs w:val="24"/>
          <w:lang w:val="en-US"/>
        </w:rPr>
        <w:t xml:space="preserve">The World Bank (2022) </w:t>
      </w:r>
      <w:r w:rsidRPr="00043C96">
        <w:rPr>
          <w:rFonts w:ascii="Arial" w:hAnsi="Arial"/>
          <w:i/>
          <w:iCs/>
          <w:szCs w:val="24"/>
          <w:lang w:val="en-US"/>
        </w:rPr>
        <w:t>Key features of common law or Civil Law Systems</w:t>
      </w:r>
      <w:r w:rsidRPr="00043C96">
        <w:rPr>
          <w:rFonts w:ascii="Arial" w:hAnsi="Arial"/>
          <w:szCs w:val="24"/>
          <w:lang w:val="en-US"/>
        </w:rPr>
        <w:t xml:space="preserve">, </w:t>
      </w:r>
      <w:r w:rsidRPr="00043C96">
        <w:rPr>
          <w:rFonts w:ascii="Arial" w:hAnsi="Arial"/>
          <w:i/>
          <w:iCs/>
          <w:szCs w:val="24"/>
          <w:lang w:val="en-US"/>
        </w:rPr>
        <w:t>PUBLIC-PRIVATE-PARTNERSHIP LEGAL RESOURCE CENTER</w:t>
      </w:r>
      <w:r w:rsidRPr="00043C96">
        <w:rPr>
          <w:rFonts w:ascii="Arial" w:hAnsi="Arial"/>
          <w:szCs w:val="24"/>
          <w:lang w:val="en-US"/>
        </w:rPr>
        <w:t xml:space="preserve">. Available at: https://ppp.worldbank.org/public-private-partnership/legislation-regulation/framework-assessment/legal-systems/common-vs-civil-law (Accessed: March 2, 2023). </w:t>
      </w:r>
    </w:p>
    <w:p w:rsidR="008D5105" w:rsidRPr="00043C96" w:rsidRDefault="008D5105" w:rsidP="00BD7719">
      <w:pPr>
        <w:spacing w:after="240"/>
        <w:rPr>
          <w:rFonts w:ascii="Arial" w:hAnsi="Arial"/>
          <w:szCs w:val="24"/>
          <w:lang w:val="en-US"/>
        </w:rPr>
      </w:pPr>
      <w:r w:rsidRPr="00043C96">
        <w:rPr>
          <w:rFonts w:ascii="Arial" w:hAnsi="Arial"/>
          <w:szCs w:val="24"/>
          <w:lang w:val="en-US"/>
        </w:rPr>
        <w:t xml:space="preserve">Trust, P. (2021) </w:t>
      </w:r>
      <w:r w:rsidRPr="00043C96">
        <w:rPr>
          <w:rFonts w:ascii="Arial" w:hAnsi="Arial"/>
          <w:i/>
          <w:iCs/>
          <w:szCs w:val="24"/>
          <w:lang w:val="en-US"/>
        </w:rPr>
        <w:t>Common law and civil law: The key differences</w:t>
      </w:r>
      <w:r w:rsidRPr="00043C96">
        <w:rPr>
          <w:rFonts w:ascii="Arial" w:hAnsi="Arial"/>
          <w:szCs w:val="24"/>
          <w:lang w:val="en-US"/>
        </w:rPr>
        <w:t xml:space="preserve">, </w:t>
      </w:r>
      <w:r w:rsidRPr="00043C96">
        <w:rPr>
          <w:rFonts w:ascii="Arial" w:hAnsi="Arial"/>
          <w:i/>
          <w:iCs/>
          <w:szCs w:val="24"/>
          <w:lang w:val="en-US"/>
        </w:rPr>
        <w:t>Corporate &amp; Trust Structure Provider</w:t>
      </w:r>
      <w:r w:rsidRPr="00043C96">
        <w:rPr>
          <w:rFonts w:ascii="Arial" w:hAnsi="Arial"/>
          <w:szCs w:val="24"/>
          <w:lang w:val="en-US"/>
        </w:rPr>
        <w:t xml:space="preserve">. Available at: https://www.pearse-trust.ie/blog/common-law-civil-law-differences (Accessed: March 2, 2023). </w:t>
      </w:r>
    </w:p>
    <w:p w:rsidR="00C6792C" w:rsidRPr="00043C96" w:rsidRDefault="00C6792C" w:rsidP="00A368BE">
      <w:pPr>
        <w:spacing w:after="240"/>
        <w:rPr>
          <w:rFonts w:ascii="Arial" w:hAnsi="Arial"/>
          <w:szCs w:val="24"/>
          <w:lang w:val="en-US"/>
        </w:rPr>
      </w:pPr>
    </w:p>
    <w:p w:rsidR="00A368BE" w:rsidRPr="00043C96" w:rsidRDefault="00A368BE" w:rsidP="00BD7719">
      <w:pPr>
        <w:spacing w:after="240"/>
        <w:rPr>
          <w:rFonts w:ascii="Arial" w:hAnsi="Arial"/>
          <w:szCs w:val="24"/>
          <w:lang w:val="en-US"/>
        </w:rPr>
      </w:pPr>
    </w:p>
    <w:p w:rsidR="00BD7719" w:rsidRPr="00043C96" w:rsidRDefault="00BD7719" w:rsidP="007B7128">
      <w:pPr>
        <w:spacing w:after="240"/>
        <w:rPr>
          <w:rFonts w:ascii="Arial" w:hAnsi="Arial"/>
          <w:szCs w:val="24"/>
          <w:lang w:val="en-US"/>
        </w:rPr>
      </w:pPr>
    </w:p>
    <w:p w:rsidR="007B7128" w:rsidRPr="00043C96" w:rsidRDefault="007B7128" w:rsidP="00D04064">
      <w:pPr>
        <w:spacing w:after="240"/>
        <w:rPr>
          <w:rFonts w:ascii="Arial" w:hAnsi="Arial"/>
          <w:szCs w:val="24"/>
          <w:lang w:val="en-US"/>
        </w:rPr>
      </w:pPr>
    </w:p>
    <w:p w:rsidR="008D6079" w:rsidRPr="00043C96" w:rsidRDefault="008D6079" w:rsidP="00D04064">
      <w:pPr>
        <w:spacing w:after="240"/>
        <w:rPr>
          <w:rFonts w:ascii="Arial" w:hAnsi="Arial"/>
          <w:szCs w:val="24"/>
          <w:lang w:val="en-US"/>
        </w:rPr>
      </w:pPr>
    </w:p>
    <w:p w:rsidR="00E721E1" w:rsidRPr="00043C96" w:rsidRDefault="00E721E1" w:rsidP="00E721E1">
      <w:pPr>
        <w:rPr>
          <w:rFonts w:ascii="Arial" w:hAnsi="Arial"/>
          <w:szCs w:val="24"/>
        </w:rPr>
      </w:pPr>
    </w:p>
    <w:sectPr w:rsidR="00E721E1" w:rsidRPr="00043C96" w:rsidSect="00043C96">
      <w:pgSz w:w="12240" w:h="15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rawingGridHorizontalSpacing w:val="12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060"/>
    <w:rsid w:val="00043C96"/>
    <w:rsid w:val="000557DF"/>
    <w:rsid w:val="00065DEB"/>
    <w:rsid w:val="00081F1B"/>
    <w:rsid w:val="00087DB5"/>
    <w:rsid w:val="000A0CF5"/>
    <w:rsid w:val="000A2E1E"/>
    <w:rsid w:val="000C0D70"/>
    <w:rsid w:val="000E2695"/>
    <w:rsid w:val="000F2A82"/>
    <w:rsid w:val="00101D47"/>
    <w:rsid w:val="00133607"/>
    <w:rsid w:val="00150807"/>
    <w:rsid w:val="0017102D"/>
    <w:rsid w:val="001779FE"/>
    <w:rsid w:val="001A42D7"/>
    <w:rsid w:val="001B51D3"/>
    <w:rsid w:val="001F5225"/>
    <w:rsid w:val="002009AC"/>
    <w:rsid w:val="00205955"/>
    <w:rsid w:val="00211060"/>
    <w:rsid w:val="002413CC"/>
    <w:rsid w:val="002426BD"/>
    <w:rsid w:val="0025754D"/>
    <w:rsid w:val="00266B64"/>
    <w:rsid w:val="00270DBA"/>
    <w:rsid w:val="002A5E19"/>
    <w:rsid w:val="002E5FCE"/>
    <w:rsid w:val="003261FB"/>
    <w:rsid w:val="00337ACC"/>
    <w:rsid w:val="00341FBD"/>
    <w:rsid w:val="0034379F"/>
    <w:rsid w:val="00347056"/>
    <w:rsid w:val="00385811"/>
    <w:rsid w:val="00386CBF"/>
    <w:rsid w:val="00395D50"/>
    <w:rsid w:val="003E2BB0"/>
    <w:rsid w:val="00400098"/>
    <w:rsid w:val="004043DD"/>
    <w:rsid w:val="004220EB"/>
    <w:rsid w:val="004241AD"/>
    <w:rsid w:val="00427CDA"/>
    <w:rsid w:val="00431953"/>
    <w:rsid w:val="004463CC"/>
    <w:rsid w:val="00447A85"/>
    <w:rsid w:val="004517AD"/>
    <w:rsid w:val="004763B7"/>
    <w:rsid w:val="005146FE"/>
    <w:rsid w:val="0052070A"/>
    <w:rsid w:val="005531CE"/>
    <w:rsid w:val="005A2BAB"/>
    <w:rsid w:val="005B06E2"/>
    <w:rsid w:val="005D6E44"/>
    <w:rsid w:val="00631FFE"/>
    <w:rsid w:val="00635451"/>
    <w:rsid w:val="00636433"/>
    <w:rsid w:val="00670967"/>
    <w:rsid w:val="00686255"/>
    <w:rsid w:val="006B3790"/>
    <w:rsid w:val="006C54F2"/>
    <w:rsid w:val="00703DBB"/>
    <w:rsid w:val="00706C61"/>
    <w:rsid w:val="0072335F"/>
    <w:rsid w:val="007506A3"/>
    <w:rsid w:val="007548B4"/>
    <w:rsid w:val="0077433C"/>
    <w:rsid w:val="007B7128"/>
    <w:rsid w:val="007D5DB2"/>
    <w:rsid w:val="007D765B"/>
    <w:rsid w:val="008053F3"/>
    <w:rsid w:val="0083011A"/>
    <w:rsid w:val="0083486D"/>
    <w:rsid w:val="008430C7"/>
    <w:rsid w:val="00857A14"/>
    <w:rsid w:val="008645C1"/>
    <w:rsid w:val="008B1E7E"/>
    <w:rsid w:val="008D5105"/>
    <w:rsid w:val="008D6079"/>
    <w:rsid w:val="008E4723"/>
    <w:rsid w:val="009127CD"/>
    <w:rsid w:val="00936484"/>
    <w:rsid w:val="009533B4"/>
    <w:rsid w:val="0099111D"/>
    <w:rsid w:val="009A6040"/>
    <w:rsid w:val="009D0B6B"/>
    <w:rsid w:val="009F0D23"/>
    <w:rsid w:val="00A21AF5"/>
    <w:rsid w:val="00A2397F"/>
    <w:rsid w:val="00A26F63"/>
    <w:rsid w:val="00A300EE"/>
    <w:rsid w:val="00A368BE"/>
    <w:rsid w:val="00A67D63"/>
    <w:rsid w:val="00AC01E4"/>
    <w:rsid w:val="00AE08AE"/>
    <w:rsid w:val="00AF07FC"/>
    <w:rsid w:val="00B233ED"/>
    <w:rsid w:val="00B369FF"/>
    <w:rsid w:val="00B37A91"/>
    <w:rsid w:val="00B56F63"/>
    <w:rsid w:val="00B708B0"/>
    <w:rsid w:val="00B72914"/>
    <w:rsid w:val="00BD1931"/>
    <w:rsid w:val="00BD6E6F"/>
    <w:rsid w:val="00BD7719"/>
    <w:rsid w:val="00BE41FA"/>
    <w:rsid w:val="00C52AF0"/>
    <w:rsid w:val="00C52CFD"/>
    <w:rsid w:val="00C6792C"/>
    <w:rsid w:val="00C72CCD"/>
    <w:rsid w:val="00C80770"/>
    <w:rsid w:val="00C86106"/>
    <w:rsid w:val="00CC276A"/>
    <w:rsid w:val="00CD11A1"/>
    <w:rsid w:val="00CD71DC"/>
    <w:rsid w:val="00CF5449"/>
    <w:rsid w:val="00D04064"/>
    <w:rsid w:val="00D11437"/>
    <w:rsid w:val="00D13D58"/>
    <w:rsid w:val="00D409E8"/>
    <w:rsid w:val="00D550A8"/>
    <w:rsid w:val="00DB3766"/>
    <w:rsid w:val="00E277AC"/>
    <w:rsid w:val="00E46C78"/>
    <w:rsid w:val="00E721E1"/>
    <w:rsid w:val="00E81E88"/>
    <w:rsid w:val="00E8399D"/>
    <w:rsid w:val="00E8468A"/>
    <w:rsid w:val="00E84F72"/>
    <w:rsid w:val="00ED0EE4"/>
    <w:rsid w:val="00F0161D"/>
    <w:rsid w:val="00F0280E"/>
    <w:rsid w:val="00F04EBB"/>
    <w:rsid w:val="00F32DAE"/>
    <w:rsid w:val="00F36A1B"/>
    <w:rsid w:val="00F50293"/>
    <w:rsid w:val="00F94FD3"/>
    <w:rsid w:val="00FC7FE5"/>
    <w:rsid w:val="00FD046A"/>
    <w:rsid w:val="00FF1E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B8AD4"/>
  <w15:docId w15:val="{884E9F58-1DF9-6848-83CE-4524E4AE70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433C"/>
    <w:pPr>
      <w:spacing w:after="0" w:line="360" w:lineRule="auto"/>
      <w:jc w:val="both"/>
    </w:pPr>
    <w:rPr>
      <w:rFonts w:ascii="Times New Roman" w:hAnsi="Times New Roman" w:cs="Arial"/>
      <w:sz w:val="24"/>
      <w:lang w:val="en-GB"/>
    </w:rPr>
  </w:style>
  <w:style w:type="paragraph" w:styleId="Heading1">
    <w:name w:val="heading 1"/>
    <w:basedOn w:val="Normal"/>
    <w:next w:val="Normal"/>
    <w:link w:val="Heading1Char"/>
    <w:uiPriority w:val="9"/>
    <w:qFormat/>
    <w:rsid w:val="00D11437"/>
    <w:pPr>
      <w:keepNext/>
      <w:keepLines/>
      <w:spacing w:before="48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D11437"/>
    <w:pPr>
      <w:keepNext/>
      <w:keepLines/>
      <w:spacing w:before="200"/>
      <w:outlineLvl w:val="1"/>
    </w:pPr>
    <w:rPr>
      <w:rFonts w:eastAsiaTheme="majorEastAsia" w:cstheme="majorBidi"/>
      <w:b/>
      <w:bCs/>
      <w:szCs w:val="26"/>
    </w:rPr>
  </w:style>
  <w:style w:type="paragraph" w:styleId="Heading3">
    <w:name w:val="heading 3"/>
    <w:basedOn w:val="Normal"/>
    <w:next w:val="Normal"/>
    <w:link w:val="Heading3Char"/>
    <w:autoRedefine/>
    <w:qFormat/>
    <w:rsid w:val="00F94FD3"/>
    <w:pPr>
      <w:keepNext/>
      <w:keepLines/>
      <w:spacing w:before="320" w:after="80"/>
      <w:outlineLvl w:val="2"/>
    </w:pPr>
    <w:rPr>
      <w:b/>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1437"/>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semiHidden/>
    <w:rsid w:val="00D11437"/>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rsid w:val="00F94FD3"/>
    <w:rPr>
      <w:rFonts w:ascii="Times New Roman" w:eastAsia="Arial" w:hAnsi="Times New Roman" w:cs="Arial"/>
      <w:b/>
      <w:sz w:val="24"/>
      <w:szCs w:val="28"/>
    </w:rPr>
  </w:style>
  <w:style w:type="paragraph" w:styleId="Caption">
    <w:name w:val="caption"/>
    <w:basedOn w:val="Normal"/>
    <w:next w:val="Normal"/>
    <w:uiPriority w:val="35"/>
    <w:unhideWhenUsed/>
    <w:qFormat/>
    <w:rsid w:val="000A2E1E"/>
    <w:pPr>
      <w:spacing w:after="200"/>
    </w:pPr>
    <w:rPr>
      <w:rFonts w:eastAsiaTheme="minorHAnsi" w:cstheme="minorBidi"/>
      <w:b/>
      <w:bCs/>
      <w:szCs w:val="18"/>
    </w:rPr>
  </w:style>
  <w:style w:type="paragraph" w:styleId="BalloonText">
    <w:name w:val="Balloon Text"/>
    <w:basedOn w:val="Normal"/>
    <w:link w:val="BalloonTextChar"/>
    <w:uiPriority w:val="99"/>
    <w:semiHidden/>
    <w:unhideWhenUsed/>
    <w:rsid w:val="00043C9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3C96"/>
    <w:rPr>
      <w:rFonts w:ascii="Tahoma" w:hAnsi="Tahoma" w:cs="Tahoma"/>
      <w:sz w:val="16"/>
      <w:szCs w:val="16"/>
      <w:lang w:val="en-GB"/>
    </w:rPr>
  </w:style>
  <w:style w:type="paragraph" w:styleId="NoSpacing">
    <w:name w:val="No Spacing"/>
    <w:link w:val="NoSpacingChar"/>
    <w:uiPriority w:val="1"/>
    <w:qFormat/>
    <w:rsid w:val="00043C96"/>
    <w:pPr>
      <w:spacing w:after="0" w:line="240" w:lineRule="auto"/>
    </w:pPr>
    <w:rPr>
      <w:rFonts w:eastAsiaTheme="minorEastAsia"/>
    </w:rPr>
  </w:style>
  <w:style w:type="character" w:customStyle="1" w:styleId="NoSpacingChar">
    <w:name w:val="No Spacing Char"/>
    <w:basedOn w:val="DefaultParagraphFont"/>
    <w:link w:val="NoSpacing"/>
    <w:uiPriority w:val="1"/>
    <w:rsid w:val="00043C96"/>
    <w:rPr>
      <w:rFonts w:eastAsiaTheme="minorEastAsia"/>
    </w:rPr>
  </w:style>
  <w:style w:type="paragraph" w:styleId="TOCHeading">
    <w:name w:val="TOC Heading"/>
    <w:basedOn w:val="Heading1"/>
    <w:next w:val="Normal"/>
    <w:uiPriority w:val="39"/>
    <w:semiHidden/>
    <w:unhideWhenUsed/>
    <w:qFormat/>
    <w:rsid w:val="00043C96"/>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043C96"/>
    <w:pPr>
      <w:spacing w:after="100"/>
    </w:pPr>
  </w:style>
  <w:style w:type="character" w:styleId="Hyperlink">
    <w:name w:val="Hyperlink"/>
    <w:basedOn w:val="DefaultParagraphFont"/>
    <w:uiPriority w:val="99"/>
    <w:unhideWhenUsed/>
    <w:rsid w:val="00043C9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image" Target="media/image1.pn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3C0C2D-FDE6-4AE2-A881-4E32EAB64D4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1870</Words>
  <Characters>10662</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Ionut Anghel</cp:lastModifiedBy>
  <cp:revision>5</cp:revision>
  <dcterms:created xsi:type="dcterms:W3CDTF">2023-03-08T21:03:00Z</dcterms:created>
  <dcterms:modified xsi:type="dcterms:W3CDTF">2023-03-08T21:06:00Z</dcterms:modified>
</cp:coreProperties>
</file>